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zov"/>
        <w:jc w:val="center"/>
        <w:rPr>
          <w:rFonts w:ascii="Arial" w:hAnsi="Arial" w:cs="Arial"/>
        </w:rPr>
      </w:pPr>
      <w:r>
        <w:rPr>
          <w:rFonts w:ascii="Arial" w:hAnsi="Arial" w:cs="Arial"/>
        </w:rPr>
        <w:t>Integrovaný regionálny operačný program 2014 - 2020</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bl>
      <w:tblPr>
        <w:tblStyle w:val="Svetlmriekazvraznenie111"/>
        <w:tblW w:w="0" w:type="auto"/>
        <w:jc w:val="center"/>
        <w:tblLook w:val="04A0" w:firstRow="1" w:lastRow="0" w:firstColumn="1" w:lastColumn="0" w:noHBand="0" w:noVBand="1"/>
      </w:tblPr>
      <w:tblGrid>
        <w:gridCol w:w="2943"/>
        <w:gridCol w:w="5103"/>
      </w:tblGrid>
      <w:tr>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CCI</w:t>
            </w:r>
          </w:p>
        </w:tc>
        <w:tc>
          <w:tcPr>
            <w:tcW w:w="5103" w:type="dxa"/>
            <w:shd w:val="clear" w:color="auto" w:fill="auto"/>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Názov</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sz w:val="24"/>
              </w:rPr>
              <w:t xml:space="preserve">Integrovaný regionálny operačný program </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Verzia</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Prvý rok</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2014</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Posledný rok</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2020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Oprávnenie od</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1. 1. 2014</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Oprávnenie do</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31. 12. 2023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Číslo rozhodnutia EK</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Dátum rozhodnutia EK</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Číslo rozhodnutia ČŠ</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Dátum rozhodnutia ČŠ</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Dátum nadobudnutia účinnosti rozhodnutia ČŠ</w:t>
            </w:r>
          </w:p>
        </w:tc>
        <w:tc>
          <w:tcPr>
            <w:tcW w:w="5103"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pPr>
              <w:spacing w:after="0"/>
              <w:rPr>
                <w:rFonts w:ascii="Arial" w:hAnsi="Arial" w:cs="Arial"/>
              </w:rPr>
            </w:pPr>
            <w:r>
              <w:rPr>
                <w:rFonts w:ascii="Arial" w:hAnsi="Arial" w:cs="Arial"/>
              </w:rPr>
              <w:t>Regióny NUTS, na ktoré sa operačný program vzťahuje</w:t>
            </w:r>
          </w:p>
        </w:tc>
        <w:tc>
          <w:tcPr>
            <w:tcW w:w="5103"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8DB3E2"/>
              </w:rPr>
            </w:pPr>
            <w:r>
              <w:rPr>
                <w:rFonts w:ascii="Arial" w:hAnsi="Arial" w:cs="Arial"/>
              </w:rPr>
              <w:t>Všetky regióny Slovenska na úrovni NUTS 3</w:t>
            </w:r>
          </w:p>
        </w:tc>
      </w:tr>
    </w:tbl>
    <w:p>
      <w:pPr>
        <w:rPr>
          <w:rFonts w:ascii="Arial" w:hAnsi="Arial" w:cs="Arial"/>
        </w:rPr>
        <w:sectPr>
          <w:headerReference w:type="even" r:id="rId9"/>
          <w:headerReference w:type="default" r:id="rId10"/>
          <w:footerReference w:type="even" r:id="rId11"/>
          <w:footerReference w:type="default" r:id="rId12"/>
          <w:footerReference w:type="first" r:id="rId13"/>
          <w:pgSz w:w="11906" w:h="16838"/>
          <w:pgMar w:top="1417" w:right="1417" w:bottom="1417" w:left="993" w:header="708" w:footer="708" w:gutter="0"/>
          <w:cols w:space="708"/>
          <w:titlePg/>
          <w:docGrid w:linePitch="360"/>
        </w:sectPr>
      </w:pPr>
    </w:p>
    <w:p>
      <w:pPr>
        <w:pStyle w:val="Hlavikaobsahu"/>
        <w:rPr>
          <w:rFonts w:ascii="Arial" w:hAnsi="Arial" w:cs="Arial"/>
        </w:rPr>
      </w:pPr>
      <w:r>
        <w:rPr>
          <w:rFonts w:ascii="Arial" w:hAnsi="Arial" w:cs="Arial"/>
        </w:rPr>
        <w:lastRenderedPageBreak/>
        <w:t>Obsah</w:t>
      </w:r>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153886" w:history="1">
        <w:r>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_Toc387153886 \h </w:instrText>
        </w:r>
        <w:r>
          <w:rPr>
            <w:noProof/>
            <w:webHidden/>
          </w:rPr>
        </w:r>
        <w:r>
          <w:rPr>
            <w:noProof/>
            <w:webHidden/>
          </w:rPr>
          <w:fldChar w:fldCharType="separate"/>
        </w:r>
        <w:r>
          <w:rPr>
            <w:noProof/>
            <w:webHidden/>
          </w:rPr>
          <w:t>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887" w:history="1">
        <w:r>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_Toc387153887 \h </w:instrText>
        </w:r>
        <w:r>
          <w:rPr>
            <w:noProof/>
            <w:webHidden/>
          </w:rPr>
        </w:r>
        <w:r>
          <w:rPr>
            <w:noProof/>
            <w:webHidden/>
          </w:rPr>
          <w:fldChar w:fldCharType="separate"/>
        </w:r>
        <w:r>
          <w:rPr>
            <w:noProof/>
            <w:webHidden/>
          </w:rPr>
          <w:t>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888" w:history="1">
        <w:r>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Pr>
            <w:noProof/>
            <w:webHidden/>
          </w:rPr>
          <w:tab/>
        </w:r>
        <w:r>
          <w:rPr>
            <w:noProof/>
            <w:webHidden/>
          </w:rPr>
          <w:fldChar w:fldCharType="begin"/>
        </w:r>
        <w:r>
          <w:rPr>
            <w:noProof/>
            <w:webHidden/>
          </w:rPr>
          <w:instrText xml:space="preserve"> PAGEREF _Toc387153888 \h </w:instrText>
        </w:r>
        <w:r>
          <w:rPr>
            <w:noProof/>
            <w:webHidden/>
          </w:rPr>
        </w:r>
        <w:r>
          <w:rPr>
            <w:noProof/>
            <w:webHidden/>
          </w:rPr>
          <w:fldChar w:fldCharType="separate"/>
        </w:r>
        <w:r>
          <w:rPr>
            <w:noProof/>
            <w:webHidden/>
          </w:rPr>
          <w:t>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889" w:history="1">
        <w:r>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Pr>
            <w:noProof/>
            <w:webHidden/>
          </w:rPr>
          <w:tab/>
        </w:r>
        <w:r>
          <w:rPr>
            <w:noProof/>
            <w:webHidden/>
          </w:rPr>
          <w:fldChar w:fldCharType="begin"/>
        </w:r>
        <w:r>
          <w:rPr>
            <w:noProof/>
            <w:webHidden/>
          </w:rPr>
          <w:instrText xml:space="preserve"> PAGEREF _Toc387153889 \h </w:instrText>
        </w:r>
        <w:r>
          <w:rPr>
            <w:noProof/>
            <w:webHidden/>
          </w:rPr>
        </w:r>
        <w:r>
          <w:rPr>
            <w:noProof/>
            <w:webHidden/>
          </w:rPr>
          <w:fldChar w:fldCharType="separate"/>
        </w:r>
        <w:r>
          <w:rPr>
            <w:noProof/>
            <w:webHidden/>
          </w:rPr>
          <w:t>40</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890" w:history="1">
        <w:r>
          <w:rPr>
            <w:rStyle w:val="Hypertextovprepojenie"/>
            <w:rFonts w:ascii="Arial" w:hAnsi="Arial" w:cs="Arial"/>
            <w:noProof/>
          </w:rPr>
          <w:t>1.2 Odôvodnenie pridelených finančných prostriedkov</w:t>
        </w:r>
        <w:r>
          <w:rPr>
            <w:noProof/>
            <w:webHidden/>
          </w:rPr>
          <w:tab/>
        </w:r>
        <w:r>
          <w:rPr>
            <w:noProof/>
            <w:webHidden/>
          </w:rPr>
          <w:fldChar w:fldCharType="begin"/>
        </w:r>
        <w:r>
          <w:rPr>
            <w:noProof/>
            <w:webHidden/>
          </w:rPr>
          <w:instrText xml:space="preserve"> PAGEREF _Toc387153890 \h </w:instrText>
        </w:r>
        <w:r>
          <w:rPr>
            <w:noProof/>
            <w:webHidden/>
          </w:rPr>
        </w:r>
        <w:r>
          <w:rPr>
            <w:noProof/>
            <w:webHidden/>
          </w:rPr>
          <w:fldChar w:fldCharType="separate"/>
        </w:r>
        <w:r>
          <w:rPr>
            <w:noProof/>
            <w:webHidden/>
          </w:rPr>
          <w:t>44</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891" w:history="1">
        <w:r>
          <w:rPr>
            <w:rStyle w:val="Hypertextovprepojenie"/>
            <w:rFonts w:ascii="Arial" w:hAnsi="Arial" w:cs="Arial"/>
            <w:noProof/>
          </w:rPr>
          <w:t>Prioritné osi Integrovaného regionálneho operačného programu</w:t>
        </w:r>
        <w:r>
          <w:rPr>
            <w:noProof/>
            <w:webHidden/>
          </w:rPr>
          <w:tab/>
        </w:r>
        <w:r>
          <w:rPr>
            <w:noProof/>
            <w:webHidden/>
          </w:rPr>
          <w:fldChar w:fldCharType="begin"/>
        </w:r>
        <w:r>
          <w:rPr>
            <w:noProof/>
            <w:webHidden/>
          </w:rPr>
          <w:instrText xml:space="preserve"> PAGEREF _Toc387153891 \h </w:instrText>
        </w:r>
        <w:r>
          <w:rPr>
            <w:noProof/>
            <w:webHidden/>
          </w:rPr>
        </w:r>
        <w:r>
          <w:rPr>
            <w:noProof/>
            <w:webHidden/>
          </w:rPr>
          <w:fldChar w:fldCharType="separate"/>
        </w:r>
        <w:r>
          <w:rPr>
            <w:noProof/>
            <w:webHidden/>
          </w:rPr>
          <w:t>51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892" w:history="1">
        <w:r>
          <w:rPr>
            <w:rStyle w:val="Hypertextovprepojenie"/>
            <w:rFonts w:ascii="Arial" w:hAnsi="Arial" w:cs="Arial"/>
            <w:noProof/>
          </w:rPr>
          <w:t>2.A Opis prioritných osí Integrovaného regionálneho operačného programu</w:t>
        </w:r>
        <w:r>
          <w:rPr>
            <w:noProof/>
            <w:webHidden/>
          </w:rPr>
          <w:tab/>
        </w:r>
        <w:r>
          <w:rPr>
            <w:noProof/>
            <w:webHidden/>
          </w:rPr>
          <w:fldChar w:fldCharType="begin"/>
        </w:r>
        <w:r>
          <w:rPr>
            <w:noProof/>
            <w:webHidden/>
          </w:rPr>
          <w:instrText xml:space="preserve"> PAGEREF _Toc387153892 \h </w:instrText>
        </w:r>
        <w:r>
          <w:rPr>
            <w:noProof/>
            <w:webHidden/>
          </w:rPr>
        </w:r>
        <w:r>
          <w:rPr>
            <w:noProof/>
            <w:webHidden/>
          </w:rPr>
          <w:fldChar w:fldCharType="separate"/>
        </w:r>
        <w:r>
          <w:rPr>
            <w:noProof/>
            <w:webHidden/>
          </w:rPr>
          <w:t>51</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893" w:history="1">
        <w:r>
          <w:rPr>
            <w:rStyle w:val="Hypertextovprepojenie"/>
            <w:rFonts w:ascii="Arial" w:hAnsi="Arial" w:cs="Arial"/>
            <w:noProof/>
          </w:rPr>
          <w:t>2.1 Prioritná os č. 1: Bezpečná a ekologická doprava v regiónoch</w:t>
        </w:r>
        <w:r>
          <w:rPr>
            <w:noProof/>
            <w:webHidden/>
          </w:rPr>
          <w:tab/>
        </w:r>
        <w:r>
          <w:rPr>
            <w:noProof/>
            <w:webHidden/>
          </w:rPr>
          <w:fldChar w:fldCharType="begin"/>
        </w:r>
        <w:r>
          <w:rPr>
            <w:noProof/>
            <w:webHidden/>
          </w:rPr>
          <w:instrText xml:space="preserve"> PAGEREF _Toc387153893 \h </w:instrText>
        </w:r>
        <w:r>
          <w:rPr>
            <w:noProof/>
            <w:webHidden/>
          </w:rPr>
        </w:r>
        <w:r>
          <w:rPr>
            <w:noProof/>
            <w:webHidden/>
          </w:rPr>
          <w:fldChar w:fldCharType="separate"/>
        </w:r>
        <w:r>
          <w:rPr>
            <w:noProof/>
            <w:webHidden/>
          </w:rPr>
          <w:t>51</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894" w:history="1">
        <w:r>
          <w:rPr>
            <w:rStyle w:val="Hypertextovprepojenie"/>
            <w:rFonts w:ascii="Arial" w:hAnsi="Arial" w:cs="Arial"/>
            <w:noProof/>
          </w:rPr>
          <w:t>2.1.1 Investičná priorita č. 1.1: Posilnenie regionálnej mobility prepojením sekundárnych a terciárnych uzlov s infraštruktúrou TEN-T vrátane multimodálnych uzlov</w:t>
        </w:r>
        <w:r>
          <w:rPr>
            <w:noProof/>
            <w:webHidden/>
          </w:rPr>
          <w:tab/>
        </w:r>
        <w:r>
          <w:rPr>
            <w:noProof/>
            <w:webHidden/>
          </w:rPr>
          <w:fldChar w:fldCharType="begin"/>
        </w:r>
        <w:r>
          <w:rPr>
            <w:noProof/>
            <w:webHidden/>
          </w:rPr>
          <w:instrText xml:space="preserve"> PAGEREF _Toc387153894 \h </w:instrText>
        </w:r>
        <w:r>
          <w:rPr>
            <w:noProof/>
            <w:webHidden/>
          </w:rPr>
        </w:r>
        <w:r>
          <w:rPr>
            <w:noProof/>
            <w:webHidden/>
          </w:rPr>
          <w:fldChar w:fldCharType="separate"/>
        </w:r>
        <w:r>
          <w:rPr>
            <w:noProof/>
            <w:webHidden/>
          </w:rPr>
          <w:t>52</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895"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_Toc387153895 \h </w:instrText>
        </w:r>
        <w:r>
          <w:rPr>
            <w:noProof/>
            <w:webHidden/>
          </w:rPr>
        </w:r>
        <w:r>
          <w:rPr>
            <w:noProof/>
            <w:webHidden/>
          </w:rPr>
          <w:fldChar w:fldCharType="separate"/>
        </w:r>
        <w:r>
          <w:rPr>
            <w:noProof/>
            <w:webHidden/>
          </w:rPr>
          <w:t>53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896" w:history="1">
        <w:r>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_Toc387153896 \h </w:instrText>
        </w:r>
        <w:r>
          <w:rPr>
            <w:noProof/>
            <w:webHidden/>
          </w:rPr>
        </w:r>
        <w:r>
          <w:rPr>
            <w:noProof/>
            <w:webHidden/>
          </w:rPr>
          <w:fldChar w:fldCharType="separate"/>
        </w:r>
        <w:r>
          <w:rPr>
            <w:noProof/>
            <w:webHidden/>
          </w:rPr>
          <w:t>53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897" w:history="1">
        <w:r>
          <w:rPr>
            <w:rStyle w:val="Hypertextovprepojenie"/>
            <w:rFonts w:ascii="Arial" w:hAnsi="Arial" w:cs="Arial"/>
            <w:noProof/>
          </w:rPr>
          <w:t>2.1.1.2. Hlavné zásady výberu operácií</w:t>
        </w:r>
        <w:r>
          <w:rPr>
            <w:noProof/>
            <w:webHidden/>
          </w:rPr>
          <w:tab/>
        </w:r>
        <w:r>
          <w:rPr>
            <w:noProof/>
            <w:webHidden/>
          </w:rPr>
          <w:fldChar w:fldCharType="begin"/>
        </w:r>
        <w:r>
          <w:rPr>
            <w:noProof/>
            <w:webHidden/>
          </w:rPr>
          <w:instrText xml:space="preserve"> PAGEREF _Toc387153897 \h </w:instrText>
        </w:r>
        <w:r>
          <w:rPr>
            <w:noProof/>
            <w:webHidden/>
          </w:rPr>
        </w:r>
        <w:r>
          <w:rPr>
            <w:noProof/>
            <w:webHidden/>
          </w:rPr>
          <w:fldChar w:fldCharType="separate"/>
        </w:r>
        <w:r>
          <w:rPr>
            <w:noProof/>
            <w:webHidden/>
          </w:rPr>
          <w:t>55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898" w:history="1">
        <w:r>
          <w:rPr>
            <w:rStyle w:val="Hypertextovprepojenie"/>
            <w:rFonts w:ascii="Arial" w:hAnsi="Arial" w:cs="Arial"/>
            <w:noProof/>
          </w:rPr>
          <w:t>2.1.1.3. Plánované využitie finančných nástrojov</w:t>
        </w:r>
        <w:r>
          <w:rPr>
            <w:noProof/>
            <w:webHidden/>
          </w:rPr>
          <w:tab/>
        </w:r>
        <w:r>
          <w:rPr>
            <w:noProof/>
            <w:webHidden/>
          </w:rPr>
          <w:fldChar w:fldCharType="begin"/>
        </w:r>
        <w:r>
          <w:rPr>
            <w:noProof/>
            <w:webHidden/>
          </w:rPr>
          <w:instrText xml:space="preserve"> PAGEREF _Toc387153898 \h </w:instrText>
        </w:r>
        <w:r>
          <w:rPr>
            <w:noProof/>
            <w:webHidden/>
          </w:rPr>
        </w:r>
        <w:r>
          <w:rPr>
            <w:noProof/>
            <w:webHidden/>
          </w:rPr>
          <w:fldChar w:fldCharType="separate"/>
        </w:r>
        <w:r>
          <w:rPr>
            <w:noProof/>
            <w:webHidden/>
          </w:rPr>
          <w:t>57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899" w:history="1">
        <w:r>
          <w:rPr>
            <w:rStyle w:val="Hypertextovprepojenie"/>
            <w:rFonts w:ascii="Arial" w:hAnsi="Arial" w:cs="Arial"/>
            <w:noProof/>
          </w:rPr>
          <w:t>2.1.1.4. Plánované využitie veľkých  projektov</w:t>
        </w:r>
        <w:r>
          <w:rPr>
            <w:noProof/>
            <w:webHidden/>
          </w:rPr>
          <w:tab/>
        </w:r>
        <w:r>
          <w:rPr>
            <w:noProof/>
            <w:webHidden/>
          </w:rPr>
          <w:fldChar w:fldCharType="begin"/>
        </w:r>
        <w:r>
          <w:rPr>
            <w:noProof/>
            <w:webHidden/>
          </w:rPr>
          <w:instrText xml:space="preserve"> PAGEREF _Toc387153899 \h </w:instrText>
        </w:r>
        <w:r>
          <w:rPr>
            <w:noProof/>
            <w:webHidden/>
          </w:rPr>
        </w:r>
        <w:r>
          <w:rPr>
            <w:noProof/>
            <w:webHidden/>
          </w:rPr>
          <w:fldChar w:fldCharType="separate"/>
        </w:r>
        <w:r>
          <w:rPr>
            <w:noProof/>
            <w:webHidden/>
          </w:rPr>
          <w:t>57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0" w:history="1">
        <w:r>
          <w:rPr>
            <w:rStyle w:val="Hypertextovprepojenie"/>
            <w:rFonts w:ascii="Arial" w:hAnsi="Arial" w:cs="Arial"/>
            <w:noProof/>
          </w:rPr>
          <w:t>2.1.1.5.Ukazovatele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_Toc387153900 \h </w:instrText>
        </w:r>
        <w:r>
          <w:rPr>
            <w:noProof/>
            <w:webHidden/>
          </w:rPr>
        </w:r>
        <w:r>
          <w:rPr>
            <w:noProof/>
            <w:webHidden/>
          </w:rPr>
          <w:fldChar w:fldCharType="separate"/>
        </w:r>
        <w:r>
          <w:rPr>
            <w:noProof/>
            <w:webHidden/>
          </w:rPr>
          <w:t>57</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01" w:history="1">
        <w:r>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Pr>
            <w:noProof/>
            <w:webHidden/>
          </w:rPr>
          <w:tab/>
        </w:r>
        <w:r>
          <w:rPr>
            <w:noProof/>
            <w:webHidden/>
          </w:rPr>
          <w:fldChar w:fldCharType="begin"/>
        </w:r>
        <w:r>
          <w:rPr>
            <w:noProof/>
            <w:webHidden/>
          </w:rPr>
          <w:instrText xml:space="preserve"> PAGEREF _Toc387153901 \h </w:instrText>
        </w:r>
        <w:r>
          <w:rPr>
            <w:noProof/>
            <w:webHidden/>
          </w:rPr>
        </w:r>
        <w:r>
          <w:rPr>
            <w:noProof/>
            <w:webHidden/>
          </w:rPr>
          <w:fldChar w:fldCharType="separate"/>
        </w:r>
        <w:r>
          <w:rPr>
            <w:noProof/>
            <w:webHidden/>
          </w:rPr>
          <w:t>58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02"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_Toc387153902 \h </w:instrText>
        </w:r>
        <w:r>
          <w:rPr>
            <w:noProof/>
            <w:webHidden/>
          </w:rPr>
        </w:r>
        <w:r>
          <w:rPr>
            <w:noProof/>
            <w:webHidden/>
          </w:rPr>
          <w:fldChar w:fldCharType="separate"/>
        </w:r>
        <w:r>
          <w:rPr>
            <w:noProof/>
            <w:webHidden/>
          </w:rPr>
          <w:t>60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3" w:history="1">
        <w:r>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_Toc387153903 \h </w:instrText>
        </w:r>
        <w:r>
          <w:rPr>
            <w:noProof/>
            <w:webHidden/>
          </w:rPr>
        </w:r>
        <w:r>
          <w:rPr>
            <w:noProof/>
            <w:webHidden/>
          </w:rPr>
          <w:fldChar w:fldCharType="separate"/>
        </w:r>
        <w:r>
          <w:rPr>
            <w:noProof/>
            <w:webHidden/>
          </w:rPr>
          <w:t>60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4" w:history="1">
        <w:r>
          <w:rPr>
            <w:rStyle w:val="Hypertextovprepojenie"/>
            <w:rFonts w:ascii="Arial" w:hAnsi="Arial" w:cs="Arial"/>
            <w:noProof/>
          </w:rPr>
          <w:t>2.1.2.2. Hlavné zásady výberu operácií</w:t>
        </w:r>
        <w:r>
          <w:rPr>
            <w:noProof/>
            <w:webHidden/>
          </w:rPr>
          <w:tab/>
        </w:r>
        <w:r>
          <w:rPr>
            <w:noProof/>
            <w:webHidden/>
          </w:rPr>
          <w:fldChar w:fldCharType="begin"/>
        </w:r>
        <w:r>
          <w:rPr>
            <w:noProof/>
            <w:webHidden/>
          </w:rPr>
          <w:instrText xml:space="preserve"> PAGEREF _Toc387153904 \h </w:instrText>
        </w:r>
        <w:r>
          <w:rPr>
            <w:noProof/>
            <w:webHidden/>
          </w:rPr>
        </w:r>
        <w:r>
          <w:rPr>
            <w:noProof/>
            <w:webHidden/>
          </w:rPr>
          <w:fldChar w:fldCharType="separate"/>
        </w:r>
        <w:r>
          <w:rPr>
            <w:noProof/>
            <w:webHidden/>
          </w:rPr>
          <w:t>64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5" w:history="1">
        <w:r>
          <w:rPr>
            <w:rStyle w:val="Hypertextovprepojenie"/>
            <w:rFonts w:ascii="Arial" w:hAnsi="Arial" w:cs="Arial"/>
            <w:noProof/>
          </w:rPr>
          <w:t>2.1.2.3. Plánované využitie finančných nástrojov</w:t>
        </w:r>
        <w:r>
          <w:rPr>
            <w:noProof/>
            <w:webHidden/>
          </w:rPr>
          <w:tab/>
        </w:r>
        <w:r>
          <w:rPr>
            <w:noProof/>
            <w:webHidden/>
          </w:rPr>
          <w:fldChar w:fldCharType="begin"/>
        </w:r>
        <w:r>
          <w:rPr>
            <w:noProof/>
            <w:webHidden/>
          </w:rPr>
          <w:instrText xml:space="preserve"> PAGEREF _Toc387153905 \h </w:instrText>
        </w:r>
        <w:r>
          <w:rPr>
            <w:noProof/>
            <w:webHidden/>
          </w:rPr>
        </w:r>
        <w:r>
          <w:rPr>
            <w:noProof/>
            <w:webHidden/>
          </w:rPr>
          <w:fldChar w:fldCharType="separate"/>
        </w:r>
        <w:r>
          <w:rPr>
            <w:noProof/>
            <w:webHidden/>
          </w:rPr>
          <w:t>64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6" w:history="1">
        <w:r>
          <w:rPr>
            <w:rStyle w:val="Hypertextovprepojenie"/>
            <w:rFonts w:ascii="Arial" w:hAnsi="Arial" w:cs="Arial"/>
            <w:noProof/>
          </w:rPr>
          <w:t>2.1.2.4  Plánované využitie veľkých  projektov</w:t>
        </w:r>
        <w:r>
          <w:rPr>
            <w:noProof/>
            <w:webHidden/>
          </w:rPr>
          <w:tab/>
        </w:r>
        <w:r>
          <w:rPr>
            <w:noProof/>
            <w:webHidden/>
          </w:rPr>
          <w:fldChar w:fldCharType="begin"/>
        </w:r>
        <w:r>
          <w:rPr>
            <w:noProof/>
            <w:webHidden/>
          </w:rPr>
          <w:instrText xml:space="preserve"> PAGEREF _Toc387153906 \h </w:instrText>
        </w:r>
        <w:r>
          <w:rPr>
            <w:noProof/>
            <w:webHidden/>
          </w:rPr>
        </w:r>
        <w:r>
          <w:rPr>
            <w:noProof/>
            <w:webHidden/>
          </w:rPr>
          <w:fldChar w:fldCharType="separate"/>
        </w:r>
        <w:r>
          <w:rPr>
            <w:noProof/>
            <w:webHidden/>
          </w:rPr>
          <w:t>65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07" w:history="1">
        <w:r>
          <w:rPr>
            <w:rStyle w:val="Hypertextovprepojenie"/>
            <w:rFonts w:ascii="Arial" w:hAnsi="Arial" w:cs="Arial"/>
            <w:noProof/>
          </w:rPr>
          <w:t>2.1.2.5.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_Toc387153907 \h </w:instrText>
        </w:r>
        <w:r>
          <w:rPr>
            <w:noProof/>
            <w:webHidden/>
          </w:rPr>
        </w:r>
        <w:r>
          <w:rPr>
            <w:noProof/>
            <w:webHidden/>
          </w:rPr>
          <w:fldChar w:fldCharType="separate"/>
        </w:r>
        <w:r>
          <w:rPr>
            <w:noProof/>
            <w:webHidden/>
          </w:rPr>
          <w:t>65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08"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_Toc387153908 \h </w:instrText>
        </w:r>
        <w:r>
          <w:rPr>
            <w:noProof/>
            <w:webHidden/>
          </w:rPr>
        </w:r>
        <w:r>
          <w:rPr>
            <w:noProof/>
            <w:webHidden/>
          </w:rPr>
          <w:fldChar w:fldCharType="separate"/>
        </w:r>
        <w:r>
          <w:rPr>
            <w:noProof/>
            <w:webHidden/>
          </w:rPr>
          <w:t>66</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09"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_Toc387153909 \h </w:instrText>
        </w:r>
        <w:r>
          <w:rPr>
            <w:noProof/>
            <w:webHidden/>
          </w:rPr>
        </w:r>
        <w:r>
          <w:rPr>
            <w:noProof/>
            <w:webHidden/>
          </w:rPr>
          <w:fldChar w:fldCharType="separate"/>
        </w:r>
        <w:r>
          <w:rPr>
            <w:noProof/>
            <w:webHidden/>
          </w:rPr>
          <w:t>67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10"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_Toc387153910 \h </w:instrText>
        </w:r>
        <w:r>
          <w:rPr>
            <w:noProof/>
            <w:webHidden/>
          </w:rPr>
        </w:r>
        <w:r>
          <w:rPr>
            <w:noProof/>
            <w:webHidden/>
          </w:rPr>
          <w:fldChar w:fldCharType="separate"/>
        </w:r>
        <w:r>
          <w:rPr>
            <w:noProof/>
            <w:webHidden/>
          </w:rPr>
          <w:t>68</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11" w:history="1">
        <w:r>
          <w:rPr>
            <w:rStyle w:val="Hypertextovprepojenie"/>
            <w:rFonts w:ascii="Arial" w:hAnsi="Arial" w:cs="Arial"/>
            <w:noProof/>
          </w:rPr>
          <w:t>2.2.Prioritná os č. 2: Ľahší prístup k efektívnym a kvalitnejším verejným službám</w:t>
        </w:r>
        <w:r>
          <w:rPr>
            <w:noProof/>
            <w:webHidden/>
          </w:rPr>
          <w:tab/>
        </w:r>
        <w:r>
          <w:rPr>
            <w:noProof/>
            <w:webHidden/>
          </w:rPr>
          <w:fldChar w:fldCharType="begin"/>
        </w:r>
        <w:r>
          <w:rPr>
            <w:noProof/>
            <w:webHidden/>
          </w:rPr>
          <w:instrText xml:space="preserve"> PAGEREF _Toc387153911 \h </w:instrText>
        </w:r>
        <w:r>
          <w:rPr>
            <w:noProof/>
            <w:webHidden/>
          </w:rPr>
        </w:r>
        <w:r>
          <w:rPr>
            <w:noProof/>
            <w:webHidden/>
          </w:rPr>
          <w:fldChar w:fldCharType="separate"/>
        </w:r>
        <w:r>
          <w:rPr>
            <w:noProof/>
            <w:webHidden/>
          </w:rPr>
          <w:t>69</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12" w:history="1">
        <w:r>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Pr>
            <w:noProof/>
            <w:webHidden/>
          </w:rPr>
          <w:tab/>
        </w:r>
        <w:r>
          <w:rPr>
            <w:noProof/>
            <w:webHidden/>
          </w:rPr>
          <w:fldChar w:fldCharType="begin"/>
        </w:r>
        <w:r>
          <w:rPr>
            <w:noProof/>
            <w:webHidden/>
          </w:rPr>
          <w:instrText xml:space="preserve"> PAGEREF _Toc387153912 \h </w:instrText>
        </w:r>
        <w:r>
          <w:rPr>
            <w:noProof/>
            <w:webHidden/>
          </w:rPr>
        </w:r>
        <w:r>
          <w:rPr>
            <w:noProof/>
            <w:webHidden/>
          </w:rPr>
          <w:fldChar w:fldCharType="separate"/>
        </w:r>
        <w:r>
          <w:rPr>
            <w:noProof/>
            <w:webHidden/>
          </w:rPr>
          <w:t>70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13"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_Toc387153913 \h </w:instrText>
        </w:r>
        <w:r>
          <w:rPr>
            <w:noProof/>
            <w:webHidden/>
          </w:rPr>
        </w:r>
        <w:r>
          <w:rPr>
            <w:noProof/>
            <w:webHidden/>
          </w:rPr>
          <w:fldChar w:fldCharType="separate"/>
        </w:r>
        <w:r>
          <w:rPr>
            <w:noProof/>
            <w:webHidden/>
          </w:rPr>
          <w:t>76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14" w:history="1">
        <w:r>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_Toc387153914 \h </w:instrText>
        </w:r>
        <w:r>
          <w:rPr>
            <w:noProof/>
            <w:webHidden/>
          </w:rPr>
        </w:r>
        <w:r>
          <w:rPr>
            <w:noProof/>
            <w:webHidden/>
          </w:rPr>
          <w:fldChar w:fldCharType="separate"/>
        </w:r>
        <w:r>
          <w:rPr>
            <w:noProof/>
            <w:webHidden/>
          </w:rPr>
          <w:t>76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15" w:history="1">
        <w:r>
          <w:rPr>
            <w:rStyle w:val="Hypertextovprepojenie"/>
            <w:rFonts w:ascii="Arial" w:hAnsi="Arial" w:cs="Arial"/>
            <w:noProof/>
          </w:rPr>
          <w:t>2.2.1.2. Hlavné zásady výberu operácií</w:t>
        </w:r>
        <w:r>
          <w:rPr>
            <w:noProof/>
            <w:webHidden/>
          </w:rPr>
          <w:tab/>
        </w:r>
        <w:r>
          <w:rPr>
            <w:noProof/>
            <w:webHidden/>
          </w:rPr>
          <w:fldChar w:fldCharType="begin"/>
        </w:r>
        <w:r>
          <w:rPr>
            <w:noProof/>
            <w:webHidden/>
          </w:rPr>
          <w:instrText xml:space="preserve"> PAGEREF _Toc387153915 \h </w:instrText>
        </w:r>
        <w:r>
          <w:rPr>
            <w:noProof/>
            <w:webHidden/>
          </w:rPr>
        </w:r>
        <w:r>
          <w:rPr>
            <w:noProof/>
            <w:webHidden/>
          </w:rPr>
          <w:fldChar w:fldCharType="separate"/>
        </w:r>
        <w:r>
          <w:rPr>
            <w:noProof/>
            <w:webHidden/>
          </w:rPr>
          <w:t>83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16" w:history="1">
        <w:r>
          <w:rPr>
            <w:rStyle w:val="Hypertextovprepojenie"/>
            <w:rFonts w:ascii="Arial" w:hAnsi="Arial" w:cs="Arial"/>
            <w:noProof/>
          </w:rPr>
          <w:t>2.2.1.3. Plánované využitie finančných nástrojov</w:t>
        </w:r>
        <w:r>
          <w:rPr>
            <w:noProof/>
            <w:webHidden/>
          </w:rPr>
          <w:tab/>
        </w:r>
        <w:r>
          <w:rPr>
            <w:noProof/>
            <w:webHidden/>
          </w:rPr>
          <w:fldChar w:fldCharType="begin"/>
        </w:r>
        <w:r>
          <w:rPr>
            <w:noProof/>
            <w:webHidden/>
          </w:rPr>
          <w:instrText xml:space="preserve"> PAGEREF _Toc387153916 \h </w:instrText>
        </w:r>
        <w:r>
          <w:rPr>
            <w:noProof/>
            <w:webHidden/>
          </w:rPr>
        </w:r>
        <w:r>
          <w:rPr>
            <w:noProof/>
            <w:webHidden/>
          </w:rPr>
          <w:fldChar w:fldCharType="separate"/>
        </w:r>
        <w:r>
          <w:rPr>
            <w:noProof/>
            <w:webHidden/>
          </w:rPr>
          <w:t>86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17" w:history="1">
        <w:r>
          <w:rPr>
            <w:rStyle w:val="Hypertextovprepojenie"/>
            <w:rFonts w:ascii="Arial" w:hAnsi="Arial" w:cs="Arial"/>
            <w:noProof/>
          </w:rPr>
          <w:t>2.2.1.4. Plánované využitie veľkých projektov</w:t>
        </w:r>
        <w:r>
          <w:rPr>
            <w:noProof/>
            <w:webHidden/>
          </w:rPr>
          <w:tab/>
        </w:r>
        <w:r>
          <w:rPr>
            <w:noProof/>
            <w:webHidden/>
          </w:rPr>
          <w:fldChar w:fldCharType="begin"/>
        </w:r>
        <w:r>
          <w:rPr>
            <w:noProof/>
            <w:webHidden/>
          </w:rPr>
          <w:instrText xml:space="preserve"> PAGEREF _Toc387153917 \h </w:instrText>
        </w:r>
        <w:r>
          <w:rPr>
            <w:noProof/>
            <w:webHidden/>
          </w:rPr>
        </w:r>
        <w:r>
          <w:rPr>
            <w:noProof/>
            <w:webHidden/>
          </w:rPr>
          <w:fldChar w:fldCharType="separate"/>
        </w:r>
        <w:r>
          <w:rPr>
            <w:noProof/>
            <w:webHidden/>
          </w:rPr>
          <w:t>87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18" w:history="1">
        <w:r>
          <w:rPr>
            <w:rStyle w:val="Hypertextovprepojenie"/>
            <w:rFonts w:ascii="Arial" w:hAnsi="Arial" w:cs="Arial"/>
            <w:noProof/>
          </w:rPr>
          <w:t>2.2.1.5.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_Toc387153918 \h </w:instrText>
        </w:r>
        <w:r>
          <w:rPr>
            <w:noProof/>
            <w:webHidden/>
          </w:rPr>
        </w:r>
        <w:r>
          <w:rPr>
            <w:noProof/>
            <w:webHidden/>
          </w:rPr>
          <w:fldChar w:fldCharType="separate"/>
        </w:r>
        <w:r>
          <w:rPr>
            <w:noProof/>
            <w:webHidden/>
          </w:rPr>
          <w:t>87</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19" w:history="1">
        <w:r>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Pr>
            <w:noProof/>
            <w:webHidden/>
          </w:rPr>
          <w:tab/>
        </w:r>
        <w:r>
          <w:rPr>
            <w:noProof/>
            <w:webHidden/>
          </w:rPr>
          <w:fldChar w:fldCharType="begin"/>
        </w:r>
        <w:r>
          <w:rPr>
            <w:noProof/>
            <w:webHidden/>
          </w:rPr>
          <w:instrText xml:space="preserve"> PAGEREF _Toc387153919 \h </w:instrText>
        </w:r>
        <w:r>
          <w:rPr>
            <w:noProof/>
            <w:webHidden/>
          </w:rPr>
        </w:r>
        <w:r>
          <w:rPr>
            <w:noProof/>
            <w:webHidden/>
          </w:rPr>
          <w:fldChar w:fldCharType="separate"/>
        </w:r>
        <w:r>
          <w:rPr>
            <w:noProof/>
            <w:webHidden/>
          </w:rPr>
          <w:t>89</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20"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_Toc387153920 \h </w:instrText>
        </w:r>
        <w:r>
          <w:rPr>
            <w:noProof/>
            <w:webHidden/>
          </w:rPr>
        </w:r>
        <w:r>
          <w:rPr>
            <w:noProof/>
            <w:webHidden/>
          </w:rPr>
          <w:fldChar w:fldCharType="separate"/>
        </w:r>
        <w:r>
          <w:rPr>
            <w:noProof/>
            <w:webHidden/>
          </w:rPr>
          <w:t>92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21" w:history="1">
        <w:r>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_Toc387153921 \h </w:instrText>
        </w:r>
        <w:r>
          <w:rPr>
            <w:noProof/>
            <w:webHidden/>
          </w:rPr>
        </w:r>
        <w:r>
          <w:rPr>
            <w:noProof/>
            <w:webHidden/>
          </w:rPr>
          <w:fldChar w:fldCharType="separate"/>
        </w:r>
        <w:r>
          <w:rPr>
            <w:noProof/>
            <w:webHidden/>
          </w:rPr>
          <w:t>92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22" w:history="1">
        <w:r>
          <w:rPr>
            <w:rStyle w:val="Hypertextovprepojenie"/>
            <w:rFonts w:ascii="Arial" w:hAnsi="Arial" w:cs="Arial"/>
            <w:noProof/>
          </w:rPr>
          <w:t>2.2.2.2.Hlavné zásady výberu operácií</w:t>
        </w:r>
        <w:r>
          <w:rPr>
            <w:noProof/>
            <w:webHidden/>
          </w:rPr>
          <w:tab/>
        </w:r>
        <w:r>
          <w:rPr>
            <w:noProof/>
            <w:webHidden/>
          </w:rPr>
          <w:fldChar w:fldCharType="begin"/>
        </w:r>
        <w:r>
          <w:rPr>
            <w:noProof/>
            <w:webHidden/>
          </w:rPr>
          <w:instrText xml:space="preserve"> PAGEREF _Toc387153922 \h </w:instrText>
        </w:r>
        <w:r>
          <w:rPr>
            <w:noProof/>
            <w:webHidden/>
          </w:rPr>
        </w:r>
        <w:r>
          <w:rPr>
            <w:noProof/>
            <w:webHidden/>
          </w:rPr>
          <w:fldChar w:fldCharType="separate"/>
        </w:r>
        <w:r>
          <w:rPr>
            <w:noProof/>
            <w:webHidden/>
          </w:rPr>
          <w:t>95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23" w:history="1">
        <w:r>
          <w:rPr>
            <w:rStyle w:val="Hypertextovprepojenie"/>
            <w:rFonts w:ascii="Arial" w:hAnsi="Arial" w:cs="Arial"/>
            <w:noProof/>
          </w:rPr>
          <w:t>2.2.2.3. Plánované využitie finančných nástrojov</w:t>
        </w:r>
        <w:r>
          <w:rPr>
            <w:noProof/>
            <w:webHidden/>
          </w:rPr>
          <w:tab/>
        </w:r>
        <w:r>
          <w:rPr>
            <w:noProof/>
            <w:webHidden/>
          </w:rPr>
          <w:fldChar w:fldCharType="begin"/>
        </w:r>
        <w:r>
          <w:rPr>
            <w:noProof/>
            <w:webHidden/>
          </w:rPr>
          <w:instrText xml:space="preserve"> PAGEREF _Toc387153923 \h </w:instrText>
        </w:r>
        <w:r>
          <w:rPr>
            <w:noProof/>
            <w:webHidden/>
          </w:rPr>
        </w:r>
        <w:r>
          <w:rPr>
            <w:noProof/>
            <w:webHidden/>
          </w:rPr>
          <w:fldChar w:fldCharType="separate"/>
        </w:r>
        <w:r>
          <w:rPr>
            <w:noProof/>
            <w:webHidden/>
          </w:rPr>
          <w:t>98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24" w:history="1">
        <w:r>
          <w:rPr>
            <w:rStyle w:val="Hypertextovprepojenie"/>
            <w:rFonts w:ascii="Arial" w:hAnsi="Arial" w:cs="Arial"/>
            <w:noProof/>
          </w:rPr>
          <w:t>2.2.2.4.Plánované využitie veľkých projektov</w:t>
        </w:r>
        <w:r>
          <w:rPr>
            <w:noProof/>
            <w:webHidden/>
          </w:rPr>
          <w:tab/>
        </w:r>
        <w:r>
          <w:rPr>
            <w:noProof/>
            <w:webHidden/>
          </w:rPr>
          <w:fldChar w:fldCharType="begin"/>
        </w:r>
        <w:r>
          <w:rPr>
            <w:noProof/>
            <w:webHidden/>
          </w:rPr>
          <w:instrText xml:space="preserve"> PAGEREF _Toc387153924 \h </w:instrText>
        </w:r>
        <w:r>
          <w:rPr>
            <w:noProof/>
            <w:webHidden/>
          </w:rPr>
        </w:r>
        <w:r>
          <w:rPr>
            <w:noProof/>
            <w:webHidden/>
          </w:rPr>
          <w:fldChar w:fldCharType="separate"/>
        </w:r>
        <w:r>
          <w:rPr>
            <w:noProof/>
            <w:webHidden/>
          </w:rPr>
          <w:t>98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25" w:history="1">
        <w:r>
          <w:rPr>
            <w:rStyle w:val="Hypertextovprepojenie"/>
            <w:rFonts w:ascii="Arial" w:hAnsi="Arial" w:cs="Arial"/>
            <w:noProof/>
          </w:rPr>
          <w:t>2.2.2.5.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_Toc387153925 \h </w:instrText>
        </w:r>
        <w:r>
          <w:rPr>
            <w:noProof/>
            <w:webHidden/>
          </w:rPr>
        </w:r>
        <w:r>
          <w:rPr>
            <w:noProof/>
            <w:webHidden/>
          </w:rPr>
          <w:fldChar w:fldCharType="separate"/>
        </w:r>
        <w:r>
          <w:rPr>
            <w:noProof/>
            <w:webHidden/>
          </w:rPr>
          <w:t>98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26"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_Toc387153926 \h </w:instrText>
        </w:r>
        <w:r>
          <w:rPr>
            <w:noProof/>
            <w:webHidden/>
          </w:rPr>
        </w:r>
        <w:r>
          <w:rPr>
            <w:noProof/>
            <w:webHidden/>
          </w:rPr>
          <w:fldChar w:fldCharType="separate"/>
        </w:r>
        <w:r>
          <w:rPr>
            <w:noProof/>
            <w:webHidden/>
          </w:rPr>
          <w:t>100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27"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_Toc387153927 \h </w:instrText>
        </w:r>
        <w:r>
          <w:rPr>
            <w:noProof/>
            <w:webHidden/>
          </w:rPr>
        </w:r>
        <w:r>
          <w:rPr>
            <w:noProof/>
            <w:webHidden/>
          </w:rPr>
          <w:fldChar w:fldCharType="separate"/>
        </w:r>
        <w:r>
          <w:rPr>
            <w:noProof/>
            <w:webHidden/>
          </w:rPr>
          <w:t>101</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28"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_Toc387153928 \h </w:instrText>
        </w:r>
        <w:r>
          <w:rPr>
            <w:noProof/>
            <w:webHidden/>
          </w:rPr>
        </w:r>
        <w:r>
          <w:rPr>
            <w:noProof/>
            <w:webHidden/>
          </w:rPr>
          <w:fldChar w:fldCharType="separate"/>
        </w:r>
        <w:r>
          <w:rPr>
            <w:noProof/>
            <w:webHidden/>
          </w:rPr>
          <w:t>102</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29" w:history="1">
        <w:r>
          <w:rPr>
            <w:rStyle w:val="Hypertextovprepojenie"/>
            <w:rFonts w:ascii="Arial" w:hAnsi="Arial" w:cs="Arial"/>
            <w:noProof/>
          </w:rPr>
          <w:t>2.3. Prioritná os č. 3: Mobilizácia kreatívneho potenciálu v regiónoch</w:t>
        </w:r>
        <w:r>
          <w:rPr>
            <w:noProof/>
            <w:webHidden/>
          </w:rPr>
          <w:tab/>
        </w:r>
        <w:r>
          <w:rPr>
            <w:noProof/>
            <w:webHidden/>
          </w:rPr>
          <w:fldChar w:fldCharType="begin"/>
        </w:r>
        <w:r>
          <w:rPr>
            <w:noProof/>
            <w:webHidden/>
          </w:rPr>
          <w:instrText xml:space="preserve"> PAGEREF _Toc387153929 \h </w:instrText>
        </w:r>
        <w:r>
          <w:rPr>
            <w:noProof/>
            <w:webHidden/>
          </w:rPr>
        </w:r>
        <w:r>
          <w:rPr>
            <w:noProof/>
            <w:webHidden/>
          </w:rPr>
          <w:fldChar w:fldCharType="separate"/>
        </w:r>
        <w:r>
          <w:rPr>
            <w:noProof/>
            <w:webHidden/>
          </w:rPr>
          <w:t>103</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30" w:history="1">
        <w:r>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noProof/>
            <w:webHidden/>
          </w:rPr>
          <w:tab/>
        </w:r>
        <w:r>
          <w:rPr>
            <w:noProof/>
            <w:webHidden/>
          </w:rPr>
          <w:fldChar w:fldCharType="begin"/>
        </w:r>
        <w:r>
          <w:rPr>
            <w:noProof/>
            <w:webHidden/>
          </w:rPr>
          <w:instrText xml:space="preserve"> PAGEREF _Toc387153930 \h </w:instrText>
        </w:r>
        <w:r>
          <w:rPr>
            <w:noProof/>
            <w:webHidden/>
          </w:rPr>
        </w:r>
        <w:r>
          <w:rPr>
            <w:noProof/>
            <w:webHidden/>
          </w:rPr>
          <w:fldChar w:fldCharType="separate"/>
        </w:r>
        <w:r>
          <w:rPr>
            <w:noProof/>
            <w:webHidden/>
          </w:rPr>
          <w:t>103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31"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_Toc387153931 \h </w:instrText>
        </w:r>
        <w:r>
          <w:rPr>
            <w:noProof/>
            <w:webHidden/>
          </w:rPr>
        </w:r>
        <w:r>
          <w:rPr>
            <w:noProof/>
            <w:webHidden/>
          </w:rPr>
          <w:fldChar w:fldCharType="separate"/>
        </w:r>
        <w:r>
          <w:rPr>
            <w:noProof/>
            <w:webHidden/>
          </w:rPr>
          <w:t>105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32" w:history="1">
        <w:r>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_Toc387153932 \h </w:instrText>
        </w:r>
        <w:r>
          <w:rPr>
            <w:noProof/>
            <w:webHidden/>
          </w:rPr>
        </w:r>
        <w:r>
          <w:rPr>
            <w:noProof/>
            <w:webHidden/>
          </w:rPr>
          <w:fldChar w:fldCharType="separate"/>
        </w:r>
        <w:r>
          <w:rPr>
            <w:noProof/>
            <w:webHidden/>
          </w:rPr>
          <w:t>105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33" w:history="1">
        <w:r>
          <w:rPr>
            <w:rStyle w:val="Hypertextovprepojenie"/>
            <w:rFonts w:ascii="Arial" w:hAnsi="Arial" w:cs="Arial"/>
            <w:noProof/>
          </w:rPr>
          <w:t>2.3.1.2. Hlavné zásady výberu operácií</w:t>
        </w:r>
        <w:r>
          <w:rPr>
            <w:noProof/>
            <w:webHidden/>
          </w:rPr>
          <w:tab/>
        </w:r>
        <w:r>
          <w:rPr>
            <w:noProof/>
            <w:webHidden/>
          </w:rPr>
          <w:fldChar w:fldCharType="begin"/>
        </w:r>
        <w:r>
          <w:rPr>
            <w:noProof/>
            <w:webHidden/>
          </w:rPr>
          <w:instrText xml:space="preserve"> PAGEREF _Toc387153933 \h </w:instrText>
        </w:r>
        <w:r>
          <w:rPr>
            <w:noProof/>
            <w:webHidden/>
          </w:rPr>
        </w:r>
        <w:r>
          <w:rPr>
            <w:noProof/>
            <w:webHidden/>
          </w:rPr>
          <w:fldChar w:fldCharType="separate"/>
        </w:r>
        <w:r>
          <w:rPr>
            <w:noProof/>
            <w:webHidden/>
          </w:rPr>
          <w:t>107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34" w:history="1">
        <w:r>
          <w:rPr>
            <w:rStyle w:val="Hypertextovprepojenie"/>
            <w:rFonts w:ascii="Arial" w:hAnsi="Arial" w:cs="Arial"/>
            <w:noProof/>
          </w:rPr>
          <w:t>2.3.2.3. Plánované využitie finančných nástrojov</w:t>
        </w:r>
        <w:r>
          <w:rPr>
            <w:noProof/>
            <w:webHidden/>
          </w:rPr>
          <w:tab/>
        </w:r>
        <w:r>
          <w:rPr>
            <w:noProof/>
            <w:webHidden/>
          </w:rPr>
          <w:fldChar w:fldCharType="begin"/>
        </w:r>
        <w:r>
          <w:rPr>
            <w:noProof/>
            <w:webHidden/>
          </w:rPr>
          <w:instrText xml:space="preserve"> PAGEREF _Toc387153934 \h </w:instrText>
        </w:r>
        <w:r>
          <w:rPr>
            <w:noProof/>
            <w:webHidden/>
          </w:rPr>
        </w:r>
        <w:r>
          <w:rPr>
            <w:noProof/>
            <w:webHidden/>
          </w:rPr>
          <w:fldChar w:fldCharType="separate"/>
        </w:r>
        <w:r>
          <w:rPr>
            <w:noProof/>
            <w:webHidden/>
          </w:rPr>
          <w:t>108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35" w:history="1">
        <w:r>
          <w:rPr>
            <w:rStyle w:val="Hypertextovprepojenie"/>
            <w:rFonts w:ascii="Arial" w:hAnsi="Arial" w:cs="Arial"/>
            <w:noProof/>
          </w:rPr>
          <w:t>2.3.2.4. Plánované využitie veľkých projektov</w:t>
        </w:r>
        <w:r>
          <w:rPr>
            <w:noProof/>
            <w:webHidden/>
          </w:rPr>
          <w:tab/>
        </w:r>
        <w:r>
          <w:rPr>
            <w:noProof/>
            <w:webHidden/>
          </w:rPr>
          <w:fldChar w:fldCharType="begin"/>
        </w:r>
        <w:r>
          <w:rPr>
            <w:noProof/>
            <w:webHidden/>
          </w:rPr>
          <w:instrText xml:space="preserve"> PAGEREF _Toc387153935 \h </w:instrText>
        </w:r>
        <w:r>
          <w:rPr>
            <w:noProof/>
            <w:webHidden/>
          </w:rPr>
        </w:r>
        <w:r>
          <w:rPr>
            <w:noProof/>
            <w:webHidden/>
          </w:rPr>
          <w:fldChar w:fldCharType="separate"/>
        </w:r>
        <w:r>
          <w:rPr>
            <w:noProof/>
            <w:webHidden/>
          </w:rPr>
          <w:t>109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36" w:history="1">
        <w:r>
          <w:rPr>
            <w:rStyle w:val="Hypertextovprepojenie"/>
            <w:rFonts w:ascii="Arial" w:hAnsi="Arial" w:cs="Arial"/>
            <w:noProof/>
          </w:rPr>
          <w:t>2.3.2.5. Ukazovatele výstupu podľa investičnej priority a ak je to vhodné, podľa kategórie regiónu</w:t>
        </w:r>
        <w:r>
          <w:rPr>
            <w:noProof/>
            <w:webHidden/>
          </w:rPr>
          <w:tab/>
        </w:r>
        <w:r>
          <w:rPr>
            <w:noProof/>
            <w:webHidden/>
          </w:rPr>
          <w:fldChar w:fldCharType="begin"/>
        </w:r>
        <w:r>
          <w:rPr>
            <w:noProof/>
            <w:webHidden/>
          </w:rPr>
          <w:instrText xml:space="preserve"> PAGEREF _Toc387153936 \h </w:instrText>
        </w:r>
        <w:r>
          <w:rPr>
            <w:noProof/>
            <w:webHidden/>
          </w:rPr>
        </w:r>
        <w:r>
          <w:rPr>
            <w:noProof/>
            <w:webHidden/>
          </w:rPr>
          <w:fldChar w:fldCharType="separate"/>
        </w:r>
        <w:r>
          <w:rPr>
            <w:noProof/>
            <w:webHidden/>
          </w:rPr>
          <w:t>109</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37"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_Toc387153937 \h </w:instrText>
        </w:r>
        <w:r>
          <w:rPr>
            <w:noProof/>
            <w:webHidden/>
          </w:rPr>
        </w:r>
        <w:r>
          <w:rPr>
            <w:noProof/>
            <w:webHidden/>
          </w:rPr>
          <w:fldChar w:fldCharType="separate"/>
        </w:r>
        <w:r>
          <w:rPr>
            <w:noProof/>
            <w:webHidden/>
          </w:rPr>
          <w:t>110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38"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_Toc387153938 \h </w:instrText>
        </w:r>
        <w:r>
          <w:rPr>
            <w:noProof/>
            <w:webHidden/>
          </w:rPr>
        </w:r>
        <w:r>
          <w:rPr>
            <w:noProof/>
            <w:webHidden/>
          </w:rPr>
          <w:fldChar w:fldCharType="separate"/>
        </w:r>
        <w:r>
          <w:rPr>
            <w:noProof/>
            <w:webHidden/>
          </w:rPr>
          <w:t>110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39"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_Toc387153939 \h </w:instrText>
        </w:r>
        <w:r>
          <w:rPr>
            <w:noProof/>
            <w:webHidden/>
          </w:rPr>
        </w:r>
        <w:r>
          <w:rPr>
            <w:noProof/>
            <w:webHidden/>
          </w:rPr>
          <w:fldChar w:fldCharType="separate"/>
        </w:r>
        <w:r>
          <w:rPr>
            <w:noProof/>
            <w:webHidden/>
          </w:rPr>
          <w:t>111</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40" w:history="1">
        <w:r>
          <w:rPr>
            <w:rStyle w:val="Hypertextovprepojenie"/>
            <w:rFonts w:ascii="Arial" w:hAnsi="Arial" w:cs="Arial"/>
            <w:noProof/>
          </w:rPr>
          <w:t>2.4. Prioritná os č. 4: Zlepšenie kvality života v regiónoch s dôrazom na životné prostredie.</w:t>
        </w:r>
        <w:r>
          <w:rPr>
            <w:noProof/>
            <w:webHidden/>
          </w:rPr>
          <w:tab/>
        </w:r>
        <w:r>
          <w:rPr>
            <w:noProof/>
            <w:webHidden/>
          </w:rPr>
          <w:fldChar w:fldCharType="begin"/>
        </w:r>
        <w:r>
          <w:rPr>
            <w:noProof/>
            <w:webHidden/>
          </w:rPr>
          <w:instrText xml:space="preserve"> PAGEREF _Toc387153940 \h </w:instrText>
        </w:r>
        <w:r>
          <w:rPr>
            <w:noProof/>
            <w:webHidden/>
          </w:rPr>
        </w:r>
        <w:r>
          <w:rPr>
            <w:noProof/>
            <w:webHidden/>
          </w:rPr>
          <w:fldChar w:fldCharType="separate"/>
        </w:r>
        <w:r>
          <w:rPr>
            <w:noProof/>
            <w:webHidden/>
          </w:rPr>
          <w:t>112</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41" w:history="1">
        <w:r>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Pr>
            <w:noProof/>
            <w:webHidden/>
          </w:rPr>
          <w:tab/>
        </w:r>
        <w:r>
          <w:rPr>
            <w:noProof/>
            <w:webHidden/>
          </w:rPr>
          <w:fldChar w:fldCharType="begin"/>
        </w:r>
        <w:r>
          <w:rPr>
            <w:noProof/>
            <w:webHidden/>
          </w:rPr>
          <w:instrText xml:space="preserve"> PAGEREF _Toc387153941 \h </w:instrText>
        </w:r>
        <w:r>
          <w:rPr>
            <w:noProof/>
            <w:webHidden/>
          </w:rPr>
        </w:r>
        <w:r>
          <w:rPr>
            <w:noProof/>
            <w:webHidden/>
          </w:rPr>
          <w:fldChar w:fldCharType="separate"/>
        </w:r>
        <w:r>
          <w:rPr>
            <w:noProof/>
            <w:webHidden/>
          </w:rPr>
          <w:t>113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42"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_Toc387153942 \h </w:instrText>
        </w:r>
        <w:r>
          <w:rPr>
            <w:noProof/>
            <w:webHidden/>
          </w:rPr>
        </w:r>
        <w:r>
          <w:rPr>
            <w:noProof/>
            <w:webHidden/>
          </w:rPr>
          <w:fldChar w:fldCharType="separate"/>
        </w:r>
        <w:r>
          <w:rPr>
            <w:noProof/>
            <w:webHidden/>
          </w:rPr>
          <w:t>113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43" w:history="1">
        <w:r>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_Toc387153943 \h </w:instrText>
        </w:r>
        <w:r>
          <w:rPr>
            <w:noProof/>
            <w:webHidden/>
          </w:rPr>
        </w:r>
        <w:r>
          <w:rPr>
            <w:noProof/>
            <w:webHidden/>
          </w:rPr>
          <w:fldChar w:fldCharType="separate"/>
        </w:r>
        <w:r>
          <w:rPr>
            <w:noProof/>
            <w:webHidden/>
          </w:rPr>
          <w:t>113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44" w:history="1">
        <w:r>
          <w:rPr>
            <w:rStyle w:val="Hypertextovprepojenie"/>
            <w:rFonts w:ascii="Arial" w:hAnsi="Arial" w:cs="Arial"/>
            <w:noProof/>
          </w:rPr>
          <w:t>2.4.1.2. Hlavné zásady výberu operácií</w:t>
        </w:r>
        <w:r>
          <w:rPr>
            <w:noProof/>
            <w:webHidden/>
          </w:rPr>
          <w:tab/>
        </w:r>
        <w:r>
          <w:rPr>
            <w:noProof/>
            <w:webHidden/>
          </w:rPr>
          <w:fldChar w:fldCharType="begin"/>
        </w:r>
        <w:r>
          <w:rPr>
            <w:noProof/>
            <w:webHidden/>
          </w:rPr>
          <w:instrText xml:space="preserve"> PAGEREF _Toc387153944 \h </w:instrText>
        </w:r>
        <w:r>
          <w:rPr>
            <w:noProof/>
            <w:webHidden/>
          </w:rPr>
        </w:r>
        <w:r>
          <w:rPr>
            <w:noProof/>
            <w:webHidden/>
          </w:rPr>
          <w:fldChar w:fldCharType="separate"/>
        </w:r>
        <w:r>
          <w:rPr>
            <w:noProof/>
            <w:webHidden/>
          </w:rPr>
          <w:t>114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45" w:history="1">
        <w:r>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_Toc387153945 \h </w:instrText>
        </w:r>
        <w:r>
          <w:rPr>
            <w:noProof/>
            <w:webHidden/>
          </w:rPr>
        </w:r>
        <w:r>
          <w:rPr>
            <w:noProof/>
            <w:webHidden/>
          </w:rPr>
          <w:fldChar w:fldCharType="separate"/>
        </w:r>
        <w:r>
          <w:rPr>
            <w:noProof/>
            <w:webHidden/>
          </w:rPr>
          <w:t>115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46" w:history="1">
        <w:r>
          <w:rPr>
            <w:rStyle w:val="Hypertextovprepojenie"/>
            <w:rFonts w:ascii="Arial" w:hAnsi="Arial" w:cs="Arial"/>
            <w:noProof/>
          </w:rPr>
          <w:t>2.4.1.4. Plánované využitie veľkých projektov</w:t>
        </w:r>
        <w:r>
          <w:rPr>
            <w:noProof/>
            <w:webHidden/>
          </w:rPr>
          <w:tab/>
        </w:r>
        <w:r>
          <w:rPr>
            <w:noProof/>
            <w:webHidden/>
          </w:rPr>
          <w:fldChar w:fldCharType="begin"/>
        </w:r>
        <w:r>
          <w:rPr>
            <w:noProof/>
            <w:webHidden/>
          </w:rPr>
          <w:instrText xml:space="preserve"> PAGEREF _Toc387153946 \h </w:instrText>
        </w:r>
        <w:r>
          <w:rPr>
            <w:noProof/>
            <w:webHidden/>
          </w:rPr>
        </w:r>
        <w:r>
          <w:rPr>
            <w:noProof/>
            <w:webHidden/>
          </w:rPr>
          <w:fldChar w:fldCharType="separate"/>
        </w:r>
        <w:r>
          <w:rPr>
            <w:noProof/>
            <w:webHidden/>
          </w:rPr>
          <w:t>115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47" w:history="1">
        <w:r>
          <w:rPr>
            <w:rStyle w:val="Hypertextovprepojenie"/>
            <w:rFonts w:ascii="Arial" w:hAnsi="Arial" w:cs="Arial"/>
            <w:noProof/>
          </w:rPr>
          <w:t>2.4.1.5.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_Toc387153947 \h </w:instrText>
        </w:r>
        <w:r>
          <w:rPr>
            <w:noProof/>
            <w:webHidden/>
          </w:rPr>
        </w:r>
        <w:r>
          <w:rPr>
            <w:noProof/>
            <w:webHidden/>
          </w:rPr>
          <w:fldChar w:fldCharType="separate"/>
        </w:r>
        <w:r>
          <w:rPr>
            <w:noProof/>
            <w:webHidden/>
          </w:rPr>
          <w:t>115</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48" w:history="1">
        <w:r>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Pr>
            <w:noProof/>
            <w:webHidden/>
          </w:rPr>
          <w:tab/>
        </w:r>
        <w:r>
          <w:rPr>
            <w:noProof/>
            <w:webHidden/>
          </w:rPr>
          <w:fldChar w:fldCharType="begin"/>
        </w:r>
        <w:r>
          <w:rPr>
            <w:noProof/>
            <w:webHidden/>
          </w:rPr>
          <w:instrText xml:space="preserve"> PAGEREF _Toc387153948 \h </w:instrText>
        </w:r>
        <w:r>
          <w:rPr>
            <w:noProof/>
            <w:webHidden/>
          </w:rPr>
        </w:r>
        <w:r>
          <w:rPr>
            <w:noProof/>
            <w:webHidden/>
          </w:rPr>
          <w:fldChar w:fldCharType="separate"/>
        </w:r>
        <w:r>
          <w:rPr>
            <w:noProof/>
            <w:webHidden/>
          </w:rPr>
          <w:t>116</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49"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_Toc387153949 \h </w:instrText>
        </w:r>
        <w:r>
          <w:rPr>
            <w:noProof/>
            <w:webHidden/>
          </w:rPr>
        </w:r>
        <w:r>
          <w:rPr>
            <w:noProof/>
            <w:webHidden/>
          </w:rPr>
          <w:fldChar w:fldCharType="separate"/>
        </w:r>
        <w:r>
          <w:rPr>
            <w:noProof/>
            <w:webHidden/>
          </w:rPr>
          <w:t>118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0" w:history="1">
        <w:r>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_Toc387153950 \h </w:instrText>
        </w:r>
        <w:r>
          <w:rPr>
            <w:noProof/>
            <w:webHidden/>
          </w:rPr>
        </w:r>
        <w:r>
          <w:rPr>
            <w:noProof/>
            <w:webHidden/>
          </w:rPr>
          <w:fldChar w:fldCharType="separate"/>
        </w:r>
        <w:r>
          <w:rPr>
            <w:noProof/>
            <w:webHidden/>
          </w:rPr>
          <w:t>118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1" w:history="1">
        <w:r>
          <w:rPr>
            <w:rStyle w:val="Hypertextovprepojenie"/>
            <w:rFonts w:ascii="Arial" w:hAnsi="Arial" w:cs="Arial"/>
            <w:noProof/>
          </w:rPr>
          <w:t>2.4.2.2. Hlavné zásady výberu operácií</w:t>
        </w:r>
        <w:r>
          <w:rPr>
            <w:noProof/>
            <w:webHidden/>
          </w:rPr>
          <w:tab/>
        </w:r>
        <w:r>
          <w:rPr>
            <w:noProof/>
            <w:webHidden/>
          </w:rPr>
          <w:fldChar w:fldCharType="begin"/>
        </w:r>
        <w:r>
          <w:rPr>
            <w:noProof/>
            <w:webHidden/>
          </w:rPr>
          <w:instrText xml:space="preserve"> PAGEREF _Toc387153951 \h </w:instrText>
        </w:r>
        <w:r>
          <w:rPr>
            <w:noProof/>
            <w:webHidden/>
          </w:rPr>
        </w:r>
        <w:r>
          <w:rPr>
            <w:noProof/>
            <w:webHidden/>
          </w:rPr>
          <w:fldChar w:fldCharType="separate"/>
        </w:r>
        <w:r>
          <w:rPr>
            <w:noProof/>
            <w:webHidden/>
          </w:rPr>
          <w:t>119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2" w:history="1">
        <w:r>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_Toc387153952 \h </w:instrText>
        </w:r>
        <w:r>
          <w:rPr>
            <w:noProof/>
            <w:webHidden/>
          </w:rPr>
        </w:r>
        <w:r>
          <w:rPr>
            <w:noProof/>
            <w:webHidden/>
          </w:rPr>
          <w:fldChar w:fldCharType="separate"/>
        </w:r>
        <w:r>
          <w:rPr>
            <w:noProof/>
            <w:webHidden/>
          </w:rPr>
          <w:t>119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3" w:history="1">
        <w:r>
          <w:rPr>
            <w:rStyle w:val="Hypertextovprepojenie"/>
            <w:rFonts w:ascii="Arial" w:hAnsi="Arial" w:cs="Arial"/>
            <w:noProof/>
          </w:rPr>
          <w:t>2.4.2.4. Plánované využitie veľkých projektov</w:t>
        </w:r>
        <w:r>
          <w:rPr>
            <w:noProof/>
            <w:webHidden/>
          </w:rPr>
          <w:tab/>
        </w:r>
        <w:r>
          <w:rPr>
            <w:noProof/>
            <w:webHidden/>
          </w:rPr>
          <w:fldChar w:fldCharType="begin"/>
        </w:r>
        <w:r>
          <w:rPr>
            <w:noProof/>
            <w:webHidden/>
          </w:rPr>
          <w:instrText xml:space="preserve"> PAGEREF _Toc387153953 \h </w:instrText>
        </w:r>
        <w:r>
          <w:rPr>
            <w:noProof/>
            <w:webHidden/>
          </w:rPr>
        </w:r>
        <w:r>
          <w:rPr>
            <w:noProof/>
            <w:webHidden/>
          </w:rPr>
          <w:fldChar w:fldCharType="separate"/>
        </w:r>
        <w:r>
          <w:rPr>
            <w:noProof/>
            <w:webHidden/>
          </w:rPr>
          <w:t>120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4" w:history="1">
        <w:r>
          <w:rPr>
            <w:rStyle w:val="Hypertextovprepojenie"/>
            <w:rFonts w:ascii="Arial" w:hAnsi="Arial" w:cs="Arial"/>
            <w:noProof/>
          </w:rPr>
          <w:t>2.4.2.5.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_Toc387153954 \h </w:instrText>
        </w:r>
        <w:r>
          <w:rPr>
            <w:noProof/>
            <w:webHidden/>
          </w:rPr>
        </w:r>
        <w:r>
          <w:rPr>
            <w:noProof/>
            <w:webHidden/>
          </w:rPr>
          <w:fldChar w:fldCharType="separate"/>
        </w:r>
        <w:r>
          <w:rPr>
            <w:noProof/>
            <w:webHidden/>
          </w:rPr>
          <w:t>120</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55" w:history="1">
        <w:r>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Pr>
            <w:noProof/>
            <w:webHidden/>
          </w:rPr>
          <w:tab/>
        </w:r>
        <w:r>
          <w:rPr>
            <w:noProof/>
            <w:webHidden/>
          </w:rPr>
          <w:fldChar w:fldCharType="begin"/>
        </w:r>
        <w:r>
          <w:rPr>
            <w:noProof/>
            <w:webHidden/>
          </w:rPr>
          <w:instrText xml:space="preserve"> PAGEREF _Toc387153955 \h </w:instrText>
        </w:r>
        <w:r>
          <w:rPr>
            <w:noProof/>
            <w:webHidden/>
          </w:rPr>
        </w:r>
        <w:r>
          <w:rPr>
            <w:noProof/>
            <w:webHidden/>
          </w:rPr>
          <w:fldChar w:fldCharType="separate"/>
        </w:r>
        <w:r>
          <w:rPr>
            <w:noProof/>
            <w:webHidden/>
          </w:rPr>
          <w:t>121</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56"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_Toc387153956 \h </w:instrText>
        </w:r>
        <w:r>
          <w:rPr>
            <w:noProof/>
            <w:webHidden/>
          </w:rPr>
        </w:r>
        <w:r>
          <w:rPr>
            <w:noProof/>
            <w:webHidden/>
          </w:rPr>
          <w:fldChar w:fldCharType="separate"/>
        </w:r>
        <w:r>
          <w:rPr>
            <w:noProof/>
            <w:webHidden/>
          </w:rPr>
          <w:t>123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7" w:history="1">
        <w:r>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_Toc387153957 \h </w:instrText>
        </w:r>
        <w:r>
          <w:rPr>
            <w:noProof/>
            <w:webHidden/>
          </w:rPr>
        </w:r>
        <w:r>
          <w:rPr>
            <w:noProof/>
            <w:webHidden/>
          </w:rPr>
          <w:fldChar w:fldCharType="separate"/>
        </w:r>
        <w:r>
          <w:rPr>
            <w:noProof/>
            <w:webHidden/>
          </w:rPr>
          <w:t>123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8" w:history="1">
        <w:r>
          <w:rPr>
            <w:rStyle w:val="Hypertextovprepojenie"/>
            <w:rFonts w:ascii="Arial" w:hAnsi="Arial" w:cs="Arial"/>
            <w:noProof/>
          </w:rPr>
          <w:t>2.4.3.2. Hlavné zásady výberu operácií</w:t>
        </w:r>
        <w:r>
          <w:rPr>
            <w:noProof/>
            <w:webHidden/>
          </w:rPr>
          <w:tab/>
        </w:r>
        <w:r>
          <w:rPr>
            <w:noProof/>
            <w:webHidden/>
          </w:rPr>
          <w:fldChar w:fldCharType="begin"/>
        </w:r>
        <w:r>
          <w:rPr>
            <w:noProof/>
            <w:webHidden/>
          </w:rPr>
          <w:instrText xml:space="preserve"> PAGEREF _Toc387153958 \h </w:instrText>
        </w:r>
        <w:r>
          <w:rPr>
            <w:noProof/>
            <w:webHidden/>
          </w:rPr>
        </w:r>
        <w:r>
          <w:rPr>
            <w:noProof/>
            <w:webHidden/>
          </w:rPr>
          <w:fldChar w:fldCharType="separate"/>
        </w:r>
        <w:r>
          <w:rPr>
            <w:noProof/>
            <w:webHidden/>
          </w:rPr>
          <w:t>126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59" w:history="1">
        <w:r>
          <w:rPr>
            <w:rStyle w:val="Hypertextovprepojenie"/>
            <w:rFonts w:ascii="Arial" w:hAnsi="Arial" w:cs="Arial"/>
            <w:noProof/>
          </w:rPr>
          <w:t>2.4.3.3. Plánované využitie finančných nástrojov</w:t>
        </w:r>
        <w:r>
          <w:rPr>
            <w:noProof/>
            <w:webHidden/>
          </w:rPr>
          <w:tab/>
        </w:r>
        <w:r>
          <w:rPr>
            <w:noProof/>
            <w:webHidden/>
          </w:rPr>
          <w:fldChar w:fldCharType="begin"/>
        </w:r>
        <w:r>
          <w:rPr>
            <w:noProof/>
            <w:webHidden/>
          </w:rPr>
          <w:instrText xml:space="preserve"> PAGEREF _Toc387153959 \h </w:instrText>
        </w:r>
        <w:r>
          <w:rPr>
            <w:noProof/>
            <w:webHidden/>
          </w:rPr>
        </w:r>
        <w:r>
          <w:rPr>
            <w:noProof/>
            <w:webHidden/>
          </w:rPr>
          <w:fldChar w:fldCharType="separate"/>
        </w:r>
        <w:r>
          <w:rPr>
            <w:noProof/>
            <w:webHidden/>
          </w:rPr>
          <w:t>126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60" w:history="1">
        <w:r>
          <w:rPr>
            <w:rStyle w:val="Hypertextovprepojenie"/>
            <w:rFonts w:ascii="Arial" w:hAnsi="Arial" w:cs="Arial"/>
            <w:noProof/>
          </w:rPr>
          <w:t>2.4.3.4. Plánované využitie veľkých projektov</w:t>
        </w:r>
        <w:r>
          <w:rPr>
            <w:noProof/>
            <w:webHidden/>
          </w:rPr>
          <w:tab/>
        </w:r>
        <w:r>
          <w:rPr>
            <w:noProof/>
            <w:webHidden/>
          </w:rPr>
          <w:fldChar w:fldCharType="begin"/>
        </w:r>
        <w:r>
          <w:rPr>
            <w:noProof/>
            <w:webHidden/>
          </w:rPr>
          <w:instrText xml:space="preserve"> PAGEREF _Toc387153960 \h </w:instrText>
        </w:r>
        <w:r>
          <w:rPr>
            <w:noProof/>
            <w:webHidden/>
          </w:rPr>
        </w:r>
        <w:r>
          <w:rPr>
            <w:noProof/>
            <w:webHidden/>
          </w:rPr>
          <w:fldChar w:fldCharType="separate"/>
        </w:r>
        <w:r>
          <w:rPr>
            <w:noProof/>
            <w:webHidden/>
          </w:rPr>
          <w:t>127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61" w:history="1">
        <w:r>
          <w:rPr>
            <w:rStyle w:val="Hypertextovprepojenie"/>
            <w:rFonts w:ascii="Arial" w:hAnsi="Arial" w:cs="Arial"/>
            <w:noProof/>
          </w:rPr>
          <w:t>2.4.3.5.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_Toc387153961 \h </w:instrText>
        </w:r>
        <w:r>
          <w:rPr>
            <w:noProof/>
            <w:webHidden/>
          </w:rPr>
        </w:r>
        <w:r>
          <w:rPr>
            <w:noProof/>
            <w:webHidden/>
          </w:rPr>
          <w:fldChar w:fldCharType="separate"/>
        </w:r>
        <w:r>
          <w:rPr>
            <w:noProof/>
            <w:webHidden/>
          </w:rPr>
          <w:t>127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62"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_Toc387153962 \h </w:instrText>
        </w:r>
        <w:r>
          <w:rPr>
            <w:noProof/>
            <w:webHidden/>
          </w:rPr>
        </w:r>
        <w:r>
          <w:rPr>
            <w:noProof/>
            <w:webHidden/>
          </w:rPr>
          <w:fldChar w:fldCharType="separate"/>
        </w:r>
        <w:r>
          <w:rPr>
            <w:noProof/>
            <w:webHidden/>
          </w:rPr>
          <w:t>127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63"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_Toc387153963 \h </w:instrText>
        </w:r>
        <w:r>
          <w:rPr>
            <w:noProof/>
            <w:webHidden/>
          </w:rPr>
        </w:r>
        <w:r>
          <w:rPr>
            <w:noProof/>
            <w:webHidden/>
          </w:rPr>
          <w:fldChar w:fldCharType="separate"/>
        </w:r>
        <w:r>
          <w:rPr>
            <w:noProof/>
            <w:webHidden/>
          </w:rPr>
          <w:t>128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64"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_Toc387153964 \h </w:instrText>
        </w:r>
        <w:r>
          <w:rPr>
            <w:noProof/>
            <w:webHidden/>
          </w:rPr>
        </w:r>
        <w:r>
          <w:rPr>
            <w:noProof/>
            <w:webHidden/>
          </w:rPr>
          <w:fldChar w:fldCharType="separate"/>
        </w:r>
        <w:r>
          <w:rPr>
            <w:noProof/>
            <w:webHidden/>
          </w:rPr>
          <w:t>129</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65" w:history="1">
        <w:r>
          <w:rPr>
            <w:rStyle w:val="Hypertextovprepojenie"/>
            <w:rFonts w:ascii="Arial" w:hAnsi="Arial" w:cs="Arial"/>
            <w:noProof/>
          </w:rPr>
          <w:t>2.5. Prioritná os č. 5: Miestny rozvoj vedený komunitou</w:t>
        </w:r>
        <w:r>
          <w:rPr>
            <w:noProof/>
            <w:webHidden/>
          </w:rPr>
          <w:tab/>
        </w:r>
        <w:r>
          <w:rPr>
            <w:noProof/>
            <w:webHidden/>
          </w:rPr>
          <w:fldChar w:fldCharType="begin"/>
        </w:r>
        <w:r>
          <w:rPr>
            <w:noProof/>
            <w:webHidden/>
          </w:rPr>
          <w:instrText xml:space="preserve"> PAGEREF _Toc387153965 \h </w:instrText>
        </w:r>
        <w:r>
          <w:rPr>
            <w:noProof/>
            <w:webHidden/>
          </w:rPr>
        </w:r>
        <w:r>
          <w:rPr>
            <w:noProof/>
            <w:webHidden/>
          </w:rPr>
          <w:fldChar w:fldCharType="separate"/>
        </w:r>
        <w:r>
          <w:rPr>
            <w:noProof/>
            <w:webHidden/>
          </w:rPr>
          <w:t>130</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153966" w:history="1">
        <w:r>
          <w:rPr>
            <w:rStyle w:val="Hypertextovprepojenie"/>
            <w:rFonts w:ascii="Arial" w:hAnsi="Arial" w:cs="Arial"/>
            <w:noProof/>
          </w:rPr>
          <w:t>2.5.1. Investičná priorita č. 5.1: Záväzné investície v rámci stratégií miestneho rozvoja vedeného komunitou</w:t>
        </w:r>
        <w:r>
          <w:rPr>
            <w:noProof/>
            <w:webHidden/>
          </w:rPr>
          <w:tab/>
        </w:r>
        <w:r>
          <w:rPr>
            <w:noProof/>
            <w:webHidden/>
          </w:rPr>
          <w:fldChar w:fldCharType="begin"/>
        </w:r>
        <w:r>
          <w:rPr>
            <w:noProof/>
            <w:webHidden/>
          </w:rPr>
          <w:instrText xml:space="preserve"> PAGEREF _Toc387153966 \h </w:instrText>
        </w:r>
        <w:r>
          <w:rPr>
            <w:noProof/>
            <w:webHidden/>
          </w:rPr>
        </w:r>
        <w:r>
          <w:rPr>
            <w:noProof/>
            <w:webHidden/>
          </w:rPr>
          <w:fldChar w:fldCharType="separate"/>
        </w:r>
        <w:r>
          <w:rPr>
            <w:noProof/>
            <w:webHidden/>
          </w:rPr>
          <w:t>131</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67"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_Toc387153967 \h </w:instrText>
        </w:r>
        <w:r>
          <w:rPr>
            <w:noProof/>
            <w:webHidden/>
          </w:rPr>
        </w:r>
        <w:r>
          <w:rPr>
            <w:noProof/>
            <w:webHidden/>
          </w:rPr>
          <w:fldChar w:fldCharType="separate"/>
        </w:r>
        <w:r>
          <w:rPr>
            <w:noProof/>
            <w:webHidden/>
          </w:rPr>
          <w:t>133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68" w:history="1">
        <w:r>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_Toc387153968 \h </w:instrText>
        </w:r>
        <w:r>
          <w:rPr>
            <w:noProof/>
            <w:webHidden/>
          </w:rPr>
        </w:r>
        <w:r>
          <w:rPr>
            <w:noProof/>
            <w:webHidden/>
          </w:rPr>
          <w:fldChar w:fldCharType="separate"/>
        </w:r>
        <w:r>
          <w:rPr>
            <w:noProof/>
            <w:webHidden/>
          </w:rPr>
          <w:t>133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69" w:history="1">
        <w:r>
          <w:rPr>
            <w:rStyle w:val="Hypertextovprepojenie"/>
            <w:rFonts w:ascii="Arial" w:hAnsi="Arial" w:cs="Arial"/>
            <w:noProof/>
          </w:rPr>
          <w:t>2.5.1.2. Hlavné zásady výberu operácií</w:t>
        </w:r>
        <w:r>
          <w:rPr>
            <w:noProof/>
            <w:webHidden/>
          </w:rPr>
          <w:tab/>
        </w:r>
        <w:r>
          <w:rPr>
            <w:noProof/>
            <w:webHidden/>
          </w:rPr>
          <w:fldChar w:fldCharType="begin"/>
        </w:r>
        <w:r>
          <w:rPr>
            <w:noProof/>
            <w:webHidden/>
          </w:rPr>
          <w:instrText xml:space="preserve"> PAGEREF _Toc387153969 \h </w:instrText>
        </w:r>
        <w:r>
          <w:rPr>
            <w:noProof/>
            <w:webHidden/>
          </w:rPr>
        </w:r>
        <w:r>
          <w:rPr>
            <w:noProof/>
            <w:webHidden/>
          </w:rPr>
          <w:fldChar w:fldCharType="separate"/>
        </w:r>
        <w:r>
          <w:rPr>
            <w:noProof/>
            <w:webHidden/>
          </w:rPr>
          <w:t>136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70" w:history="1">
        <w:r>
          <w:rPr>
            <w:rStyle w:val="Hypertextovprepojenie"/>
            <w:rFonts w:ascii="Arial" w:hAnsi="Arial" w:cs="Arial"/>
            <w:noProof/>
          </w:rPr>
          <w:t>2.5.1.3. Plánované využitie finančných nástrojov</w:t>
        </w:r>
        <w:r>
          <w:rPr>
            <w:noProof/>
            <w:webHidden/>
          </w:rPr>
          <w:tab/>
        </w:r>
        <w:r>
          <w:rPr>
            <w:noProof/>
            <w:webHidden/>
          </w:rPr>
          <w:fldChar w:fldCharType="begin"/>
        </w:r>
        <w:r>
          <w:rPr>
            <w:noProof/>
            <w:webHidden/>
          </w:rPr>
          <w:instrText xml:space="preserve"> PAGEREF _Toc387153970 \h </w:instrText>
        </w:r>
        <w:r>
          <w:rPr>
            <w:noProof/>
            <w:webHidden/>
          </w:rPr>
        </w:r>
        <w:r>
          <w:rPr>
            <w:noProof/>
            <w:webHidden/>
          </w:rPr>
          <w:fldChar w:fldCharType="separate"/>
        </w:r>
        <w:r>
          <w:rPr>
            <w:noProof/>
            <w:webHidden/>
          </w:rPr>
          <w:t>137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71" w:history="1">
        <w:r>
          <w:rPr>
            <w:rStyle w:val="Hypertextovprepojenie"/>
            <w:rFonts w:ascii="Arial" w:hAnsi="Arial" w:cs="Arial"/>
            <w:noProof/>
          </w:rPr>
          <w:t>2.5.1.4. Plánované využitie veľkých projektov</w:t>
        </w:r>
        <w:r>
          <w:rPr>
            <w:noProof/>
            <w:webHidden/>
          </w:rPr>
          <w:tab/>
        </w:r>
        <w:r>
          <w:rPr>
            <w:noProof/>
            <w:webHidden/>
          </w:rPr>
          <w:fldChar w:fldCharType="begin"/>
        </w:r>
        <w:r>
          <w:rPr>
            <w:noProof/>
            <w:webHidden/>
          </w:rPr>
          <w:instrText xml:space="preserve"> PAGEREF _Toc387153971 \h </w:instrText>
        </w:r>
        <w:r>
          <w:rPr>
            <w:noProof/>
            <w:webHidden/>
          </w:rPr>
        </w:r>
        <w:r>
          <w:rPr>
            <w:noProof/>
            <w:webHidden/>
          </w:rPr>
          <w:fldChar w:fldCharType="separate"/>
        </w:r>
        <w:r>
          <w:rPr>
            <w:noProof/>
            <w:webHidden/>
          </w:rPr>
          <w:t>137</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72" w:history="1">
        <w:r>
          <w:rPr>
            <w:rStyle w:val="Hypertextovprepojenie"/>
            <w:rFonts w:ascii="Arial" w:hAnsi="Arial" w:cs="Arial"/>
            <w:noProof/>
          </w:rPr>
          <w:t>2.5.1.5.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_Toc387153972 \h </w:instrText>
        </w:r>
        <w:r>
          <w:rPr>
            <w:noProof/>
            <w:webHidden/>
          </w:rPr>
        </w:r>
        <w:r>
          <w:rPr>
            <w:noProof/>
            <w:webHidden/>
          </w:rPr>
          <w:fldChar w:fldCharType="separate"/>
        </w:r>
        <w:r>
          <w:rPr>
            <w:noProof/>
            <w:webHidden/>
          </w:rPr>
          <w:t>137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73"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_Toc387153973 \h </w:instrText>
        </w:r>
        <w:r>
          <w:rPr>
            <w:noProof/>
            <w:webHidden/>
          </w:rPr>
        </w:r>
        <w:r>
          <w:rPr>
            <w:noProof/>
            <w:webHidden/>
          </w:rPr>
          <w:fldChar w:fldCharType="separate"/>
        </w:r>
        <w:r>
          <w:rPr>
            <w:noProof/>
            <w:webHidden/>
          </w:rPr>
          <w:t>138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74"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_Toc387153974 \h </w:instrText>
        </w:r>
        <w:r>
          <w:rPr>
            <w:noProof/>
            <w:webHidden/>
          </w:rPr>
        </w:r>
        <w:r>
          <w:rPr>
            <w:noProof/>
            <w:webHidden/>
          </w:rPr>
          <w:fldChar w:fldCharType="separate"/>
        </w:r>
        <w:r>
          <w:rPr>
            <w:noProof/>
            <w:webHidden/>
          </w:rPr>
          <w:t>138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75"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_Toc387153975 \h </w:instrText>
        </w:r>
        <w:r>
          <w:rPr>
            <w:noProof/>
            <w:webHidden/>
          </w:rPr>
        </w:r>
        <w:r>
          <w:rPr>
            <w:noProof/>
            <w:webHidden/>
          </w:rPr>
          <w:fldChar w:fldCharType="separate"/>
        </w:r>
        <w:r>
          <w:rPr>
            <w:noProof/>
            <w:webHidden/>
          </w:rPr>
          <w:t>139</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76" w:history="1">
        <w:r>
          <w:rPr>
            <w:rStyle w:val="Hypertextovprepojenie"/>
            <w:rFonts w:ascii="Arial" w:hAnsi="Arial" w:cs="Arial"/>
            <w:noProof/>
          </w:rPr>
          <w:t>2.6. Prioritná os č. 6: Technická pomoc</w:t>
        </w:r>
        <w:r>
          <w:rPr>
            <w:noProof/>
            <w:webHidden/>
          </w:rPr>
          <w:tab/>
        </w:r>
        <w:r>
          <w:rPr>
            <w:noProof/>
            <w:webHidden/>
          </w:rPr>
          <w:fldChar w:fldCharType="begin"/>
        </w:r>
        <w:r>
          <w:rPr>
            <w:noProof/>
            <w:webHidden/>
          </w:rPr>
          <w:instrText xml:space="preserve"> PAGEREF _Toc387153976 \h </w:instrText>
        </w:r>
        <w:r>
          <w:rPr>
            <w:noProof/>
            <w:webHidden/>
          </w:rPr>
        </w:r>
        <w:r>
          <w:rPr>
            <w:noProof/>
            <w:webHidden/>
          </w:rPr>
          <w:fldChar w:fldCharType="separate"/>
        </w:r>
        <w:r>
          <w:rPr>
            <w:noProof/>
            <w:webHidden/>
          </w:rPr>
          <w:t>140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77" w:history="1">
        <w:r>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_Toc387153977 \h </w:instrText>
        </w:r>
        <w:r>
          <w:rPr>
            <w:noProof/>
            <w:webHidden/>
          </w:rPr>
        </w:r>
        <w:r>
          <w:rPr>
            <w:noProof/>
            <w:webHidden/>
          </w:rPr>
          <w:fldChar w:fldCharType="separate"/>
        </w:r>
        <w:r>
          <w:rPr>
            <w:noProof/>
            <w:webHidden/>
          </w:rPr>
          <w:t>142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78" w:history="1">
        <w:r>
          <w:rPr>
            <w:rStyle w:val="Hypertextovprepojenie"/>
            <w:rFonts w:ascii="Arial" w:hAnsi="Arial" w:cs="Arial"/>
            <w:noProof/>
          </w:rPr>
          <w:t>2.6.1.1.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_Toc387153978 \h </w:instrText>
        </w:r>
        <w:r>
          <w:rPr>
            <w:noProof/>
            <w:webHidden/>
          </w:rPr>
        </w:r>
        <w:r>
          <w:rPr>
            <w:noProof/>
            <w:webHidden/>
          </w:rPr>
          <w:fldChar w:fldCharType="separate"/>
        </w:r>
        <w:r>
          <w:rPr>
            <w:noProof/>
            <w:webHidden/>
          </w:rPr>
          <w:t>142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153979" w:history="1">
        <w:r>
          <w:rPr>
            <w:rStyle w:val="Hypertextovprepojenie"/>
            <w:rFonts w:ascii="Arial" w:hAnsi="Arial" w:cs="Arial"/>
            <w:noProof/>
          </w:rPr>
          <w:t>2.6.1.2. Ukazovatele výstupu prispievajúce k výsledkom (podľa prioritnej osi)</w:t>
        </w:r>
        <w:r>
          <w:rPr>
            <w:noProof/>
            <w:webHidden/>
          </w:rPr>
          <w:tab/>
        </w:r>
        <w:r>
          <w:rPr>
            <w:noProof/>
            <w:webHidden/>
          </w:rPr>
          <w:fldChar w:fldCharType="begin"/>
        </w:r>
        <w:r>
          <w:rPr>
            <w:noProof/>
            <w:webHidden/>
          </w:rPr>
          <w:instrText xml:space="preserve"> PAGEREF _Toc387153979 \h </w:instrText>
        </w:r>
        <w:r>
          <w:rPr>
            <w:noProof/>
            <w:webHidden/>
          </w:rPr>
        </w:r>
        <w:r>
          <w:rPr>
            <w:noProof/>
            <w:webHidden/>
          </w:rPr>
          <w:fldChar w:fldCharType="separate"/>
        </w:r>
        <w:r>
          <w:rPr>
            <w:noProof/>
            <w:webHidden/>
          </w:rPr>
          <w:t>143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153980" w:history="1">
        <w:r>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_Toc387153980 \h </w:instrText>
        </w:r>
        <w:r>
          <w:rPr>
            <w:noProof/>
            <w:webHidden/>
          </w:rPr>
        </w:r>
        <w:r>
          <w:rPr>
            <w:noProof/>
            <w:webHidden/>
          </w:rPr>
          <w:fldChar w:fldCharType="separate"/>
        </w:r>
        <w:r>
          <w:rPr>
            <w:noProof/>
            <w:webHidden/>
          </w:rPr>
          <w:t>144</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81" w:history="1">
        <w:r>
          <w:rPr>
            <w:rStyle w:val="Hypertextovprepojenie"/>
            <w:rFonts w:ascii="Arial" w:hAnsi="Arial" w:cs="Arial"/>
            <w:noProof/>
          </w:rPr>
          <w:t>3 Finančný plán Integrovaného regionálneho operačného programu</w:t>
        </w:r>
        <w:r>
          <w:rPr>
            <w:noProof/>
            <w:webHidden/>
          </w:rPr>
          <w:tab/>
        </w:r>
        <w:r>
          <w:rPr>
            <w:noProof/>
            <w:webHidden/>
          </w:rPr>
          <w:fldChar w:fldCharType="begin"/>
        </w:r>
        <w:r>
          <w:rPr>
            <w:noProof/>
            <w:webHidden/>
          </w:rPr>
          <w:instrText xml:space="preserve"> PAGEREF _Toc387153981 \h </w:instrText>
        </w:r>
        <w:r>
          <w:rPr>
            <w:noProof/>
            <w:webHidden/>
          </w:rPr>
        </w:r>
        <w:r>
          <w:rPr>
            <w:noProof/>
            <w:webHidden/>
          </w:rPr>
          <w:fldChar w:fldCharType="separate"/>
        </w:r>
        <w:r>
          <w:rPr>
            <w:noProof/>
            <w:webHidden/>
          </w:rPr>
          <w:t>146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82" w:history="1">
        <w:r>
          <w:rPr>
            <w:rStyle w:val="Hypertextovprepojenie"/>
            <w:rFonts w:ascii="Arial" w:hAnsi="Arial" w:cs="Arial"/>
            <w:noProof/>
          </w:rPr>
          <w:t>3.1 Tabuľka ročných záväzkov</w:t>
        </w:r>
        <w:r>
          <w:rPr>
            <w:noProof/>
            <w:webHidden/>
          </w:rPr>
          <w:tab/>
        </w:r>
        <w:r>
          <w:rPr>
            <w:noProof/>
            <w:webHidden/>
          </w:rPr>
          <w:fldChar w:fldCharType="begin"/>
        </w:r>
        <w:r>
          <w:rPr>
            <w:noProof/>
            <w:webHidden/>
          </w:rPr>
          <w:instrText xml:space="preserve"> PAGEREF _Toc387153982 \h </w:instrText>
        </w:r>
        <w:r>
          <w:rPr>
            <w:noProof/>
            <w:webHidden/>
          </w:rPr>
        </w:r>
        <w:r>
          <w:rPr>
            <w:noProof/>
            <w:webHidden/>
          </w:rPr>
          <w:fldChar w:fldCharType="separate"/>
        </w:r>
        <w:r>
          <w:rPr>
            <w:noProof/>
            <w:webHidden/>
          </w:rPr>
          <w:t>146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83" w:history="1">
        <w:r>
          <w:rPr>
            <w:rStyle w:val="Hypertextovprepojenie"/>
            <w:rFonts w:ascii="Arial" w:hAnsi="Arial" w:cs="Arial"/>
            <w:noProof/>
          </w:rPr>
          <w:t>3.2.A Finančný plán podľa zdrojov financovania</w:t>
        </w:r>
        <w:r>
          <w:rPr>
            <w:noProof/>
            <w:webHidden/>
          </w:rPr>
          <w:tab/>
        </w:r>
        <w:r>
          <w:rPr>
            <w:noProof/>
            <w:webHidden/>
          </w:rPr>
          <w:fldChar w:fldCharType="begin"/>
        </w:r>
        <w:r>
          <w:rPr>
            <w:noProof/>
            <w:webHidden/>
          </w:rPr>
          <w:instrText xml:space="preserve"> PAGEREF _Toc387153983 \h </w:instrText>
        </w:r>
        <w:r>
          <w:rPr>
            <w:noProof/>
            <w:webHidden/>
          </w:rPr>
        </w:r>
        <w:r>
          <w:rPr>
            <w:noProof/>
            <w:webHidden/>
          </w:rPr>
          <w:fldChar w:fldCharType="separate"/>
        </w:r>
        <w:r>
          <w:rPr>
            <w:noProof/>
            <w:webHidden/>
          </w:rPr>
          <w:t>148</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84" w:history="1">
        <w:r>
          <w:rPr>
            <w:rStyle w:val="Hypertextovprepojenie"/>
            <w:rFonts w:ascii="Arial" w:hAnsi="Arial" w:cs="Arial"/>
            <w:noProof/>
          </w:rPr>
          <w:t>4 Integrovaný prístup k územnému rozvoju</w:t>
        </w:r>
        <w:r>
          <w:rPr>
            <w:noProof/>
            <w:webHidden/>
          </w:rPr>
          <w:tab/>
        </w:r>
        <w:r>
          <w:rPr>
            <w:noProof/>
            <w:webHidden/>
          </w:rPr>
          <w:fldChar w:fldCharType="begin"/>
        </w:r>
        <w:r>
          <w:rPr>
            <w:noProof/>
            <w:webHidden/>
          </w:rPr>
          <w:instrText xml:space="preserve"> PAGEREF _Toc387153984 \h </w:instrText>
        </w:r>
        <w:r>
          <w:rPr>
            <w:noProof/>
            <w:webHidden/>
          </w:rPr>
        </w:r>
        <w:r>
          <w:rPr>
            <w:noProof/>
            <w:webHidden/>
          </w:rPr>
          <w:fldChar w:fldCharType="separate"/>
        </w:r>
        <w:r>
          <w:rPr>
            <w:noProof/>
            <w:webHidden/>
          </w:rPr>
          <w:t>151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85" w:history="1">
        <w:r>
          <w:rPr>
            <w:rStyle w:val="Hypertextovprepojenie"/>
            <w:rFonts w:ascii="Arial" w:hAnsi="Arial" w:cs="Arial"/>
            <w:noProof/>
          </w:rPr>
          <w:t>4.1 Miestny rozvoj vedený komunitou</w:t>
        </w:r>
        <w:r>
          <w:rPr>
            <w:noProof/>
            <w:webHidden/>
          </w:rPr>
          <w:tab/>
        </w:r>
        <w:r>
          <w:rPr>
            <w:noProof/>
            <w:webHidden/>
          </w:rPr>
          <w:fldChar w:fldCharType="begin"/>
        </w:r>
        <w:r>
          <w:rPr>
            <w:noProof/>
            <w:webHidden/>
          </w:rPr>
          <w:instrText xml:space="preserve"> PAGEREF _Toc387153985 \h </w:instrText>
        </w:r>
        <w:r>
          <w:rPr>
            <w:noProof/>
            <w:webHidden/>
          </w:rPr>
        </w:r>
        <w:r>
          <w:rPr>
            <w:noProof/>
            <w:webHidden/>
          </w:rPr>
          <w:fldChar w:fldCharType="separate"/>
        </w:r>
        <w:r>
          <w:rPr>
            <w:noProof/>
            <w:webHidden/>
          </w:rPr>
          <w:t>152</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86" w:history="1">
        <w:r>
          <w:rPr>
            <w:rStyle w:val="Hypertextovprepojenie"/>
            <w:rFonts w:ascii="Arial" w:hAnsi="Arial" w:cs="Arial"/>
            <w:noProof/>
          </w:rPr>
          <w:t>4.2 Podpora udržateľného mestského rozvoja</w:t>
        </w:r>
        <w:r>
          <w:rPr>
            <w:noProof/>
            <w:webHidden/>
          </w:rPr>
          <w:tab/>
        </w:r>
        <w:r>
          <w:rPr>
            <w:noProof/>
            <w:webHidden/>
          </w:rPr>
          <w:fldChar w:fldCharType="begin"/>
        </w:r>
        <w:r>
          <w:rPr>
            <w:noProof/>
            <w:webHidden/>
          </w:rPr>
          <w:instrText xml:space="preserve"> PAGEREF _Toc387153986 \h </w:instrText>
        </w:r>
        <w:r>
          <w:rPr>
            <w:noProof/>
            <w:webHidden/>
          </w:rPr>
        </w:r>
        <w:r>
          <w:rPr>
            <w:noProof/>
            <w:webHidden/>
          </w:rPr>
          <w:fldChar w:fldCharType="separate"/>
        </w:r>
        <w:r>
          <w:rPr>
            <w:noProof/>
            <w:webHidden/>
          </w:rPr>
          <w:t>153</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87" w:history="1">
        <w:r>
          <w:rPr>
            <w:rStyle w:val="Hypertextovprepojenie"/>
            <w:rFonts w:ascii="Arial" w:hAnsi="Arial" w:cs="Arial"/>
            <w:noProof/>
          </w:rPr>
          <w:t>4.3 Integrované územné investície</w:t>
        </w:r>
        <w:r>
          <w:rPr>
            <w:noProof/>
            <w:webHidden/>
          </w:rPr>
          <w:tab/>
        </w:r>
        <w:r>
          <w:rPr>
            <w:noProof/>
            <w:webHidden/>
          </w:rPr>
          <w:fldChar w:fldCharType="begin"/>
        </w:r>
        <w:r>
          <w:rPr>
            <w:noProof/>
            <w:webHidden/>
          </w:rPr>
          <w:instrText xml:space="preserve"> PAGEREF _Toc387153987 \h </w:instrText>
        </w:r>
        <w:r>
          <w:rPr>
            <w:noProof/>
            <w:webHidden/>
          </w:rPr>
        </w:r>
        <w:r>
          <w:rPr>
            <w:noProof/>
            <w:webHidden/>
          </w:rPr>
          <w:fldChar w:fldCharType="separate"/>
        </w:r>
        <w:r>
          <w:rPr>
            <w:noProof/>
            <w:webHidden/>
          </w:rPr>
          <w:t>154</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88" w:history="1">
        <w:r>
          <w:rPr>
            <w:rStyle w:val="Hypertextovprepojenie"/>
            <w:rFonts w:ascii="Arial" w:hAnsi="Arial" w:cs="Arial"/>
            <w:noProof/>
          </w:rPr>
          <w:t>4.4 Mechanizmus zabezpečenia koordinácie s aktivitami spolupráce a makroregionálnymi stratégiami a stratégiami súvisiacimi s morskými oblasťami</w:t>
        </w:r>
        <w:r>
          <w:rPr>
            <w:noProof/>
            <w:webHidden/>
          </w:rPr>
          <w:tab/>
        </w:r>
        <w:r>
          <w:rPr>
            <w:noProof/>
            <w:webHidden/>
          </w:rPr>
          <w:fldChar w:fldCharType="begin"/>
        </w:r>
        <w:r>
          <w:rPr>
            <w:noProof/>
            <w:webHidden/>
          </w:rPr>
          <w:instrText xml:space="preserve"> PAGEREF _Toc387153988 \h </w:instrText>
        </w:r>
        <w:r>
          <w:rPr>
            <w:noProof/>
            <w:webHidden/>
          </w:rPr>
        </w:r>
        <w:r>
          <w:rPr>
            <w:noProof/>
            <w:webHidden/>
          </w:rPr>
          <w:fldChar w:fldCharType="separate"/>
        </w:r>
        <w:r>
          <w:rPr>
            <w:noProof/>
            <w:webHidden/>
          </w:rPr>
          <w:t>156</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89" w:history="1">
        <w:r>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Pr>
            <w:noProof/>
            <w:webHidden/>
          </w:rPr>
          <w:tab/>
        </w:r>
        <w:r>
          <w:rPr>
            <w:noProof/>
            <w:webHidden/>
          </w:rPr>
          <w:fldChar w:fldCharType="begin"/>
        </w:r>
        <w:r>
          <w:rPr>
            <w:noProof/>
            <w:webHidden/>
          </w:rPr>
          <w:instrText xml:space="preserve"> PAGEREF _Toc387153989 \h </w:instrText>
        </w:r>
        <w:r>
          <w:rPr>
            <w:noProof/>
            <w:webHidden/>
          </w:rPr>
        </w:r>
        <w:r>
          <w:rPr>
            <w:noProof/>
            <w:webHidden/>
          </w:rPr>
          <w:fldChar w:fldCharType="separate"/>
        </w:r>
        <w:r>
          <w:rPr>
            <w:noProof/>
            <w:webHidden/>
          </w:rPr>
          <w:t>158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90" w:history="1">
        <w:r>
          <w:rPr>
            <w:rStyle w:val="Hypertextovprepojenie"/>
            <w:rFonts w:ascii="Arial" w:hAnsi="Arial" w:cs="Arial"/>
            <w:noProof/>
          </w:rPr>
          <w:t>5.1 Geografické oblasti najviac postihnuté chudobou/cieľové skupiny najviac ohrozené diskrimináciou</w:t>
        </w:r>
        <w:r>
          <w:rPr>
            <w:noProof/>
            <w:webHidden/>
          </w:rPr>
          <w:tab/>
        </w:r>
        <w:r>
          <w:rPr>
            <w:noProof/>
            <w:webHidden/>
          </w:rPr>
          <w:fldChar w:fldCharType="begin"/>
        </w:r>
        <w:r>
          <w:rPr>
            <w:noProof/>
            <w:webHidden/>
          </w:rPr>
          <w:instrText xml:space="preserve"> PAGEREF _Toc387153990 \h </w:instrText>
        </w:r>
        <w:r>
          <w:rPr>
            <w:noProof/>
            <w:webHidden/>
          </w:rPr>
        </w:r>
        <w:r>
          <w:rPr>
            <w:noProof/>
            <w:webHidden/>
          </w:rPr>
          <w:fldChar w:fldCharType="separate"/>
        </w:r>
        <w:r>
          <w:rPr>
            <w:noProof/>
            <w:webHidden/>
          </w:rPr>
          <w:t>158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91" w:history="1">
        <w:r>
          <w:rPr>
            <w:rStyle w:val="Hypertextovprepojenie"/>
            <w:rFonts w:ascii="Arial" w:hAnsi="Arial" w:cs="Arial"/>
            <w:noProof/>
          </w:rPr>
          <w:t>5.2 Stratégia IROP riešenia špecifických potrieb geografických oblastí/cieľových skupín najviac postihnutých chudobou</w:t>
        </w:r>
        <w:r>
          <w:rPr>
            <w:noProof/>
            <w:webHidden/>
          </w:rPr>
          <w:tab/>
        </w:r>
        <w:r>
          <w:rPr>
            <w:noProof/>
            <w:webHidden/>
          </w:rPr>
          <w:fldChar w:fldCharType="begin"/>
        </w:r>
        <w:r>
          <w:rPr>
            <w:noProof/>
            <w:webHidden/>
          </w:rPr>
          <w:instrText xml:space="preserve"> PAGEREF _Toc387153991 \h </w:instrText>
        </w:r>
        <w:r>
          <w:rPr>
            <w:noProof/>
            <w:webHidden/>
          </w:rPr>
        </w:r>
        <w:r>
          <w:rPr>
            <w:noProof/>
            <w:webHidden/>
          </w:rPr>
          <w:fldChar w:fldCharType="separate"/>
        </w:r>
        <w:r>
          <w:rPr>
            <w:noProof/>
            <w:webHidden/>
          </w:rPr>
          <w:t>158</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92" w:history="1">
        <w:r>
          <w:rPr>
            <w:rStyle w:val="Hypertextovprepojenie"/>
            <w:rFonts w:ascii="Arial" w:hAnsi="Arial" w:cs="Arial"/>
            <w:noProof/>
          </w:rPr>
          <w:t>6 Špecifické potreby geografických oblastí závažne a trvalo znevýhodnených prírodnými a demografickými podmienkami</w:t>
        </w:r>
        <w:r>
          <w:rPr>
            <w:noProof/>
            <w:webHidden/>
          </w:rPr>
          <w:tab/>
        </w:r>
        <w:r>
          <w:rPr>
            <w:noProof/>
            <w:webHidden/>
          </w:rPr>
          <w:fldChar w:fldCharType="begin"/>
        </w:r>
        <w:r>
          <w:rPr>
            <w:noProof/>
            <w:webHidden/>
          </w:rPr>
          <w:instrText xml:space="preserve"> PAGEREF _Toc387153992 \h </w:instrText>
        </w:r>
        <w:r>
          <w:rPr>
            <w:noProof/>
            <w:webHidden/>
          </w:rPr>
        </w:r>
        <w:r>
          <w:rPr>
            <w:noProof/>
            <w:webHidden/>
          </w:rPr>
          <w:fldChar w:fldCharType="separate"/>
        </w:r>
        <w:r>
          <w:rPr>
            <w:noProof/>
            <w:webHidden/>
          </w:rPr>
          <w:t>160</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93" w:history="1">
        <w:r>
          <w:rPr>
            <w:rStyle w:val="Hypertextovprepojenie"/>
            <w:rFonts w:ascii="Arial" w:hAnsi="Arial" w:cs="Arial"/>
            <w:noProof/>
          </w:rPr>
          <w:t>7 Orgány zodpovedné za riadenie, kontrolu a audit a úlohy relevantných partnerov</w:t>
        </w:r>
        <w:r>
          <w:rPr>
            <w:noProof/>
            <w:webHidden/>
          </w:rPr>
          <w:tab/>
        </w:r>
        <w:r>
          <w:rPr>
            <w:noProof/>
            <w:webHidden/>
          </w:rPr>
          <w:fldChar w:fldCharType="begin"/>
        </w:r>
        <w:r>
          <w:rPr>
            <w:noProof/>
            <w:webHidden/>
          </w:rPr>
          <w:instrText xml:space="preserve"> PAGEREF _Toc387153993 \h </w:instrText>
        </w:r>
        <w:r>
          <w:rPr>
            <w:noProof/>
            <w:webHidden/>
          </w:rPr>
        </w:r>
        <w:r>
          <w:rPr>
            <w:noProof/>
            <w:webHidden/>
          </w:rPr>
          <w:fldChar w:fldCharType="separate"/>
        </w:r>
        <w:r>
          <w:rPr>
            <w:noProof/>
            <w:webHidden/>
          </w:rPr>
          <w:t>160</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94" w:history="1">
        <w:r>
          <w:rPr>
            <w:rStyle w:val="Hypertextovprepojenie"/>
            <w:rFonts w:ascii="Arial" w:hAnsi="Arial" w:cs="Arial"/>
            <w:noProof/>
          </w:rPr>
          <w:t>7.1 Identifikácia relevantných orgánov</w:t>
        </w:r>
        <w:r>
          <w:rPr>
            <w:noProof/>
            <w:webHidden/>
          </w:rPr>
          <w:tab/>
        </w:r>
        <w:r>
          <w:rPr>
            <w:noProof/>
            <w:webHidden/>
          </w:rPr>
          <w:fldChar w:fldCharType="begin"/>
        </w:r>
        <w:r>
          <w:rPr>
            <w:noProof/>
            <w:webHidden/>
          </w:rPr>
          <w:instrText xml:space="preserve"> PAGEREF _Toc387153994 \h </w:instrText>
        </w:r>
        <w:r>
          <w:rPr>
            <w:noProof/>
            <w:webHidden/>
          </w:rPr>
        </w:r>
        <w:r>
          <w:rPr>
            <w:noProof/>
            <w:webHidden/>
          </w:rPr>
          <w:fldChar w:fldCharType="separate"/>
        </w:r>
        <w:r>
          <w:rPr>
            <w:noProof/>
            <w:webHidden/>
          </w:rPr>
          <w:t>160</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3995" w:history="1">
        <w:r>
          <w:rPr>
            <w:rStyle w:val="Hypertextovprepojenie"/>
            <w:rFonts w:ascii="Arial" w:hAnsi="Arial" w:cs="Arial"/>
            <w:noProof/>
          </w:rPr>
          <w:t>7.2 Opatrenia na zapojenie relevantných partnerov pri príprave IROP, úloha partnerov pri implementácii, monitorovaní a hodnotení IROP</w:t>
        </w:r>
        <w:r>
          <w:rPr>
            <w:noProof/>
            <w:webHidden/>
          </w:rPr>
          <w:tab/>
        </w:r>
        <w:r>
          <w:rPr>
            <w:noProof/>
            <w:webHidden/>
          </w:rPr>
          <w:fldChar w:fldCharType="begin"/>
        </w:r>
        <w:r>
          <w:rPr>
            <w:noProof/>
            <w:webHidden/>
          </w:rPr>
          <w:instrText xml:space="preserve"> PAGEREF _Toc387153995 \h </w:instrText>
        </w:r>
        <w:r>
          <w:rPr>
            <w:noProof/>
            <w:webHidden/>
          </w:rPr>
        </w:r>
        <w:r>
          <w:rPr>
            <w:noProof/>
            <w:webHidden/>
          </w:rPr>
          <w:fldChar w:fldCharType="separate"/>
        </w:r>
        <w:r>
          <w:rPr>
            <w:noProof/>
            <w:webHidden/>
          </w:rPr>
          <w:t>160</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96" w:history="1">
        <w:r>
          <w:rPr>
            <w:rStyle w:val="Hypertextovprepojenie"/>
            <w:rFonts w:ascii="Arial" w:hAnsi="Arial" w:cs="Arial"/>
            <w:noProof/>
          </w:rPr>
          <w:t>7.2.1. Úloha relevantných partnerov pri príprave, implementácii, monitorovaní a hodnotení IROP</w:t>
        </w:r>
        <w:r>
          <w:rPr>
            <w:noProof/>
            <w:webHidden/>
          </w:rPr>
          <w:tab/>
        </w:r>
        <w:r>
          <w:rPr>
            <w:noProof/>
            <w:webHidden/>
          </w:rPr>
          <w:fldChar w:fldCharType="begin"/>
        </w:r>
        <w:r>
          <w:rPr>
            <w:noProof/>
            <w:webHidden/>
          </w:rPr>
          <w:instrText xml:space="preserve"> PAGEREF _Toc387153996 \h </w:instrText>
        </w:r>
        <w:r>
          <w:rPr>
            <w:noProof/>
            <w:webHidden/>
          </w:rPr>
        </w:r>
        <w:r>
          <w:rPr>
            <w:noProof/>
            <w:webHidden/>
          </w:rPr>
          <w:fldChar w:fldCharType="separate"/>
        </w:r>
        <w:r>
          <w:rPr>
            <w:noProof/>
            <w:webHidden/>
          </w:rPr>
          <w:t>160</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97" w:history="1">
        <w:r>
          <w:rPr>
            <w:rStyle w:val="Hypertextovprepojenie"/>
            <w:rFonts w:ascii="Arial" w:hAnsi="Arial" w:cs="Arial"/>
            <w:noProof/>
          </w:rPr>
          <w:t>7.2.2 Pre ESF: Globálne granty</w:t>
        </w:r>
        <w:r>
          <w:rPr>
            <w:noProof/>
            <w:webHidden/>
          </w:rPr>
          <w:tab/>
        </w:r>
        <w:r>
          <w:rPr>
            <w:noProof/>
            <w:webHidden/>
          </w:rPr>
          <w:fldChar w:fldCharType="begin"/>
        </w:r>
        <w:r>
          <w:rPr>
            <w:noProof/>
            <w:webHidden/>
          </w:rPr>
          <w:instrText xml:space="preserve"> PAGEREF _Toc387153997 \h </w:instrText>
        </w:r>
        <w:r>
          <w:rPr>
            <w:noProof/>
            <w:webHidden/>
          </w:rPr>
        </w:r>
        <w:r>
          <w:rPr>
            <w:noProof/>
            <w:webHidden/>
          </w:rPr>
          <w:fldChar w:fldCharType="separate"/>
        </w:r>
        <w:r>
          <w:rPr>
            <w:noProof/>
            <w:webHidden/>
          </w:rPr>
          <w:t>163</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153998" w:history="1">
        <w:r>
          <w:rPr>
            <w:rStyle w:val="Hypertextovprepojenie"/>
            <w:rFonts w:ascii="Arial" w:hAnsi="Arial" w:cs="Arial"/>
            <w:noProof/>
          </w:rPr>
          <w:t>7.2.3 Pre ESF: Budovanie kapacít</w:t>
        </w:r>
        <w:r>
          <w:rPr>
            <w:noProof/>
            <w:webHidden/>
          </w:rPr>
          <w:tab/>
        </w:r>
        <w:r>
          <w:rPr>
            <w:noProof/>
            <w:webHidden/>
          </w:rPr>
          <w:fldChar w:fldCharType="begin"/>
        </w:r>
        <w:r>
          <w:rPr>
            <w:noProof/>
            <w:webHidden/>
          </w:rPr>
          <w:instrText xml:space="preserve"> PAGEREF _Toc387153998 \h </w:instrText>
        </w:r>
        <w:r>
          <w:rPr>
            <w:noProof/>
            <w:webHidden/>
          </w:rPr>
        </w:r>
        <w:r>
          <w:rPr>
            <w:noProof/>
            <w:webHidden/>
          </w:rPr>
          <w:fldChar w:fldCharType="separate"/>
        </w:r>
        <w:r>
          <w:rPr>
            <w:noProof/>
            <w:webHidden/>
          </w:rPr>
          <w:t>163</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3999" w:history="1">
        <w:r>
          <w:rPr>
            <w:rStyle w:val="Hypertextovprepojenie"/>
            <w:rFonts w:ascii="Arial" w:hAnsi="Arial" w:cs="Arial"/>
            <w:noProof/>
          </w:rPr>
          <w:t>8 Koordinácia medzi fondmi, EPFRV, EFNRH a ostatnými národnými a EÚ nástrojmi, a EIB</w:t>
        </w:r>
        <w:r>
          <w:rPr>
            <w:noProof/>
            <w:webHidden/>
          </w:rPr>
          <w:tab/>
        </w:r>
        <w:r>
          <w:rPr>
            <w:noProof/>
            <w:webHidden/>
          </w:rPr>
          <w:fldChar w:fldCharType="begin"/>
        </w:r>
        <w:r>
          <w:rPr>
            <w:noProof/>
            <w:webHidden/>
          </w:rPr>
          <w:instrText xml:space="preserve"> PAGEREF _Toc387153999 \h </w:instrText>
        </w:r>
        <w:r>
          <w:rPr>
            <w:noProof/>
            <w:webHidden/>
          </w:rPr>
        </w:r>
        <w:r>
          <w:rPr>
            <w:noProof/>
            <w:webHidden/>
          </w:rPr>
          <w:fldChar w:fldCharType="separate"/>
        </w:r>
        <w:r>
          <w:rPr>
            <w:noProof/>
            <w:webHidden/>
          </w:rPr>
          <w:t>164</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4000" w:history="1">
        <w:r>
          <w:rPr>
            <w:rStyle w:val="Hypertextovprepojenie"/>
            <w:rFonts w:ascii="Arial" w:hAnsi="Arial" w:cs="Arial"/>
            <w:noProof/>
          </w:rPr>
          <w:t>9 Ex ante kondicionality</w:t>
        </w:r>
        <w:r>
          <w:rPr>
            <w:noProof/>
            <w:webHidden/>
          </w:rPr>
          <w:tab/>
        </w:r>
        <w:r>
          <w:rPr>
            <w:noProof/>
            <w:webHidden/>
          </w:rPr>
          <w:fldChar w:fldCharType="begin"/>
        </w:r>
        <w:r>
          <w:rPr>
            <w:noProof/>
            <w:webHidden/>
          </w:rPr>
          <w:instrText xml:space="preserve"> PAGEREF _Toc387154000 \h </w:instrText>
        </w:r>
        <w:r>
          <w:rPr>
            <w:noProof/>
            <w:webHidden/>
          </w:rPr>
        </w:r>
        <w:r>
          <w:rPr>
            <w:noProof/>
            <w:webHidden/>
          </w:rPr>
          <w:fldChar w:fldCharType="separate"/>
        </w:r>
        <w:r>
          <w:rPr>
            <w:noProof/>
            <w:webHidden/>
          </w:rPr>
          <w:t>171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1" w:history="1">
        <w:r>
          <w:rPr>
            <w:rStyle w:val="Hypertextovprepojenie"/>
            <w:rFonts w:ascii="Arial" w:hAnsi="Arial" w:cs="Arial"/>
            <w:noProof/>
          </w:rPr>
          <w:t>9.1 Identifikácia aplikovateľných ex-ante kondicionalít a vyhodnotenie ich splnenia</w:t>
        </w:r>
        <w:r>
          <w:rPr>
            <w:noProof/>
            <w:webHidden/>
          </w:rPr>
          <w:tab/>
        </w:r>
        <w:r>
          <w:rPr>
            <w:noProof/>
            <w:webHidden/>
          </w:rPr>
          <w:fldChar w:fldCharType="begin"/>
        </w:r>
        <w:r>
          <w:rPr>
            <w:noProof/>
            <w:webHidden/>
          </w:rPr>
          <w:instrText xml:space="preserve"> PAGEREF _Toc387154001 \h </w:instrText>
        </w:r>
        <w:r>
          <w:rPr>
            <w:noProof/>
            <w:webHidden/>
          </w:rPr>
        </w:r>
        <w:r>
          <w:rPr>
            <w:noProof/>
            <w:webHidden/>
          </w:rPr>
          <w:fldChar w:fldCharType="separate"/>
        </w:r>
        <w:r>
          <w:rPr>
            <w:noProof/>
            <w:webHidden/>
          </w:rPr>
          <w:t>171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2" w:history="1">
        <w:r>
          <w:rPr>
            <w:rStyle w:val="Hypertextovprepojenie"/>
            <w:rFonts w:ascii="Arial" w:hAnsi="Arial" w:cs="Arial"/>
            <w:noProof/>
          </w:rPr>
          <w:t>9.2 Opis opatrení na splnenie ex ante kondicionalít, zodpovedné orgány a časový plán týchto opatrení</w:t>
        </w:r>
        <w:r>
          <w:rPr>
            <w:noProof/>
            <w:webHidden/>
          </w:rPr>
          <w:tab/>
        </w:r>
        <w:r>
          <w:rPr>
            <w:noProof/>
            <w:webHidden/>
          </w:rPr>
          <w:fldChar w:fldCharType="begin"/>
        </w:r>
        <w:r>
          <w:rPr>
            <w:noProof/>
            <w:webHidden/>
          </w:rPr>
          <w:instrText xml:space="preserve"> PAGEREF _Toc387154002 \h </w:instrText>
        </w:r>
        <w:r>
          <w:rPr>
            <w:noProof/>
            <w:webHidden/>
          </w:rPr>
        </w:r>
        <w:r>
          <w:rPr>
            <w:noProof/>
            <w:webHidden/>
          </w:rPr>
          <w:fldChar w:fldCharType="separate"/>
        </w:r>
        <w:r>
          <w:rPr>
            <w:noProof/>
            <w:webHidden/>
          </w:rPr>
          <w:t>199</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4003" w:history="1">
        <w:r>
          <w:rPr>
            <w:rStyle w:val="Hypertextovprepojenie"/>
            <w:rFonts w:ascii="Arial" w:hAnsi="Arial" w:cs="Arial"/>
            <w:noProof/>
          </w:rPr>
          <w:t>10 Zníženie administratívnej záťaže pre prijímateľov</w:t>
        </w:r>
        <w:r>
          <w:rPr>
            <w:noProof/>
            <w:webHidden/>
          </w:rPr>
          <w:tab/>
        </w:r>
        <w:r>
          <w:rPr>
            <w:noProof/>
            <w:webHidden/>
          </w:rPr>
          <w:fldChar w:fldCharType="begin"/>
        </w:r>
        <w:r>
          <w:rPr>
            <w:noProof/>
            <w:webHidden/>
          </w:rPr>
          <w:instrText xml:space="preserve"> PAGEREF _Toc387154003 \h </w:instrText>
        </w:r>
        <w:r>
          <w:rPr>
            <w:noProof/>
            <w:webHidden/>
          </w:rPr>
        </w:r>
        <w:r>
          <w:rPr>
            <w:noProof/>
            <w:webHidden/>
          </w:rPr>
          <w:fldChar w:fldCharType="separate"/>
        </w:r>
        <w:r>
          <w:rPr>
            <w:noProof/>
            <w:webHidden/>
          </w:rPr>
          <w:t>209</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4004" w:history="1">
        <w:r>
          <w:rPr>
            <w:rStyle w:val="Hypertextovprepojenie"/>
            <w:rFonts w:ascii="Arial" w:hAnsi="Arial" w:cs="Arial"/>
            <w:noProof/>
          </w:rPr>
          <w:t>11 Horizontálne princípy</w:t>
        </w:r>
        <w:r>
          <w:rPr>
            <w:noProof/>
            <w:webHidden/>
          </w:rPr>
          <w:tab/>
        </w:r>
        <w:r>
          <w:rPr>
            <w:noProof/>
            <w:webHidden/>
          </w:rPr>
          <w:fldChar w:fldCharType="begin"/>
        </w:r>
        <w:r>
          <w:rPr>
            <w:noProof/>
            <w:webHidden/>
          </w:rPr>
          <w:instrText xml:space="preserve"> PAGEREF _Toc387154004 \h </w:instrText>
        </w:r>
        <w:r>
          <w:rPr>
            <w:noProof/>
            <w:webHidden/>
          </w:rPr>
        </w:r>
        <w:r>
          <w:rPr>
            <w:noProof/>
            <w:webHidden/>
          </w:rPr>
          <w:fldChar w:fldCharType="separate"/>
        </w:r>
        <w:r>
          <w:rPr>
            <w:noProof/>
            <w:webHidden/>
          </w:rPr>
          <w:t>211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5" w:history="1">
        <w:r>
          <w:rPr>
            <w:rStyle w:val="Hypertextovprepojenie"/>
            <w:rFonts w:ascii="Arial" w:hAnsi="Arial" w:cs="Arial"/>
            <w:noProof/>
          </w:rPr>
          <w:t>11.1 Udržateľný rozvoj</w:t>
        </w:r>
        <w:r>
          <w:rPr>
            <w:noProof/>
            <w:webHidden/>
          </w:rPr>
          <w:tab/>
        </w:r>
        <w:r>
          <w:rPr>
            <w:noProof/>
            <w:webHidden/>
          </w:rPr>
          <w:fldChar w:fldCharType="begin"/>
        </w:r>
        <w:r>
          <w:rPr>
            <w:noProof/>
            <w:webHidden/>
          </w:rPr>
          <w:instrText xml:space="preserve"> PAGEREF _Toc387154005 \h </w:instrText>
        </w:r>
        <w:r>
          <w:rPr>
            <w:noProof/>
            <w:webHidden/>
          </w:rPr>
        </w:r>
        <w:r>
          <w:rPr>
            <w:noProof/>
            <w:webHidden/>
          </w:rPr>
          <w:fldChar w:fldCharType="separate"/>
        </w:r>
        <w:r>
          <w:rPr>
            <w:noProof/>
            <w:webHidden/>
          </w:rPr>
          <w:t>211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6" w:history="1">
        <w:r>
          <w:rPr>
            <w:rStyle w:val="Hypertextovprepojenie"/>
            <w:rFonts w:ascii="Arial" w:hAnsi="Arial" w:cs="Arial"/>
            <w:noProof/>
          </w:rPr>
          <w:t>11.2 Rovnosť príležitostí a nediskriminácia</w:t>
        </w:r>
        <w:r>
          <w:rPr>
            <w:noProof/>
            <w:webHidden/>
          </w:rPr>
          <w:tab/>
        </w:r>
        <w:r>
          <w:rPr>
            <w:noProof/>
            <w:webHidden/>
          </w:rPr>
          <w:fldChar w:fldCharType="begin"/>
        </w:r>
        <w:r>
          <w:rPr>
            <w:noProof/>
            <w:webHidden/>
          </w:rPr>
          <w:instrText xml:space="preserve"> PAGEREF _Toc387154006 \h </w:instrText>
        </w:r>
        <w:r>
          <w:rPr>
            <w:noProof/>
            <w:webHidden/>
          </w:rPr>
        </w:r>
        <w:r>
          <w:rPr>
            <w:noProof/>
            <w:webHidden/>
          </w:rPr>
          <w:fldChar w:fldCharType="separate"/>
        </w:r>
        <w:r>
          <w:rPr>
            <w:noProof/>
            <w:webHidden/>
          </w:rPr>
          <w:t>213</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7" w:history="1">
        <w:r>
          <w:rPr>
            <w:rStyle w:val="Hypertextovprepojenie"/>
            <w:rFonts w:ascii="Arial" w:hAnsi="Arial" w:cs="Arial"/>
            <w:noProof/>
          </w:rPr>
          <w:t>11.3 Rovnosť medzi mužmi a ženami</w:t>
        </w:r>
        <w:r>
          <w:rPr>
            <w:noProof/>
            <w:webHidden/>
          </w:rPr>
          <w:tab/>
        </w:r>
        <w:r>
          <w:rPr>
            <w:noProof/>
            <w:webHidden/>
          </w:rPr>
          <w:fldChar w:fldCharType="begin"/>
        </w:r>
        <w:r>
          <w:rPr>
            <w:noProof/>
            <w:webHidden/>
          </w:rPr>
          <w:instrText xml:space="preserve"> PAGEREF _Toc387154007 \h </w:instrText>
        </w:r>
        <w:r>
          <w:rPr>
            <w:noProof/>
            <w:webHidden/>
          </w:rPr>
        </w:r>
        <w:r>
          <w:rPr>
            <w:noProof/>
            <w:webHidden/>
          </w:rPr>
          <w:fldChar w:fldCharType="separate"/>
        </w:r>
        <w:r>
          <w:rPr>
            <w:noProof/>
            <w:webHidden/>
          </w:rPr>
          <w:t>215</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4008" w:history="1">
        <w:r>
          <w:rPr>
            <w:rStyle w:val="Hypertextovprepojenie"/>
            <w:rFonts w:ascii="Arial" w:hAnsi="Arial" w:cs="Arial"/>
            <w:noProof/>
          </w:rPr>
          <w:t>12 Prílohy</w:t>
        </w:r>
        <w:r>
          <w:rPr>
            <w:noProof/>
            <w:webHidden/>
          </w:rPr>
          <w:tab/>
        </w:r>
        <w:r>
          <w:rPr>
            <w:noProof/>
            <w:webHidden/>
          </w:rPr>
          <w:fldChar w:fldCharType="begin"/>
        </w:r>
        <w:r>
          <w:rPr>
            <w:noProof/>
            <w:webHidden/>
          </w:rPr>
          <w:instrText xml:space="preserve"> PAGEREF _Toc387154008 \h </w:instrText>
        </w:r>
        <w:r>
          <w:rPr>
            <w:noProof/>
            <w:webHidden/>
          </w:rPr>
        </w:r>
        <w:r>
          <w:rPr>
            <w:noProof/>
            <w:webHidden/>
          </w:rPr>
          <w:fldChar w:fldCharType="separate"/>
        </w:r>
        <w:r>
          <w:rPr>
            <w:noProof/>
            <w:webHidden/>
          </w:rPr>
          <w:t>216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09" w:history="1">
        <w:r>
          <w:rPr>
            <w:rStyle w:val="Hypertextovprepojenie"/>
            <w:noProof/>
          </w:rPr>
          <w:t>Použité skratky</w:t>
        </w:r>
        <w:r>
          <w:rPr>
            <w:noProof/>
            <w:webHidden/>
          </w:rPr>
          <w:tab/>
        </w:r>
        <w:r>
          <w:rPr>
            <w:noProof/>
            <w:webHidden/>
          </w:rPr>
          <w:fldChar w:fldCharType="begin"/>
        </w:r>
        <w:r>
          <w:rPr>
            <w:noProof/>
            <w:webHidden/>
          </w:rPr>
          <w:instrText xml:space="preserve"> PAGEREF _Toc387154009 \h </w:instrText>
        </w:r>
        <w:r>
          <w:rPr>
            <w:noProof/>
            <w:webHidden/>
          </w:rPr>
        </w:r>
        <w:r>
          <w:rPr>
            <w:noProof/>
            <w:webHidden/>
          </w:rPr>
          <w:fldChar w:fldCharType="separate"/>
        </w:r>
        <w:r>
          <w:rPr>
            <w:noProof/>
            <w:webHidden/>
          </w:rPr>
          <w:t>216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10" w:history="1">
        <w:r>
          <w:rPr>
            <w:rStyle w:val="Hypertextovprepojenie"/>
            <w:rFonts w:ascii="Arial" w:hAnsi="Arial" w:cs="Arial"/>
            <w:noProof/>
          </w:rPr>
          <w:t>12.1 Zoznam veľkých projektov</w:t>
        </w:r>
        <w:r>
          <w:rPr>
            <w:noProof/>
            <w:webHidden/>
          </w:rPr>
          <w:tab/>
        </w:r>
        <w:r>
          <w:rPr>
            <w:noProof/>
            <w:webHidden/>
          </w:rPr>
          <w:fldChar w:fldCharType="begin"/>
        </w:r>
        <w:r>
          <w:rPr>
            <w:noProof/>
            <w:webHidden/>
          </w:rPr>
          <w:instrText xml:space="preserve"> PAGEREF _Toc387154010 \h </w:instrText>
        </w:r>
        <w:r>
          <w:rPr>
            <w:noProof/>
            <w:webHidden/>
          </w:rPr>
        </w:r>
        <w:r>
          <w:rPr>
            <w:noProof/>
            <w:webHidden/>
          </w:rPr>
          <w:fldChar w:fldCharType="separate"/>
        </w:r>
        <w:r>
          <w:rPr>
            <w:noProof/>
            <w:webHidden/>
          </w:rPr>
          <w:t>218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11" w:history="1">
        <w:r>
          <w:rPr>
            <w:rStyle w:val="Hypertextovprepojenie"/>
            <w:rFonts w:ascii="Arial" w:hAnsi="Arial" w:cs="Arial"/>
            <w:noProof/>
          </w:rPr>
          <w:t>12.2 Výkonnostný rámec</w:t>
        </w:r>
        <w:r>
          <w:rPr>
            <w:noProof/>
            <w:webHidden/>
          </w:rPr>
          <w:tab/>
        </w:r>
        <w:r>
          <w:rPr>
            <w:noProof/>
            <w:webHidden/>
          </w:rPr>
          <w:fldChar w:fldCharType="begin"/>
        </w:r>
        <w:r>
          <w:rPr>
            <w:noProof/>
            <w:webHidden/>
          </w:rPr>
          <w:instrText xml:space="preserve"> PAGEREF _Toc387154011 \h </w:instrText>
        </w:r>
        <w:r>
          <w:rPr>
            <w:noProof/>
            <w:webHidden/>
          </w:rPr>
        </w:r>
        <w:r>
          <w:rPr>
            <w:noProof/>
            <w:webHidden/>
          </w:rPr>
          <w:fldChar w:fldCharType="separate"/>
        </w:r>
        <w:r>
          <w:rPr>
            <w:noProof/>
            <w:webHidden/>
          </w:rPr>
          <w:t>219</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154012" w:history="1">
        <w:r>
          <w:rPr>
            <w:rStyle w:val="Hypertextovprepojenie"/>
            <w:rFonts w:ascii="Arial" w:hAnsi="Arial" w:cs="Arial"/>
            <w:noProof/>
          </w:rPr>
          <w:t>12.3 Zoznam relevantných partnerov zapojených do prípravy IROP</w:t>
        </w:r>
        <w:r>
          <w:rPr>
            <w:noProof/>
            <w:webHidden/>
          </w:rPr>
          <w:tab/>
        </w:r>
        <w:r>
          <w:rPr>
            <w:noProof/>
            <w:webHidden/>
          </w:rPr>
          <w:fldChar w:fldCharType="begin"/>
        </w:r>
        <w:r>
          <w:rPr>
            <w:noProof/>
            <w:webHidden/>
          </w:rPr>
          <w:instrText xml:space="preserve"> PAGEREF _Toc387154012 \h </w:instrText>
        </w:r>
        <w:r>
          <w:rPr>
            <w:noProof/>
            <w:webHidden/>
          </w:rPr>
        </w:r>
        <w:r>
          <w:rPr>
            <w:noProof/>
            <w:webHidden/>
          </w:rPr>
          <w:fldChar w:fldCharType="separate"/>
        </w:r>
        <w:r>
          <w:rPr>
            <w:noProof/>
            <w:webHidden/>
          </w:rPr>
          <w:t>221</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154013" w:history="1">
        <w:r>
          <w:rPr>
            <w:rStyle w:val="Hypertextovprepojenie"/>
            <w:rFonts w:ascii="Arial" w:hAnsi="Arial" w:cs="Arial"/>
            <w:noProof/>
          </w:rPr>
          <w:t>Prílohy (na zadanie do SFC 2014 ako osobitné súbory)</w:t>
        </w:r>
        <w:r>
          <w:rPr>
            <w:noProof/>
            <w:webHidden/>
          </w:rPr>
          <w:tab/>
        </w:r>
        <w:r>
          <w:rPr>
            <w:noProof/>
            <w:webHidden/>
          </w:rPr>
          <w:fldChar w:fldCharType="begin"/>
        </w:r>
        <w:r>
          <w:rPr>
            <w:noProof/>
            <w:webHidden/>
          </w:rPr>
          <w:instrText xml:space="preserve"> PAGEREF _Toc387154013 \h </w:instrText>
        </w:r>
        <w:r>
          <w:rPr>
            <w:noProof/>
            <w:webHidden/>
          </w:rPr>
        </w:r>
        <w:r>
          <w:rPr>
            <w:noProof/>
            <w:webHidden/>
          </w:rPr>
          <w:fldChar w:fldCharType="separate"/>
        </w:r>
        <w:r>
          <w:rPr>
            <w:noProof/>
            <w:webHidden/>
          </w:rPr>
          <w:t>222</w:t>
        </w:r>
        <w:r>
          <w:rPr>
            <w:noProof/>
            <w:webHidden/>
          </w:rPr>
          <w:fldChar w:fldCharType="end"/>
        </w:r>
      </w:hyperlink>
    </w:p>
    <w:p>
      <w:pPr>
        <w:rPr>
          <w:rFonts w:ascii="Arial" w:hAnsi="Arial" w:cs="Arial"/>
        </w:rPr>
      </w:pPr>
      <w:r>
        <w:rPr>
          <w:rFonts w:ascii="Arial" w:hAnsi="Arial" w:cs="Arial"/>
          <w:b/>
          <w:bCs/>
          <w:i/>
          <w:iCs/>
          <w:sz w:val="24"/>
          <w:szCs w:val="24"/>
          <w:u w:val="single"/>
        </w:rPr>
        <w:fldChar w:fldCharType="end"/>
      </w:r>
    </w:p>
    <w:p>
      <w:pPr>
        <w:rPr>
          <w:rFonts w:ascii="Arial" w:hAnsi="Arial" w:cs="Arial"/>
        </w:rPr>
      </w:pPr>
    </w:p>
    <w:p>
      <w:pPr>
        <w:rPr>
          <w:rFonts w:ascii="Arial" w:hAnsi="Arial" w:cs="Arial"/>
        </w:rPr>
      </w:pPr>
    </w:p>
    <w:p>
      <w:pPr>
        <w:rPr>
          <w:rFonts w:ascii="Arial" w:hAnsi="Arial" w:cs="Arial"/>
        </w:rPr>
      </w:pPr>
      <w:r>
        <w:rPr>
          <w:rFonts w:ascii="Arial" w:hAnsi="Arial" w:cs="Arial"/>
        </w:rPr>
        <w:br w:type="page"/>
      </w:r>
    </w:p>
    <w:p>
      <w:pPr>
        <w:pStyle w:val="Nadpis1"/>
        <w:jc w:val="both"/>
        <w:rPr>
          <w:rFonts w:ascii="Arial" w:hAnsi="Arial" w:cs="Arial"/>
        </w:rPr>
      </w:pPr>
      <w:bookmarkStart w:id="0" w:name="_Toc387153886"/>
      <w:r>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0"/>
      <w:r>
        <w:rPr>
          <w:rFonts w:ascii="Arial" w:hAnsi="Arial" w:cs="Arial"/>
        </w:rPr>
        <w:t xml:space="preserve"> </w:t>
      </w:r>
    </w:p>
    <w:p>
      <w:pPr>
        <w:pStyle w:val="Nadpis2"/>
        <w:rPr>
          <w:rFonts w:ascii="Arial" w:hAnsi="Arial" w:cs="Arial"/>
        </w:rPr>
      </w:pPr>
      <w:bookmarkStart w:id="1" w:name="_Toc387153887"/>
      <w:r>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1"/>
    </w:p>
    <w:p>
      <w:pPr>
        <w:pStyle w:val="Nadpis3"/>
        <w:jc w:val="both"/>
        <w:rPr>
          <w:rFonts w:ascii="Arial" w:hAnsi="Arial" w:cs="Arial"/>
        </w:rPr>
      </w:pPr>
      <w:bookmarkStart w:id="2" w:name="_Toc387153888"/>
      <w:r>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2"/>
    </w:p>
    <w:p>
      <w:pPr>
        <w:pStyle w:val="Odsekzoznamu"/>
        <w:spacing w:after="0" w:line="240" w:lineRule="auto"/>
        <w:jc w:val="both"/>
        <w:rPr>
          <w:rFonts w:ascii="Arial" w:hAnsi="Arial" w:cs="Arial"/>
        </w:rPr>
      </w:pPr>
    </w:p>
    <w:p>
      <w:pPr>
        <w:jc w:val="both"/>
        <w:rPr>
          <w:rFonts w:ascii="Arial" w:hAnsi="Arial" w:cs="Arial"/>
        </w:rPr>
      </w:pPr>
      <w:r>
        <w:rPr>
          <w:rFonts w:ascii="Arial" w:hAnsi="Arial" w:cs="Arial"/>
        </w:rPr>
        <w:t>Integrovaný regionálny operačný program (ďalej len „IROP“) predstavuje programový dokument SR pre programové obdobie 2014 – 2020, ktorého globálnym cieľom je:</w:t>
      </w:r>
    </w:p>
    <w:p>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pPr>
        <w:spacing w:after="0" w:line="240" w:lineRule="auto"/>
        <w:jc w:val="both"/>
        <w:rPr>
          <w:rFonts w:ascii="Arial" w:hAnsi="Arial" w:cs="Arial"/>
        </w:rPr>
      </w:pPr>
      <w:r>
        <w:rPr>
          <w:rFonts w:ascii="Arial" w:hAnsi="Arial" w:cs="Arial"/>
        </w:rPr>
        <w:t>Stratégia podpory IROP zohľadňuje stratégiu Európa 2020 a prispieva k plneniu jej priorít, predovšetkým k udržateľnému a inkluzívnemu rastu a reflektujúc potreby a výzvy konkrétnych regiónov smeruje k:</w:t>
      </w:r>
    </w:p>
    <w:p>
      <w:pPr>
        <w:numPr>
          <w:ilvl w:val="0"/>
          <w:numId w:val="8"/>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pPr>
        <w:numPr>
          <w:ilvl w:val="0"/>
          <w:numId w:val="8"/>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pPr>
        <w:spacing w:after="0" w:line="240" w:lineRule="auto"/>
        <w:jc w:val="both"/>
        <w:rPr>
          <w:rFonts w:ascii="Arial" w:hAnsi="Arial" w:cs="Arial"/>
        </w:rPr>
      </w:pPr>
      <w:r>
        <w:rPr>
          <w:rFonts w:ascii="Arial" w:hAnsi="Arial" w:cs="Arial"/>
        </w:rPr>
        <w:t>prostredníctvom zabezpečenia</w:t>
      </w:r>
    </w:p>
    <w:p>
      <w:pPr>
        <w:numPr>
          <w:ilvl w:val="0"/>
          <w:numId w:val="8"/>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pPr>
        <w:pStyle w:val="Odsekzoznamu"/>
        <w:numPr>
          <w:ilvl w:val="0"/>
          <w:numId w:val="8"/>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 v mestách a na vidieku ako podmienky udržateľného rastu a vyváženého územného rozvoja.</w:t>
      </w:r>
    </w:p>
    <w:p>
      <w:pPr>
        <w:spacing w:before="240"/>
        <w:jc w:val="both"/>
        <w:rPr>
          <w:rFonts w:ascii="Arial" w:hAnsi="Arial" w:cs="Arial"/>
        </w:rPr>
      </w:pPr>
      <w:r>
        <w:rPr>
          <w:rFonts w:ascii="Arial" w:hAnsi="Arial" w:cs="Arial"/>
        </w:rPr>
        <w:t>Strategický rámec IROP je tvorený cieľmi regionálnej politiky SR, zameranými na podporu rastu a konkurencieschopnosti vo všetkých typoch regiónov a na vyrovnávanie odôvodnených regionálnych disparít. Dôraz sa kladie na koordinovanú podporu, integrovaný prístup, využitie širšieho spektra rozvojových nástrojov, udržateľný rozvoj a strategickú diverzifikáciu intervencií zohľadňujúcu územnú dimenziu.</w:t>
      </w:r>
    </w:p>
    <w:p>
      <w:pPr>
        <w:jc w:val="both"/>
        <w:rPr>
          <w:rFonts w:ascii="Arial" w:hAnsi="Arial" w:cs="Arial"/>
        </w:rPr>
      </w:pPr>
      <w:r>
        <w:rPr>
          <w:rFonts w:ascii="Arial" w:hAnsi="Arial" w:cs="Arial"/>
        </w:rPr>
        <w:t xml:space="preserve">Berúc do úvahy implicitne vyjadrené aspekty stratégie Európa 2020 ako aj daných národných programov reforiem SR (ďalej len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xml:space="preserve">. NPR SR 2013 vymedzuje prioritné oblasti pre dosiahnutie udržateľného rozvoja SR vytvárajúce predpoklady pre rast kvality života. Podporovať objektívne podmienky kvality života znamená vytvárať podmienky, okrem </w:t>
      </w:r>
      <w:r>
        <w:rPr>
          <w:rFonts w:ascii="Arial" w:hAnsi="Arial" w:cs="Arial"/>
        </w:rPr>
        <w:lastRenderedPageBreak/>
        <w:t>iných, aj pre vyššiu kvalitu vzdelávania, poskytovania sociálnych služieb, dostupnosti efektívnej zdravotnej starostlivosti, mestského prostredia, dopravnej dostupnosti a pod.</w:t>
      </w:r>
    </w:p>
    <w:p>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pPr>
        <w:jc w:val="both"/>
        <w:rPr>
          <w:rFonts w:ascii="Arial" w:hAnsi="Arial" w:cs="Arial"/>
        </w:rPr>
      </w:pPr>
      <w:r>
        <w:rPr>
          <w:rFonts w:ascii="Arial" w:hAnsi="Arial" w:cs="Arial"/>
        </w:rPr>
        <w:t xml:space="preserve">Formulovanie stratégie IROP vychádza taktiež z predpokladu, že paralelne so sektorovou identifikáciou potrieb a spoločenských výziev (podľa jednotlivých odvetví a oblastí), ktoré sa majú riešiť, je nevyhnutné brať do úvahy aj hlavných aktérov ako nositeľov a realizátorov činností v daných oblastiach (napr. štát, územnú miestnu a regionálnu samospráva, podnikateľský sektor, a pod.). Významným aktérom realizácie štrukturálnych politík na miestnej a regionálnej úrovni sú orgány miestnej a regionálnej územnej samosprávy, t. j. obce, mestá a vyššie územné celky. Títo aktéri v zmysle národnej legislatívy vykonávajú zákonom stanovené kľúčové kompetencie v mnohých oblastiach. </w:t>
      </w:r>
      <w:r>
        <w:rPr>
          <w:rFonts w:ascii="Arial" w:hAnsi="Arial" w:cs="Arial"/>
          <w:b/>
        </w:rPr>
        <w:t>IROP je teda možné považovať za nástroj podpory opatrení, ktoré sú realizované z miestnej a regionálnej úrovne, t. j. predovšetkým verejných služieb zo strany obcí, miest a vyšších územných celkov.</w:t>
      </w:r>
      <w:r>
        <w:rPr>
          <w:rFonts w:ascii="Arial" w:hAnsi="Arial" w:cs="Arial"/>
        </w:rPr>
        <w:t xml:space="preserve"> Z analýzy súčasného stavu financovanie územnej samosprávy vyplýva, že obce, mestá a vyššie územné celky majú problémy pokrývať financovanie aj základných verejných služieb a nemajú dostatočné vnútorné kapitálové zdroje na financovanie rozvojových a prorastových aktivít. Prepojenie intervencií realizovaných doteraz na regionálnej úrovni s intervenciami na centrálnej/národnej úrovni alebo na úrovni jednotlivých sektorov umožňuje nielen komplementaritu, ale aj synergiu v konkrétnych územiach SR vrátane ich časovej i obsahovej previazanosti.</w:t>
      </w:r>
    </w:p>
    <w:p>
      <w:pPr>
        <w:jc w:val="both"/>
        <w:rPr>
          <w:rFonts w:ascii="Arial" w:hAnsi="Arial" w:cs="Arial"/>
        </w:rPr>
      </w:pPr>
      <w:r>
        <w:rPr>
          <w:rFonts w:ascii="Arial" w:hAnsi="Arial" w:cs="Arial"/>
        </w:rPr>
        <w:t xml:space="preserve">Z hľadiska zadefinovania potrieb a výziev, ktoré by mala SR a jej regióny riešiť, existuje široké penzum oblastí prispievajúcich ku kvalite života a územnému rozvoju. Prakticky akákoľvek pozitívna intervencia v území prispieva k rastu kvality života a územnému rozvoju, </w:t>
      </w:r>
      <w:r>
        <w:rPr>
          <w:rFonts w:ascii="Arial" w:hAnsi="Arial" w:cs="Arial"/>
          <w:b/>
        </w:rPr>
        <w:t>IROP</w:t>
      </w:r>
      <w:r>
        <w:rPr>
          <w:rFonts w:ascii="Arial" w:hAnsi="Arial" w:cs="Arial"/>
        </w:rPr>
        <w:t xml:space="preserve"> </w:t>
      </w:r>
      <w:r>
        <w:rPr>
          <w:rFonts w:ascii="Arial" w:hAnsi="Arial" w:cs="Arial"/>
          <w:b/>
        </w:rPr>
        <w:t>na základe vymedzenia s ostatnými operačnými programami sústredí svoje intervencie do oblastí kompetencií miestnej a regionálnej územnej samosprávy a štátnej správy</w:t>
      </w:r>
      <w:r>
        <w:rPr>
          <w:rFonts w:ascii="Arial" w:hAnsi="Arial" w:cs="Arial"/>
        </w:rPr>
        <w:t xml:space="preserve">.  </w:t>
      </w:r>
    </w:p>
    <w:p>
      <w:pPr>
        <w:shd w:val="clear" w:color="auto" w:fill="B8CCE4" w:themeFill="accent1" w:themeFillTint="66"/>
        <w:jc w:val="both"/>
        <w:rPr>
          <w:rFonts w:ascii="Arial" w:hAnsi="Arial" w:cs="Arial"/>
          <w:b/>
        </w:rPr>
      </w:pPr>
      <w:r>
        <w:rPr>
          <w:rFonts w:ascii="Arial" w:hAnsi="Arial" w:cs="Arial"/>
          <w:b/>
        </w:rPr>
        <w:t xml:space="preserve">IROP je výrazom strategického prístupu k podpore kvality života a územnej súdržnosti prostredníctvom tvorby socioekonomických podmienok a uplatňovania integrovaného miestneho a regionálneho rozvoja. Nadväzujúc na všeobecne deklarovaný zámer potreby účinnejšej aplikácie princípov územného rozvoja ako aj podpory kvality života pri plnení stratégie Európa 2020 je možné stanoviť, že práve IROP má ambíciu stať sa jedným z prvkov systému nástrojov realizácie integrovaného prístupu umožňujúceho koordinovanú a synergickú implementáciu intervencií. </w:t>
      </w:r>
    </w:p>
    <w:p>
      <w:pPr>
        <w:spacing w:after="0" w:line="240" w:lineRule="auto"/>
        <w:jc w:val="center"/>
        <w:rPr>
          <w:rFonts w:ascii="Arial" w:hAnsi="Arial" w:cs="Arial"/>
          <w:b/>
          <w:smallCaps/>
        </w:rPr>
      </w:pPr>
      <w:r>
        <w:rPr>
          <w:rFonts w:ascii="Arial" w:hAnsi="Arial" w:cs="Arial"/>
          <w:b/>
          <w:smallCaps/>
        </w:rPr>
        <w:t>Logická os stratégie IROP</w:t>
      </w:r>
    </w:p>
    <w:p>
      <w:pPr>
        <w:spacing w:after="0" w:line="240" w:lineRule="auto"/>
        <w:jc w:val="both"/>
        <w:rPr>
          <w:rFonts w:ascii="Arial" w:hAnsi="Arial" w:cs="Arial"/>
        </w:rPr>
      </w:pPr>
    </w:p>
    <w:p>
      <w:pPr>
        <w:shd w:val="clear" w:color="auto" w:fill="B8CCE4" w:themeFill="accent1" w:themeFillTint="66"/>
        <w:jc w:val="both"/>
        <w:rPr>
          <w:rFonts w:ascii="Arial" w:hAnsi="Arial" w:cs="Arial"/>
          <w:b/>
        </w:rPr>
      </w:pPr>
      <w:r>
        <w:rPr>
          <w:rFonts w:ascii="Arial" w:hAnsi="Arial" w:cs="Arial"/>
          <w:b/>
        </w:rPr>
        <w:t>Stratégia IROP je založená na kombinácii a synergickom prepojení vhodne zvolených intervencií regionálneho a miestneho charakteru a intervencií národného charakteru ako prostriedku posilnenia kvality života a regionálnej konkurencieschopnosti, s dopadom na vyvážený územný rozvoj.</w:t>
      </w:r>
    </w:p>
    <w:p>
      <w:pPr>
        <w:spacing w:after="0" w:line="240" w:lineRule="auto"/>
        <w:jc w:val="both"/>
        <w:rPr>
          <w:rFonts w:ascii="Arial" w:hAnsi="Arial" w:cs="Arial"/>
        </w:rPr>
      </w:pPr>
    </w:p>
    <w:p>
      <w:pPr>
        <w:spacing w:after="0" w:line="240" w:lineRule="auto"/>
        <w:jc w:val="both"/>
        <w:rPr>
          <w:rFonts w:ascii="Arial" w:hAnsi="Arial" w:cs="Arial"/>
        </w:rPr>
      </w:pPr>
    </w:p>
    <w:tbl>
      <w:tblPr>
        <w:tblStyle w:val="Svetlmriekazvraznenie11"/>
        <w:tblW w:w="0" w:type="auto"/>
        <w:tblLook w:val="04A0" w:firstRow="1" w:lastRow="0" w:firstColumn="1" w:lastColumn="0" w:noHBand="0" w:noVBand="1"/>
      </w:tblPr>
      <w:tblGrid>
        <w:gridCol w:w="1517"/>
        <w:gridCol w:w="3694"/>
        <w:gridCol w:w="2127"/>
        <w:gridCol w:w="226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pPr>
              <w:jc w:val="center"/>
              <w:rPr>
                <w:rFonts w:ascii="Arial" w:hAnsi="Arial" w:cs="Arial"/>
                <w:smallCaps/>
                <w:sz w:val="20"/>
                <w:szCs w:val="20"/>
              </w:rPr>
            </w:pPr>
            <w:r>
              <w:rPr>
                <w:rFonts w:ascii="Arial" w:hAnsi="Arial" w:cs="Arial"/>
              </w:rPr>
              <w:lastRenderedPageBreak/>
              <w:t>Matica prepojenia stratégie Európa 2020 a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dopravy</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b w:val="0"/>
                <w:bCs w:val="0"/>
                <w:sz w:val="20"/>
                <w:szCs w:val="20"/>
              </w:rPr>
            </w:pPr>
            <w:r>
              <w:rPr>
                <w:rFonts w:ascii="Arial" w:hAnsi="Arial" w:cs="Arial"/>
                <w:sz w:val="20"/>
                <w:szCs w:val="20"/>
              </w:rPr>
              <w:t>Inkluzívny rast</w:t>
            </w:r>
          </w:p>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pPr>
        <w:jc w:val="both"/>
        <w:rPr>
          <w:rFonts w:ascii="Arial" w:hAnsi="Arial" w:cs="Arial"/>
        </w:rPr>
      </w:pPr>
    </w:p>
    <w:p>
      <w:pPr>
        <w:jc w:val="both"/>
        <w:rPr>
          <w:rFonts w:ascii="Arial" w:hAnsi="Arial" w:cs="Arial"/>
        </w:rPr>
      </w:pPr>
    </w:p>
    <w:p>
      <w:pPr>
        <w:spacing w:before="240"/>
        <w:jc w:val="both"/>
        <w:rPr>
          <w:rFonts w:ascii="Arial" w:hAnsi="Arial" w:cs="Arial"/>
        </w:rPr>
      </w:pPr>
      <w:r>
        <w:rPr>
          <w:rFonts w:ascii="Arial" w:hAnsi="Arial" w:cs="Arial"/>
        </w:rPr>
        <w:lastRenderedPageBreak/>
        <w:t xml:space="preserve">Pri súhrnnom hodnotení pohľadu na vývoj regiónov SR je možné identifikovať: </w:t>
      </w:r>
    </w:p>
    <w:p>
      <w:pPr>
        <w:pStyle w:val="Odsekzoznamu"/>
        <w:numPr>
          <w:ilvl w:val="0"/>
          <w:numId w:val="50"/>
        </w:numPr>
        <w:jc w:val="both"/>
        <w:rPr>
          <w:rFonts w:ascii="Arial" w:hAnsi="Arial" w:cs="Arial"/>
        </w:rPr>
      </w:pPr>
      <w:r>
        <w:rPr>
          <w:rFonts w:ascii="Arial" w:hAnsi="Arial" w:cs="Arial"/>
        </w:rPr>
        <w:t xml:space="preserve">pomalé prehlbovanie regionálnych rozdielov v sociálnych pomeroch obyvateľstva, </w:t>
      </w:r>
    </w:p>
    <w:p>
      <w:pPr>
        <w:pStyle w:val="Odsekzoznamu"/>
        <w:numPr>
          <w:ilvl w:val="0"/>
          <w:numId w:val="50"/>
        </w:numPr>
        <w:jc w:val="both"/>
        <w:rPr>
          <w:rFonts w:ascii="Arial" w:hAnsi="Arial" w:cs="Arial"/>
        </w:rPr>
      </w:pPr>
      <w:r>
        <w:rPr>
          <w:rFonts w:ascii="Arial" w:hAnsi="Arial" w:cs="Arial"/>
        </w:rPr>
        <w:t xml:space="preserve">pomerne významné prehlbovanie rozdielov v ekonomickej výkonnosti vo vnútri krajov, </w:t>
      </w:r>
    </w:p>
    <w:p>
      <w:pPr>
        <w:pStyle w:val="Odsekzoznamu"/>
        <w:numPr>
          <w:ilvl w:val="0"/>
          <w:numId w:val="50"/>
        </w:numPr>
        <w:jc w:val="both"/>
        <w:rPr>
          <w:rFonts w:ascii="Arial" w:hAnsi="Arial" w:cs="Arial"/>
        </w:rPr>
      </w:pPr>
      <w:r>
        <w:rPr>
          <w:rFonts w:ascii="Arial" w:hAnsi="Arial" w:cs="Arial"/>
        </w:rPr>
        <w:t xml:space="preserve">dynamické prehlbovanie rozdielov v regionálne diferencovanej ekonomickej atraktivite, </w:t>
      </w:r>
    </w:p>
    <w:p>
      <w:pPr>
        <w:pStyle w:val="Odsekzoznamu"/>
        <w:numPr>
          <w:ilvl w:val="0"/>
          <w:numId w:val="50"/>
        </w:numPr>
        <w:jc w:val="both"/>
        <w:rPr>
          <w:rFonts w:ascii="Arial" w:hAnsi="Arial" w:cs="Arial"/>
        </w:rPr>
      </w:pPr>
      <w:r>
        <w:rPr>
          <w:rFonts w:ascii="Arial" w:hAnsi="Arial" w:cs="Arial"/>
        </w:rPr>
        <w:t>postupné znižovanie rozdielov v kvalite životného prostredia (v celej SR).</w:t>
      </w:r>
    </w:p>
    <w:p>
      <w:pPr>
        <w:jc w:val="both"/>
        <w:rPr>
          <w:rFonts w:ascii="Arial" w:hAnsi="Arial" w:cs="Arial"/>
        </w:rPr>
      </w:pPr>
      <w:r>
        <w:rPr>
          <w:rFonts w:ascii="Arial" w:hAnsi="Arial" w:cs="Arial"/>
        </w:rPr>
        <w:t>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odôvodnených vnútroregionálnych rozdielov, ktoré sú v jednotlivých oblastiach  podpory IROP najvýraznejšie v Prešovskom, Banskobystrickom, Košickom a Nitrianskom kraji.</w:t>
      </w:r>
    </w:p>
    <w:p>
      <w:p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Priestorová štruktúra ekonomiky SR je vnútorne nevyvážená a nevytvára predpoklady pre efektívny regionálny rozvoj. Podmienky, ktoré sa vytvorili v procese transformácie slovenskej ekonomiky z centrálne plánovanej na trhovú, priestorovú nerovnováhu ďalej prehlbovali a napriek úsiliu sa súčasné regionálne disparity sa prejavujú najmä v:</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podiele regiónov na tvorbe HDP,</w:t>
      </w:r>
    </w:p>
    <w:p>
      <w:pPr>
        <w:pStyle w:val="Odsekzoznamu"/>
        <w:numPr>
          <w:ilvl w:val="0"/>
          <w:numId w:val="67"/>
        </w:numPr>
        <w:jc w:val="both"/>
        <w:rPr>
          <w:rFonts w:ascii="Arial" w:eastAsiaTheme="minorEastAsia" w:hAnsi="Arial" w:cs="Arial"/>
          <w:lang w:eastAsia="ja-JP"/>
        </w:rPr>
      </w:pPr>
      <w:r>
        <w:rPr>
          <w:rFonts w:ascii="Arial" w:eastAsiaTheme="minorEastAsia" w:hAnsi="Arial" w:cs="Arial"/>
          <w:lang w:eastAsia="ja-JP"/>
        </w:rPr>
        <w:t>miere nezamestnanosti, úrovni vstupu zahraničného kapitálu do jednotlivých regiónov,</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úrovni dôchodkov obyvateľstva,</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dynamike vzniku a rozvoja malých a stredných podnikov,</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úrovni využívania komparatívnych výhod jednotlivých regiónov,</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úrovni vybavenia regiónov infraštruktúrou,</w:t>
      </w:r>
    </w:p>
    <w:p>
      <w:pPr>
        <w:pStyle w:val="Odsekzoznamu"/>
        <w:numPr>
          <w:ilvl w:val="0"/>
          <w:numId w:val="67"/>
        </w:numPr>
        <w:autoSpaceDE w:val="0"/>
        <w:autoSpaceDN w:val="0"/>
        <w:adjustRightInd w:val="0"/>
        <w:spacing w:after="0"/>
        <w:jc w:val="both"/>
        <w:rPr>
          <w:rFonts w:ascii="Arial" w:eastAsiaTheme="minorEastAsia" w:hAnsi="Arial" w:cs="Arial"/>
          <w:lang w:eastAsia="ja-JP"/>
        </w:rPr>
      </w:pPr>
      <w:r>
        <w:rPr>
          <w:rFonts w:ascii="Arial" w:eastAsiaTheme="minorEastAsia" w:hAnsi="Arial" w:cs="Arial"/>
          <w:lang w:eastAsia="ja-JP"/>
        </w:rPr>
        <w:t>podiele investícií do verejného sektora,</w:t>
      </w:r>
    </w:p>
    <w:p>
      <w:pPr>
        <w:pStyle w:val="Odsekzoznamu"/>
        <w:numPr>
          <w:ilvl w:val="0"/>
          <w:numId w:val="67"/>
        </w:numPr>
        <w:autoSpaceDE w:val="0"/>
        <w:autoSpaceDN w:val="0"/>
        <w:adjustRightInd w:val="0"/>
        <w:spacing w:after="0"/>
        <w:jc w:val="both"/>
        <w:rPr>
          <w:rFonts w:ascii="Arial" w:hAnsi="Arial" w:cs="Arial"/>
        </w:rPr>
      </w:pPr>
      <w:r>
        <w:rPr>
          <w:rFonts w:ascii="Arial" w:eastAsiaTheme="minorEastAsia" w:hAnsi="Arial" w:cs="Arial"/>
          <w:lang w:eastAsia="ja-JP"/>
        </w:rPr>
        <w:t>vytváranie nových pracovných miest.</w:t>
      </w:r>
    </w:p>
    <w:p>
      <w:pPr>
        <w:spacing w:before="240"/>
        <w:jc w:val="both"/>
        <w:rPr>
          <w:rFonts w:ascii="Arial" w:hAnsi="Arial" w:cs="Arial"/>
        </w:rPr>
      </w:pPr>
      <w:r>
        <w:rPr>
          <w:rFonts w:ascii="Arial" w:hAnsi="Arial" w:cs="Arial"/>
        </w:rPr>
        <w:t>Existencia regionálnych disparít sa prejavuje nielen v rozdielnej ekonomickej výkonnosti regiónov, ale aj vo využívaní ich endogénneho potenciálu a časť regiónov stále patrí k zaostávajúcim, kde sa súčasne koncentrujú disparity ako sú: nezamestnanosť, životná úroveň a sociálna situácia obyvateľov, tým sa znižuje sa dostupnosť a kvalita verejných služieb.</w:t>
      </w:r>
    </w:p>
    <w:p>
      <w:pPr>
        <w:spacing w:before="240"/>
        <w:jc w:val="both"/>
        <w:rPr>
          <w:rFonts w:ascii="Arial" w:hAnsi="Arial" w:cs="Arial"/>
        </w:rPr>
      </w:pPr>
      <w:r>
        <w:rPr>
          <w:rFonts w:ascii="Arial" w:hAnsi="Arial" w:cs="Arial"/>
        </w:rPr>
        <w:t>Potreba územne špecifickej intervencie prostredníctvom regionálne orientovaného operačného programu je umocňovaná súčasnými trendmi v ekonomickom rozvoji regiónov. V SR existujú regióny, kde životná úroveň a kvalita života stagnuje, či dokonca klesá i regióny konkurencieschopné na európskej úrovni.</w:t>
      </w:r>
    </w:p>
    <w:p>
      <w:pPr>
        <w:jc w:val="both"/>
        <w:rPr>
          <w:rFonts w:ascii="Arial" w:hAnsi="Arial" w:cs="Arial"/>
        </w:rPr>
      </w:pPr>
      <w:r>
        <w:rPr>
          <w:rFonts w:ascii="Arial" w:hAnsi="Arial" w:cs="Arial"/>
        </w:rPr>
        <w:t xml:space="preserve">Vybrané typy regionálne a miestne orientovaných intervencií (napr. dopravná dostupnosť verejných služieb v rámci regiónu a bezpečnosť dopravy, mobilita osôb v regiónoch, rozvoj alternatívnych dopravných systémov, podpora rozvoja nových typov sociálnych služieb, atď.) ako  priority  IROP sú výrazne územne diferencované a zamerané na dva základné ciele: cieľ </w:t>
      </w:r>
      <w:r>
        <w:rPr>
          <w:rFonts w:ascii="Arial" w:hAnsi="Arial" w:cs="Arial"/>
          <w:i/>
        </w:rPr>
        <w:t>rastový</w:t>
      </w:r>
      <w:r>
        <w:rPr>
          <w:rFonts w:ascii="Arial" w:hAnsi="Arial" w:cs="Arial"/>
          <w:i/>
          <w:iCs/>
        </w:rPr>
        <w:t xml:space="preserve"> s </w:t>
      </w:r>
      <w:r>
        <w:rPr>
          <w:rFonts w:ascii="Arial" w:hAnsi="Arial" w:cs="Arial"/>
          <w:iCs/>
        </w:rPr>
        <w:t>dôrazom na</w:t>
      </w:r>
      <w:r>
        <w:rPr>
          <w:rFonts w:ascii="Arial" w:hAnsi="Arial" w:cs="Arial"/>
        </w:rPr>
        <w:t xml:space="preserve"> aktivizáciu nedostatočne využívaného potenciálu a podporu hospodárskeho rozvoja regiónu, a cieľ </w:t>
      </w:r>
      <w:r>
        <w:rPr>
          <w:rFonts w:ascii="Arial" w:hAnsi="Arial" w:cs="Arial"/>
          <w:i/>
          <w:iCs/>
        </w:rPr>
        <w:t xml:space="preserve">vyrovnávajúci </w:t>
      </w:r>
      <w:r>
        <w:rPr>
          <w:rFonts w:ascii="Arial" w:hAnsi="Arial" w:cs="Arial"/>
          <w:iCs/>
        </w:rPr>
        <w:t>s dôrazom na znižovanie</w:t>
      </w:r>
      <w:r>
        <w:rPr>
          <w:rFonts w:ascii="Arial" w:hAnsi="Arial" w:cs="Arial"/>
          <w:i/>
          <w:iCs/>
        </w:rPr>
        <w:t xml:space="preserve">  </w:t>
      </w:r>
      <w:r>
        <w:rPr>
          <w:rFonts w:ascii="Arial" w:hAnsi="Arial" w:cs="Arial"/>
          <w:iCs/>
        </w:rPr>
        <w:t>identifikovaných</w:t>
      </w:r>
      <w:r>
        <w:rPr>
          <w:rFonts w:ascii="Arial" w:hAnsi="Arial" w:cs="Arial"/>
          <w:i/>
          <w:iCs/>
        </w:rPr>
        <w:t xml:space="preserve"> </w:t>
      </w:r>
      <w:r>
        <w:rPr>
          <w:rFonts w:ascii="Arial" w:hAnsi="Arial" w:cs="Arial"/>
        </w:rPr>
        <w:t xml:space="preserve">medziregionálnych a vnútroregionálnych  rozdielov a pomoc ekonomicky slabším oblastiam, aby boli tieto regióny schopné zvládnuť zmeny a adaptovať sa využitím vlastného potenciálu. </w:t>
      </w:r>
    </w:p>
    <w:p>
      <w:pPr>
        <w:jc w:val="both"/>
        <w:rPr>
          <w:rFonts w:ascii="Arial" w:hAnsi="Arial" w:cs="Arial"/>
        </w:rPr>
      </w:pPr>
      <w:r>
        <w:rPr>
          <w:rFonts w:ascii="Arial" w:hAnsi="Arial" w:cs="Arial"/>
        </w:rPr>
        <w:t xml:space="preserve">Hlavnými komponentmi rastu a rozvoja regiónov (na základe porovnania spoločných charakteristík rýchlo rastúcich a pomaly rastúcich regiónov) je okrem rastu národného HDP, najmä rast zamestnanosti a rast produktivity. Pre efektívnu a účinnú podporu regionálnej politiky v rámci IROP to znamená: </w:t>
      </w:r>
    </w:p>
    <w:p>
      <w:pPr>
        <w:pStyle w:val="Odsekzoznamu"/>
        <w:numPr>
          <w:ilvl w:val="0"/>
          <w:numId w:val="66"/>
        </w:numPr>
        <w:jc w:val="both"/>
        <w:rPr>
          <w:rFonts w:ascii="Arial" w:hAnsi="Arial" w:cs="Arial"/>
        </w:rPr>
      </w:pPr>
      <w:r>
        <w:rPr>
          <w:rFonts w:ascii="Arial" w:hAnsi="Arial" w:cs="Arial"/>
        </w:rPr>
        <w:lastRenderedPageBreak/>
        <w:t xml:space="preserve">integrovaný/komplexný prístup zahrňujúci podporu komponentov rastu v správnom čase a poradí podľa definovaných rozvojových priorít, realizované v IROP prostredníctvom nástrojov integrovaného územného prístupu, </w:t>
      </w:r>
    </w:p>
    <w:p>
      <w:pPr>
        <w:pStyle w:val="Odsekzoznamu"/>
        <w:numPr>
          <w:ilvl w:val="0"/>
          <w:numId w:val="66"/>
        </w:numPr>
        <w:jc w:val="both"/>
        <w:rPr>
          <w:rFonts w:ascii="Arial" w:hAnsi="Arial" w:cs="Arial"/>
        </w:rPr>
      </w:pPr>
      <w:r>
        <w:rPr>
          <w:rFonts w:ascii="Arial" w:hAnsi="Arial" w:cs="Arial"/>
        </w:rPr>
        <w:t xml:space="preserve">investície do ľudských zdrojov v súlade s definovanou súčasnou alebo budúcou konkurenčnou výhodou regiónu, </w:t>
      </w:r>
    </w:p>
    <w:p>
      <w:pPr>
        <w:pStyle w:val="Odsekzoznamu"/>
        <w:numPr>
          <w:ilvl w:val="0"/>
          <w:numId w:val="66"/>
        </w:numPr>
        <w:jc w:val="both"/>
        <w:rPr>
          <w:rFonts w:ascii="Arial" w:hAnsi="Arial" w:cs="Arial"/>
        </w:rPr>
      </w:pPr>
      <w:r>
        <w:rPr>
          <w:rFonts w:ascii="Arial" w:hAnsi="Arial" w:cs="Arial"/>
        </w:rPr>
        <w:t xml:space="preserve">podporu budovania infraštruktúry (technickej, sociálnej a ekologickej) a s ňou súvisiacich podporných služieb ako súčasti integrovaného/komplexného prístupu, </w:t>
      </w:r>
    </w:p>
    <w:p>
      <w:pPr>
        <w:pStyle w:val="Odsekzoznamu"/>
        <w:numPr>
          <w:ilvl w:val="0"/>
          <w:numId w:val="66"/>
        </w:numPr>
        <w:jc w:val="both"/>
        <w:rPr>
          <w:rFonts w:ascii="Arial" w:hAnsi="Arial" w:cs="Arial"/>
        </w:rPr>
      </w:pPr>
      <w:r>
        <w:rPr>
          <w:rFonts w:ascii="Arial" w:hAnsi="Arial" w:cs="Arial"/>
        </w:rPr>
        <w:t>koncentráciu na maximalizáciu úžitku z regionálnych aktív (interných zdrojov) a vnútorného potenciálu regiónov.</w:t>
      </w:r>
    </w:p>
    <w:p>
      <w:pPr>
        <w:spacing w:before="240"/>
        <w:jc w:val="both"/>
        <w:rPr>
          <w:rFonts w:ascii="Arial" w:hAnsi="Arial" w:cs="Arial"/>
        </w:rPr>
      </w:pPr>
      <w:r>
        <w:rPr>
          <w:rFonts w:ascii="Arial" w:hAnsi="Arial" w:cs="Arial"/>
        </w:rPr>
        <w:t xml:space="preserve">Aby si regióny SR udržali, alebo posilnili svoje postavenie, a zároveň sa zabezpečil rast (hospodársko-sociálny rozvoj a zamestnanosť) v európskom konkurenčnom prostredí, musia byť splnené dve navzájom sa doplňujúce podmienky. Prvou podmienkou je nevyhnutnosť </w:t>
      </w:r>
      <w:r>
        <w:rPr>
          <w:rFonts w:ascii="Arial" w:hAnsi="Arial" w:cs="Arial"/>
          <w:b/>
        </w:rPr>
        <w:t>primerane vybudovanej technickej infraštruktúry</w:t>
      </w:r>
      <w:r>
        <w:rPr>
          <w:rFonts w:ascii="Arial" w:hAnsi="Arial" w:cs="Arial"/>
        </w:rPr>
        <w:t xml:space="preserve"> k svojej definovanej konkurenčnej výhode (dopravná, telekomunikačná, energetická, ekologická a pod.)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(školská, sociálna a zdravotnícka infraštruktúra). Druhou podmienkou je, že v novej ekonomike založenej na vedomostiach musia mať regióny schopnosť inovovať a využívať existujúce aj regionálne </w:t>
      </w:r>
      <w:r>
        <w:rPr>
          <w:rFonts w:ascii="Arial" w:hAnsi="Arial" w:cs="Arial"/>
          <w:i/>
        </w:rPr>
        <w:t>know-how</w:t>
      </w:r>
      <w:r>
        <w:rPr>
          <w:rFonts w:ascii="Arial" w:hAnsi="Arial" w:cs="Arial"/>
        </w:rPr>
        <w:t xml:space="preserve"> a sledovať cestu udržateľného rozvoja.</w:t>
      </w:r>
    </w:p>
    <w:p>
      <w:pPr>
        <w:jc w:val="both"/>
        <w:rPr>
          <w:rFonts w:ascii="Arial" w:hAnsi="Arial" w:cs="Arial"/>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Pr>
          <w:rFonts w:ascii="Arial" w:hAnsi="Arial" w:cs="Arial"/>
        </w:rPr>
        <w:t xml:space="preserve"> Požadovaný rast je možné dosiahnuť investíciami do ľudských zdrojov v prepojení s cielenými investíciami do zodpovedajúcej infraštruktúry podľa typu regiónu alebo potrieb konkrétneho územia.</w:t>
      </w:r>
    </w:p>
    <w:p>
      <w:pPr>
        <w:jc w:val="both"/>
        <w:rPr>
          <w:rFonts w:ascii="Arial" w:hAnsi="Arial" w:cs="Arial"/>
        </w:rPr>
      </w:pPr>
      <w:r>
        <w:rPr>
          <w:rFonts w:ascii="Arial" w:hAnsi="Arial" w:cs="Arial"/>
          <w:b/>
        </w:rPr>
        <w:t>Obrázok č. 1</w:t>
      </w:r>
      <w:r>
        <w:rPr>
          <w:rFonts w:ascii="Arial" w:hAnsi="Arial" w:cs="Arial"/>
        </w:rPr>
        <w:t xml:space="preserve"> </w:t>
      </w:r>
      <w:r>
        <w:rPr>
          <w:rFonts w:ascii="Arial" w:hAnsi="Arial" w:cs="Arial"/>
          <w:i/>
        </w:rPr>
        <w:t>Stratégia Integrovaného regionálneho operačného programu</w:t>
      </w:r>
    </w:p>
    <w:p>
      <w:pPr>
        <w:jc w:val="both"/>
        <w:rPr>
          <w:rFonts w:ascii="Arial" w:hAnsi="Arial" w:cs="Arial"/>
        </w:rPr>
      </w:pPr>
      <w:r>
        <w:rPr>
          <w:noProof/>
          <w:lang w:eastAsia="sk-SK"/>
        </w:rPr>
        <w:drawing>
          <wp:inline distT="0" distB="0" distL="0" distR="0">
            <wp:extent cx="5486400" cy="3390900"/>
            <wp:effectExtent l="76200" t="0" r="762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pPr>
        <w:jc w:val="both"/>
        <w:rPr>
          <w:rFonts w:ascii="Arial" w:hAnsi="Arial" w:cs="Arial"/>
          <w:b/>
          <w:u w:val="single"/>
        </w:rPr>
      </w:pPr>
      <w:r>
        <w:rPr>
          <w:rFonts w:ascii="Arial" w:hAnsi="Arial" w:cs="Arial"/>
          <w:b/>
          <w:u w:val="single"/>
        </w:rPr>
        <w:lastRenderedPageBreak/>
        <w:t>Rozvojové disparity a potreby a spôsob, akým sa budú riešiť v IROP</w:t>
      </w:r>
    </w:p>
    <w:p>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pPr>
        <w:jc w:val="both"/>
        <w:rPr>
          <w:rFonts w:ascii="Arial" w:hAnsi="Arial" w:cs="Arial"/>
        </w:rPr>
      </w:pPr>
      <w:r>
        <w:rPr>
          <w:rFonts w:ascii="Arial" w:hAnsi="Arial" w:cs="Arial"/>
        </w:rPr>
        <w:t xml:space="preserve">Základnou podmienkou efektívneho prepojenia mestsko-vidieckeho prostredia ako funkčného územia je jeho vzájomná komunikačná prepojenosť. Zlepšenie týchto väzieb je podmienené zlepšením priestorovej súdržnosti na subregionálnej a miestnej úrovni, čo je zabezpečené aj sieťou regionálnych ciest. Podporu regionálnych ciest je teda nutné vnímať najmä v kontexte vyvážaného územného rozvoja a územnej súdržnosti regiónov. V prípade nedostatočného prepojenia vybraných regiónov dochádza k ich segregácii, zaostávaniu v rozvoji a zhoršeniu konkurencieschopnosti voči iným regiónom a subregiónov.   </w:t>
      </w:r>
    </w:p>
    <w:p>
      <w:pPr>
        <w:jc w:val="both"/>
        <w:rPr>
          <w:rFonts w:ascii="Arial" w:hAnsi="Arial" w:cs="Arial"/>
        </w:rPr>
      </w:pPr>
      <w:r>
        <w:rPr>
          <w:rFonts w:ascii="Arial" w:hAnsi="Arial" w:cs="Arial"/>
        </w:rPr>
        <w:t>Z analýzy oblasti dopravnej siete regionálnych ciest (ciest II. a III. triedy) na území SR vyplývajú nasledovné zistenia:</w:t>
      </w:r>
    </w:p>
    <w:p>
      <w:pPr>
        <w:pStyle w:val="Odsekzoznamu"/>
        <w:numPr>
          <w:ilvl w:val="0"/>
          <w:numId w:val="3"/>
        </w:numPr>
        <w:jc w:val="both"/>
        <w:rPr>
          <w:rFonts w:ascii="Arial" w:hAnsi="Arial" w:cs="Arial"/>
        </w:rPr>
      </w:pPr>
      <w:r>
        <w:rPr>
          <w:rFonts w:ascii="Arial" w:hAnsi="Arial" w:cs="Arial"/>
        </w:rPr>
        <w:t>cesty II. a III. triedy predstavujú dopravné komunikácie zabezpečujúce dostupnosť obyvateľstva k vyššej občianskej infraštruktúre a mobilitu pracovných síl do zamestnania (</w:t>
      </w:r>
      <w:r>
        <w:rPr>
          <w:rFonts w:ascii="Arial" w:hAnsi="Arial" w:cs="Arial"/>
          <w:i/>
        </w:rPr>
        <w:t>circular mobility</w:t>
      </w:r>
      <w:r>
        <w:rPr>
          <w:rFonts w:ascii="Arial" w:hAnsi="Arial" w:cs="Arial"/>
        </w:rPr>
        <w:t>);</w:t>
      </w:r>
    </w:p>
    <w:p>
      <w:pPr>
        <w:pStyle w:val="Odsekzoznamu"/>
        <w:numPr>
          <w:ilvl w:val="0"/>
          <w:numId w:val="3"/>
        </w:numPr>
        <w:jc w:val="both"/>
        <w:rPr>
          <w:rFonts w:ascii="Arial" w:hAnsi="Arial" w:cs="Arial"/>
        </w:rPr>
      </w:pPr>
      <w:r>
        <w:rPr>
          <w:rFonts w:ascii="Arial" w:hAnsi="Arial" w:cs="Arial"/>
        </w:rPr>
        <w:t>značná časť regionálnej cestnej siete je v nevyhovujúcom stavebno-technickom stave, a to predovšetkým v niektorých regiónoch stredného a východného Slovenska;</w:t>
      </w:r>
    </w:p>
    <w:p>
      <w:pPr>
        <w:pStyle w:val="Odsekzoznamu"/>
        <w:numPr>
          <w:ilvl w:val="0"/>
          <w:numId w:val="3"/>
        </w:numPr>
        <w:jc w:val="both"/>
        <w:rPr>
          <w:rFonts w:ascii="Arial" w:hAnsi="Arial" w:cs="Arial"/>
        </w:rPr>
      </w:pPr>
      <w:r>
        <w:rPr>
          <w:rFonts w:ascii="Arial" w:hAnsi="Arial" w:cs="Arial"/>
        </w:rPr>
        <w:t>stavebný stav mostných objektov na cestných komunikáciách je zlý, mnohokrát s prekročenou dobou životnosti;</w:t>
      </w:r>
    </w:p>
    <w:p>
      <w:pPr>
        <w:pStyle w:val="Odsekzoznamu"/>
        <w:numPr>
          <w:ilvl w:val="0"/>
          <w:numId w:val="3"/>
        </w:numPr>
        <w:jc w:val="both"/>
        <w:rPr>
          <w:rFonts w:ascii="Arial" w:hAnsi="Arial" w:cs="Arial"/>
        </w:rPr>
      </w:pPr>
      <w:r>
        <w:rPr>
          <w:rFonts w:ascii="Arial" w:hAnsi="Arial" w:cs="Arial"/>
        </w:rPr>
        <w:t>cesty II. a III. triedy preberajú v niektorých regiónoch úlohy ciest I. triedy v prepojení sekundárnych a terciárnych uzlov s napojením na nadradenú cestnú infraštruktúru, hustota regionálnych ciest predstavuje v uvedených oblastiach výrazný podiel z cestnej siete.</w:t>
      </w:r>
    </w:p>
    <w:p>
      <w:pPr>
        <w:jc w:val="both"/>
        <w:rPr>
          <w:rFonts w:ascii="Arial" w:hAnsi="Arial" w:cs="Arial"/>
        </w:rPr>
      </w:pPr>
      <w:r>
        <w:rPr>
          <w:rFonts w:ascii="Arial" w:hAnsi="Arial" w:cs="Arial"/>
          <w:lang w:eastAsia="sk-SK"/>
        </w:rPr>
        <w:t>Podľa údajov cestnej databanky Slovenskej správy ciest dosahuje celková dĺžka ciest II. a III. triedy 14 050 km, čo predstavuje 77,9 % z celkovej dĺžky ciest na území SR. Cesty II. triedy z toho tvoria 3 639 km (20,2 %) a cesty III. triedy výrazný 57,7 % podiel (10 411 km). Na cestách II. a III. triedy sa realizuje 20 %, resp. 13 % dopravných výkonov. Cesty, ktoré sú súčasťou multimodálnych a doplnkových koridorov siete TEN-T dosahujú v podmienkach Slovenska celkom 924,9 km, čo predstavuje 23 % z dĺžky nadradenej dopravnej infraštruktúry (diaľnice, rýchlostné cesty, cesty I. triedy), pričom ich pokrytie územia SR je nerovnomerné</w:t>
      </w:r>
      <w:r>
        <w:rPr>
          <w:rFonts w:ascii="Arial" w:hAnsi="Arial" w:cs="Arial"/>
        </w:rPr>
        <w:t xml:space="preserve">. </w:t>
      </w:r>
    </w:p>
    <w:p>
      <w:pPr>
        <w:jc w:val="both"/>
        <w:rPr>
          <w:rFonts w:ascii="Arial" w:hAnsi="Arial" w:cs="Arial"/>
        </w:rPr>
      </w:pPr>
      <w:r>
        <w:rPr>
          <w:rFonts w:ascii="Arial" w:hAnsi="Arial" w:cs="Arial"/>
          <w:b/>
        </w:rPr>
        <w:t>Zásadným problémom ciest II. a III. triedy je ich zlý stavebno-technický stav, ktorý má vplyv na zhoršenie dostupnosti regiónov a bezpečnosť a plynulosť cestnej premávky.</w:t>
      </w:r>
      <w:r>
        <w:rPr>
          <w:rFonts w:ascii="Arial" w:hAnsi="Arial" w:cs="Arial"/>
        </w:rPr>
        <w:t xml:space="preserve"> Z výsledkov kvalitatívneho hodnotenia stavu cestnej siete na základe prehliadok vykonávaných správcom ciest na cestách I., II. a III. triedy</w:t>
      </w:r>
      <w:r>
        <w:rPr>
          <w:rStyle w:val="Odkaznapoznmkupodiarou"/>
          <w:rFonts w:ascii="Arial" w:hAnsi="Arial" w:cs="Arial"/>
        </w:rPr>
        <w:footnoteReference w:id="1"/>
      </w:r>
      <w:r>
        <w:rPr>
          <w:rFonts w:ascii="Arial" w:hAnsi="Arial" w:cs="Arial"/>
        </w:rPr>
        <w:t xml:space="preserve"> bolo v roku 2012 z celoslovenského hľadiska 65,9% ciest II. triedy (2 371,7 km) vo veľmi dobrom stave, 0,5 % (16,6 km) v dobrom stave, 7,1 % (258,5 km) vo vyhovujúcom stave, </w:t>
      </w:r>
      <w:r>
        <w:rPr>
          <w:rFonts w:ascii="Arial" w:hAnsi="Arial" w:cs="Arial"/>
          <w:b/>
        </w:rPr>
        <w:t>22,7 % (823,1 km) v nevyhovujúcom stave a 3,8 %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Pr>
          <w:rFonts w:ascii="Arial" w:hAnsi="Arial" w:cs="Arial"/>
          <w:b/>
        </w:rPr>
        <w:t>Bratislavskom kraji</w:t>
      </w:r>
      <w:r>
        <w:rPr>
          <w:rFonts w:ascii="Arial" w:hAnsi="Arial" w:cs="Arial"/>
        </w:rPr>
        <w:t>, kde až 76,9 % ciest bolo v nevyhovujúcom až havarijnom stave a v </w:t>
      </w:r>
      <w:r>
        <w:rPr>
          <w:rFonts w:ascii="Arial" w:hAnsi="Arial" w:cs="Arial"/>
          <w:b/>
        </w:rPr>
        <w:t>Banskobystrickom kraji</w:t>
      </w:r>
      <w:r>
        <w:rPr>
          <w:rFonts w:ascii="Arial" w:hAnsi="Arial" w:cs="Arial"/>
        </w:rPr>
        <w:t xml:space="preserve"> (37,1%).</w:t>
      </w:r>
    </w:p>
    <w:p>
      <w:pPr>
        <w:jc w:val="both"/>
        <w:rPr>
          <w:rFonts w:ascii="Arial" w:hAnsi="Arial" w:cs="Arial"/>
        </w:rPr>
      </w:pPr>
      <w:r>
        <w:rPr>
          <w:rFonts w:ascii="Arial" w:hAnsi="Arial" w:cs="Arial"/>
          <w:b/>
        </w:rPr>
        <w:t>Na základe Koncepcie územného rozvoja Slovenska 2001 v znení KURS 2011</w:t>
      </w:r>
      <w:r>
        <w:rPr>
          <w:rFonts w:ascii="Arial" w:hAnsi="Arial" w:cs="Arial"/>
        </w:rPr>
        <w:t xml:space="preserve"> by sa mali naďalej rozvíjať relatívne rovnomerne rozložené stredne veľké mestá ako súčasť polycentrického systému osídlenia a zároveň posilniť význam sídelných systémov ako ťažísk osídlenia. Prevažná </w:t>
      </w:r>
      <w:r>
        <w:rPr>
          <w:rFonts w:ascii="Arial" w:hAnsi="Arial" w:cs="Arial"/>
        </w:rPr>
        <w:lastRenderedPageBreak/>
        <w:t xml:space="preserve">väčšina centier osídlenia je lokalizovaná na nadradenej cestnej infraštruktúre, s výnimkou menších miest prevažne v južnej časti Slovenska a v západnej časti východného Slovenska (napr. centrá rozvoja Spišská Nová Ves, Gelnica), ktoré ležia na cestách II. tried. </w:t>
      </w:r>
      <w:r>
        <w:rPr>
          <w:rFonts w:ascii="Arial" w:hAnsi="Arial" w:cs="Arial"/>
          <w:b/>
        </w:rPr>
        <w:t>Práve prepojením centier osídlenia (a ich zázemia) s nadradenou cestnou infraštruktúrou (t.j. diaľnicami, rýchlostnými cestami a cestami I. triedy) sa napomôže vyváženejšiemu  územnému rozvoju regiónov. Popri cestách II. triedy spájajúcich jednotlivé mestá je v rámci štruktúry ťažísk osídlenia nevyhnutné zabezpečiť kvalitnú cestnú infraštruktúru aj vo vzťahu k vidieckym priestorom, ktoré sú obsluhované prevažne po cestách III. triedy.</w:t>
      </w:r>
      <w:r>
        <w:rPr>
          <w:rFonts w:ascii="Arial" w:hAnsi="Arial" w:cs="Arial"/>
        </w:rPr>
        <w:t xml:space="preserve">   </w:t>
      </w:r>
    </w:p>
    <w:p>
      <w:pPr>
        <w:jc w:val="both"/>
        <w:rPr>
          <w:rFonts w:ascii="Arial" w:hAnsi="Arial" w:cs="Arial"/>
        </w:rPr>
      </w:pPr>
      <w:r>
        <w:rPr>
          <w:rFonts w:ascii="Arial" w:hAnsi="Arial" w:cs="Arial"/>
        </w:rPr>
        <w:t xml:space="preserve">Nároky na kvalitu ciest II. triedy vychádza zo skutočnosti, že viaceré regionálne cesty preberajú funkciu nadradenej cestnej infraštruktúry (t.j. ciest I. triedy) v prepojení terciárnych a sekundárnych uzlov s priamym napojením na nadradenú cestnú sieť a infraštruktúru TEN-T. Význam týchto ciest spočíva na jednej strane v zabezpečení mobility obyvateľstva za prácou a základnými službami, na strane druhej pomáha v udržiavaní a podpore regiónov z hľadiska ich konkurencieschopnosti. </w:t>
      </w:r>
      <w:r>
        <w:rPr>
          <w:rFonts w:ascii="Arial" w:hAnsi="Arial" w:cs="Arial"/>
          <w:b/>
        </w:rPr>
        <w:t>Cesty I. triedy úplne absentujú v okresoch Pezinok, Myjava, Poltár, Gelnica, Spišská Nová Ves, Medzilaborce a Svidník.</w:t>
      </w:r>
      <w:r>
        <w:rPr>
          <w:rFonts w:ascii="Arial" w:hAnsi="Arial" w:cs="Arial"/>
        </w:rPr>
        <w:t xml:space="preserve"> Mnohé z úsekov ciest II. triedy v daných regiónoch sa vzhľadom k intenzite dopravy vyznačujú nielen zlým stavebno-technickým stavom, ale tiež nedostatočnými šírkovými parametrami, či prvkami vplývajúcimi na bezpečnosť cestnej premávky. </w:t>
      </w:r>
      <w:r>
        <w:rPr>
          <w:rFonts w:ascii="Arial" w:hAnsi="Arial" w:cs="Arial"/>
          <w:b/>
        </w:rPr>
        <w:t>Na kvalitu cestnej siete v uvedených regiónoch vplýva tak individuálna a verejná doprava, ako aj doprava nákladná, ktorej intenzita vzrástla v súvislosti so zavedením mýtneho systému na diaľniciach, rýchlostných cestách a cestách I. triedy.</w:t>
      </w:r>
      <w:r>
        <w:rPr>
          <w:rFonts w:ascii="Arial" w:hAnsi="Arial" w:cs="Arial"/>
        </w:rPr>
        <w:t xml:space="preserve"> Zlepšovanie kvality a bezpečnosti regionálnej mobility je potrebné vo vzťahu k obslužnosti regiónov prostredníctvom verejnej autobusovej dopravy, ktorá predstavuje vo viacerých subregiónoch výhradný druh verejnej prepravy osôb.</w:t>
      </w:r>
    </w:p>
    <w:p>
      <w:pPr>
        <w:jc w:val="both"/>
        <w:rPr>
          <w:rFonts w:ascii="Arial" w:hAnsi="Arial" w:cs="Arial"/>
        </w:rPr>
      </w:pPr>
      <w:r>
        <w:rPr>
          <w:rFonts w:ascii="Arial" w:hAnsi="Arial" w:cs="Arial"/>
          <w:b/>
        </w:rPr>
        <w:t xml:space="preserve">Priemerná denná intenzita vozidiel na cestách II. triedy na celom území SR sa podľa celoštátneho sčítania v roku 2010 pohybuje na úrovni 3 557 vozidiel za  deň. V porovnaní s výsledkami sčítania dopravy v roku 2005 sa jedná o priemerný nárast intenzity na cestách II. triedy o 17%. V prípade ciest III. triedy bola v roku 2010 priemerná denná intenzita vozidiel na celom území SR na úrovni 1 896 vozidiel za deň. Oproti roku 2005 sa jedná o priemerný nárast intenzity na cestách III. triedy až o 18%. </w:t>
      </w:r>
      <w:r>
        <w:rPr>
          <w:rFonts w:ascii="Arial" w:hAnsi="Arial" w:cs="Arial"/>
        </w:rPr>
        <w:t>Na základe prognózy vývoja intenzity dopravy na cestách II. a III. triedy na území Žilinského kraja možno do roku 2015 pri súčasnom tempe zvyšovania intenzity dopravy na cestách II. triedy predpokladať nárast osobnej automobilovej dopravy o 23 %, do roku 2020 o 34 %, na cestách III. triedy sa očakáva nárast o 20 %, resp. 30 %.</w:t>
      </w:r>
      <w:r>
        <w:rPr>
          <w:rStyle w:val="Odkaznapoznmkupodiarou"/>
          <w:rFonts w:ascii="Arial" w:hAnsi="Arial" w:cs="Arial"/>
          <w:b/>
        </w:rPr>
        <w:footnoteReference w:id="2"/>
      </w:r>
      <w:r>
        <w:rPr>
          <w:rFonts w:ascii="Arial" w:hAnsi="Arial" w:cs="Arial"/>
        </w:rPr>
        <w:t xml:space="preserve"> Nároky na prevádzku a údržbu regionálnych ciest sa budú v dôsledku negatívnych vplyvov nárastu intenzít (zhoršovanie stavebno-technického stavu,  environmentálne vplyvy, vplyvy na bezpečnosť cestnej premávky, časové straty, znižovanie komfortu cestovania) zvyšovať a ovplyvňovať spôsob a výkony prepravy, objem investícií a v konečnom dôsledku konkurencieschopnosť regiónov.</w:t>
      </w:r>
    </w:p>
    <w:p>
      <w:pPr>
        <w:jc w:val="both"/>
        <w:rPr>
          <w:rFonts w:ascii="Arial" w:hAnsi="Arial" w:cs="Arial"/>
          <w:iCs/>
        </w:rPr>
      </w:pPr>
      <w:r>
        <w:rPr>
          <w:rStyle w:val="Siln"/>
          <w:rFonts w:ascii="Arial" w:hAnsi="Arial" w:cs="Arial"/>
          <w:iCs/>
        </w:rPr>
        <w:t xml:space="preserve">Významný prvok z hľadiska dostupnosti a zjazdnosti ciest predstavujú mostné objekty. Mnohé z mostných objektov sa vyznačujú zlým stavebným stavom a prekročenou dobou životnosti. Opravám a modernizácii mostov bola v minulosti venovaná pomerne malá pozornosť, čo sa odzrkadlilo na ich stavebnom stave ako aj ďalších dôležitých parametroch. Z celkového počtu mostných objektov v správe samosprávnych krajov  sa 47,5 % vyznačuje dobrým stavebným stavom a takmer 9 % mostov zlým až havarijným </w:t>
      </w:r>
      <w:r>
        <w:rPr>
          <w:rStyle w:val="Siln"/>
          <w:rFonts w:ascii="Arial" w:hAnsi="Arial" w:cs="Arial"/>
          <w:iCs/>
        </w:rPr>
        <w:lastRenderedPageBreak/>
        <w:t>stavom. V rámci regiónov je najhoršia situácia v Žilinskom kraji, kde 35,1 % mostných objektov spadá do kategórie stavebného stavu zlý až havarijný, na území Banskobystrického kraja je v uvedenej kategórii 14,8 % mostných objektov</w:t>
      </w:r>
      <w:r>
        <w:rPr>
          <w:rStyle w:val="Odkaznapoznmkupodiarou"/>
          <w:rFonts w:ascii="Arial" w:hAnsi="Arial" w:cs="Arial"/>
          <w:b/>
          <w:bCs/>
          <w:iCs/>
        </w:rPr>
        <w:footnoteReference w:id="3"/>
      </w:r>
      <w:r>
        <w:rPr>
          <w:rStyle w:val="Siln"/>
          <w:rFonts w:ascii="Arial" w:hAnsi="Arial" w:cs="Arial"/>
          <w:iCs/>
        </w:rPr>
        <w:t>.</w:t>
      </w:r>
    </w:p>
    <w:p>
      <w:pPr>
        <w:jc w:val="both"/>
        <w:rPr>
          <w:rFonts w:ascii="Arial" w:hAnsi="Arial" w:cs="Arial"/>
          <w:i/>
          <w:iCs/>
        </w:rPr>
      </w:pPr>
      <w:r>
        <w:rPr>
          <w:rFonts w:ascii="Arial" w:hAnsi="Arial" w:cs="Arial"/>
          <w:iCs/>
        </w:rPr>
        <w:t xml:space="preserve">Kvalita ciest a cestnej infraštruktúry sa výrazným spôsobom podieľa na bezpečnosti a plynulosti cestnej premávky a tým aj na znižovaní dopravnej nehodovosti. V roku 2011 bolo na slovenských cestách 15 001 dopravných nehôd, pri ktorých bolo usmrtených 324 osôb. V porovnaní s rokom 2009 to predstavuje pokles o takmer 11 tisíc dopravných nehôd a len o 23 usmrtených osôb menej. Počet nehôd na cestách I. triedy a cestách II. a III. triedy dosahuje porovnateľné hodnoty (4 694 : 4 303). Zvyšovanie bezpečnosti cestnej premávky je zároveň jedným zo základných cieľov EÚ v oblasti dopravy: </w:t>
      </w:r>
      <w:r>
        <w:rPr>
          <w:rFonts w:ascii="Arial" w:hAnsi="Arial" w:cs="Arial"/>
          <w:i/>
          <w:iCs/>
        </w:rPr>
        <w:t>„Znížiť do roku 2050 počet smrteľných nehôd v cestnej doprave takmer na nulu.“</w:t>
      </w:r>
      <w:r>
        <w:rPr>
          <w:rStyle w:val="Odkaznapoznmkupodiarou"/>
          <w:rFonts w:ascii="Arial" w:hAnsi="Arial" w:cs="Arial"/>
          <w:i/>
          <w:iCs/>
        </w:rPr>
        <w:footnoteReference w:id="4"/>
      </w:r>
      <w:r>
        <w:rPr>
          <w:rFonts w:ascii="Arial" w:hAnsi="Arial" w:cs="Arial"/>
          <w:i/>
          <w:iCs/>
        </w:rPr>
        <w:t xml:space="preserve"> </w:t>
      </w:r>
    </w:p>
    <w:p>
      <w:pPr>
        <w:jc w:val="both"/>
        <w:rPr>
          <w:rFonts w:ascii="Arial" w:hAnsi="Arial" w:cs="Arial"/>
          <w:i/>
          <w:iCs/>
        </w:rPr>
      </w:pPr>
    </w:p>
    <w:p>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pPr>
        <w:jc w:val="both"/>
        <w:rPr>
          <w:rFonts w:ascii="Arial" w:hAnsi="Arial" w:cs="Arial"/>
          <w:b/>
        </w:rPr>
      </w:pPr>
      <w:r>
        <w:rPr>
          <w:rFonts w:ascii="Arial" w:hAnsi="Arial" w:cs="Arial"/>
          <w:b/>
        </w:rPr>
        <w:t>Verejná osobná doprava</w:t>
      </w:r>
    </w:p>
    <w:p>
      <w:pPr>
        <w:jc w:val="both"/>
        <w:rPr>
          <w:rFonts w:ascii="Arial" w:hAnsi="Arial" w:cs="Arial"/>
        </w:rPr>
      </w:pPr>
      <w:r>
        <w:rPr>
          <w:rFonts w:ascii="Arial" w:hAnsi="Arial" w:cs="Arial"/>
          <w:b/>
        </w:rPr>
        <w:t>Podiel verejnej osobnej dopravy (VOD) na prepravnom množstve poklesol z 50 % v roku 1995 na 30 % v roku 2008 a podiel individuálnej automobilovej dopravy (IAD) sa v tomto období tak zvýšil na 70 %.</w:t>
      </w:r>
      <w:r>
        <w:rPr>
          <w:rFonts w:ascii="Arial" w:hAnsi="Arial" w:cs="Arial"/>
        </w:rPr>
        <w:t xml:space="preserve"> Prímestskú a regionálnu autobusovú dopravu zabezpečujú autobusoví dopravcovia na základe zmluvných vzťahov so samosprávnymi krajmi od roku 2003, pričom odvtedy vykonali viaceré opatrenia smerujúce k zmene tohto nepriaznivého stavu (obnova vozidlového parku, budovanie infraštruktúra a pod.).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 v rámci staníc chýbajú parkoviská pre osobné vozidlá a taxíky a odstavné plochy pre bicykle a motocykle a úschovne batožiny. </w:t>
      </w:r>
      <w:r>
        <w:rPr>
          <w:rFonts w:ascii="Arial" w:hAnsi="Arial" w:cs="Arial"/>
          <w:b/>
        </w:rPr>
        <w:t xml:space="preserve">Dlhodobo v regionálnej verejnej osobnej doprave dominuje autobusová doprava, avšak počet cestujúcich autobusmi trvale klesá, zatiaľ čo počet cestujúcich v železničnej doprave zostáva približne rovnaký, a to napriek </w:t>
      </w:r>
      <w:r>
        <w:rPr>
          <w:rFonts w:ascii="Arial" w:hAnsi="Arial" w:cs="Arial"/>
        </w:rPr>
        <w:t>rušeniu viacerých málo využívaných vlakových spojov, v prevažnej miere v regionálnej doprave. K zásadným infraštruktúrnym nedostatkom železničnej dopravy môžeme zaradiť podobne ako v prípade autobusovej dopravy nedostatočnú kvalitu, zanedbaný charakter a vybavenie staníc a zastávok, chýbajúcu doplnkovú infraštruktúru – vyhovujúce napojenie na MHD a regionálnu autobusovú dopravu, parkoviská pre osobné vozidlá, parkoviská a stojany pre bicykle.</w:t>
      </w:r>
    </w:p>
    <w:p>
      <w:pPr>
        <w:jc w:val="both"/>
        <w:rPr>
          <w:rFonts w:ascii="Arial" w:hAnsi="Arial" w:cs="Arial"/>
        </w:rPr>
      </w:pPr>
      <w:r>
        <w:rPr>
          <w:rFonts w:ascii="Arial" w:hAnsi="Arial" w:cs="Arial"/>
          <w:b/>
        </w:rPr>
        <w:t>Tabuľka č. 1</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606" w:type="dxa"/>
        <w:tblLook w:val="04A0" w:firstRow="1" w:lastRow="0" w:firstColumn="1" w:lastColumn="0" w:noHBand="0" w:noVBand="1"/>
      </w:tblPr>
      <w:tblGrid>
        <w:gridCol w:w="1660"/>
        <w:gridCol w:w="1155"/>
        <w:gridCol w:w="1829"/>
        <w:gridCol w:w="1985"/>
        <w:gridCol w:w="2977"/>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pPr>
              <w:spacing w:after="0" w:line="240" w:lineRule="auto"/>
              <w:jc w:val="both"/>
              <w:rPr>
                <w:rFonts w:ascii="Arial" w:hAnsi="Arial" w:cs="Arial"/>
                <w:sz w:val="18"/>
                <w:szCs w:val="18"/>
              </w:rPr>
            </w:pPr>
            <w:r>
              <w:rPr>
                <w:rFonts w:ascii="Arial" w:hAnsi="Arial" w:cs="Arial"/>
                <w:sz w:val="18"/>
                <w:szCs w:val="18"/>
              </w:rPr>
              <w:t>Kraj</w:t>
            </w:r>
          </w:p>
        </w:tc>
        <w:tc>
          <w:tcPr>
            <w:tcW w:w="7946" w:type="dxa"/>
            <w:gridSpan w:val="4"/>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pPr>
              <w:spacing w:after="0" w:line="240" w:lineRule="auto"/>
              <w:jc w:val="both"/>
              <w:rPr>
                <w:rFonts w:ascii="Arial" w:hAnsi="Arial" w:cs="Arial"/>
                <w:sz w:val="18"/>
                <w:szCs w:val="18"/>
              </w:rPr>
            </w:pPr>
          </w:p>
        </w:tc>
        <w:tc>
          <w:tcPr>
            <w:tcW w:w="1155" w:type="dxa"/>
            <w:vMerge w:val="restart"/>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977" w:type="dxa"/>
            <w:vMerge w:val="restart"/>
            <w:shd w:val="clear" w:color="auto" w:fill="auto"/>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pPr>
              <w:spacing w:after="0" w:line="240" w:lineRule="auto"/>
              <w:jc w:val="both"/>
              <w:rPr>
                <w:rFonts w:ascii="Arial" w:hAnsi="Arial" w:cs="Arial"/>
                <w:sz w:val="18"/>
                <w:szCs w:val="18"/>
              </w:rPr>
            </w:pPr>
          </w:p>
        </w:tc>
        <w:tc>
          <w:tcPr>
            <w:tcW w:w="1155"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977"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lastRenderedPageBreak/>
              <w:t>TNSK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pPr>
        <w:jc w:val="both"/>
        <w:rPr>
          <w:rFonts w:ascii="Arial" w:hAnsi="Arial" w:cs="Arial"/>
          <w:sz w:val="20"/>
        </w:rPr>
      </w:pPr>
      <w:r>
        <w:rPr>
          <w:rFonts w:ascii="Arial" w:hAnsi="Arial" w:cs="Arial"/>
          <w:sz w:val="20"/>
        </w:rPr>
        <w:t>Zdroj: Stratégia rozvoja verejnej osobnej a nemotorovej dopravy SR do roku 2020</w:t>
      </w:r>
    </w:p>
    <w:p>
      <w:pPr>
        <w:jc w:val="both"/>
        <w:rPr>
          <w:rFonts w:ascii="Arial" w:hAnsi="Arial" w:cs="Arial"/>
        </w:rPr>
      </w:pPr>
      <w:r>
        <w:rPr>
          <w:rFonts w:ascii="Arial" w:hAnsi="Arial" w:cs="Arial"/>
          <w:b/>
        </w:rPr>
        <w:t>Mestská hromadná doprava</w:t>
      </w:r>
      <w:r>
        <w:rPr>
          <w:rFonts w:ascii="Arial" w:hAnsi="Arial" w:cs="Arial"/>
        </w:rPr>
        <w:t xml:space="preserve"> v slovenských mestách je prevádzkovaná mestskými dopravnými podnikmi alebo externými dopravcami na objednávku miest, v roku 2011 prepravili všetky slovenské MHD 417 mil. cestujúcich. Najväčším problémom príťažlivosti mestskej hromadnej dopravy je </w:t>
      </w:r>
      <w:r>
        <w:rPr>
          <w:rFonts w:ascii="Arial" w:hAnsi="Arial" w:cs="Arial"/>
          <w:b/>
        </w:rPr>
        <w:t>podfinancovanosť mestských dopravných podnikov a z nej vyplývajúci zlý technický stav dopravných prostriedkov MHD a dopravnej infraštruktúry.</w:t>
      </w:r>
      <w:r>
        <w:rPr>
          <w:rFonts w:ascii="Arial" w:hAnsi="Arial" w:cs="Arial"/>
        </w:rPr>
        <w:t xml:space="preserve"> Mestá nemajú definované dostatočné štandardy kvality a dopravnej obslužnosti vrátane účinnej kontroly, </w:t>
      </w:r>
      <w:r>
        <w:rPr>
          <w:rFonts w:ascii="Arial" w:hAnsi="Arial" w:cs="Arial"/>
          <w:b/>
        </w:rPr>
        <w:t>chýbajú samostatné vyhradené pruhy pre MHD, inteligentné dopravné systémy – prioritizácia MHD napr. na vstupe do križovatky.</w:t>
      </w:r>
    </w:p>
    <w:p>
      <w:pPr>
        <w:jc w:val="both"/>
        <w:rPr>
          <w:rFonts w:ascii="Arial" w:hAnsi="Arial" w:cs="Arial"/>
          <w:b/>
        </w:rPr>
      </w:pPr>
      <w:r>
        <w:rPr>
          <w:rFonts w:ascii="Arial" w:hAnsi="Arial" w:cs="Arial"/>
          <w:b/>
        </w:rPr>
        <w:t>Tabuľka č. 2</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513" w:type="dxa"/>
        <w:tblLook w:val="04A0" w:firstRow="1" w:lastRow="0" w:firstColumn="1" w:lastColumn="0" w:noHBand="0" w:noVBand="1"/>
      </w:tblPr>
      <w:tblGrid>
        <w:gridCol w:w="1668"/>
        <w:gridCol w:w="1041"/>
        <w:gridCol w:w="1842"/>
        <w:gridCol w:w="1985"/>
        <w:gridCol w:w="2977"/>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pPr>
              <w:spacing w:after="0" w:line="240" w:lineRule="auto"/>
              <w:jc w:val="both"/>
              <w:rPr>
                <w:rFonts w:ascii="Arial" w:hAnsi="Arial" w:cs="Arial"/>
                <w:sz w:val="18"/>
                <w:szCs w:val="18"/>
              </w:rPr>
            </w:pPr>
            <w:r>
              <w:rPr>
                <w:rFonts w:ascii="Arial" w:hAnsi="Arial" w:cs="Arial"/>
                <w:sz w:val="18"/>
                <w:szCs w:val="18"/>
              </w:rPr>
              <w:t>Mesto</w:t>
            </w:r>
          </w:p>
        </w:tc>
        <w:tc>
          <w:tcPr>
            <w:tcW w:w="7845" w:type="dxa"/>
            <w:gridSpan w:val="4"/>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pPr>
              <w:spacing w:after="0" w:line="240" w:lineRule="auto"/>
              <w:jc w:val="both"/>
              <w:rPr>
                <w:rFonts w:ascii="Arial" w:hAnsi="Arial" w:cs="Arial"/>
                <w:sz w:val="18"/>
                <w:szCs w:val="18"/>
              </w:rPr>
            </w:pPr>
          </w:p>
        </w:tc>
        <w:tc>
          <w:tcPr>
            <w:tcW w:w="1041" w:type="dxa"/>
            <w:vMerge w:val="restart"/>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977" w:type="dxa"/>
            <w:vMerge w:val="restart"/>
            <w:shd w:val="clear" w:color="auto" w:fill="auto"/>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pPr>
              <w:spacing w:after="0" w:line="240" w:lineRule="auto"/>
              <w:jc w:val="both"/>
              <w:rPr>
                <w:rFonts w:ascii="Arial" w:hAnsi="Arial" w:cs="Arial"/>
                <w:sz w:val="18"/>
                <w:szCs w:val="18"/>
              </w:rPr>
            </w:pPr>
          </w:p>
        </w:tc>
        <w:tc>
          <w:tcPr>
            <w:tcW w:w="1041"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977"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977"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977"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pPr>
        <w:jc w:val="both"/>
        <w:rPr>
          <w:rFonts w:ascii="Arial" w:hAnsi="Arial" w:cs="Arial"/>
        </w:rPr>
      </w:pPr>
      <w:r>
        <w:rPr>
          <w:rFonts w:ascii="Arial" w:hAnsi="Arial" w:cs="Arial"/>
          <w:sz w:val="20"/>
        </w:rPr>
        <w:t>Zdroj: Stratégia rozvoja verejnej osobnej a nemotorovej dopravy SR do roku 2020</w:t>
      </w:r>
    </w:p>
    <w:p>
      <w:pPr>
        <w:jc w:val="both"/>
        <w:rPr>
          <w:rFonts w:ascii="Arial" w:hAnsi="Arial" w:cs="Arial"/>
          <w:b/>
        </w:rPr>
      </w:pPr>
      <w:r>
        <w:rPr>
          <w:rFonts w:ascii="Arial" w:hAnsi="Arial" w:cs="Arial"/>
        </w:rPr>
        <w:t xml:space="preserve">Súčasné mestské aglomerácie zápasia s problémami narastajúceho podielu individuálnej automobilovej dopravy a narastajúcich emisií znečisťujúcich látok. </w:t>
      </w:r>
      <w:r>
        <w:rPr>
          <w:rFonts w:ascii="Arial" w:hAnsi="Arial" w:cs="Arial"/>
          <w:b/>
        </w:rPr>
        <w:t>Mobilné zdroje znečisťovania predstavujú nezanedbateľný podiel na celkových emisiách bilancovaných znečisťujúcich látok (25 % podiel na emisiách CO, 11 % podiel NM VOC a cca 51 % podiel na emisiách NO</w:t>
      </w:r>
      <w:r>
        <w:rPr>
          <w:rFonts w:ascii="Arial" w:hAnsi="Arial" w:cs="Arial"/>
          <w:b/>
          <w:vertAlign w:val="subscript"/>
        </w:rPr>
        <w:t>X</w:t>
      </w:r>
      <w:r>
        <w:rPr>
          <w:rFonts w:ascii="Arial" w:hAnsi="Arial" w:cs="Arial"/>
          <w:b/>
        </w:rPr>
        <w:t>; z toho až 45%-ný podiel cestnej dopravy).</w:t>
      </w:r>
      <w:r>
        <w:rPr>
          <w:rFonts w:ascii="Arial" w:hAnsi="Arial" w:cs="Arial"/>
        </w:rPr>
        <w:t xml:space="preserve"> Na celkových emisiách tuhých znečisťujúcich látok (TZL) sa doprava v roku 2010 podieľala 8 %, na emisiách SO</w:t>
      </w:r>
      <w:r>
        <w:rPr>
          <w:rFonts w:ascii="Arial" w:hAnsi="Arial" w:cs="Arial"/>
          <w:vertAlign w:val="subscript"/>
        </w:rPr>
        <w:t>2</w:t>
      </w:r>
      <w:r>
        <w:rPr>
          <w:rFonts w:ascii="Arial" w:hAnsi="Arial" w:cs="Arial"/>
        </w:rPr>
        <w:t xml:space="preserve"> 0,40 %, na emisiách ťažkých kovov cca 3 %. </w:t>
      </w:r>
      <w:r>
        <w:rPr>
          <w:rFonts w:ascii="Arial" w:hAnsi="Arial" w:cs="Arial"/>
          <w:b/>
        </w:rPr>
        <w:t>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sa pohybuje na úrovni 8,2 roka</w:t>
      </w:r>
      <w:r>
        <w:rPr>
          <w:rFonts w:ascii="Arial" w:hAnsi="Arial" w:cs="Arial"/>
        </w:rPr>
        <w:t xml:space="preserve">, pričom najhoršia je situácia v Nitrianskom kraji, kde je vek vozidlového parku na úrovni 12,8 roka. Obdobne nevyhovujúce parametre dosahuje aj </w:t>
      </w:r>
      <w:r>
        <w:rPr>
          <w:rFonts w:ascii="Arial" w:hAnsi="Arial" w:cs="Arial"/>
          <w:b/>
        </w:rPr>
        <w:t xml:space="preserve">vozidlový </w:t>
      </w:r>
      <w:r>
        <w:rPr>
          <w:rFonts w:ascii="Arial" w:hAnsi="Arial" w:cs="Arial"/>
          <w:b/>
        </w:rPr>
        <w:lastRenderedPageBreak/>
        <w:t>park mestských prepravcov, keď jeho priemerný vek je 8,5 roka</w:t>
      </w:r>
      <w:r>
        <w:rPr>
          <w:rStyle w:val="Odkaznapoznmkupodiarou"/>
          <w:rFonts w:ascii="Arial" w:hAnsi="Arial" w:cs="Arial"/>
        </w:rPr>
        <w:footnoteReference w:id="5"/>
      </w:r>
      <w:r>
        <w:rPr>
          <w:rFonts w:ascii="Arial" w:hAnsi="Arial" w:cs="Arial"/>
        </w:rPr>
        <w:t>.</w:t>
      </w:r>
      <w:r>
        <w:rPr>
          <w:rFonts w:ascii="Arial" w:hAnsi="Arial" w:cs="Arial"/>
          <w:b/>
        </w:rPr>
        <w:t xml:space="preserve"> Priemerný vek autobusov mestskej dopravy v krajinách EÚ dosahoval v roku 2008 podľa správy UITP 7,6 roka, pričom vek autobusov v slovenských mestách bol druhý najstarší (13 rokov)</w:t>
      </w:r>
      <w:r>
        <w:rPr>
          <w:rStyle w:val="Odkaznapoznmkupodiarou"/>
          <w:rFonts w:ascii="Arial" w:hAnsi="Arial" w:cs="Arial"/>
          <w:b/>
        </w:rPr>
        <w:footnoteReference w:id="6"/>
      </w:r>
      <w:r>
        <w:rPr>
          <w:rFonts w:ascii="Arial" w:hAnsi="Arial" w:cs="Arial"/>
          <w:b/>
        </w:rPr>
        <w:t xml:space="preserve">. </w:t>
      </w:r>
      <w:r>
        <w:rPr>
          <w:rFonts w:ascii="Arial" w:hAnsi="Arial" w:cs="Arial"/>
        </w:rPr>
        <w:t>Príkladom efektívnosti vynaložených prostriedkov do obnovy vozového parku je projekt nákupu 30 ks 12-metrových vozidiel pre Dopravný podnik mesta Žilina, kde sa predpokladá zníženie emisií a spotreby pohonných hmôt - počas životnosti vozidiel spolu 2,3 mil. l paliva, 6 165 t CO</w:t>
      </w:r>
      <w:r>
        <w:rPr>
          <w:rFonts w:ascii="Arial" w:hAnsi="Arial" w:cs="Arial"/>
          <w:vertAlign w:val="subscript"/>
        </w:rPr>
        <w:t>2</w:t>
      </w:r>
      <w:r>
        <w:rPr>
          <w:rFonts w:ascii="Arial" w:hAnsi="Arial" w:cs="Arial"/>
        </w:rPr>
        <w:t>, 68 t CO, 235 t NO</w:t>
      </w:r>
      <w:r>
        <w:rPr>
          <w:rFonts w:ascii="Arial" w:hAnsi="Arial" w:cs="Arial"/>
          <w:vertAlign w:val="subscript"/>
        </w:rPr>
        <w:t>X</w:t>
      </w:r>
      <w:r>
        <w:rPr>
          <w:rFonts w:ascii="Arial" w:hAnsi="Arial" w:cs="Arial"/>
        </w:rPr>
        <w:t>, 42 t NHMC, 6 t PM</w:t>
      </w:r>
      <w:r>
        <w:rPr>
          <w:rStyle w:val="Odkaznapoznmkupodiarou"/>
          <w:rFonts w:ascii="Arial" w:hAnsi="Arial" w:cs="Arial"/>
        </w:rPr>
        <w:footnoteReference w:id="7"/>
      </w:r>
      <w:r>
        <w:rPr>
          <w:rFonts w:ascii="Arial" w:hAnsi="Arial" w:cs="Arial"/>
        </w:rPr>
        <w:t xml:space="preserve">. </w:t>
      </w:r>
    </w:p>
    <w:p>
      <w:pPr>
        <w:jc w:val="both"/>
        <w:rPr>
          <w:rFonts w:ascii="Arial" w:hAnsi="Arial" w:cs="Arial"/>
          <w:b/>
        </w:rPr>
      </w:pPr>
      <w:r>
        <w:rPr>
          <w:rFonts w:ascii="Arial" w:hAnsi="Arial" w:cs="Arial"/>
          <w:b/>
        </w:rPr>
        <w:t>Opatrenia na riešenie v rámci IROP:</w:t>
      </w:r>
    </w:p>
    <w:p>
      <w:pPr>
        <w:pStyle w:val="Odsekzoznamu"/>
        <w:numPr>
          <w:ilvl w:val="0"/>
          <w:numId w:val="8"/>
        </w:numPr>
        <w:jc w:val="both"/>
        <w:rPr>
          <w:rFonts w:ascii="Arial" w:hAnsi="Arial" w:cs="Arial"/>
        </w:rPr>
      </w:pPr>
      <w:r>
        <w:rPr>
          <w:rFonts w:ascii="Arial" w:hAnsi="Arial" w:cs="Arial"/>
        </w:rPr>
        <w:t>zvyšovanie atraktivity a efektívnosti verejnej osobnej dopravy;</w:t>
      </w:r>
    </w:p>
    <w:p>
      <w:pPr>
        <w:pStyle w:val="Odsekzoznamu"/>
        <w:numPr>
          <w:ilvl w:val="0"/>
          <w:numId w:val="8"/>
        </w:numPr>
        <w:jc w:val="both"/>
        <w:rPr>
          <w:rFonts w:ascii="Arial" w:hAnsi="Arial" w:cs="Arial"/>
        </w:rPr>
      </w:pPr>
      <w:r>
        <w:rPr>
          <w:rFonts w:ascii="Arial" w:hAnsi="Arial" w:cs="Arial"/>
        </w:rPr>
        <w:t>rozvoj integrovaných dopravných systémov;</w:t>
      </w:r>
    </w:p>
    <w:p>
      <w:pPr>
        <w:pStyle w:val="Odsekzoznamu"/>
        <w:numPr>
          <w:ilvl w:val="0"/>
          <w:numId w:val="8"/>
        </w:numPr>
        <w:jc w:val="both"/>
        <w:rPr>
          <w:rFonts w:ascii="Arial" w:hAnsi="Arial" w:cs="Arial"/>
        </w:rPr>
      </w:pPr>
      <w:r>
        <w:rPr>
          <w:rFonts w:ascii="Arial" w:hAnsi="Arial" w:cs="Arial"/>
        </w:rPr>
        <w:t>podpora bezemisnej a nízkoemisnej mestskej a prímestskej verejnej dopravy.</w:t>
      </w:r>
    </w:p>
    <w:p>
      <w:pPr>
        <w:jc w:val="both"/>
        <w:rPr>
          <w:rFonts w:ascii="Arial" w:hAnsi="Arial" w:cs="Arial"/>
          <w:b/>
        </w:rPr>
      </w:pPr>
      <w:r>
        <w:rPr>
          <w:rFonts w:ascii="Arial" w:hAnsi="Arial" w:cs="Arial"/>
          <w:b/>
        </w:rPr>
        <w:t>Opatrenia na zvýšenie podielu verejnej osobnej dopravy sa musia zamerať predovšetkým na zlepšenie základných parametrov, ktoré ovplyvňujú užívateľa dopravy pri voľbe dopravného prostriedku, ktorými sú: spoľahlivosť, časová a priestorová dostupnosť, pohodlie, kvalita a rozsah doplnkových služieb ako aj náklady na realizáciu dopravného procesu (cena pre užívateľa).</w:t>
      </w:r>
      <w:r>
        <w:rPr>
          <w:rStyle w:val="Odkaznapoznmkupodiarou"/>
          <w:rFonts w:ascii="Arial" w:hAnsi="Arial" w:cs="Arial"/>
          <w:b/>
        </w:rPr>
        <w:footnoteReference w:id="8"/>
      </w:r>
    </w:p>
    <w:p>
      <w:pPr>
        <w:jc w:val="both"/>
        <w:rPr>
          <w:rFonts w:ascii="Arial" w:hAnsi="Arial" w:cs="Arial"/>
        </w:rPr>
      </w:pPr>
      <w:r>
        <w:rPr>
          <w:rFonts w:ascii="Arial" w:hAnsi="Arial" w:cs="Arial"/>
        </w:rPr>
        <w:t xml:space="preserve">Na Slovensku je aktuálny stav verejnej dopravy charakteristický najmä veľkým počtom paralelných, vzájomne si konkurujúcich autobusových liniek a železničných trás a množstvom neexistujúcich prípojov medzi autobusmi a osobnými vlakmi všade tam, kde by spolupráca medzi objednávateľmi dopravných služieb (železničná doprava – Ministerstvo dopravy, výstavby a regionálneho rozvoja SR, prímestská doprava – vyššie územné celky, MHD – mestá a obce) jednotlivých druhov dopravy mohla priniesť všeobecne prospešný efekt. Aktivity v rámci podpory dopravnej infraštruktúry, predovšetkým rozvoja ekologicky priaznivých a nízkouhlíkových dopravných systémov a podpory udržateľnej mestskej mobility v rámci IROP prispievajú k napĺňaniu jedného z hlavných cieľov Stratégie Európa 2020 a to </w:t>
      </w:r>
      <w:r>
        <w:rPr>
          <w:rFonts w:ascii="Arial" w:hAnsi="Arial" w:cs="Arial"/>
          <w:i/>
        </w:rPr>
        <w:t>„znížiť emisie skleníkových plynov o 20 % (resp. až o 30 % pokiaľ k tomu budú vytvorené podmienky) v porovnaní s rokom 1990“.</w:t>
      </w:r>
    </w:p>
    <w:p>
      <w:pPr>
        <w:jc w:val="both"/>
        <w:rPr>
          <w:rFonts w:ascii="Arial" w:hAnsi="Arial" w:cs="Arial"/>
          <w:b/>
        </w:rPr>
      </w:pPr>
      <w:r>
        <w:rPr>
          <w:rFonts w:ascii="Arial" w:hAnsi="Arial" w:cs="Arial"/>
          <w:b/>
        </w:rPr>
        <w:t xml:space="preserve">Nemotorová doprava </w:t>
      </w:r>
    </w:p>
    <w:p>
      <w:pPr>
        <w:jc w:val="both"/>
        <w:rPr>
          <w:rFonts w:ascii="Arial" w:hAnsi="Arial" w:cs="Arial"/>
        </w:rPr>
      </w:pPr>
      <w:r>
        <w:rPr>
          <w:rFonts w:ascii="Arial" w:hAnsi="Arial" w:cs="Arial"/>
        </w:rPr>
        <w:t>Z hľadiska podpory ekologicky priaznivých a nízkouhlíkových dopravných systémov je nevyhnutné, aby sa cyklistická doprava stala rovnocenným druhom dopravy a bola integrovaná s ostatnými druhmi dopravy, ako aj sa zlepšilo vnímanie cyklistov ako plnohodnotných účastníkov cestnej premávky. O podpore cyklistickej infraštruktúry v kontexte rozvoja dopravnej siete TEN-T pojednáva nariadenie EK č. 1315/2013, kde je v bode 9 uvedené, že jednotlivé projekty by mali byť v úzkej synergii s cyklistickou infraštruktúrou siete EuroVelo</w:t>
      </w:r>
      <w:r>
        <w:rPr>
          <w:rStyle w:val="Odkaznapoznmkupodiarou"/>
          <w:rFonts w:ascii="Arial" w:hAnsi="Arial" w:cs="Arial"/>
        </w:rPr>
        <w:footnoteReference w:id="9"/>
      </w:r>
      <w:r>
        <w:rPr>
          <w:rFonts w:ascii="Arial" w:hAnsi="Arial" w:cs="Arial"/>
        </w:rPr>
        <w:t xml:space="preserve">. Dopravná politika SR do roku 2015 obsahuje 2 špecifické ciele a 6 priorít, ktoré sa dotýkajú rozvoja a podpory cyklistickej dopravy, predovšetkým zabezpečenia modernizácie a rozvoja infraštruktúry pre cyklistickú </w:t>
      </w:r>
      <w:r>
        <w:rPr>
          <w:rFonts w:ascii="Arial" w:hAnsi="Arial" w:cs="Arial"/>
        </w:rPr>
        <w:lastRenderedPageBreak/>
        <w:t>dopravu a znižovaniu negatívnych dopadov dopravy na životné prostredie. Konštatuje sa v nej, že „</w:t>
      </w:r>
      <w:r>
        <w:rPr>
          <w:rStyle w:val="CitciaChar"/>
          <w:rFonts w:ascii="Arial" w:hAnsi="Arial" w:cs="Arial"/>
        </w:rPr>
        <w:t>hlavným predpokladaným prínosom rozvoja infraštruktúry pre nemotorovú dopravu (peší pohyb, cyklistická doprava a pod.) je podstatný presun časti prepravných potrieb v osobnej doprave v rámci miest a obcí z individuálnej automobilovej dopravy do ekologicky čistej a ekonomicky efektívnej nemotorovej dopravy.</w:t>
      </w:r>
      <w:r>
        <w:rPr>
          <w:rFonts w:ascii="Arial" w:hAnsi="Arial" w:cs="Arial"/>
        </w:rPr>
        <w:t xml:space="preserve">“ Podpora financovania cyklistickej dopravy v SR z verejných zdrojov je obsiahnutá vo vládnom materiáli </w:t>
      </w:r>
      <w:r>
        <w:rPr>
          <w:rFonts w:ascii="Arial" w:hAnsi="Arial" w:cs="Arial"/>
          <w:b/>
        </w:rPr>
        <w:t>„Trvalý finančný mechanizmus na implementáciu Národnej stratégie rozvoja cyklistickej dopravy a cykloturistiky v Slovenskej republike“.</w:t>
      </w:r>
    </w:p>
    <w:p>
      <w:pPr>
        <w:jc w:val="both"/>
        <w:rPr>
          <w:rFonts w:ascii="Arial" w:hAnsi="Arial" w:cs="Arial"/>
        </w:rPr>
      </w:pPr>
      <w:r>
        <w:rPr>
          <w:rFonts w:ascii="Arial" w:hAnsi="Arial" w:cs="Arial"/>
          <w:b/>
        </w:rPr>
        <w:t>Rozvoj mestskej mobility formou podpory cyklistickej dopravy prináša pozitívny efekt nielen pre cyklistov, ale i pre motoristov a samotné samosprávy. V dôsledku znižovania počtu automobilov dochádza k menšiemu počtu kongescií a mestá nie sú nútené budovať a udržiavať viac ciest pre pribúdajúce autá.</w:t>
      </w:r>
      <w:r>
        <w:rPr>
          <w:rFonts w:ascii="Arial" w:hAnsi="Arial" w:cs="Arial"/>
        </w:rPr>
        <w:t xml:space="preserve"> Súčasný trend v SR navyše poukazuje na zvyšujúci sa záujem verejnosti o cyklistickú dopravu v súvislosti s postupne vzrastajúcou preferenciou verejnej osobnej dopravy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cyklistických komunikácií na Slovensku predstavuje necelých 150 km. Až tri pätiny tvoria samostatné komunikácie – buď výhradne pre cyklistov (15%) alebo častejšie pre chodcov i cyklistov, a to s oddelenou prevádzkou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Výrazne poddimenzovaná je aj sieť doplnkovej cykloinfraštruktúry. </w:t>
      </w:r>
      <w:r>
        <w:rPr>
          <w:rFonts w:ascii="Arial" w:hAnsi="Arial" w:cs="Arial"/>
          <w:b/>
        </w:rPr>
        <w:t>Z autobusových staníc, železničných staníc a zastávok v sledovaných mestách je len 16 % vybavených parkoviskami alebo stojanmi pre bicykle.</w:t>
      </w:r>
      <w:r>
        <w:rPr>
          <w:rStyle w:val="Odkaznapoznmkupodiarou"/>
          <w:rFonts w:ascii="Arial" w:hAnsi="Arial" w:cs="Arial"/>
          <w:b/>
        </w:rPr>
        <w:footnoteReference w:id="10"/>
      </w:r>
      <w:r>
        <w:rPr>
          <w:rFonts w:ascii="Arial" w:hAnsi="Arial" w:cs="Arial"/>
        </w:rPr>
        <w:t xml:space="preserve"> Podpora IROP bude v rámci posilnenia cyklistickej dopravy zameraná na rozvoj cyklistických komunikácií, cyklopruhov, cyklokoridorov a pod. ako aj na rozšírenie doplnkovej cyklistickej infraštruktúry (cyklostojany, odpočívadlá a pod.).</w:t>
      </w:r>
    </w:p>
    <w:p>
      <w:pPr>
        <w:jc w:val="both"/>
        <w:rPr>
          <w:rFonts w:ascii="Arial" w:hAnsi="Arial" w:cs="Arial"/>
        </w:rPr>
      </w:pPr>
    </w:p>
    <w:p>
      <w:pPr>
        <w:shd w:val="clear" w:color="auto" w:fill="BFBFBF" w:themeFill="background1" w:themeFillShade="BF"/>
        <w:jc w:val="both"/>
        <w:rPr>
          <w:rFonts w:ascii="Arial" w:hAnsi="Arial" w:cs="Arial"/>
          <w:b/>
          <w:i/>
        </w:rPr>
      </w:pPr>
      <w:r>
        <w:rPr>
          <w:rFonts w:ascii="Arial" w:hAnsi="Arial" w:cs="Arial"/>
          <w:b/>
          <w:i/>
        </w:rPr>
        <w:t>Poskytovanie verejných služieb s ohľadom na rozvoj ľudských zdrojov a sociálnu inklúziu</w:t>
      </w:r>
    </w:p>
    <w:p>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pPr>
        <w:spacing w:after="0"/>
        <w:jc w:val="both"/>
        <w:rPr>
          <w:rFonts w:ascii="Arial" w:hAnsi="Arial" w:cs="Arial"/>
        </w:rPr>
      </w:pPr>
    </w:p>
    <w:p>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pPr>
        <w:jc w:val="both"/>
        <w:rPr>
          <w:rFonts w:ascii="Arial" w:hAnsi="Arial" w:cs="Arial"/>
        </w:rPr>
      </w:pPr>
      <w:r>
        <w:rPr>
          <w:rFonts w:ascii="Arial" w:hAnsi="Arial" w:cs="Arial"/>
          <w:b/>
        </w:rPr>
        <w:t xml:space="preserve">Kvalitná, moderná a dostupná starostlivosť o zraniteľné skupiny, v tomto prípade rodiny, seniorov, deti a mladých dospelých, osoby so zdravotným postihnutím, je kľúčovou podmienkou inkluzívneho prístupu </w:t>
      </w:r>
      <w:r>
        <w:rPr>
          <w:rFonts w:ascii="Arial" w:hAnsi="Arial" w:cs="Arial"/>
        </w:rPr>
        <w:t xml:space="preserve">k napĺňaniu ich práv, individuálnych potrieb a vytváraniu predpokladov pre nezávislý život v integrovanom spoločenstve plnoprávnych občanov. </w:t>
      </w:r>
      <w:r>
        <w:rPr>
          <w:rFonts w:ascii="Arial" w:hAnsi="Arial" w:cs="Arial"/>
          <w:b/>
        </w:rPr>
        <w:t>Ciele stratégie Európa 2020 týkajúce sa sociálnej inklúzie</w:t>
      </w:r>
      <w:r>
        <w:rPr>
          <w:rFonts w:ascii="Arial" w:hAnsi="Arial" w:cs="Arial"/>
        </w:rPr>
        <w:t xml:space="preserve"> – znižovanie chudoby, zvyšovanie </w:t>
      </w:r>
      <w:r>
        <w:rPr>
          <w:rFonts w:ascii="Arial" w:hAnsi="Arial" w:cs="Arial"/>
        </w:rPr>
        <w:lastRenderedPageBreak/>
        <w:t xml:space="preserve">možností zamestnanosti, podpora celoživotného vzdelávania a aktívne začlenenie najzraniteľnejších skupín poskytujúce adekvátne bývanie pre každého a prekonanie všetkých foriem diskriminácie – </w:t>
      </w:r>
      <w:r>
        <w:rPr>
          <w:rFonts w:ascii="Arial" w:hAnsi="Arial" w:cs="Arial"/>
          <w:b/>
        </w:rPr>
        <w:t>nemôžu byť dosiahnuté bez toho, aby nebola riešená situácia obyvateľov EÚ, umiestnených v inštitucionálnych zariadeniach, a tým segregovaných a vylúčených z ostatnej spoločnosti.</w:t>
      </w:r>
      <w:r>
        <w:rPr>
          <w:rStyle w:val="Odkaznapoznmkupodiarou"/>
          <w:rFonts w:ascii="Arial" w:hAnsi="Arial" w:cs="Arial"/>
        </w:rPr>
        <w:footnoteReference w:id="11"/>
      </w:r>
      <w:r>
        <w:rPr>
          <w:rFonts w:ascii="Arial" w:hAnsi="Arial" w:cs="Arial"/>
        </w:rPr>
        <w:t xml:space="preserve"> </w:t>
      </w:r>
    </w:p>
    <w:p>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prispievajú k napĺňaniu cieľa stratégie Európa 2020 v rámci inkluzívneho rastu, a to znížiť počet osôb ohrozených chudobou a sociálnym vylúčením</w:t>
      </w:r>
      <w:r>
        <w:rPr>
          <w:rFonts w:ascii="Arial" w:hAnsi="Arial" w:cs="Arial"/>
        </w:rPr>
        <w:t xml:space="preserve"> v EÚ aspoň o 20 miliónov (pre SR najmenej 170 tis. ľudí do roku 2020).</w:t>
      </w:r>
    </w:p>
    <w:p>
      <w:pPr>
        <w:jc w:val="both"/>
        <w:rPr>
          <w:rFonts w:ascii="Arial" w:hAnsi="Arial" w:cs="Arial"/>
          <w:b/>
        </w:rPr>
      </w:pPr>
      <w:r>
        <w:rPr>
          <w:rFonts w:ascii="Arial" w:hAnsi="Arial" w:cs="Arial"/>
          <w:b/>
        </w:rPr>
        <w:t>Sociálne služby</w:t>
      </w:r>
    </w:p>
    <w:p>
      <w:pPr>
        <w:jc w:val="both"/>
        <w:rPr>
          <w:rFonts w:ascii="Arial" w:hAnsi="Arial" w:cs="Arial"/>
        </w:rPr>
      </w:pPr>
      <w:r>
        <w:rPr>
          <w:rFonts w:ascii="Arial" w:hAnsi="Arial" w:cs="Arial"/>
        </w:rPr>
        <w:t xml:space="preserve">Sociálna služba sa môže poskytovať fyzickej osobe buď v jej prirodzenom sociálnom prostredí alebo mimo neho, zväčša v zariadení. Zariadenia sociálnych služieb môžu vykazovať znaky inštitucionálnej starostlivosti, ale taktiež existujú neinštitucionálne zariadenia poskytujúce služby komunitného typu a umožňujúce život v komunite. </w:t>
      </w:r>
    </w:p>
    <w:p>
      <w:pPr>
        <w:jc w:val="both"/>
        <w:rPr>
          <w:rFonts w:ascii="Arial" w:hAnsi="Arial" w:cs="Arial"/>
          <w:b/>
        </w:rPr>
      </w:pPr>
      <w:r>
        <w:rPr>
          <w:rFonts w:ascii="Arial" w:hAnsi="Arial" w:cs="Arial"/>
        </w:rPr>
        <w:t xml:space="preserve">V SR stále prevláda poskytovanie tradičných inštitucionálnych sociálnych služieb, ktoré poskytujú prevažne celoročné pobytové služby. K 31. 12. 2012 bolo v SR 5 410 836 obyvateľov, pričom sociálne služby boli poskytnuté </w:t>
      </w:r>
      <w:r>
        <w:rPr>
          <w:rFonts w:ascii="Arial" w:hAnsi="Arial" w:cs="Arial"/>
          <w:b/>
        </w:rPr>
        <w:t> 47 240 obyvateľom (0,88 %) v rámci  1 249 zariadení sociálnych služieb</w:t>
      </w:r>
      <w:r>
        <w:rPr>
          <w:rFonts w:ascii="Arial" w:hAnsi="Arial" w:cs="Arial"/>
        </w:rPr>
        <w:t xml:space="preserve">. Z celkového počtu  1 249 zariadení sociálnych služieb bolo </w:t>
      </w:r>
      <w:r>
        <w:rPr>
          <w:rFonts w:ascii="Arial" w:hAnsi="Arial" w:cs="Arial"/>
          <w:b/>
        </w:rPr>
        <w:t xml:space="preserve">641 pobytových </w:t>
      </w:r>
      <w:r>
        <w:rPr>
          <w:rFonts w:ascii="Arial" w:hAnsi="Arial" w:cs="Arial"/>
        </w:rPr>
        <w:t>(51 %). K 31. 12. 2012 celková kapacita zariadení sociálnych služieb</w:t>
      </w:r>
      <w:r>
        <w:rPr>
          <w:rFonts w:ascii="Arial" w:hAnsi="Arial" w:cs="Arial"/>
          <w:b/>
        </w:rPr>
        <w:t xml:space="preserve"> </w:t>
      </w:r>
      <w:r>
        <w:rPr>
          <w:rFonts w:ascii="Arial" w:hAnsi="Arial" w:cs="Arial"/>
        </w:rPr>
        <w:t>predstavovala</w:t>
      </w:r>
      <w:r>
        <w:rPr>
          <w:rFonts w:ascii="Arial" w:hAnsi="Arial" w:cs="Arial"/>
          <w:b/>
        </w:rPr>
        <w:t xml:space="preserve">  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xml:space="preserve"> % pre celoročnú starostlivosť</w:t>
      </w:r>
      <w:r>
        <w:rPr>
          <w:rFonts w:ascii="Arial" w:hAnsi="Arial" w:cs="Arial"/>
        </w:rPr>
        <w:t xml:space="preserve">, 1,5 % pre týždennú, 7 % pre dennú a 4 % pre prechodnú starostlivosť. Celková </w:t>
      </w:r>
      <w:r>
        <w:rPr>
          <w:rFonts w:ascii="Arial" w:hAnsi="Arial" w:cs="Arial"/>
          <w:b/>
        </w:rPr>
        <w:t>kapacita pobytových zariadení</w:t>
      </w:r>
      <w:r>
        <w:rPr>
          <w:rFonts w:ascii="Arial" w:hAnsi="Arial" w:cs="Arial"/>
        </w:rPr>
        <w:t xml:space="preserve"> sociálnych služieb predstavovala </w:t>
      </w:r>
      <w:r>
        <w:rPr>
          <w:rFonts w:ascii="Arial" w:hAnsi="Arial" w:cs="Arial"/>
          <w:b/>
        </w:rPr>
        <w:t>40 698</w:t>
      </w:r>
      <w:r>
        <w:rPr>
          <w:rFonts w:ascii="Arial" w:hAnsi="Arial" w:cs="Arial"/>
        </w:rPr>
        <w:t xml:space="preserve"> miest </w:t>
      </w:r>
      <w:r>
        <w:rPr>
          <w:rFonts w:ascii="Arial" w:hAnsi="Arial" w:cs="Arial"/>
          <w:b/>
        </w:rPr>
        <w:t>(86,2 % z celkovej kapacity všetkých zariadení sociálnych služieb).</w:t>
      </w:r>
    </w:p>
    <w:p>
      <w:pPr>
        <w:jc w:val="both"/>
        <w:rPr>
          <w:rFonts w:ascii="Arial" w:hAnsi="Arial" w:cs="Arial"/>
        </w:rPr>
      </w:pPr>
      <w:r>
        <w:rPr>
          <w:rFonts w:ascii="Arial" w:hAnsi="Arial" w:cs="Arial"/>
        </w:rPr>
        <w:t xml:space="preserve">V rámci SR je nedostatok sociálnych služieb poskytovaných na komunitnej úrovni. V roku 2012 sa celoročné pobytové sociálne služby v zariadeniach, ktoré môžeme považovať za komunitné (zariadenia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predstavuje </w:t>
      </w:r>
      <w:r>
        <w:rPr>
          <w:rFonts w:ascii="Arial" w:hAnsi="Arial" w:cs="Arial"/>
          <w:b/>
        </w:rPr>
        <w:t>9,84% celoročných pobytových služieb</w:t>
      </w:r>
      <w:r>
        <w:rPr>
          <w:rFonts w:ascii="Arial" w:hAnsi="Arial" w:cs="Arial"/>
        </w:rPr>
        <w:t>.</w:t>
      </w:r>
      <w:r>
        <w:rPr>
          <w:rStyle w:val="Odkaznapoznmkupodiarou"/>
          <w:rFonts w:ascii="Arial" w:hAnsi="Arial" w:cs="Arial"/>
        </w:rPr>
        <w:footnoteReference w:id="12"/>
      </w:r>
      <w:r>
        <w:rPr>
          <w:rFonts w:ascii="Arial" w:hAnsi="Arial" w:cs="Arial"/>
        </w:rPr>
        <w:t xml:space="preserve"> Celkovo je možné konštatovať, že v zariadeniach sociálnych služieb sa poskytujú služby na komunitnej úrovni (denné centrá, zariadenia podporovaného bývania, zariadenia opatrovateľskej služby, rehabilitačné strediská, zariadenia núdzového bývania, domovy na polceste, zariadenia dočasnej starostlivosti o deti, útulky a nocľahárne)  pre 6 950 obyvateľov z celkového počtu 40 679 obyvateľov, ktorým sú poskytované sociálne služby, čo predstavuje 17 %. </w:t>
      </w:r>
    </w:p>
    <w:p>
      <w:pPr>
        <w:jc w:val="both"/>
        <w:rPr>
          <w:rFonts w:ascii="Arial" w:hAnsi="Arial" w:cs="Arial"/>
          <w:b/>
        </w:rPr>
      </w:pPr>
      <w:r>
        <w:rPr>
          <w:rFonts w:ascii="Arial" w:hAnsi="Arial" w:cs="Arial"/>
        </w:rPr>
        <w:t xml:space="preserve">Typickým znakom sociálnych služieb v SR je veľká rôznorodosť prijimateľov sociálnych služieb v zariadeniach, čo vedie k nedostatočnej špecifickosti poskytovania služieb. Dôvodom je veľké množstvo rôznych skupín prijímateľov sociálnych služieb, ktorí žijú v jednom zariadení sociálnych služieb, a to najmä z hľadiska veku alebo zdravotného postihnutia. Tieto skutočnosti vytvárajú špecifiká pre proces deinštitucionalizácie v SR, kde nie je možné počítať s tým, že všetci </w:t>
      </w:r>
      <w:r>
        <w:rPr>
          <w:rFonts w:ascii="Arial" w:hAnsi="Arial" w:cs="Arial"/>
        </w:rPr>
        <w:lastRenderedPageBreak/>
        <w:t xml:space="preserve">prijímatelia sociálnych služieb by sa mohli vrátiť do svojho domáceho prostredia. </w:t>
      </w:r>
      <w:r>
        <w:rPr>
          <w:rFonts w:ascii="Arial" w:hAnsi="Arial" w:cs="Arial"/>
          <w:b/>
        </w:rPr>
        <w:t>Je preto nevyhnutné vytvárať rôzne formy aj rôznych pobytových komunitných služieb spojených s bývaním a služieb dlhodobej integrovanej sociálno-zdravotnej starostlivosti. Takýto riadený proces umožní vysporiadať sa aj s postupným narastaním potrieb súvisiacich so starnutím populácie.</w:t>
      </w:r>
    </w:p>
    <w:p>
      <w:pPr>
        <w:jc w:val="both"/>
        <w:rPr>
          <w:rFonts w:ascii="Arial" w:hAnsi="Arial" w:cs="Arial"/>
        </w:rPr>
      </w:pPr>
      <w:r>
        <w:rPr>
          <w:rFonts w:ascii="Arial" w:hAnsi="Arial" w:cs="Arial"/>
        </w:rPr>
        <w:t xml:space="preserve">Služby na podporu rodiny s deťmi, medzi ktoré patrí aj pomoc pri osobnej starostlivosti o dieťa a podpora zosúlaďovania  rodinného a pracovného života sú neoddeliteľnou súčasťou systému sociálnych služieb a zároveň sú reakciou na výzvu EK  na prijímanie politík, ktoré by umožňovali presadzovať zamestnanosť žien. Jednou z možností ako realizovať služby starostlivosti o deti do troch rokov veku v praxi je vytvorenie podmienok (materiálnych, personálnych, legislatívnych, a i.) pre možnosť vybudovania siete zariadení  „detských jaslí“. IROP poskytuje príležitosť na vytvorenie podmienok pre  zabezpečenie poskytovania dlhodobo nedostatkových služieb pre rodiny s deťmi  v oblasti starostlivosti o deti do troch rokov veku v záujme zosúladenia rodinného a pracovného života rodičov a zvýšenia ich zamestnanosti, ako aj v záujme rozvoja samotných detí.  </w:t>
      </w:r>
    </w:p>
    <w:p>
      <w:pPr>
        <w:jc w:val="both"/>
        <w:rPr>
          <w:rFonts w:ascii="Arial" w:hAnsi="Arial" w:cs="Arial"/>
          <w:b/>
        </w:rPr>
      </w:pPr>
      <w:r>
        <w:rPr>
          <w:rFonts w:ascii="Arial" w:hAnsi="Arial" w:cs="Arial"/>
          <w:b/>
        </w:rPr>
        <w:t>Sociálnoprávna ochrana detí a sociálna kuratela (ďalej aj „SPOaSK“)</w:t>
      </w:r>
    </w:p>
    <w:p>
      <w:pPr>
        <w:jc w:val="both"/>
        <w:rPr>
          <w:rFonts w:ascii="Arial" w:hAnsi="Arial" w:cs="Arial"/>
        </w:rPr>
      </w:pPr>
      <w:r>
        <w:rPr>
          <w:rFonts w:ascii="Arial" w:hAnsi="Arial" w:cs="Arial"/>
        </w:rPr>
        <w:t xml:space="preserve">Opatrenia SPOaSK sa vykonávajú, a) v prirodzenom rodinnom prostredí, b) v náhradnom rodinnom prostredí (napr. formálna starostlivosť príbuzných, blízkych osôb dieťaťu, pestúnska starostlivosť), c) v otvorenom prostredí alebo d) </w:t>
      </w:r>
      <w:r>
        <w:rPr>
          <w:rFonts w:ascii="Arial" w:hAnsi="Arial" w:cs="Arial"/>
          <w:b/>
        </w:rPr>
        <w:t xml:space="preserve">v prostredí utvorenom a usporiadanom na výkon opatrení SPOaSK </w:t>
      </w:r>
      <w:r>
        <w:rPr>
          <w:rFonts w:ascii="Arial" w:hAnsi="Arial" w:cs="Arial"/>
        </w:rPr>
        <w:t xml:space="preserve">– v zariadení SPOaSK. Ide o zariadenia, ktorými sú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 Zariadenie vykonáva svoju činnosť podľa účelu, na ktorý bolo zriadené, a) ambulantnou formou, b) celodennou formou alebo po určitú časť dňa, c) pobytovou formou.</w:t>
      </w:r>
    </w:p>
    <w:p>
      <w:pPr>
        <w:jc w:val="both"/>
        <w:rPr>
          <w:rFonts w:ascii="Arial" w:hAnsi="Arial" w:cs="Arial"/>
          <w:i/>
          <w:iCs/>
        </w:rPr>
      </w:pPr>
      <w:r>
        <w:rPr>
          <w:rFonts w:ascii="Arial" w:hAnsi="Arial" w:cs="Arial"/>
          <w:i/>
          <w:iCs/>
        </w:rPr>
        <w:t>Deti mimo vlastnej rodiny</w:t>
      </w:r>
    </w:p>
    <w:p>
      <w:pPr>
        <w:jc w:val="both"/>
        <w:rPr>
          <w:rFonts w:ascii="Arial" w:hAnsi="Arial" w:cs="Arial"/>
          <w:iCs/>
        </w:rPr>
      </w:pPr>
      <w:r>
        <w:rPr>
          <w:rFonts w:ascii="Arial" w:hAnsi="Arial" w:cs="Arial"/>
          <w:iCs/>
        </w:rPr>
        <w:t xml:space="preserve">V priebehu rokov 2000 - 2012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predstavoval podiel detí vyrastajúcich mimo vlastnej rodiny na celkovom počte detskej populácie </w:t>
      </w:r>
      <w:r>
        <w:rPr>
          <w:rFonts w:ascii="Arial" w:hAnsi="Arial" w:cs="Arial"/>
          <w:b/>
          <w:iCs/>
        </w:rPr>
        <w:t>1,34 %</w:t>
      </w:r>
      <w:r>
        <w:rPr>
          <w:rFonts w:ascii="Arial" w:hAnsi="Arial" w:cs="Arial"/>
          <w:iCs/>
        </w:rPr>
        <w:t xml:space="preserve">. Avšak v tom istom období bol zaznamenaný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 a to najmä v prospech formálnej starostlivosti príbuzných a blízkych (náhradnej osobnej starostlivosti), ale aj pestúnstva, poručníctva.</w:t>
      </w:r>
    </w:p>
    <w:p>
      <w:pPr>
        <w:jc w:val="both"/>
        <w:rPr>
          <w:rFonts w:ascii="Arial" w:hAnsi="Arial" w:cs="Arial"/>
        </w:rPr>
      </w:pPr>
      <w:r>
        <w:rPr>
          <w:rFonts w:ascii="Arial" w:hAnsi="Arial" w:cs="Arial"/>
        </w:rPr>
        <w:t xml:space="preserve">V roku 2012 bolo 14 458 detí mimo vlastnej rodiny. Z toho bolo 8 958 detí (61,96 %) umiestnených v náhradnej osobnej starostlivosti, pestúnskej starostlivosti a v osobnej starostlivosti poručníka, </w:t>
      </w:r>
      <w:r>
        <w:rPr>
          <w:rFonts w:ascii="Arial" w:hAnsi="Arial" w:cs="Arial"/>
          <w:b/>
        </w:rPr>
        <w:t>4 167 detí (28,82 %) v samostatných skupinách zariadení - detské domovy, reedukačné centrá, domovy sociálnych služieb a 1 333 (9,22 %) detí a mladých dospelých bolo umiestnených v profesionálnych rodinách detských domovov</w:t>
      </w:r>
      <w:r>
        <w:rPr>
          <w:rFonts w:ascii="Arial" w:hAnsi="Arial" w:cs="Arial"/>
        </w:rPr>
        <w:t>.</w:t>
      </w:r>
    </w:p>
    <w:p>
      <w:pPr>
        <w:jc w:val="both"/>
        <w:rPr>
          <w:rFonts w:ascii="Arial" w:hAnsi="Arial" w:cs="Arial"/>
          <w:iCs/>
        </w:rPr>
      </w:pPr>
      <w:r>
        <w:rPr>
          <w:rFonts w:ascii="Arial" w:hAnsi="Arial" w:cs="Arial"/>
          <w:iCs/>
        </w:rPr>
        <w:t xml:space="preserve">Od 1. 1. 2009 sa </w:t>
      </w:r>
      <w:r>
        <w:rPr>
          <w:rFonts w:ascii="Arial" w:hAnsi="Arial" w:cs="Arial"/>
          <w:b/>
          <w:iCs/>
        </w:rPr>
        <w:t>detský domov</w:t>
      </w:r>
      <w:r>
        <w:rPr>
          <w:rFonts w:ascii="Arial" w:hAnsi="Arial" w:cs="Arial"/>
          <w:iCs/>
        </w:rPr>
        <w:t xml:space="preserve"> (ďalej aj „DeD“) zriaďuje ako domov detí alebo centrum detí. K 31. 12. 2012 bolo na Slovensku 87 DeD (vrátane detských domovov pre maloletých bez sprievodu) s celkovým počtom 4 701 detí a mladých dospelých, z toho 23 ako domovov detí (907 detí a mladých dospelých) a 64 ako centier detí (3 794 detí a mladých dospelých). Z celkového počtu DeD bolo 67 štátnych DeD a 20 neštátnych DeD. Regionálne rozloženie DeD je v zásade rovnomerné, a to 8 DeD  v Bratislavskom kraji, 10 DeD v Trnavskom kraji, 9 DeD v Trenčianskom </w:t>
      </w:r>
      <w:r>
        <w:rPr>
          <w:rFonts w:ascii="Arial" w:hAnsi="Arial" w:cs="Arial"/>
          <w:iCs/>
        </w:rPr>
        <w:lastRenderedPageBreak/>
        <w:t>kraji, 10 DeD v Nitrianskom kraji,  15 DeD v Banskobystrickom kraji, 10 DeD v Žilinskom kraji, 14 DeD v Košickom kraji a 11 DeD v Prešovskom kraji.</w:t>
      </w:r>
    </w:p>
    <w:p>
      <w:pPr>
        <w:jc w:val="both"/>
        <w:rPr>
          <w:rFonts w:ascii="Arial" w:hAnsi="Arial" w:cs="Arial"/>
          <w:iCs/>
        </w:rPr>
      </w:pPr>
      <w:r>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zvyšovaniu počtu detí umiestnených v profesionálnych rodinách.</w:t>
      </w:r>
    </w:p>
    <w:p>
      <w:pPr>
        <w:jc w:val="both"/>
        <w:rPr>
          <w:rFonts w:ascii="Arial" w:hAnsi="Arial" w:cs="Arial"/>
          <w:i/>
          <w:iCs/>
        </w:rPr>
      </w:pPr>
      <w:r>
        <w:rPr>
          <w:rFonts w:ascii="Arial" w:hAnsi="Arial" w:cs="Arial"/>
          <w:i/>
          <w:iCs/>
        </w:rPr>
        <w:t>Resocializačné strediská</w:t>
      </w:r>
    </w:p>
    <w:p>
      <w:pPr>
        <w:jc w:val="both"/>
        <w:rPr>
          <w:rFonts w:ascii="Arial" w:hAnsi="Arial" w:cs="Arial"/>
        </w:rPr>
      </w:pPr>
      <w:r>
        <w:rPr>
          <w:rFonts w:ascii="Arial" w:hAnsi="Arial" w:cs="Arial"/>
        </w:rPr>
        <w:t xml:space="preserve">V SR pôsobí 20 resocializačných stredísk (ďalej aj „RS“) z toho jedno zriadené v pôsobnosti samosprávy a 19 je neštátnych/akreditovaných Ministerstvom práce, sociálnych vecí a rodiny SR s celkovou kapacitou cca 430 miest. </w:t>
      </w:r>
      <w:r>
        <w:rPr>
          <w:rFonts w:ascii="Arial" w:hAnsi="Arial" w:cs="Arial"/>
          <w:iCs/>
        </w:rPr>
        <w:t>Regionálne rozloženie resocializačných stredísk je nasledovné: 4 RS  v Bratislavskom kraji, 2  RS v Trnavskom kraji, 1 RS v Trenčianskom kraji, 4 RS v Nitrianskom kraji,  2 RS v Banskobystrickom kraji,  2 RS  v Žilinskom kraji, 2 RS v Košickom kraji a 2 RS v Prešovskom kraji.</w:t>
      </w:r>
    </w:p>
    <w:p>
      <w:pPr>
        <w:jc w:val="both"/>
        <w:rPr>
          <w:rFonts w:ascii="Arial" w:hAnsi="Arial" w:cs="Arial"/>
          <w:i/>
        </w:rPr>
      </w:pPr>
      <w:r>
        <w:rPr>
          <w:rFonts w:ascii="Arial" w:hAnsi="Arial" w:cs="Arial"/>
          <w:i/>
        </w:rPr>
        <w:t>Krízové strediská</w:t>
      </w:r>
    </w:p>
    <w:p>
      <w:pPr>
        <w:jc w:val="both"/>
        <w:rPr>
          <w:rFonts w:ascii="Arial" w:hAnsi="Arial" w:cs="Arial"/>
          <w:iCs/>
        </w:rPr>
      </w:pPr>
      <w:r>
        <w:rPr>
          <w:rFonts w:ascii="Arial" w:hAnsi="Arial" w:cs="Arial"/>
        </w:rPr>
        <w:t xml:space="preserve">V SR pôsobí 37 krízových stredísk (ďalej aj „KS“) s celkovou kapacitou 732 pobytových miest a 725 ambulantných miest. Zriaďovateľom krízových stredísk je samospráva a neštátne subjekty/akreditované Ministerstvom práce, sociálnych vecí a rodiny SR. </w:t>
      </w:r>
      <w:r>
        <w:rPr>
          <w:rFonts w:ascii="Arial" w:hAnsi="Arial" w:cs="Arial"/>
          <w:iCs/>
        </w:rPr>
        <w:t>Regionálne rozloženie krízových stredísk je nasledovné: 8 KS v Bratislavskom kraji, 1 KS v Trnavskom kraji, 2 KS v Trenčianskom kraji, 2 KS v Nitrianskom kraji, 4 KS v Banskobystrickom kraji, 7 KS v Žilinskom kraji, 6 KS v Košickom kraji a 7 KS v Prešovskom kraji.</w:t>
      </w:r>
    </w:p>
    <w:p>
      <w:pPr>
        <w:jc w:val="both"/>
        <w:rPr>
          <w:rFonts w:ascii="Arial" w:hAnsi="Arial" w:cs="Arial"/>
          <w:b/>
          <w:i/>
        </w:rPr>
      </w:pPr>
      <w:r>
        <w:rPr>
          <w:rFonts w:ascii="Arial" w:hAnsi="Arial" w:cs="Arial"/>
          <w:b/>
          <w:i/>
        </w:rPr>
        <w:t>Rozvojové potreby a výzvy v oblasti poskytovania sociálnych služieb, sociálnoprávnej ochrany detí a sociálnej kurately a spôsob ich riešenia v rámci IROP</w:t>
      </w:r>
    </w:p>
    <w:p>
      <w:pPr>
        <w:spacing w:before="240"/>
        <w:jc w:val="both"/>
        <w:rPr>
          <w:rFonts w:ascii="Arial" w:hAnsi="Arial" w:cs="Arial"/>
          <w:b/>
        </w:rPr>
      </w:pPr>
      <w:r>
        <w:rPr>
          <w:rFonts w:ascii="Arial" w:hAnsi="Arial" w:cs="Arial"/>
          <w:b/>
        </w:rPr>
        <w:t>Potreby a výzvy:</w:t>
      </w:r>
    </w:p>
    <w:p>
      <w:pPr>
        <w:pStyle w:val="Odsekzoznamu"/>
        <w:numPr>
          <w:ilvl w:val="0"/>
          <w:numId w:val="9"/>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pPr>
        <w:pStyle w:val="Odsekzoznamu"/>
        <w:numPr>
          <w:ilvl w:val="0"/>
          <w:numId w:val="9"/>
        </w:numPr>
        <w:jc w:val="both"/>
        <w:rPr>
          <w:rFonts w:ascii="Arial" w:hAnsi="Arial" w:cs="Arial"/>
        </w:rPr>
      </w:pPr>
      <w:r>
        <w:rPr>
          <w:rFonts w:ascii="Arial" w:hAnsi="Arial" w:cs="Arial"/>
        </w:rPr>
        <w:t>postupná realizácia procesu deinštitucionalizácie poskytovania sociálnych služieb a zabezpečovania výkonu SPOaSK, pričom tento proces predpokladá uprednostnenie transformačného procesu zariadení poskytujúcich služby pre deti, mládež a dospelých so zdravotným postihnutím a duševnou poruchou a zariadení pre deti v SPOaSK pred zariadeniami pre seniorov; v konečnej fáze úplné zatvorenie a zrušenie inštitucionálnych služieb starostlivosti a zároveň vytvorenie, rozvoj a podporu efektívnej siete nových alebo existujúcich alternatívnych komunitných služieb pre obyvateľov daného územného spoločenstva a zabezpečenie SPOaSK o deti na komunitnej úrovni;</w:t>
      </w:r>
    </w:p>
    <w:p>
      <w:pPr>
        <w:pStyle w:val="Odsekzoznamu"/>
        <w:numPr>
          <w:ilvl w:val="0"/>
          <w:numId w:val="9"/>
        </w:numPr>
        <w:jc w:val="both"/>
        <w:rPr>
          <w:rFonts w:ascii="Arial" w:hAnsi="Arial" w:cs="Arial"/>
        </w:rPr>
      </w:pPr>
      <w:r>
        <w:rPr>
          <w:rFonts w:ascii="Arial" w:hAnsi="Arial" w:cs="Arial"/>
        </w:rPr>
        <w:t>vytvorenie podmienok pre optimalizáciu a zmiernenie regionálnych rozdielov v kvalite, variabilite a dostupnosti poskytovania sociálnych služieb a vykonávaných opatrení SPOaSK;</w:t>
      </w:r>
    </w:p>
    <w:p>
      <w:pPr>
        <w:pStyle w:val="Odsekzoznamu"/>
        <w:numPr>
          <w:ilvl w:val="0"/>
          <w:numId w:val="9"/>
        </w:numPr>
        <w:jc w:val="both"/>
        <w:rPr>
          <w:rFonts w:ascii="Arial" w:hAnsi="Arial" w:cs="Arial"/>
        </w:rPr>
      </w:pPr>
      <w:r>
        <w:rPr>
          <w:rFonts w:ascii="Arial" w:hAnsi="Arial" w:cs="Arial"/>
        </w:rPr>
        <w:t>potreba rozvoja existujúcich a nových nedostatkových komunitných sociálnych služieb pre všetky skupiny obyvateľov a utvorenie podmienok na zavedenie a previazanie preventívnych aktivít na predchádzanie nariadeniu ústavnej starostlivosti s opatreniami na zníženie negatívnych vplyvov inštitucionalizácie na dieťa;</w:t>
      </w:r>
    </w:p>
    <w:p>
      <w:pPr>
        <w:pStyle w:val="Odsekzoznamu"/>
        <w:numPr>
          <w:ilvl w:val="0"/>
          <w:numId w:val="9"/>
        </w:numPr>
        <w:jc w:val="both"/>
        <w:rPr>
          <w:rFonts w:ascii="Arial" w:hAnsi="Arial" w:cs="Arial"/>
        </w:rPr>
      </w:pPr>
      <w:r>
        <w:rPr>
          <w:rFonts w:ascii="Arial" w:hAnsi="Arial" w:cs="Arial"/>
        </w:rPr>
        <w:lastRenderedPageBreak/>
        <w:t>potreba rozvoja sociálnych služieb zameraných na podporu zosúlaďovania rodinného a pracovného života špecificky v spojení so službami starostlivosti o deti do troch rokov veku;</w:t>
      </w:r>
    </w:p>
    <w:p>
      <w:pPr>
        <w:pStyle w:val="Odsekzoznamu"/>
        <w:numPr>
          <w:ilvl w:val="0"/>
          <w:numId w:val="9"/>
        </w:numPr>
        <w:jc w:val="both"/>
        <w:rPr>
          <w:rFonts w:ascii="Arial" w:hAnsi="Arial" w:cs="Arial"/>
        </w:rPr>
      </w:pPr>
      <w:r>
        <w:rPr>
          <w:rFonts w:ascii="Arial" w:hAnsi="Arial" w:cs="Arial"/>
        </w:rPr>
        <w:t>zavedenie a uplatňovanie štandardov kvality poskytovaných služieb.</w:t>
      </w:r>
    </w:p>
    <w:p>
      <w:pPr>
        <w:jc w:val="both"/>
        <w:rPr>
          <w:rFonts w:ascii="Arial" w:hAnsi="Arial" w:cs="Arial"/>
        </w:rPr>
      </w:pPr>
      <w:r>
        <w:rPr>
          <w:rFonts w:ascii="Arial" w:hAnsi="Arial" w:cs="Arial"/>
          <w:b/>
        </w:rPr>
        <w:t>Opatrenia na riešenie v rámci IROP</w:t>
      </w:r>
    </w:p>
    <w:p>
      <w:pPr>
        <w:jc w:val="both"/>
        <w:rPr>
          <w:rFonts w:ascii="Arial" w:hAnsi="Arial" w:cs="Arial"/>
        </w:rPr>
      </w:pPr>
      <w:r>
        <w:rPr>
          <w:rFonts w:ascii="Arial" w:hAnsi="Arial" w:cs="Arial"/>
        </w:rPr>
        <w:t>IROP bude synergicky spolupôsobiť s OP ĽZ predovšetkým v rámci priority podpory deinštitucionalizácie zariadení ako aj priority zosúlaďovanie rodinného a pracovného života a predmetom intervencií IROP bude investičná (kapitálová) podpora zariadení, v ktorých bude poskytovaná a zabezpečovaná transformovaná a komunitná starostlivosť, resp. bude starostlivosť poskytovaná na komunitnej úrovni.</w:t>
      </w:r>
    </w:p>
    <w:p>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pPr>
        <w:spacing w:after="120"/>
        <w:jc w:val="both"/>
        <w:rPr>
          <w:rFonts w:ascii="Arial" w:hAnsi="Arial" w:cs="Arial"/>
        </w:rPr>
      </w:pPr>
      <w:r>
        <w:rPr>
          <w:rFonts w:ascii="Arial" w:hAnsi="Arial" w:cs="Arial"/>
        </w:rPr>
        <w:t>Dôležitým predpokladom produktivity a sociálneho začlenenia ekonomicky aktívneho obyvateľstva je dobrý zdravotný stav a účinná prevencia vzniku ochorení. Iba zdravá pracovná sila je motorom ekonomického rastu. Efektívne nastavený a fungujúci zdravotný systém je dôležitým ekonomickým faktorom vplývajúcim na kvalitu života, produktivitu práce a zamestnateľnosť pracovnej sily.</w:t>
      </w:r>
    </w:p>
    <w:p>
      <w:pPr>
        <w:spacing w:after="120"/>
        <w:jc w:val="both"/>
        <w:rPr>
          <w:rFonts w:ascii="Arial" w:hAnsi="Arial" w:cs="Arial"/>
        </w:rPr>
      </w:pPr>
      <w:r>
        <w:rPr>
          <w:rFonts w:ascii="Arial" w:hAnsi="Arial" w:cs="Arial"/>
        </w:rPr>
        <w:t>Podľa analýz OECD až 80% nákladov v zdravotnej starostlivosti spotrebovávajú chronicky chorí pacienti a znevýhodnené skupiny obyvateľstva. Investície do reformy primárnej ambulantnej starostlivosti a jej centralizácii do centier a paralelne do reformy akútnej ústavnej zdravotnej starostlivosti vedú k znižovaniu hospitalizácií u znevýhodnených skupín obyvateľstva a k ich rýchlejšiemu sa začleneniu na trhu práce (štúdie ChenMed, Geisinger, Valencia, Torbay, reforma primárnej ambulantnej starostlivosti v provincii Ontario).</w:t>
      </w:r>
    </w:p>
    <w:p>
      <w:pPr>
        <w:spacing w:before="120"/>
        <w:jc w:val="both"/>
        <w:rPr>
          <w:rFonts w:ascii="Arial" w:eastAsiaTheme="minorHAnsi" w:hAnsi="Arial" w:cs="Arial"/>
        </w:rPr>
      </w:pPr>
      <w:r>
        <w:rPr>
          <w:rFonts w:ascii="Arial" w:hAnsi="Arial" w:cs="Arial"/>
          <w:lang w:eastAsia="sk-SK"/>
        </w:rPr>
        <w:t xml:space="preserve">Podporou zdravotníckej infraštruktúry sa zníži nerovnosť z hľadiska prístupu ku kvalitným a efektívnym službám všeobecnej ambulantnej zdravotnej starostlivosti a akútnej ústavnej zdravotnej starostlivosti hlavne u sociálne znevýhodnených skupín. V súčasnosti je </w:t>
      </w:r>
      <w:r>
        <w:rPr>
          <w:rFonts w:ascii="Arial" w:hAnsi="Arial" w:cs="Arial"/>
        </w:rPr>
        <w:t xml:space="preserve">rizikom znižovania dostupnosti kvalitných zdravotných služieb výrazne nízka efektívnosť slovenského zdravotníctva, ktoré figuruje na spodných priečkach krajín OECD. </w:t>
      </w:r>
      <w:r>
        <w:rPr>
          <w:rFonts w:ascii="Arial" w:hAnsi="Arial" w:cs="Arial"/>
          <w:lang w:eastAsia="sk-SK"/>
        </w:rPr>
        <w:t>Dôležitým predpokladom zlepšenia efektívnosti slovenského zdravotníctva je dostupná a funkčne vyhovujúca zdravotnícka infraštruktúra centier primárneho kontaktu a poskytovateľov akútnej ústavnej zdravotnej starostlivosti, ktorá zo stavebného a technologického hľadiska realizáciu nových procesov v plnej miere umožní. Nejde teda len o jednoduchú obnovu zastaranej infraštruktúry, ale o modernizáciu zameranú na skvalitnenie a zefektívnenie poskytovania zdravotnej starostlivosti a súvisiacu s transformáciou zdravotného systému, ktorej výsledkom bude dostupnosť úplne nového typu zdravotníckej infraštruktúry, ktorý v súčasnosti na Slovensku absentuje a lepšia integrácia poskytovaných zdravotných služieb.</w:t>
      </w:r>
      <w:r>
        <w:rPr>
          <w:rFonts w:ascii="Arial" w:eastAsiaTheme="minorHAnsi" w:hAnsi="Arial" w:cs="Arial"/>
        </w:rPr>
        <w:t xml:space="preserve"> </w:t>
      </w:r>
    </w:p>
    <w:p>
      <w:pPr>
        <w:spacing w:before="120" w:after="120"/>
        <w:jc w:val="both"/>
        <w:rPr>
          <w:rFonts w:ascii="Arial" w:eastAsiaTheme="minorHAnsi" w:hAnsi="Arial" w:cs="Arial"/>
        </w:rPr>
      </w:pPr>
      <w:r>
        <w:rPr>
          <w:rFonts w:ascii="Arial" w:eastAsiaTheme="minorHAnsi" w:hAnsi="Arial" w:cs="Arial"/>
        </w:rPr>
        <w:t>Podpora v oblasti zdravotníctva nadväzuje na stratégiu Európa 2020, ktorého kľúčovou súčasťou je potreba prijatia opatrení na udržanie vysokej kvality zdravého života pre súčasnú aj budúce generácie, ktorých základom sú jedinečné sociálne modely Európy</w:t>
      </w:r>
      <w:r>
        <w:rPr>
          <w:rStyle w:val="Odkaznapoznmkupodiarou"/>
          <w:rFonts w:ascii="Arial" w:eastAsiaTheme="minorHAnsi" w:hAnsi="Arial" w:cs="Arial"/>
        </w:rPr>
        <w:footnoteReference w:id="13"/>
      </w:r>
      <w:r>
        <w:rPr>
          <w:rFonts w:ascii="Arial" w:eastAsiaTheme="minorHAnsi" w:hAnsi="Arial" w:cs="Arial"/>
        </w:rPr>
        <w:t>.</w:t>
      </w:r>
    </w:p>
    <w:p>
      <w:pPr>
        <w:spacing w:before="120" w:after="120"/>
        <w:jc w:val="both"/>
      </w:pPr>
    </w:p>
    <w:p>
      <w:pPr>
        <w:jc w:val="both"/>
        <w:rPr>
          <w:rFonts w:ascii="Arial" w:hAnsi="Arial" w:cs="Arial"/>
          <w:b/>
        </w:rPr>
      </w:pPr>
      <w:r>
        <w:rPr>
          <w:rFonts w:ascii="Arial" w:hAnsi="Arial" w:cs="Arial"/>
          <w:b/>
        </w:rPr>
        <w:lastRenderedPageBreak/>
        <w:t xml:space="preserve">Rozvojové potreby a výzvy v oblasti zdravotnej starostlivosti a spôsob ich riešenia v rámci IROP </w:t>
      </w:r>
    </w:p>
    <w:p>
      <w:pPr>
        <w:jc w:val="both"/>
        <w:rPr>
          <w:rFonts w:ascii="Arial" w:hAnsi="Arial" w:cs="Arial"/>
          <w:b/>
        </w:rPr>
      </w:pPr>
      <w:r>
        <w:rPr>
          <w:rFonts w:ascii="Arial" w:hAnsi="Arial" w:cs="Arial"/>
          <w:b/>
        </w:rPr>
        <w:t>Potreby a výzvy:</w:t>
      </w:r>
    </w:p>
    <w:p>
      <w:pPr>
        <w:pStyle w:val="Odsekzoznamu"/>
        <w:numPr>
          <w:ilvl w:val="0"/>
          <w:numId w:val="33"/>
        </w:numPr>
        <w:jc w:val="both"/>
        <w:rPr>
          <w:rFonts w:ascii="Arial" w:hAnsi="Arial" w:cs="Arial"/>
        </w:rPr>
      </w:pPr>
      <w:r>
        <w:rPr>
          <w:rFonts w:ascii="Arial" w:hAnsi="Arial" w:cs="Arial"/>
        </w:rPr>
        <w:t>nízka efektívnosť slovenského zdravotníctva,</w:t>
      </w:r>
    </w:p>
    <w:p>
      <w:pPr>
        <w:pStyle w:val="Odsekzoznamu"/>
        <w:numPr>
          <w:ilvl w:val="0"/>
          <w:numId w:val="33"/>
        </w:numPr>
        <w:jc w:val="both"/>
        <w:rPr>
          <w:rFonts w:ascii="Arial" w:hAnsi="Arial" w:cs="Arial"/>
        </w:rPr>
      </w:pPr>
      <w:r>
        <w:rPr>
          <w:rFonts w:ascii="Arial" w:hAnsi="Arial" w:cs="Arial"/>
        </w:rPr>
        <w:t>starnutie populácie,</w:t>
      </w:r>
    </w:p>
    <w:p>
      <w:pPr>
        <w:pStyle w:val="Odsekzoznamu"/>
        <w:numPr>
          <w:ilvl w:val="0"/>
          <w:numId w:val="33"/>
        </w:numPr>
        <w:jc w:val="both"/>
        <w:rPr>
          <w:rFonts w:ascii="Arial" w:hAnsi="Arial" w:cs="Arial"/>
        </w:rPr>
      </w:pPr>
      <w:r>
        <w:rPr>
          <w:rFonts w:ascii="Arial" w:hAnsi="Arial" w:cs="Arial"/>
        </w:rPr>
        <w:t>nedostatok kvalifikovaných zdravotníckych pracovníkov v systéme zdravotníctva,</w:t>
      </w:r>
    </w:p>
    <w:p>
      <w:pPr>
        <w:pStyle w:val="Odsekzoznamu"/>
        <w:numPr>
          <w:ilvl w:val="0"/>
          <w:numId w:val="33"/>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pPr>
        <w:pStyle w:val="Odsekzoznamu"/>
        <w:numPr>
          <w:ilvl w:val="0"/>
          <w:numId w:val="33"/>
        </w:numPr>
        <w:spacing w:before="120" w:after="0"/>
        <w:jc w:val="both"/>
        <w:rPr>
          <w:rFonts w:ascii="Arial" w:hAnsi="Arial" w:cs="Arial"/>
        </w:rPr>
      </w:pPr>
      <w:r>
        <w:rPr>
          <w:rFonts w:ascii="Arial" w:hAnsi="Arial" w:cs="Arial"/>
        </w:rPr>
        <w:t>slabá integrácia a veľká atomizácia všeobecných lekárov,</w:t>
      </w:r>
    </w:p>
    <w:p>
      <w:pPr>
        <w:pStyle w:val="Odsekzoznamu"/>
        <w:numPr>
          <w:ilvl w:val="0"/>
          <w:numId w:val="33"/>
        </w:numPr>
        <w:jc w:val="both"/>
        <w:rPr>
          <w:rFonts w:ascii="Arial" w:hAnsi="Arial" w:cs="Arial"/>
        </w:rPr>
      </w:pPr>
      <w:r>
        <w:rPr>
          <w:rFonts w:ascii="Arial" w:hAnsi="Arial" w:cs="Arial"/>
        </w:rPr>
        <w:t>nefungujúca úloha „</w:t>
      </w:r>
      <w:r>
        <w:rPr>
          <w:rFonts w:ascii="Arial" w:hAnsi="Arial" w:cs="Arial"/>
          <w:i/>
        </w:rPr>
        <w:t>gate keepera</w:t>
      </w:r>
      <w:r>
        <w:rPr>
          <w:rFonts w:ascii="Arial" w:hAnsi="Arial" w:cs="Arial"/>
        </w:rPr>
        <w:t>“ v primárnej zdravotnej starostlivosti,</w:t>
      </w:r>
    </w:p>
    <w:p>
      <w:pPr>
        <w:pStyle w:val="Odsekzoznamu"/>
        <w:numPr>
          <w:ilvl w:val="0"/>
          <w:numId w:val="33"/>
        </w:numPr>
        <w:jc w:val="both"/>
        <w:rPr>
          <w:rFonts w:ascii="Arial" w:hAnsi="Arial" w:cs="Arial"/>
        </w:rPr>
      </w:pPr>
      <w:r>
        <w:rPr>
          <w:rFonts w:ascii="Arial" w:hAnsi="Arial" w:cs="Arial"/>
        </w:rPr>
        <w:t>nízka úroveň medicínskej prevencie,</w:t>
      </w:r>
    </w:p>
    <w:p>
      <w:pPr>
        <w:pStyle w:val="Odsekzoznamu"/>
        <w:numPr>
          <w:ilvl w:val="0"/>
          <w:numId w:val="33"/>
        </w:numPr>
        <w:jc w:val="both"/>
        <w:rPr>
          <w:rFonts w:ascii="Arial" w:hAnsi="Arial" w:cs="Arial"/>
        </w:rPr>
      </w:pPr>
      <w:r>
        <w:rPr>
          <w:rFonts w:ascii="Arial" w:hAnsi="Arial" w:cs="Arial"/>
        </w:rPr>
        <w:t>nedostatočná štandardizácia postupov liečby a prevencie,</w:t>
      </w:r>
    </w:p>
    <w:p>
      <w:pPr>
        <w:pStyle w:val="Odsekzoznamu"/>
        <w:numPr>
          <w:ilvl w:val="0"/>
          <w:numId w:val="33"/>
        </w:numPr>
        <w:jc w:val="both"/>
        <w:rPr>
          <w:rFonts w:ascii="Arial" w:hAnsi="Arial" w:cs="Arial"/>
        </w:rPr>
      </w:pPr>
      <w:r>
        <w:rPr>
          <w:rFonts w:ascii="Arial" w:hAnsi="Arial" w:cs="Arial"/>
        </w:rPr>
        <w:t>vysoký priemerný počet návštev u lekára v porovnaní s ostatnými krajinami EÚ,</w:t>
      </w:r>
    </w:p>
    <w:p>
      <w:pPr>
        <w:pStyle w:val="Odsekzoznamu"/>
        <w:numPr>
          <w:ilvl w:val="0"/>
          <w:numId w:val="33"/>
        </w:numPr>
        <w:jc w:val="both"/>
        <w:rPr>
          <w:rFonts w:ascii="Arial" w:hAnsi="Arial" w:cs="Arial"/>
        </w:rPr>
      </w:pPr>
      <w:r>
        <w:rPr>
          <w:rFonts w:ascii="Arial" w:hAnsi="Arial" w:cs="Arial"/>
        </w:rPr>
        <w:t>veľký počet akútnych ústavných zdravotníckych zariadení,</w:t>
      </w:r>
    </w:p>
    <w:p>
      <w:pPr>
        <w:pStyle w:val="Odsekzoznamu"/>
        <w:numPr>
          <w:ilvl w:val="0"/>
          <w:numId w:val="33"/>
        </w:numPr>
        <w:jc w:val="both"/>
        <w:rPr>
          <w:rFonts w:ascii="Arial" w:hAnsi="Arial" w:cs="Arial"/>
        </w:rPr>
      </w:pPr>
      <w:r>
        <w:rPr>
          <w:rFonts w:ascii="Arial" w:hAnsi="Arial" w:cs="Arial"/>
        </w:rPr>
        <w:t>nedostatočná regionálna koncentrácia a špecializácia výkonov v akútnych ústavných zdravotníckych zariadeniach,</w:t>
      </w:r>
    </w:p>
    <w:p>
      <w:pPr>
        <w:pStyle w:val="Odsekzoznamu"/>
        <w:numPr>
          <w:ilvl w:val="0"/>
          <w:numId w:val="33"/>
        </w:numPr>
        <w:jc w:val="both"/>
        <w:rPr>
          <w:rFonts w:ascii="Arial" w:hAnsi="Arial" w:cs="Arial"/>
        </w:rPr>
      </w:pPr>
      <w:r>
        <w:rPr>
          <w:rFonts w:ascii="Arial" w:hAnsi="Arial" w:cs="Arial"/>
        </w:rPr>
        <w:t>potreba redukcie neproduktívnych kapacít za účelom zníženia nákladovosti akútnych lôžok,</w:t>
      </w:r>
    </w:p>
    <w:p>
      <w:pPr>
        <w:pStyle w:val="Odsekzoznamu"/>
        <w:numPr>
          <w:ilvl w:val="0"/>
          <w:numId w:val="33"/>
        </w:numPr>
        <w:jc w:val="both"/>
        <w:rPr>
          <w:rFonts w:ascii="Arial" w:hAnsi="Arial" w:cs="Arial"/>
        </w:rPr>
      </w:pPr>
      <w:r>
        <w:rPr>
          <w:rFonts w:ascii="Arial" w:hAnsi="Arial" w:cs="Arial"/>
        </w:rPr>
        <w:t>zlý technický stav objektov zdravotníckej infraštruktúry.</w:t>
      </w:r>
    </w:p>
    <w:p>
      <w:pPr>
        <w:jc w:val="both"/>
        <w:rPr>
          <w:rFonts w:ascii="Arial" w:hAnsi="Arial" w:cs="Arial"/>
          <w:b/>
        </w:rPr>
      </w:pPr>
      <w:r>
        <w:rPr>
          <w:rFonts w:ascii="Arial" w:hAnsi="Arial" w:cs="Arial"/>
          <w:b/>
        </w:rPr>
        <w:t>Opatrenia na riešenie v rámci IROP:</w:t>
      </w:r>
    </w:p>
    <w:p>
      <w:pPr>
        <w:pStyle w:val="Odsekzoznamu"/>
        <w:numPr>
          <w:ilvl w:val="0"/>
          <w:numId w:val="10"/>
        </w:numPr>
        <w:jc w:val="both"/>
        <w:rPr>
          <w:rFonts w:ascii="Arial" w:hAnsi="Arial" w:cs="Arial"/>
        </w:rPr>
      </w:pPr>
      <w:r>
        <w:rPr>
          <w:rFonts w:ascii="Arial" w:hAnsi="Arial" w:cs="Arial"/>
        </w:rPr>
        <w:t xml:space="preserve">podpora reformných systémových riešení, </w:t>
      </w:r>
    </w:p>
    <w:p>
      <w:pPr>
        <w:pStyle w:val="Odsekzoznamu"/>
        <w:numPr>
          <w:ilvl w:val="0"/>
          <w:numId w:val="10"/>
        </w:numPr>
        <w:jc w:val="both"/>
        <w:rPr>
          <w:rFonts w:ascii="Arial" w:hAnsi="Arial" w:cs="Arial"/>
          <w:b/>
        </w:rPr>
      </w:pPr>
      <w:r>
        <w:rPr>
          <w:rFonts w:ascii="Arial" w:hAnsi="Arial" w:cs="Arial"/>
        </w:rPr>
        <w:t>integrácia siete všeobecných lekárov prostredníctvom investícií do Centier integrovanej zdravotnej starostlivosti, ktoré budú dosahovať lepšie výsledky v manažmente liečby pacientov a v efektivite poskytovaných zdravotníckych služieb</w:t>
      </w:r>
    </w:p>
    <w:p>
      <w:pPr>
        <w:pStyle w:val="Odsekzoznamu"/>
        <w:numPr>
          <w:ilvl w:val="0"/>
          <w:numId w:val="10"/>
        </w:numPr>
        <w:jc w:val="both"/>
        <w:rPr>
          <w:rFonts w:ascii="Arial" w:hAnsi="Arial" w:cs="Arial"/>
          <w:b/>
        </w:rPr>
      </w:pPr>
      <w:r>
        <w:rPr>
          <w:rFonts w:ascii="Arial" w:hAnsi="Arial" w:cs="Arial"/>
        </w:rPr>
        <w:t>reformná modernizácia infraštruktúry poskytovateľov akútnej ústavnej zdravotnej starostlivosti za účelom zvýšenie ich produktivity a kvality poskytovaných služieb.</w:t>
      </w:r>
    </w:p>
    <w:p>
      <w:pPr>
        <w:spacing w:after="0"/>
        <w:jc w:val="both"/>
        <w:rPr>
          <w:rFonts w:ascii="Arial" w:hAnsi="Arial" w:cs="Arial"/>
          <w:b/>
        </w:rPr>
      </w:pPr>
    </w:p>
    <w:p>
      <w:pPr>
        <w:shd w:val="clear" w:color="auto" w:fill="D9D9D9" w:themeFill="background1" w:themeFillShade="D9"/>
        <w:jc w:val="both"/>
        <w:rPr>
          <w:rFonts w:ascii="Arial" w:hAnsi="Arial" w:cs="Arial"/>
          <w:b/>
          <w:i/>
        </w:rPr>
      </w:pPr>
      <w:r>
        <w:rPr>
          <w:rFonts w:ascii="Arial" w:hAnsi="Arial" w:cs="Arial"/>
          <w:b/>
          <w:i/>
        </w:rPr>
        <w:t xml:space="preserve">Rozvoj ľudských zdrojov v kontexte predprimárneho, základného a stredného vzdelávania </w:t>
      </w:r>
    </w:p>
    <w:p>
      <w:pPr>
        <w:spacing w:after="0"/>
        <w:jc w:val="both"/>
        <w:rPr>
          <w:rFonts w:ascii="Arial" w:hAnsi="Arial" w:cs="Arial"/>
        </w:rPr>
      </w:pPr>
      <w:r>
        <w:rPr>
          <w:rFonts w:ascii="Arial" w:hAnsi="Arial" w:cs="Arial"/>
        </w:rPr>
        <w:t>Infraštruktúra vzdelávania najmä v predprimárnom, primárnom vzdelávaní a odbornom vzdelávaní a príprave vytvára predpoklady pre dlhodobý rast a konkurencieschopnosť všetkých typov regiónov SR a rozvoj ľudských zdrojov a sociálneho kapitálu je jednou z prioritných oblastí Národnej stratégie regionálneho rozvoja SR.</w:t>
      </w:r>
    </w:p>
    <w:p>
      <w:pPr>
        <w:spacing w:after="0"/>
        <w:jc w:val="both"/>
        <w:rPr>
          <w:rFonts w:ascii="Arial" w:hAnsi="Arial" w:cs="Arial"/>
          <w:b/>
        </w:rPr>
      </w:pPr>
    </w:p>
    <w:p>
      <w:pPr>
        <w:spacing w:after="0"/>
        <w:jc w:val="both"/>
        <w:rPr>
          <w:rFonts w:ascii="Arial" w:hAnsi="Arial" w:cs="Arial"/>
          <w:b/>
        </w:rPr>
      </w:pPr>
      <w:r>
        <w:rPr>
          <w:rFonts w:ascii="Arial" w:hAnsi="Arial" w:cs="Arial"/>
          <w:b/>
        </w:rPr>
        <w:t xml:space="preserve">Predprimárne vzdelávanie </w:t>
      </w:r>
    </w:p>
    <w:p>
      <w:pPr>
        <w:spacing w:after="0"/>
        <w:jc w:val="both"/>
        <w:rPr>
          <w:rFonts w:ascii="Arial" w:hAnsi="Arial" w:cs="Arial"/>
        </w:rPr>
      </w:pPr>
    </w:p>
    <w:p>
      <w:pPr>
        <w:spacing w:after="0"/>
        <w:jc w:val="both"/>
        <w:rPr>
          <w:rFonts w:ascii="Arial" w:hAnsi="Arial" w:cs="Arial"/>
        </w:rPr>
      </w:pPr>
      <w:r>
        <w:rPr>
          <w:rFonts w:ascii="Arial" w:hAnsi="Arial" w:cs="Arial"/>
        </w:rPr>
        <w:t>EK uvádza, že „</w:t>
      </w:r>
      <w:r>
        <w:rPr>
          <w:rFonts w:ascii="Arial" w:hAnsi="Arial" w:cs="Arial"/>
          <w:i/>
        </w:rPr>
        <w:t>predprimárne vzdelávanie vykazuje najväčšiu návratnosť, pokiaľ ide o sociálnu adaptáciu detí. Členské štáty by preto mali viac investovať do predprimárneho vzdelávania ako efektívneho prostriedku, ktorý predstavuje základ pre ďalšie vzdelávanie, je prevenciou predčasného ukončovania školskej dochádzky a zvyšuje spravodlivosť výsledkov a celkovú úroveň zručností</w:t>
      </w:r>
      <w:r>
        <w:rPr>
          <w:rFonts w:ascii="Arial" w:hAnsi="Arial" w:cs="Arial"/>
        </w:rPr>
        <w:t>“</w:t>
      </w:r>
      <w:r>
        <w:rPr>
          <w:rStyle w:val="Odkaznapoznmkupodiarou"/>
          <w:rFonts w:ascii="Arial" w:hAnsi="Arial" w:cs="Arial"/>
        </w:rPr>
        <w:footnoteReference w:id="14"/>
      </w:r>
      <w:r>
        <w:rPr>
          <w:rFonts w:ascii="Arial" w:hAnsi="Arial" w:cs="Arial"/>
        </w:rPr>
        <w:t xml:space="preserve">. </w:t>
      </w:r>
    </w:p>
    <w:p>
      <w:pPr>
        <w:spacing w:after="0"/>
        <w:jc w:val="both"/>
        <w:rPr>
          <w:rFonts w:ascii="Arial" w:hAnsi="Arial" w:cs="Arial"/>
        </w:rPr>
      </w:pPr>
      <w:r>
        <w:rPr>
          <w:rFonts w:ascii="Arial" w:hAnsi="Arial" w:cs="Arial"/>
        </w:rPr>
        <w:lastRenderedPageBreak/>
        <w:t>Podpora predprimárneho vzdelávania je prepojená s inkluzívnym rastom stratégie Európa 2020 v jej hlavnej iniciatíve „</w:t>
      </w:r>
      <w:r>
        <w:rPr>
          <w:rFonts w:ascii="Arial" w:hAnsi="Arial" w:cs="Arial"/>
          <w:i/>
        </w:rPr>
        <w:t>Program pre nové zručnosti a nové pracovné miesta</w:t>
      </w:r>
      <w:r>
        <w:rPr>
          <w:rFonts w:ascii="Arial" w:hAnsi="Arial" w:cs="Arial"/>
        </w:rPr>
        <w:t>“. Jednou z úloh programu je „</w:t>
      </w:r>
      <w:r>
        <w:rPr>
          <w:rFonts w:ascii="Arial" w:hAnsi="Arial" w:cs="Arial"/>
          <w:i/>
        </w:rPr>
        <w:t>...uľahčiť zosúladenie profesionálneho a rodinného života</w:t>
      </w:r>
      <w:r>
        <w:rPr>
          <w:rFonts w:ascii="Arial" w:hAnsi="Arial" w:cs="Arial"/>
        </w:rPr>
        <w:t>“. V rámci definovania cieľov v oblasti vzdelávania do roku 2020 EK stanovila, že aspoň 95 % detí vo veku od štyroch rokov do veku, v ktorom majú začať povinnú školskú dochádzku, by sa malo zúčastniť predprimárneho vzdelávania. Podpora predprimárneho vzdelávania je z pohľadu podpory účasti žien na trhu práce obsiahnutá v Národnom programe reforiem SR 2013: „</w:t>
      </w:r>
      <w:r>
        <w:rPr>
          <w:rFonts w:ascii="Arial" w:hAnsi="Arial" w:cs="Arial"/>
          <w:i/>
        </w:rPr>
        <w:t>podporou predprimárneho vzdelávania v materských školách rozširovaním existujúcich foriem výchovy a vzdelávania. Rozšíria sa najmä existujúce formy výchovy a vzdelávania o prípravné triedy materskej školy. V spolupráci so zriaďovateľmi materských škôl sa budú naďalej upravovať kapacity materských škôl tak, aby naplnili vyššie uvedený cieľ</w:t>
      </w:r>
      <w:r>
        <w:rPr>
          <w:rFonts w:ascii="Arial" w:hAnsi="Arial" w:cs="Arial"/>
        </w:rPr>
        <w:t>“. Čiastkovým cieľom v oblasti predprimárneho vzdelávania v Správe o stave školstva na Slovensku 2013 je „</w:t>
      </w:r>
      <w:r>
        <w:rPr>
          <w:rFonts w:ascii="Arial" w:hAnsi="Arial" w:cs="Arial"/>
          <w:i/>
        </w:rPr>
        <w:t>vytváranie kapacitného a technického vybavenia materských škôl</w:t>
      </w:r>
      <w:r>
        <w:rPr>
          <w:rFonts w:ascii="Arial" w:hAnsi="Arial" w:cs="Arial"/>
        </w:rPr>
        <w:t xml:space="preserve">“. </w:t>
      </w:r>
    </w:p>
    <w:p>
      <w:pPr>
        <w:spacing w:after="0"/>
        <w:jc w:val="both"/>
        <w:rPr>
          <w:rFonts w:ascii="Arial" w:hAnsi="Arial" w:cs="Arial"/>
        </w:rPr>
      </w:pPr>
      <w:r>
        <w:rPr>
          <w:rFonts w:ascii="Arial" w:hAnsi="Arial" w:cs="Arial"/>
        </w:rPr>
        <w:t>Predprimárne vzdelávanie je výchova a vzdelávanie poskytované deťom vo veku od 3 do 5 rokov veku dieťaťa. Jeho cieľom je osobnostný rozvoj detí v oblasti sociálno-emocionálnej, intelektuálnej, telesnej, morálne, estetickej. Taktiež rozvíjanie schopností a zručností potrebných na plnenie povinnej školskej dochádzky. Získané poznatky a schopnosti detí v bezpečnom, hygienickom a podnetnom prostredí majú význam vo vzťahu k rozvíjaniu základov kultúrnej, čitateľskej, matematickej a prírodovednej gramotnosti.</w:t>
      </w:r>
      <w:r>
        <w:rPr>
          <w:rFonts w:ascii="Arial" w:hAnsi="Arial" w:cs="Arial"/>
          <w:color w:val="000000"/>
          <w:lang w:eastAsia="sk-SK"/>
        </w:rPr>
        <w:t xml:space="preserve"> </w:t>
      </w:r>
      <w:r>
        <w:rPr>
          <w:rFonts w:ascii="Arial" w:hAnsi="Arial" w:cs="Arial"/>
          <w:b/>
        </w:rPr>
        <w:t xml:space="preserve">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tak limituje využívanie predškolského vzdelávania k vytváraniu študijných schopností a sociálnej integrácie detí. </w:t>
      </w:r>
      <w:r>
        <w:rPr>
          <w:rFonts w:ascii="Arial" w:hAnsi="Arial" w:cs="Arial"/>
        </w:rPr>
        <w:t>Rovnako musia byť materské školy prispôsobené pre deti so špeciálnymi vzdelávacími potrebami (bezbariérový prístup, pomôcky, a pod.), aby boli vytvorené predpoklady pre rozvoj ich kľúčových kompetencií a celkový rozvoj inkluzívneho vzdelávania už od najnižšieho stupňa  vzdelávania.</w:t>
      </w:r>
    </w:p>
    <w:p>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Pomer detí v materských školách k populácii 3- až 5- ročných detí (hrubá zaškolenosť) sa postupnou revitalizáciou materských škôl dostal v roku 2003 nad úroveň 90 %. V súčasnosti je na úrovni 87,70 % (údaj k 2013). </w:t>
      </w:r>
    </w:p>
    <w:p>
      <w:pPr>
        <w:spacing w:after="0"/>
        <w:jc w:val="both"/>
        <w:rPr>
          <w:rFonts w:ascii="Arial" w:hAnsi="Arial" w:cs="Arial"/>
        </w:rPr>
      </w:pPr>
      <w:r>
        <w:rPr>
          <w:rFonts w:ascii="Arial" w:hAnsi="Arial" w:cs="Arial"/>
        </w:rPr>
        <w:t>V rokoch 2000 až 2012 vývoj počtu materských škôl zodpovedal vývoju referenčnej populácie len na necelých 40 % (v období 1970 až 1989 to bolo 68 %). K disharmónii dochádzalo najmä v ostatných štyroch rokoch, keď pri náraste populácie 3- až 5- ročných o 13,5 tisíc poklesol počet tried materských škôl o 10. Pokiaľ v predchádzajúcej fáze klesala populácia, tak zníženiu o 1000 detí zodpovedal pokles tried na školách o 16. Podľa tohto vzťahu si nárast populácie v ostatných rokoch vyžadoval zvýšenie počtu tried na školách o 216 a nie pokles. Dôsledkom toho bola zvýšená naplnenosť škôl, táto vzrástla zo 48 na 52 detí na školu.</w:t>
      </w:r>
    </w:p>
    <w:p>
      <w:pPr>
        <w:spacing w:after="0"/>
        <w:jc w:val="both"/>
        <w:rPr>
          <w:rFonts w:ascii="Arial" w:hAnsi="Arial" w:cs="Arial"/>
        </w:rPr>
      </w:pPr>
      <w:r>
        <w:rPr>
          <w:rFonts w:ascii="Arial" w:hAnsi="Arial" w:cs="Arial"/>
        </w:rPr>
        <w:t>V podmienkach Slovenska funguje systém predprimárneho vzdelávania vrátane vplyvu detí pochádzajúcich zo sociálne znevýhodneného prostredia na výšku miery hrubej zaškolenosti. </w:t>
      </w:r>
    </w:p>
    <w:p>
      <w:pPr>
        <w:spacing w:after="0"/>
        <w:jc w:val="both"/>
        <w:rPr>
          <w:rFonts w:ascii="Arial" w:hAnsi="Arial" w:cs="Arial"/>
        </w:rPr>
      </w:pPr>
      <w:r>
        <w:rPr>
          <w:rFonts w:ascii="Arial" w:hAnsi="Arial" w:cs="Arial"/>
        </w:rPr>
        <w:t xml:space="preserve">V súčasnosti sú existujúce triedy maximálne vyťažené a počet nevybavených žiadostí o prijatie do materskej školy sa 9-násobne zvýšil (na 9 682 nevybavených žiadostí 2013) v porovnaní s rokom 2006 (1 074 žiadostí). Odhad do roku 2016 nasvedčuje zvyšovaniu počtu nevybavených žiadostí. Materské školy vzhľadom na ich kapacity nestačia uspokojiť všetky požiadavky, z čoho pramení skutočnosť, že z hľadiska vekového zloženia detí bolo v školskom roku 2013/2014 z celkového počtu detí v daných populačných ročníkoch v materských školách prijatých 4,6% detí mladších ako 3 roky; 24,1% 3-ročných detí; 28,7% detí 4-ročných; 30,0% 5-ročných a 12,3% detí 6-ročných. </w:t>
      </w:r>
      <w:r>
        <w:rPr>
          <w:rFonts w:ascii="Arial" w:eastAsia="Calibri" w:hAnsi="Arial" w:cs="Arial"/>
        </w:rPr>
        <w:t xml:space="preserve">Stále rastúci záujem o prijatie detí </w:t>
      </w:r>
      <w:r>
        <w:rPr>
          <w:rFonts w:ascii="Arial" w:hAnsi="Arial" w:cs="Arial"/>
        </w:rPr>
        <w:t xml:space="preserve">do materských škôl, ich nedostatočná kapacita </w:t>
      </w:r>
      <w:r>
        <w:rPr>
          <w:rFonts w:ascii="Arial" w:hAnsi="Arial" w:cs="Arial"/>
        </w:rPr>
        <w:lastRenderedPageBreak/>
        <w:t xml:space="preserve">nútia zariadenia prednostne prijímať deti, ktoré dovŕšia piaty rok veku a deti zamestnaných rodičov. </w:t>
      </w:r>
    </w:p>
    <w:p>
      <w:pPr>
        <w:spacing w:after="0"/>
        <w:jc w:val="both"/>
        <w:rPr>
          <w:rFonts w:ascii="Arial" w:hAnsi="Arial" w:cs="Arial"/>
        </w:rPr>
      </w:pPr>
      <w:r>
        <w:rPr>
          <w:rFonts w:ascii="Arial" w:hAnsi="Arial" w:cs="Arial"/>
        </w:rPr>
        <w:t xml:space="preserve">V roku 2013 bolo v sieti škôl a školských zariadení evidovaných 7 525,5 tried v 2 870 materských školách. Pri zvyšujúcom sa počte detí prijatých do materských škôl, ako aj pri zvyšujúcom sa počte nevybavených žiadostí o prijatí detí do materskej škôl sa v roku 2013 zvýšil celkový počet materských škôl o 9 oproti roku 2012 a počet tried sa zvýšil o 130,5 v porovnaní s rokom 2012. Zriaďovatelia sa preto snažia nepriaznivú situáciu pri prijímaní detí riešiť rozširovaním kapacít už existujúcich materských škôl, prípadne adaptáciou vhodných priestorov na triedy materských škôl. </w:t>
      </w:r>
    </w:p>
    <w:p>
      <w:pPr>
        <w:spacing w:after="0" w:line="240" w:lineRule="auto"/>
        <w:jc w:val="both"/>
        <w:rPr>
          <w:rFonts w:ascii="Arial" w:hAnsi="Arial" w:cs="Arial"/>
        </w:rPr>
      </w:pPr>
    </w:p>
    <w:p>
      <w:pPr>
        <w:spacing w:line="240" w:lineRule="auto"/>
        <w:jc w:val="both"/>
        <w:rPr>
          <w:rFonts w:ascii="Arial" w:hAnsi="Arial" w:cs="Arial"/>
        </w:rPr>
      </w:pPr>
      <w:r>
        <w:rPr>
          <w:rFonts w:ascii="Arial" w:hAnsi="Arial" w:cs="Arial"/>
          <w:b/>
        </w:rPr>
        <w:t>Tabuľka č. 3</w:t>
      </w:r>
      <w:r>
        <w:rPr>
          <w:rFonts w:ascii="Arial" w:hAnsi="Arial" w:cs="Arial"/>
        </w:rPr>
        <w:t xml:space="preserve"> </w:t>
      </w:r>
      <w:r>
        <w:rPr>
          <w:rFonts w:ascii="Arial" w:hAnsi="Arial" w:cs="Arial"/>
          <w:i/>
        </w:rPr>
        <w:t>Potreba tried na základe nevyhovených žiadostí s odhadom od roku 2014 do 2016 podľa regiónov</w:t>
      </w:r>
    </w:p>
    <w:tbl>
      <w:tblPr>
        <w:tblStyle w:val="Svetlmriekazvraznenie11"/>
        <w:tblW w:w="9498" w:type="dxa"/>
        <w:tblInd w:w="108" w:type="dxa"/>
        <w:tblLayout w:type="fixed"/>
        <w:tblLook w:val="04A0" w:firstRow="1" w:lastRow="0" w:firstColumn="1" w:lastColumn="0" w:noHBand="0" w:noVBand="1"/>
      </w:tblPr>
      <w:tblGrid>
        <w:gridCol w:w="1134"/>
        <w:gridCol w:w="1134"/>
        <w:gridCol w:w="993"/>
        <w:gridCol w:w="992"/>
        <w:gridCol w:w="1276"/>
        <w:gridCol w:w="1134"/>
        <w:gridCol w:w="1275"/>
        <w:gridCol w:w="156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560"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hAnsi="Arial" w:cs="Arial"/>
                <w:sz w:val="18"/>
                <w:szCs w:val="18"/>
              </w:rPr>
            </w:pPr>
            <w:r>
              <w:rPr>
                <w:rFonts w:ascii="Arial" w:hAnsi="Arial" w:cs="Arial"/>
                <w:sz w:val="18"/>
                <w:szCs w:val="18"/>
              </w:rPr>
              <w:t>Bratislavský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hAnsi="Arial" w:cs="Arial"/>
                <w:sz w:val="18"/>
                <w:szCs w:val="18"/>
              </w:rPr>
            </w:pPr>
            <w:r>
              <w:rPr>
                <w:rFonts w:ascii="Arial" w:hAnsi="Arial" w:cs="Arial"/>
                <w:sz w:val="18"/>
                <w:szCs w:val="18"/>
              </w:rPr>
              <w:t>Trnavský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560"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560"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pPr>
        <w:spacing w:after="0" w:line="240" w:lineRule="auto"/>
        <w:jc w:val="both"/>
        <w:rPr>
          <w:rFonts w:ascii="Arial" w:hAnsi="Arial" w:cs="Arial"/>
        </w:rPr>
      </w:pPr>
    </w:p>
    <w:p>
      <w:pPr>
        <w:pStyle w:val="Style38"/>
        <w:widowControl/>
        <w:tabs>
          <w:tab w:val="left" w:pos="826"/>
        </w:tabs>
        <w:spacing w:before="134"/>
        <w:ind w:firstLine="0"/>
        <w:rPr>
          <w:sz w:val="22"/>
          <w:szCs w:val="22"/>
        </w:rPr>
      </w:pPr>
      <w:r>
        <w:rPr>
          <w:sz w:val="22"/>
          <w:szCs w:val="22"/>
        </w:rPr>
        <w:t xml:space="preserve">Od </w:t>
      </w:r>
      <w:r>
        <w:rPr>
          <w:rFonts w:eastAsia="Trebuchet MS"/>
          <w:sz w:val="22"/>
          <w:szCs w:val="22"/>
          <w:lang w:eastAsia="en-US"/>
        </w:rPr>
        <w:t>roku</w:t>
      </w:r>
      <w:r>
        <w:rPr>
          <w:sz w:val="22"/>
          <w:szCs w:val="22"/>
        </w:rPr>
        <w:t xml:space="preserve"> 2000 sa výrazne menil aj ukazovateľ hrubej zaškolenosti detí v materskej škole. Najvyššia hrubá zaškolenosť bola v rokoch 2004 – 93% a v 2006 – 92%. V súčasnosti je hrubá zaškolenosť detí v materských školách 87,70%. V medzinárodnom porovnaní SR vykazuje nižšiu účasť na predškolskej výchove ako je priemer krajín EÚ. </w:t>
      </w:r>
    </w:p>
    <w:p>
      <w:pPr>
        <w:spacing w:after="0" w:line="240" w:lineRule="auto"/>
        <w:jc w:val="both"/>
        <w:rPr>
          <w:rFonts w:ascii="Arial" w:hAnsi="Arial" w:cs="Arial"/>
        </w:rPr>
      </w:pPr>
    </w:p>
    <w:p>
      <w:pPr>
        <w:spacing w:after="0" w:line="240" w:lineRule="auto"/>
        <w:jc w:val="both"/>
        <w:rPr>
          <w:rFonts w:ascii="Arial" w:hAnsi="Arial" w:cs="Arial"/>
          <w:b/>
        </w:rPr>
      </w:pPr>
    </w:p>
    <w:p>
      <w:pPr>
        <w:spacing w:after="0" w:line="240" w:lineRule="auto"/>
        <w:jc w:val="both"/>
        <w:rPr>
          <w:rFonts w:ascii="Arial" w:hAnsi="Arial" w:cs="Arial"/>
          <w:b/>
        </w:rPr>
      </w:pPr>
    </w:p>
    <w:p>
      <w:pPr>
        <w:spacing w:after="0" w:line="240" w:lineRule="auto"/>
        <w:jc w:val="both"/>
        <w:rPr>
          <w:rFonts w:ascii="Arial" w:hAnsi="Arial" w:cs="Arial"/>
          <w:b/>
        </w:rPr>
      </w:pPr>
    </w:p>
    <w:p>
      <w:pPr>
        <w:spacing w:after="0" w:line="240" w:lineRule="auto"/>
        <w:jc w:val="both"/>
        <w:rPr>
          <w:rFonts w:ascii="Arial" w:hAnsi="Arial" w:cs="Arial"/>
          <w:b/>
        </w:rPr>
      </w:pPr>
    </w:p>
    <w:p>
      <w:pPr>
        <w:spacing w:after="0" w:line="240" w:lineRule="auto"/>
        <w:jc w:val="both"/>
        <w:rPr>
          <w:rFonts w:ascii="Arial" w:hAnsi="Arial" w:cs="Arial"/>
          <w:b/>
        </w:rPr>
      </w:pPr>
    </w:p>
    <w:p>
      <w:pPr>
        <w:spacing w:after="0" w:line="240" w:lineRule="auto"/>
        <w:jc w:val="both"/>
        <w:rPr>
          <w:rFonts w:ascii="Arial" w:hAnsi="Arial" w:cs="Arial"/>
          <w:b/>
        </w:rPr>
      </w:pPr>
    </w:p>
    <w:p>
      <w:pPr>
        <w:spacing w:after="0" w:line="240" w:lineRule="auto"/>
        <w:jc w:val="both"/>
        <w:rPr>
          <w:rFonts w:ascii="Arial" w:hAnsi="Arial" w:cs="Arial"/>
          <w:b/>
        </w:rPr>
      </w:pPr>
      <w:r>
        <w:rPr>
          <w:rFonts w:ascii="Arial" w:hAnsi="Arial" w:cs="Arial"/>
          <w:b/>
        </w:rPr>
        <w:lastRenderedPageBreak/>
        <w:t>Rozvojové potreby a výzvy v oblasti predprimárneho vzdelávania a spôsob ich riešenia v rámci IROP:</w:t>
      </w:r>
    </w:p>
    <w:p>
      <w:pPr>
        <w:spacing w:after="0" w:line="240" w:lineRule="auto"/>
        <w:jc w:val="both"/>
        <w:rPr>
          <w:rFonts w:ascii="Arial" w:hAnsi="Arial" w:cs="Arial"/>
        </w:rPr>
      </w:pPr>
    </w:p>
    <w:p>
      <w:pPr>
        <w:spacing w:after="0" w:line="240" w:lineRule="auto"/>
        <w:jc w:val="both"/>
        <w:rPr>
          <w:rFonts w:ascii="Arial" w:hAnsi="Arial" w:cs="Arial"/>
          <w:b/>
        </w:rPr>
      </w:pPr>
      <w:r>
        <w:rPr>
          <w:rFonts w:ascii="Arial" w:hAnsi="Arial" w:cs="Arial"/>
          <w:b/>
        </w:rPr>
        <w:t xml:space="preserve">Potreby a výzvy: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materských škôl vrátane nepriaznivej priestorovej situácie škôl, ktorá bezprostredne ohrozuje prípravu detí na plnenie povinnej školskej dochádzky,</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nízka hrubá zaškolenosť detí,</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materských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využitý potenciál predškolského vzdelávania z hľadiska osobnostného rozvoja detí,</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vytvorené podmienky pre deti so špeciálnymi vzdelávacími potrebami pre ich začlenenie do materských škôl (nízky počet priestorovo debarierizovaných škôl, vybavených kompenzačnými a špeciálnymi učebnými pomôckami), absencia, resp. nízky počet asistentov učiteľa,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materských škôl.</w:t>
      </w:r>
    </w:p>
    <w:p>
      <w:pPr>
        <w:spacing w:after="0" w:line="240" w:lineRule="auto"/>
        <w:ind w:left="360"/>
        <w:jc w:val="both"/>
        <w:rPr>
          <w:rFonts w:ascii="Arial" w:hAnsi="Arial" w:cs="Arial"/>
        </w:rPr>
      </w:pPr>
    </w:p>
    <w:p>
      <w:pPr>
        <w:spacing w:after="0" w:line="240" w:lineRule="auto"/>
        <w:jc w:val="both"/>
        <w:rPr>
          <w:rFonts w:ascii="Arial" w:hAnsi="Arial" w:cs="Arial"/>
          <w:b/>
        </w:rPr>
      </w:pPr>
      <w:r>
        <w:rPr>
          <w:rFonts w:ascii="Arial" w:hAnsi="Arial" w:cs="Arial"/>
          <w:b/>
        </w:rPr>
        <w:t>Opatrenia na riešenie v rámci IROP:</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materských škôl,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materských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materiálno-technického vybavenia materských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materských škôl,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vybavenie materských škôl moderným nábytkom, IKT, učebnými pomôckami a didaktickými hračkami,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prispôsobenie vonkajších a vnútorných priestorov materských škôl podmienkam inkluzívneho vzdelávania.</w:t>
      </w:r>
    </w:p>
    <w:p>
      <w:pPr>
        <w:spacing w:after="0" w:line="240" w:lineRule="auto"/>
        <w:jc w:val="both"/>
        <w:rPr>
          <w:rFonts w:ascii="Arial" w:hAnsi="Arial" w:cs="Arial"/>
          <w:lang w:eastAsia="sk-SK"/>
        </w:rPr>
      </w:pPr>
    </w:p>
    <w:p>
      <w:pPr>
        <w:jc w:val="both"/>
        <w:rPr>
          <w:rFonts w:ascii="Arial" w:hAnsi="Arial" w:cs="Arial"/>
          <w:b/>
        </w:rPr>
      </w:pPr>
      <w:r>
        <w:rPr>
          <w:rFonts w:ascii="Arial" w:hAnsi="Arial" w:cs="Arial"/>
          <w:b/>
        </w:rPr>
        <w:t xml:space="preserve">Základné vzdelávanie </w:t>
      </w:r>
    </w:p>
    <w:p>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vytvorenie hospodárstva založeného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„Mládež v </w:t>
      </w:r>
      <w:r>
        <w:rPr>
          <w:rFonts w:eastAsia="Trebuchet MS"/>
          <w:i/>
          <w:sz w:val="22"/>
          <w:szCs w:val="22"/>
          <w:lang w:eastAsia="en-US"/>
        </w:rPr>
        <w:t>pohybe</w:t>
      </w:r>
      <w:r>
        <w:rPr>
          <w:rFonts w:eastAsia="Trebuchet MS"/>
          <w:sz w:val="22"/>
          <w:szCs w:val="22"/>
          <w:lang w:eastAsia="en-US"/>
        </w:rPr>
        <w:t xml:space="preserve">“. </w:t>
      </w:r>
      <w:r>
        <w:rPr>
          <w:sz w:val="22"/>
          <w:szCs w:val="22"/>
        </w:rPr>
        <w:t>V Odporúčaní Rady č. 4, ktoré sa týka Národného programu reforiem Slovenka na roky 2013 a ktorým sa predkladá stanovisko Rady k programu stability SR na roky 2012-2016 sa uvádza: „</w:t>
      </w:r>
      <w:r>
        <w:rPr>
          <w:i/>
          <w:sz w:val="22"/>
          <w:szCs w:val="22"/>
        </w:rPr>
        <w:t>Zintenzívniť úsilie o zlepšenie prístupu k vysoko kvalitnému a inkluzívnemu predškolskému a školskému vzdelávaniu...</w:t>
      </w:r>
      <w:r>
        <w:rPr>
          <w:sz w:val="22"/>
          <w:szCs w:val="22"/>
        </w:rPr>
        <w:t>“. Pozičný dokument EK pri podpore vzdelávania navrhuje SR „</w:t>
      </w:r>
      <w:r>
        <w:rPr>
          <w:i/>
          <w:sz w:val="22"/>
          <w:szCs w:val="22"/>
        </w:rPr>
        <w:t>Zvýšiť účasť dospelých na celoživotnom vzdelávaní</w:t>
      </w:r>
      <w:r>
        <w:rPr>
          <w:sz w:val="22"/>
          <w:szCs w:val="22"/>
        </w:rPr>
        <w:t>“, zároveň „</w:t>
      </w:r>
      <w:r>
        <w:rPr>
          <w:i/>
          <w:sz w:val="22"/>
          <w:szCs w:val="22"/>
        </w:rPr>
        <w:t>je potrebné zabezpečiť investície do prispôsobovania infraštruktúry konkrétnym potrebám postihnutých osôb s cieľom umožniť im účasť na vzdelávaní</w:t>
      </w:r>
      <w:r>
        <w:rPr>
          <w:sz w:val="22"/>
          <w:szCs w:val="22"/>
        </w:rPr>
        <w:t>“.</w:t>
      </w:r>
    </w:p>
    <w:p>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základných škôl a školských zariadení zaradených 2 159 základných škôl a vzdeláva sa v nich 427 377 žiakov v 23 146 triedach</w:t>
      </w:r>
      <w:r>
        <w:rPr>
          <w:rStyle w:val="Odkaznapoznmkupodiarou"/>
          <w:sz w:val="22"/>
          <w:szCs w:val="22"/>
        </w:rPr>
        <w:footnoteReference w:id="15"/>
      </w:r>
      <w:r>
        <w:rPr>
          <w:sz w:val="22"/>
          <w:szCs w:val="22"/>
        </w:rPr>
        <w:t>.</w:t>
      </w:r>
    </w:p>
    <w:p>
      <w:pPr>
        <w:pStyle w:val="Style38"/>
        <w:widowControl/>
        <w:tabs>
          <w:tab w:val="left" w:pos="826"/>
        </w:tabs>
        <w:spacing w:before="134" w:line="276" w:lineRule="auto"/>
        <w:ind w:firstLine="0"/>
        <w:rPr>
          <w:sz w:val="22"/>
          <w:szCs w:val="22"/>
        </w:rPr>
      </w:pPr>
    </w:p>
    <w:p>
      <w:pPr>
        <w:pStyle w:val="Style38"/>
        <w:widowControl/>
        <w:tabs>
          <w:tab w:val="left" w:pos="826"/>
        </w:tabs>
        <w:spacing w:before="134" w:line="276" w:lineRule="auto"/>
        <w:ind w:firstLine="0"/>
        <w:rPr>
          <w:sz w:val="22"/>
          <w:szCs w:val="22"/>
        </w:rPr>
      </w:pPr>
    </w:p>
    <w:p>
      <w:pPr>
        <w:pStyle w:val="Style38"/>
        <w:widowControl/>
        <w:tabs>
          <w:tab w:val="left" w:pos="826"/>
        </w:tabs>
        <w:spacing w:before="134" w:line="276" w:lineRule="auto"/>
        <w:ind w:firstLine="0"/>
        <w:rPr>
          <w:sz w:val="22"/>
          <w:szCs w:val="22"/>
        </w:rPr>
      </w:pPr>
    </w:p>
    <w:p>
      <w:pPr>
        <w:pStyle w:val="Style38"/>
        <w:widowControl/>
        <w:tabs>
          <w:tab w:val="left" w:pos="826"/>
        </w:tabs>
        <w:spacing w:before="134" w:line="276" w:lineRule="auto"/>
        <w:ind w:firstLine="0"/>
        <w:rPr>
          <w:sz w:val="22"/>
          <w:szCs w:val="22"/>
        </w:rPr>
      </w:pPr>
      <w:r>
        <w:rPr>
          <w:b/>
          <w:sz w:val="22"/>
          <w:szCs w:val="22"/>
        </w:rPr>
        <w:lastRenderedPageBreak/>
        <w:t>Tabuľka č. 4</w:t>
      </w:r>
      <w:r>
        <w:rPr>
          <w:sz w:val="22"/>
          <w:szCs w:val="22"/>
        </w:rPr>
        <w:t xml:space="preserve"> Regionálne rozdelenie počtu základných škôl, tried a žiakov k 15. 09. 2013 </w:t>
      </w:r>
    </w:p>
    <w:tbl>
      <w:tblPr>
        <w:tblStyle w:val="Svetlmriekazvraznenie111"/>
        <w:tblW w:w="9513" w:type="dxa"/>
        <w:tblLook w:val="04A0" w:firstRow="1" w:lastRow="0" w:firstColumn="1" w:lastColumn="0" w:noHBand="0" w:noVBand="1"/>
      </w:tblPr>
      <w:tblGrid>
        <w:gridCol w:w="3500"/>
        <w:gridCol w:w="1618"/>
        <w:gridCol w:w="2410"/>
        <w:gridCol w:w="1985"/>
      </w:tblGrid>
      <w:tr>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985"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pPr>
        <w:spacing w:after="0" w:line="240" w:lineRule="auto"/>
        <w:jc w:val="both"/>
        <w:rPr>
          <w:sz w:val="18"/>
          <w:szCs w:val="18"/>
        </w:rPr>
      </w:pPr>
      <w:r>
        <w:rPr>
          <w:rFonts w:ascii="Arial" w:hAnsi="Arial" w:cs="Arial"/>
          <w:sz w:val="18"/>
          <w:szCs w:val="18"/>
        </w:rPr>
        <w:t>Zdroj: Centrum vedecko-technických informácií SR</w:t>
      </w:r>
    </w:p>
    <w:p>
      <w:pPr>
        <w:pStyle w:val="Style38"/>
        <w:widowControl/>
        <w:tabs>
          <w:tab w:val="left" w:pos="826"/>
        </w:tabs>
        <w:spacing w:before="134" w:line="276" w:lineRule="auto"/>
        <w:ind w:firstLine="0"/>
        <w:rPr>
          <w:sz w:val="22"/>
          <w:szCs w:val="22"/>
        </w:rPr>
      </w:pPr>
    </w:p>
    <w:p>
      <w:pPr>
        <w:pStyle w:val="Style38"/>
        <w:widowControl/>
        <w:tabs>
          <w:tab w:val="left" w:pos="826"/>
        </w:tabs>
        <w:spacing w:before="134" w:line="276" w:lineRule="auto"/>
        <w:ind w:firstLine="0"/>
        <w:rPr>
          <w:sz w:val="22"/>
          <w:szCs w:val="22"/>
        </w:rPr>
      </w:pPr>
      <w:r>
        <w:rPr>
          <w:sz w:val="22"/>
          <w:szCs w:val="22"/>
        </w:rPr>
        <w:t>Celkový počet žiakov základný škôl bude klesať do roku 2014, a to na úroveň 425,3 tisíc žiakov. V nasledujúcej rastovej fáze sa počet zvýši o 9 %, v roku 2023 by malo byť v základných školách celkovo 465 tisíc žiakov.</w:t>
      </w:r>
    </w:p>
    <w:p>
      <w:pPr>
        <w:spacing w:after="0"/>
        <w:jc w:val="both"/>
        <w:rPr>
          <w:rFonts w:ascii="Arial" w:hAnsi="Arial" w:cs="Arial"/>
          <w:lang w:eastAsia="sk-SK"/>
        </w:rPr>
      </w:pPr>
      <w:r>
        <w:rPr>
          <w:rFonts w:ascii="Arial" w:hAnsi="Arial" w:cs="Arial"/>
          <w:lang w:eastAsia="sk-SK"/>
        </w:rPr>
        <w:t xml:space="preserve">Počet absolventov základných škôl v roku 2013 bol 49 696. Na stredné odborné školy v roku 2013 nastúpilo 42 235 novoprijatých žiakov (približne 85 %). Počet novoprijatých žiakov zahŕňa okrem absolventov základných škôl aj osoby v pracovnom procese, resp. osoby bez práce. Základné školy zaradené do siete škôl a školských zariadení využívajú 33 294 učební, z ktorých 437 nevyhovuje hygienickým požiadavkám (stav k 15. 09. 2013, UIPŠ). </w:t>
      </w:r>
    </w:p>
    <w:p>
      <w:pPr>
        <w:pStyle w:val="Style38"/>
        <w:widowControl/>
        <w:tabs>
          <w:tab w:val="left" w:pos="826"/>
        </w:tabs>
        <w:spacing w:before="134" w:line="276" w:lineRule="auto"/>
        <w:ind w:firstLine="0"/>
        <w:rPr>
          <w:rFonts w:eastAsia="Trebuchet MS"/>
          <w:sz w:val="22"/>
          <w:szCs w:val="22"/>
          <w:lang w:eastAsia="en-US"/>
        </w:rPr>
      </w:pPr>
      <w:r>
        <w:rPr>
          <w:rFonts w:eastAsia="Trebuchet MS"/>
          <w:sz w:val="22"/>
          <w:szCs w:val="22"/>
          <w:lang w:eastAsia="en-US"/>
        </w:rPr>
        <w:t xml:space="preserve">Žiaci základných škôl disponujú nízkou </w:t>
      </w:r>
      <w:r>
        <w:rPr>
          <w:rFonts w:eastAsia="Trebuchet MS"/>
          <w:b/>
          <w:sz w:val="22"/>
          <w:szCs w:val="22"/>
          <w:lang w:eastAsia="en-US"/>
        </w:rPr>
        <w:t>jazykovou gramotnosťou</w:t>
      </w:r>
      <w:r>
        <w:rPr>
          <w:rStyle w:val="Odkaznapoznmkupodiarou"/>
          <w:rFonts w:eastAsia="Trebuchet MS"/>
          <w:b/>
          <w:sz w:val="22"/>
          <w:szCs w:val="22"/>
          <w:lang w:eastAsia="en-US"/>
        </w:rPr>
        <w:footnoteReference w:id="16"/>
      </w:r>
      <w:r>
        <w:rPr>
          <w:rFonts w:eastAsia="Trebuchet MS"/>
          <w:sz w:val="22"/>
          <w:szCs w:val="22"/>
          <w:lang w:eastAsia="en-US"/>
        </w:rPr>
        <w:t xml:space="preserve"> (výsledky Monitor 9) a postupne sa znižuje prírodovedná gramotnosť (výsledky PISA 2012). V meraní PISA 2012 v každej oblasti (matematická, prírodovedná, čitateľská) došlo k výraznému poklesu výkonu slovenských žiakov. Prvýkrát sú výsledky vo vyššie uvedených oblastiach výrazne nižšie ako je priemer OECD. V </w:t>
      </w:r>
      <w:r>
        <w:rPr>
          <w:rFonts w:eastAsia="Trebuchet MS"/>
          <w:b/>
          <w:sz w:val="22"/>
          <w:szCs w:val="22"/>
          <w:lang w:eastAsia="en-US"/>
        </w:rPr>
        <w:t>matematickej gramotnosti</w:t>
      </w:r>
      <w:r>
        <w:rPr>
          <w:rFonts w:eastAsia="Trebuchet MS"/>
          <w:sz w:val="22"/>
          <w:szCs w:val="22"/>
          <w:lang w:eastAsia="en-US"/>
        </w:rPr>
        <w:t xml:space="preserve"> sa vo výsledkoch našich žiakov prejavilo zníženie v priemere o 15 bodov, v porovnaní s PISA 2009, čo znamená pre SR pokles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sa slovenskí žiaci aj v predchádzajúcich cykloch nachádzali </w:t>
      </w:r>
      <w:r>
        <w:rPr>
          <w:rFonts w:eastAsia="Trebuchet MS"/>
          <w:bCs/>
          <w:sz w:val="22"/>
          <w:szCs w:val="22"/>
          <w:lang w:eastAsia="en-US"/>
        </w:rPr>
        <w:t>pod priemerom zúčastnených krajín OECD</w:t>
      </w:r>
      <w:r>
        <w:rPr>
          <w:rFonts w:eastAsia="Trebuchet MS"/>
          <w:sz w:val="22"/>
          <w:szCs w:val="22"/>
          <w:lang w:eastAsia="en-US"/>
        </w:rPr>
        <w:t xml:space="preserve">. </w:t>
      </w:r>
      <w:r>
        <w:rPr>
          <w:rFonts w:eastAsia="Trebuchet MS"/>
          <w:bCs/>
          <w:sz w:val="22"/>
          <w:szCs w:val="22"/>
          <w:lang w:eastAsia="en-US"/>
        </w:rPr>
        <w:t>Oproti roku 2009 sa</w:t>
      </w:r>
      <w:r>
        <w:rPr>
          <w:rFonts w:eastAsia="Trebuchet MS"/>
          <w:sz w:val="22"/>
          <w:szCs w:val="22"/>
          <w:lang w:eastAsia="en-US"/>
        </w:rPr>
        <w:t xml:space="preserve"> však  priemerný výkon našich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Výsledkom je, že až 28,2 % žiakov sa svojím výkonom zaradilo do rizikovej skupiny, čo znamená, že títo žiaci nedisponujú ani najzákladnejšími čitateľskými zručnosťami, ktoré sú tak potrebné pre ďalšie vzdelávanie. V </w:t>
      </w:r>
      <w:r>
        <w:rPr>
          <w:rFonts w:eastAsia="Trebuchet MS"/>
          <w:b/>
          <w:sz w:val="22"/>
          <w:szCs w:val="22"/>
          <w:lang w:eastAsia="en-US"/>
        </w:rPr>
        <w:t>prírodovednej gramotnosti</w:t>
      </w:r>
      <w:r>
        <w:rPr>
          <w:rFonts w:eastAsia="Trebuchet MS"/>
          <w:sz w:val="22"/>
          <w:szCs w:val="22"/>
          <w:lang w:eastAsia="en-US"/>
        </w:rPr>
        <w:t xml:space="preserve"> sa výkon žiakov sa nachádza </w:t>
      </w:r>
      <w:r>
        <w:rPr>
          <w:rFonts w:eastAsia="Trebuchet MS"/>
          <w:bCs/>
          <w:sz w:val="22"/>
          <w:szCs w:val="22"/>
          <w:lang w:eastAsia="en-US"/>
        </w:rPr>
        <w:t>pod priemerom zúčastnených krajín OECD</w:t>
      </w:r>
      <w:r>
        <w:rPr>
          <w:rFonts w:eastAsia="Trebuchet MS"/>
          <w:sz w:val="22"/>
          <w:szCs w:val="22"/>
          <w:lang w:eastAsia="en-US"/>
        </w:rPr>
        <w:t xml:space="preserve">. V meraní PISA </w:t>
      </w:r>
      <w:r>
        <w:rPr>
          <w:rFonts w:eastAsia="Trebuchet MS"/>
          <w:bCs/>
          <w:sz w:val="22"/>
          <w:szCs w:val="22"/>
          <w:lang w:eastAsia="en-US"/>
        </w:rPr>
        <w:t>v</w:t>
      </w:r>
      <w:r>
        <w:rPr>
          <w:rFonts w:eastAsia="Trebuchet MS"/>
          <w:sz w:val="22"/>
          <w:szCs w:val="22"/>
          <w:lang w:eastAsia="en-US"/>
        </w:rPr>
        <w:t xml:space="preserve"> roku </w:t>
      </w:r>
      <w:r>
        <w:rPr>
          <w:rFonts w:eastAsia="Trebuchet MS"/>
          <w:bCs/>
          <w:sz w:val="22"/>
          <w:szCs w:val="22"/>
          <w:lang w:eastAsia="en-US"/>
        </w:rPr>
        <w:t>2012</w:t>
      </w:r>
      <w:r>
        <w:rPr>
          <w:rFonts w:eastAsia="Trebuchet MS"/>
          <w:sz w:val="22"/>
          <w:szCs w:val="22"/>
          <w:lang w:eastAsia="en-US"/>
        </w:rPr>
        <w:t xml:space="preserve"> dosiahli žiaci </w:t>
      </w:r>
      <w:r>
        <w:rPr>
          <w:rFonts w:eastAsia="Trebuchet MS"/>
          <w:bCs/>
          <w:sz w:val="22"/>
          <w:szCs w:val="22"/>
          <w:lang w:eastAsia="en-US"/>
        </w:rPr>
        <w:t xml:space="preserve">o 19 bodov nižší priemerný výsledok v porovnaní s predchádzajúcim cyklom v roku 2009. </w:t>
      </w:r>
      <w:r>
        <w:rPr>
          <w:rFonts w:eastAsia="Trebuchet MS"/>
          <w:sz w:val="22"/>
          <w:szCs w:val="22"/>
          <w:lang w:eastAsia="en-US"/>
        </w:rPr>
        <w:t>Pritom už v predchádzajúcich cykloch PISA (2006 a 2009) boli výkony žiakov SR pod úrovňou priemeru krajín OECD. </w:t>
      </w:r>
    </w:p>
    <w:p>
      <w:pPr>
        <w:pStyle w:val="Style38"/>
        <w:widowControl/>
        <w:tabs>
          <w:tab w:val="left" w:pos="826"/>
        </w:tabs>
        <w:spacing w:before="134" w:line="276" w:lineRule="auto"/>
        <w:ind w:firstLine="0"/>
        <w:rPr>
          <w:rFonts w:eastAsia="Trebuchet MS"/>
          <w:sz w:val="22"/>
          <w:szCs w:val="22"/>
          <w:lang w:eastAsia="en-US"/>
        </w:rPr>
      </w:pPr>
      <w:r>
        <w:rPr>
          <w:rFonts w:eastAsia="Trebuchet MS"/>
          <w:sz w:val="22"/>
          <w:szCs w:val="22"/>
          <w:lang w:eastAsia="en-US"/>
        </w:rPr>
        <w:t xml:space="preserve">Testovanie deviatakov základných škôl (tzv. Monitor 9) z jazykovej gramotnosti v školskom roku 2010/2011 bol vyhodnotený priemernou úspešnosťou 58,2%, v nasledujúcom školskom roku 2011/2012 dosiahol úspešnosť 54,5%. </w:t>
      </w:r>
    </w:p>
    <w:p>
      <w:pPr>
        <w:pStyle w:val="Style38"/>
        <w:widowControl/>
        <w:tabs>
          <w:tab w:val="left" w:pos="826"/>
        </w:tabs>
        <w:spacing w:before="134" w:line="276" w:lineRule="auto"/>
        <w:ind w:firstLine="0"/>
        <w:rPr>
          <w:sz w:val="22"/>
          <w:szCs w:val="22"/>
        </w:rPr>
      </w:pPr>
      <w:r>
        <w:rPr>
          <w:sz w:val="22"/>
          <w:szCs w:val="22"/>
        </w:rPr>
        <w:t xml:space="preserve">Podporou základného vzdelávania zlepšíme prístup mladých ľudí na trh práce, vytvoríme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základných škôl učebňami, ich modernizáciou, umožňujúcou využitie moderných </w:t>
      </w:r>
      <w:r>
        <w:rPr>
          <w:sz w:val="22"/>
          <w:szCs w:val="22"/>
        </w:rPr>
        <w:lastRenderedPageBreak/>
        <w:t xml:space="preserve">vyučovacích metód k rozvoju kľúčových kompetencií, prírodovedných zručností, polytechnickej výchovy, zvyšovania jazykových znalostí a IKT. Riešené sú aj prvky infraštruktúry na zabezpečenie inkluzívneho vzdelávania. </w:t>
      </w:r>
    </w:p>
    <w:p>
      <w:pPr>
        <w:spacing w:before="240" w:after="0" w:line="240" w:lineRule="auto"/>
        <w:jc w:val="both"/>
        <w:rPr>
          <w:rFonts w:ascii="Arial" w:hAnsi="Arial" w:cs="Arial"/>
          <w:b/>
        </w:rPr>
      </w:pPr>
      <w:r>
        <w:rPr>
          <w:rFonts w:ascii="Arial" w:hAnsi="Arial" w:cs="Arial"/>
          <w:b/>
        </w:rPr>
        <w:t>Rozvojové potreby a výzvy v oblasti základného vzdelávania a spôsob ich riešenia v rámci IROP:</w:t>
      </w:r>
    </w:p>
    <w:p>
      <w:pPr>
        <w:spacing w:after="0" w:line="240" w:lineRule="auto"/>
        <w:jc w:val="both"/>
        <w:rPr>
          <w:rFonts w:ascii="Arial" w:hAnsi="Arial" w:cs="Arial"/>
          <w:b/>
        </w:rPr>
      </w:pPr>
    </w:p>
    <w:p>
      <w:pPr>
        <w:spacing w:after="0" w:line="240" w:lineRule="auto"/>
        <w:jc w:val="both"/>
        <w:rPr>
          <w:rFonts w:ascii="Arial" w:hAnsi="Arial" w:cs="Arial"/>
          <w:b/>
        </w:rPr>
      </w:pPr>
      <w:r>
        <w:rPr>
          <w:rFonts w:ascii="Arial" w:hAnsi="Arial" w:cs="Arial"/>
          <w:b/>
        </w:rPr>
        <w:t xml:space="preserve">Potreby a výzvy: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miestností,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vybavenie jazykových učební,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prírodovedných učební,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základných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znalosti prírodovednej gramotnosti žiakov základných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vybavenie škôl prvkami inkluzívneho vzdelávania.</w:t>
      </w:r>
    </w:p>
    <w:p>
      <w:pPr>
        <w:spacing w:after="0" w:line="240" w:lineRule="auto"/>
        <w:jc w:val="both"/>
        <w:rPr>
          <w:rFonts w:ascii="Arial" w:hAnsi="Arial" w:cs="Arial"/>
          <w:lang w:eastAsia="sk-SK"/>
        </w:rPr>
      </w:pPr>
    </w:p>
    <w:p>
      <w:pPr>
        <w:spacing w:after="0" w:line="240" w:lineRule="auto"/>
        <w:jc w:val="both"/>
        <w:rPr>
          <w:rFonts w:ascii="Arial" w:hAnsi="Arial" w:cs="Arial"/>
          <w:b/>
        </w:rPr>
      </w:pPr>
      <w:r>
        <w:rPr>
          <w:rFonts w:ascii="Arial" w:hAnsi="Arial" w:cs="Arial"/>
          <w:b/>
        </w:rPr>
        <w:t>Opatrenia na riešenie v rámci IROP:</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pPr>
        <w:pStyle w:val="Style38"/>
        <w:widowControl/>
        <w:numPr>
          <w:ilvl w:val="0"/>
          <w:numId w:val="32"/>
        </w:numPr>
        <w:tabs>
          <w:tab w:val="left" w:pos="826"/>
        </w:tabs>
        <w:spacing w:line="276" w:lineRule="auto"/>
      </w:pPr>
      <w:r>
        <w:rPr>
          <w:rFonts w:eastAsia="Trebuchet MS"/>
          <w:sz w:val="22"/>
          <w:szCs w:val="22"/>
          <w:lang w:eastAsia="en-US"/>
        </w:rPr>
        <w:t>modernizácia materiálno-technického vybavenia po stránke zavedenia prvkov inkluzívneho vzdelávania</w:t>
      </w:r>
      <w:r>
        <w:t>.</w:t>
      </w:r>
    </w:p>
    <w:p>
      <w:pPr>
        <w:jc w:val="both"/>
        <w:rPr>
          <w:rFonts w:ascii="Arial" w:hAnsi="Arial" w:cs="Arial"/>
          <w:lang w:eastAsia="sk-SK"/>
        </w:rPr>
      </w:pPr>
    </w:p>
    <w:p>
      <w:pPr>
        <w:jc w:val="both"/>
        <w:rPr>
          <w:rFonts w:ascii="Arial" w:hAnsi="Arial" w:cs="Arial"/>
          <w:b/>
        </w:rPr>
      </w:pPr>
      <w:r>
        <w:rPr>
          <w:rFonts w:ascii="Arial" w:hAnsi="Arial" w:cs="Arial"/>
          <w:b/>
        </w:rPr>
        <w:t>Stredné vzdelávanie</w:t>
      </w:r>
    </w:p>
    <w:p>
      <w:pPr>
        <w:pStyle w:val="Default"/>
        <w:spacing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navrhuje rad iniciatív podporujúcich pokrok v oblasti vzdelávania. V iniciatíve </w:t>
      </w:r>
      <w:r>
        <w:rPr>
          <w:rFonts w:ascii="Arial" w:eastAsia="Trebuchet MS" w:hAnsi="Arial" w:cs="Arial"/>
          <w:i/>
          <w:color w:val="auto"/>
          <w:sz w:val="22"/>
          <w:szCs w:val="22"/>
          <w:lang w:eastAsia="sk-SK"/>
        </w:rPr>
        <w:t>„Mládež v pohybe“ vyzýva členský štát „zabezpečiť efektívne investovanie do systému vzdelávania a odbornej prípravy na všetkých úrovniach“ a zároveň vyzýva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zapracovaním prvkov duálneho školstva do systému odborného vzdelávania a prípravy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r>
        <w:rPr>
          <w:rFonts w:ascii="Arial" w:eastAsia="Trebuchet MS" w:hAnsi="Arial" w:cs="Arial"/>
          <w:sz w:val="22"/>
          <w:szCs w:val="22"/>
          <w:lang w:eastAsia="sk-SK"/>
        </w:rPr>
        <w:t xml:space="preserve"> V neposlednom rade Národný program reforiem 2013 definoval úlohu v oblasti inkluzívneho vzdelávania </w:t>
      </w:r>
      <w:r>
        <w:rPr>
          <w:rFonts w:ascii="Arial" w:eastAsia="Trebuchet MS" w:hAnsi="Arial" w:cs="Arial"/>
          <w:i/>
          <w:sz w:val="22"/>
          <w:szCs w:val="22"/>
          <w:lang w:eastAsia="sk-SK"/>
        </w:rPr>
        <w:t>“zabezpečenie maximálnej úrovne sociálnej inklúzie osôb so zdravotným postihnutím a ich rodín prostredníctvom uplatňovania práv takýchto osôb, vytváraním podmienok pre uplatňovanie rovnosti príležitostí, prijímania opatrení na prevenciu a prekonávanie znevýhodnení, boja proti diskriminácii na základe zdravotného postihnutia“.</w:t>
      </w:r>
    </w:p>
    <w:p>
      <w:pPr>
        <w:pStyle w:val="Default"/>
        <w:spacing w:line="276" w:lineRule="auto"/>
        <w:jc w:val="both"/>
        <w:rPr>
          <w:rFonts w:ascii="Arial" w:hAnsi="Arial" w:cs="Arial"/>
          <w:lang w:eastAsia="sk-SK"/>
        </w:rPr>
      </w:pPr>
      <w:r>
        <w:rPr>
          <w:rFonts w:ascii="Arial" w:hAnsi="Arial" w:cs="Arial"/>
          <w:sz w:val="22"/>
          <w:szCs w:val="22"/>
          <w:lang w:eastAsia="sk-SK"/>
        </w:rPr>
        <w:t>Správa o stave školstva na Slovensku 2013 stanovuje úlohu v oblasti odborného školstva „</w:t>
      </w:r>
      <w:r>
        <w:rPr>
          <w:rFonts w:ascii="Arial" w:hAnsi="Arial" w:cs="Arial"/>
          <w:i/>
          <w:sz w:val="22"/>
          <w:szCs w:val="22"/>
          <w:lang w:eastAsia="sk-SK"/>
        </w:rPr>
        <w:t>zvýšiť kvalitu odborného vzdelávania a prípravy tak, aby jeho absolventi boli schopní bezprostredne po skončení štúdiu priamo vstúpiť do pracovného procesu</w:t>
      </w:r>
      <w:r>
        <w:rPr>
          <w:rFonts w:ascii="Arial" w:hAnsi="Arial" w:cs="Arial"/>
          <w:sz w:val="22"/>
          <w:szCs w:val="22"/>
          <w:lang w:eastAsia="sk-SK"/>
        </w:rPr>
        <w:t xml:space="preserve">“. </w:t>
      </w:r>
    </w:p>
    <w:p>
      <w:pPr>
        <w:jc w:val="both"/>
        <w:rPr>
          <w:rFonts w:ascii="Arial" w:hAnsi="Arial" w:cs="Arial"/>
          <w:lang w:eastAsia="sk-SK"/>
        </w:rPr>
      </w:pPr>
      <w:r>
        <w:rPr>
          <w:rFonts w:ascii="Arial" w:hAnsi="Arial" w:cs="Arial"/>
          <w:lang w:eastAsia="sk-SK"/>
        </w:rPr>
        <w:t xml:space="preserve">Vzdelávacie programy stredných odborných škôl sú zamerané predovšetkým na výkon povolaní a odborných činností v národnom hospodárstve, zdravotníctve, verejnej správe, kultúre, umení a v ostatných oblastiach. Žiakom zabezpečujú teoretické a praktické vyučovanie, prípadne slúžia na prípravu na ďalšie štúdium. Neoddeliteľnou súčasťou odborného vzdelávania a prípravy v stredných odborných školách je praktické vyučovanie. Praktické vyučovanie sa uskutočňuje </w:t>
      </w:r>
      <w:r>
        <w:rPr>
          <w:rFonts w:ascii="Arial" w:hAnsi="Arial" w:cs="Arial"/>
          <w:lang w:eastAsia="sk-SK"/>
        </w:rPr>
        <w:lastRenderedPageBreak/>
        <w:t>v školách, v strediskách praktického vyučovania a v školských zariadeniach alebo individuálne priamo u zamestnávateľov. Poskytuje žiakom najmä praktické zručnosti, návyky a získanie schopností nevyhnutých pre výkon príslušných povolaní a pracovných činností. Odborné vzdelávanie a príprava sú jediným segmentom vzdelávania, ktorý pripravuje svojich absolventov priamo pre prax. Stredné odborné školy, centrá odborného vzdelávania a prípravy poskytujú v rámci celoživotného vzdelávania vyučovanie/kurzy pre verejnosť, akreditované rekvalifikačné programy podľa zákona č. 568/2009 Z. z. o celoživotnom vzdelávaní a o zmene a doplnení niektorých zákonov.</w:t>
      </w:r>
    </w:p>
    <w:p>
      <w:pPr>
        <w:spacing w:after="0" w:line="240" w:lineRule="auto"/>
        <w:jc w:val="both"/>
        <w:rPr>
          <w:rFonts w:ascii="Arial" w:hAnsi="Arial" w:cs="Arial"/>
          <w:i/>
          <w:lang w:eastAsia="sk-SK"/>
        </w:rPr>
      </w:pPr>
      <w:r>
        <w:rPr>
          <w:rFonts w:ascii="Arial" w:hAnsi="Arial" w:cs="Arial"/>
          <w:b/>
          <w:lang w:eastAsia="sk-SK"/>
        </w:rPr>
        <w:t>Tabuľka č. 5</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pPr>
        <w:spacing w:after="0" w:line="240" w:lineRule="auto"/>
        <w:jc w:val="both"/>
        <w:rPr>
          <w:rFonts w:ascii="Arial" w:hAnsi="Arial" w:cs="Arial"/>
          <w:i/>
          <w:lang w:eastAsia="sk-SK"/>
        </w:rPr>
      </w:pPr>
    </w:p>
    <w:tbl>
      <w:tblPr>
        <w:tblStyle w:val="Svetlmriekazvraznenie111"/>
        <w:tblW w:w="9513" w:type="dxa"/>
        <w:tblLook w:val="04A0" w:firstRow="1" w:lastRow="0" w:firstColumn="1" w:lastColumn="0" w:noHBand="0" w:noVBand="1"/>
      </w:tblPr>
      <w:tblGrid>
        <w:gridCol w:w="2992"/>
        <w:gridCol w:w="1985"/>
        <w:gridCol w:w="2551"/>
        <w:gridCol w:w="1985"/>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985"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pPr>
        <w:spacing w:after="0" w:line="240" w:lineRule="auto"/>
        <w:jc w:val="both"/>
        <w:rPr>
          <w:rFonts w:ascii="Arial" w:hAnsi="Arial" w:cs="Arial"/>
          <w:i/>
          <w:lang w:eastAsia="sk-SK"/>
        </w:rPr>
      </w:pPr>
      <w:r>
        <w:rPr>
          <w:rFonts w:ascii="Arial" w:hAnsi="Arial" w:cs="Arial"/>
          <w:i/>
          <w:lang w:eastAsia="sk-SK"/>
        </w:rPr>
        <w:t xml:space="preserve"> </w:t>
      </w:r>
    </w:p>
    <w:p>
      <w:pPr>
        <w:spacing w:after="0" w:line="240" w:lineRule="auto"/>
        <w:jc w:val="both"/>
        <w:rPr>
          <w:rFonts w:ascii="Arial" w:hAnsi="Arial" w:cs="Arial"/>
          <w:lang w:eastAsia="sk-SK"/>
        </w:rPr>
      </w:pPr>
      <w:r>
        <w:rPr>
          <w:rFonts w:ascii="Arial" w:hAnsi="Arial" w:cs="Arial"/>
          <w:lang w:eastAsia="sk-SK"/>
        </w:rPr>
        <w:t xml:space="preserve">Až 80,9 % žiakov stredných škôl končí v študijných odboroch, ktoré poskytujú úplné stredné odborné vzdelávanie (maturitná skúška). </w:t>
      </w:r>
    </w:p>
    <w:p>
      <w:pPr>
        <w:spacing w:after="0" w:line="240" w:lineRule="auto"/>
        <w:jc w:val="both"/>
        <w:rPr>
          <w:rFonts w:ascii="Arial" w:hAnsi="Arial" w:cs="Arial"/>
          <w:lang w:eastAsia="sk-SK"/>
        </w:rPr>
      </w:pPr>
    </w:p>
    <w:p>
      <w:pPr>
        <w:jc w:val="both"/>
        <w:rPr>
          <w:rFonts w:ascii="Arial" w:hAnsi="Arial" w:cs="Arial"/>
          <w:lang w:eastAsia="sk-SK"/>
        </w:rPr>
      </w:pPr>
      <w:r>
        <w:rPr>
          <w:rFonts w:ascii="Arial" w:hAnsi="Arial" w:cs="Arial"/>
          <w:lang w:eastAsia="sk-SK"/>
        </w:rPr>
        <w:t>Miera nezamestnanosti absolventov stredných škôl sa pohybovala na úrovni 17,1 % (medián) (v období 6/2012 do 5/2013). Z tohto výrazne najnižšia je absolventská miera nezamestnanosti gymnazistov 6,6 % (medián). Najvyššia miera absolventskej nezamestnanosti bola zaznamenaná v rámci absolventov stredných odborných škôl, pohybovala sa v rozmedzí 19,2 – 23,6 % (medián) v závislosti od typu strednej odbornej školy.</w:t>
      </w:r>
      <w:r>
        <w:rPr>
          <w:rStyle w:val="Odkaznapoznmkupodiarou"/>
          <w:rFonts w:ascii="Arial" w:hAnsi="Arial" w:cs="Arial"/>
          <w:lang w:eastAsia="sk-SK"/>
        </w:rPr>
        <w:footnoteReference w:id="17"/>
      </w:r>
      <w:r>
        <w:rPr>
          <w:rFonts w:ascii="Arial" w:hAnsi="Arial" w:cs="Arial"/>
          <w:lang w:eastAsia="sk-SK"/>
        </w:rPr>
        <w:t xml:space="preserve"> Z regionálneho pohľadu dosahujú dlhodobo najvyššiu absolventskú mieru nezamestnanosti Košický, Prešovský a Banskobystrický kraj.</w:t>
      </w:r>
    </w:p>
    <w:p>
      <w:pPr>
        <w:jc w:val="both"/>
        <w:rPr>
          <w:rFonts w:ascii="Arial" w:hAnsi="Arial" w:cs="Arial"/>
          <w:lang w:eastAsia="sk-SK"/>
        </w:rPr>
      </w:pPr>
      <w:r>
        <w:rPr>
          <w:rFonts w:ascii="Arial" w:hAnsi="Arial" w:cs="Arial"/>
          <w:b/>
          <w:color w:val="000000"/>
          <w:lang w:eastAsia="sk-SK"/>
        </w:rPr>
        <w:t xml:space="preserve">Tabuľka č. 6: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9464" w:type="dxa"/>
        <w:tblLook w:val="04A0" w:firstRow="1" w:lastRow="0" w:firstColumn="1" w:lastColumn="0" w:noHBand="0" w:noVBand="1"/>
      </w:tblPr>
      <w:tblGrid>
        <w:gridCol w:w="2666"/>
        <w:gridCol w:w="1239"/>
        <w:gridCol w:w="2976"/>
        <w:gridCol w:w="1449"/>
        <w:gridCol w:w="1134"/>
      </w:tblGrid>
      <w:tr>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66" w:type="dxa"/>
            <w:tcBorders>
              <w:bottom w:val="single" w:sz="8" w:space="0" w:color="4E67C8"/>
            </w:tcBorders>
            <w:shd w:val="clear" w:color="auto" w:fill="auto"/>
            <w:noWrap/>
            <w:hideMark/>
          </w:tcPr>
          <w:p>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239"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976"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449"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1134" w:type="dxa"/>
            <w:tcBorders>
              <w:bottom w:val="single" w:sz="8" w:space="0" w:color="4E67C8"/>
            </w:tcBorders>
            <w:shd w:val="clear" w:color="auto" w:fill="auto"/>
            <w:hideMark/>
          </w:tcPr>
          <w:p>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23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976"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44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1134"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23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976"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44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1134"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23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976"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44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1134"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23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976"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44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1134"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lastRenderedPageBreak/>
              <w:t>Žilinský kraj</w:t>
            </w:r>
          </w:p>
        </w:tc>
        <w:tc>
          <w:tcPr>
            <w:tcW w:w="123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976"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44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1134"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23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976"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44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1134"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23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976"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44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1134"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23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976"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449"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1134"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shd w:val="clear" w:color="auto" w:fill="auto"/>
            <w:noWrap/>
            <w:hideMark/>
          </w:tcPr>
          <w:p>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23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976"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449"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1134"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pPr>
        <w:jc w:val="both"/>
        <w:rPr>
          <w:rFonts w:ascii="Arial" w:hAnsi="Arial" w:cs="Arial"/>
          <w:lang w:eastAsia="sk-SK"/>
        </w:rPr>
      </w:pPr>
      <w:r>
        <w:rPr>
          <w:rFonts w:ascii="Arial" w:hAnsi="Arial" w:cs="Arial"/>
          <w:sz w:val="20"/>
          <w:szCs w:val="20"/>
        </w:rPr>
        <w:t>Zdroj: Centrum vedecko-technických informácií SR</w:t>
      </w:r>
    </w:p>
    <w:p>
      <w:pPr>
        <w:jc w:val="both"/>
        <w:rPr>
          <w:rFonts w:ascii="Arial" w:hAnsi="Arial" w:cs="Arial"/>
          <w:lang w:eastAsia="sk-SK"/>
        </w:rPr>
      </w:pPr>
      <w:r>
        <w:rPr>
          <w:rFonts w:ascii="Arial" w:hAnsi="Arial" w:cs="Arial"/>
          <w:lang w:eastAsia="sk-SK"/>
        </w:rPr>
        <w:t xml:space="preserve">Miera nezamestnanosti absolventov stredných odborných škôl je vo väčšej miere spôsobená nespokojnosťou zamestnávateľov s kvalitou odborného vzdelávania. Medzi príčiny zhoršenej uplatniteľnosti absolventov odborného vzdelávania a prípravy na trhu práce patrí nepružné reagovanie systému vzdelávania a odbornej prípravy na potreby trhu práce, nepripravenosť kvalifikovanej pracovnej sily v takom rozsahu, aby bola schopná bezprostredne po ukončení štúdia vstúpiť do pracovného procesu. Nedostatočný je aj podiel účasti žiakov stredných škôl na praktickom vzdelávaní u zamestnávateľa (3,2 % v školskom roku 2013/2014). Ďalším problémom je atraktivita odborného vzdelávania z dôvodu uprednostňovania všeobecného vzdelávania žiakmi základných škôl. To je ovplyvnené aj nedostatočným materiálnym a technickým vybavením odborných škôl, ktoré je pre žiaka nevyhnutné na získanie potrebných zručností potrebných pre prax. </w:t>
      </w:r>
    </w:p>
    <w:p>
      <w:pPr>
        <w:jc w:val="both"/>
        <w:rPr>
          <w:rFonts w:ascii="Arial" w:hAnsi="Arial" w:cs="Arial"/>
        </w:rPr>
      </w:pPr>
      <w:r>
        <w:rPr>
          <w:rFonts w:ascii="Arial" w:hAnsi="Arial" w:cs="Arial"/>
          <w:lang w:eastAsia="sk-SK"/>
        </w:rPr>
        <w:t xml:space="preserve">Za účelom zlepšenia a prispôsobenia podmienok odborného vzdelávania a prípravy potrebám trhu práce bude IROP podporovať investície do </w:t>
      </w:r>
      <w:r>
        <w:rPr>
          <w:rFonts w:ascii="Arial" w:hAnsi="Arial" w:cs="Arial"/>
        </w:rPr>
        <w:t xml:space="preserve">dostatočného a adekvátneho materiálneho a technického </w:t>
      </w:r>
      <w:r>
        <w:rPr>
          <w:rFonts w:ascii="Arial" w:hAnsi="Arial" w:cs="Arial"/>
          <w:lang w:eastAsia="sk-SK"/>
        </w:rPr>
        <w:t xml:space="preserve">vybavenia (vrátane </w:t>
      </w:r>
      <w:r>
        <w:rPr>
          <w:rFonts w:ascii="Arial" w:hAnsi="Arial" w:cs="Arial"/>
        </w:rPr>
        <w:t>uplatňovania prvkov inkluzívneho vzdelávania)</w:t>
      </w:r>
      <w:r>
        <w:rPr>
          <w:rFonts w:ascii="Arial" w:hAnsi="Arial" w:cs="Arial"/>
          <w:lang w:eastAsia="sk-SK"/>
        </w:rPr>
        <w:t xml:space="preserve"> stredných odborných škôl, centier odborného vzdelávania a prípravy,</w:t>
      </w:r>
      <w:r>
        <w:rPr>
          <w:rFonts w:ascii="Arial" w:hAnsi="Arial" w:cs="Arial"/>
        </w:rPr>
        <w:t xml:space="preserve"> stredísk praktického vyučovania, školských hospodárstiev, stredísk odbornej praxe, ktoré umožňujú poskytovať vzdelávanie a rekvalifikáciu v súlade s požiadavkami trhu práce. Špecifickou oblasťou podpory je vytváranie podmienok pre rozširovanie centier odborného vzdelávania a prípravy, ich podpora a rozvoj pre kvalitnú prípravu žiakov na trh práce. </w:t>
      </w:r>
    </w:p>
    <w:p>
      <w:pPr>
        <w:spacing w:after="0"/>
        <w:jc w:val="both"/>
        <w:rPr>
          <w:rFonts w:ascii="Arial" w:hAnsi="Arial" w:cs="Arial"/>
          <w:b/>
        </w:rPr>
      </w:pPr>
      <w:r>
        <w:rPr>
          <w:rFonts w:ascii="Arial" w:hAnsi="Arial" w:cs="Arial"/>
          <w:b/>
        </w:rPr>
        <w:t>Rozvojové potreby a výzvy v oblasti stredného odborného vzdelávania a spôsob ich riešenia v rámci IROP:</w:t>
      </w:r>
    </w:p>
    <w:p>
      <w:pPr>
        <w:spacing w:after="0"/>
        <w:jc w:val="both"/>
        <w:rPr>
          <w:rFonts w:ascii="Arial" w:hAnsi="Arial" w:cs="Arial"/>
          <w:b/>
        </w:rPr>
      </w:pPr>
    </w:p>
    <w:p>
      <w:pPr>
        <w:spacing w:after="0"/>
        <w:jc w:val="both"/>
        <w:rPr>
          <w:rFonts w:ascii="Arial" w:hAnsi="Arial" w:cs="Arial"/>
          <w:b/>
        </w:rPr>
      </w:pPr>
      <w:r>
        <w:rPr>
          <w:rFonts w:ascii="Arial" w:hAnsi="Arial" w:cs="Arial"/>
          <w:b/>
        </w:rPr>
        <w:t xml:space="preserve">Potreby a výzvy: </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stredných odborných škôl,</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nízka miera celoživotného vzdelávania.</w:t>
      </w:r>
    </w:p>
    <w:p>
      <w:pPr>
        <w:spacing w:after="0"/>
        <w:jc w:val="both"/>
        <w:rPr>
          <w:rFonts w:ascii="Arial" w:hAnsi="Arial" w:cs="Arial"/>
          <w:b/>
        </w:rPr>
      </w:pPr>
    </w:p>
    <w:p>
      <w:pPr>
        <w:spacing w:after="0"/>
        <w:jc w:val="both"/>
        <w:rPr>
          <w:rFonts w:ascii="Arial" w:hAnsi="Arial" w:cs="Arial"/>
          <w:b/>
        </w:rPr>
      </w:pPr>
      <w:r>
        <w:rPr>
          <w:rFonts w:ascii="Arial" w:hAnsi="Arial" w:cs="Arial"/>
          <w:b/>
        </w:rPr>
        <w:t>Opatrenia na riešenie v rámci IROP:</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zvýšená kvalita odborného vzdelávania prepojená s praxou,</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vytvorené podmienky na zabezpečenie inkluzívneho vzdelávania,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vytvorené podmienky na zvýšenie podielu účasti žiakov na praktickom vyučovaní priamo u zamestnávateľa,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vytvorené podmienky pre celoživotné vzdelávanie.</w:t>
      </w:r>
    </w:p>
    <w:p>
      <w:pPr>
        <w:jc w:val="both"/>
        <w:rPr>
          <w:rFonts w:ascii="Arial" w:hAnsi="Arial" w:cs="Arial"/>
          <w:b/>
        </w:rPr>
      </w:pPr>
    </w:p>
    <w:p>
      <w:pPr>
        <w:shd w:val="clear" w:color="auto" w:fill="BFBFBF" w:themeFill="background1" w:themeFillShade="BF"/>
        <w:jc w:val="both"/>
        <w:rPr>
          <w:rFonts w:ascii="Arial" w:hAnsi="Arial" w:cs="Arial"/>
          <w:b/>
        </w:rPr>
      </w:pPr>
      <w:r>
        <w:rPr>
          <w:rFonts w:ascii="Arial" w:hAnsi="Arial" w:cs="Arial"/>
          <w:b/>
        </w:rPr>
        <w:lastRenderedPageBreak/>
        <w:t>Využitie potenciálu kreativity ľudských zdrojov regiónov</w:t>
      </w:r>
    </w:p>
    <w:p>
      <w:pPr>
        <w:jc w:val="both"/>
        <w:rPr>
          <w:rFonts w:ascii="Arial" w:hAnsi="Arial" w:cs="Arial"/>
        </w:rPr>
      </w:pPr>
      <w:r>
        <w:rPr>
          <w:rFonts w:ascii="Arial" w:hAnsi="Arial" w:cs="Arial"/>
        </w:rPr>
        <w:t>Vychádzajúc zo Spoločného strategického rámca</w:t>
      </w:r>
      <w:r>
        <w:rPr>
          <w:rStyle w:val="Odkaznapoznmkupodiarou"/>
          <w:rFonts w:ascii="Arial" w:hAnsi="Arial" w:cs="Arial"/>
        </w:rPr>
        <w:footnoteReference w:id="18"/>
      </w:r>
      <w:r>
        <w:rPr>
          <w:rFonts w:ascii="Arial" w:hAnsi="Arial" w:cs="Arial"/>
        </w:rPr>
        <w:t xml:space="preserve"> a kohéznej politiky pre roky 2014 - 2020, cieľom podpory tejto oblasti je hospodársky rast a zamestnanosť na Slovensku prostredníctvom </w:t>
      </w:r>
      <w:r>
        <w:rPr>
          <w:rFonts w:ascii="Arial" w:hAnsi="Arial" w:cs="Arial"/>
          <w:b/>
        </w:rPr>
        <w:t xml:space="preserve">tematického cieľa č. 8 Podpora udržateľnej a kvalitnej zamestnanosti a mobility pracovnej sily </w:t>
      </w:r>
      <w:r>
        <w:rPr>
          <w:rFonts w:ascii="Arial" w:hAnsi="Arial" w:cs="Arial"/>
          <w:bCs/>
        </w:rPr>
        <w:t>prostredníctvom 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rStyle w:val="Odkaznapoznmkupodiarou"/>
          <w:rFonts w:ascii="Arial" w:hAnsi="Arial" w:cs="Arial"/>
        </w:rPr>
        <w:footnoteReference w:id="19"/>
      </w:r>
      <w:r>
        <w:rPr>
          <w:rFonts w:ascii="Arial" w:hAnsi="Arial" w:cs="Arial"/>
          <w:bCs/>
        </w:rPr>
        <w:t>.</w:t>
      </w:r>
      <w:r>
        <w:rPr>
          <w:rFonts w:ascii="Arial" w:hAnsi="Arial" w:cs="Arial"/>
          <w:b/>
          <w:bCs/>
        </w:rPr>
        <w:t xml:space="preserve"> Vnútorným potenciálom regiónov je okrem iného aj kreativita ľudských zdrojov, ktoré spolu s kultúrnymi zdrojmi tvoria súčasť tzv. kreatívnej ekonomiky.</w:t>
      </w:r>
    </w:p>
    <w:p>
      <w:pPr>
        <w:jc w:val="both"/>
        <w:rPr>
          <w:rFonts w:ascii="Arial" w:hAnsi="Arial" w:cs="Arial"/>
          <w:b/>
          <w:highlight w:val="cyan"/>
        </w:rPr>
      </w:pPr>
      <w:r>
        <w:rPr>
          <w:rFonts w:ascii="Arial" w:hAnsi="Arial" w:cs="Arial"/>
          <w:b/>
        </w:rPr>
        <w:t>Kultúrny a kreatívny sektor (ďalej „KKS“) má ako katalyzátor inovácií</w:t>
      </w:r>
      <w:r>
        <w:rPr>
          <w:rFonts w:ascii="Arial" w:hAnsi="Arial" w:cs="Arial"/>
        </w:rPr>
        <w:t xml:space="preserve"> značný potenciál pre riešenie tvorby hospodárskeho rastu a ako sektor má významný podiel na zamestnanosti. V súčasnosti predstavuje 4,5 % HDP a 8,5 mil. pracovných miest na úrovni EU</w:t>
      </w:r>
      <w:r>
        <w:rPr>
          <w:rStyle w:val="Odkaznapoznmkupodiarou"/>
          <w:rFonts w:ascii="Arial" w:hAnsi="Arial" w:cs="Arial"/>
        </w:rPr>
        <w:footnoteReference w:id="20"/>
      </w:r>
      <w:r>
        <w:rPr>
          <w:rFonts w:ascii="Arial" w:hAnsi="Arial" w:cs="Arial"/>
        </w:rPr>
        <w:t xml:space="preserve">, </w:t>
      </w:r>
      <w:r>
        <w:rPr>
          <w:rFonts w:ascii="Arial" w:hAnsi="Arial" w:cs="Arial"/>
          <w:b/>
        </w:rPr>
        <w:t>na Slovensku je to približne 4% HDP a viac než 4% podiel celkového počtu pracovných miest</w:t>
      </w:r>
      <w:r>
        <w:rPr>
          <w:rStyle w:val="Odkaznapoznmkupodiarou"/>
          <w:rFonts w:ascii="Arial" w:hAnsi="Arial" w:cs="Arial"/>
          <w:b/>
        </w:rPr>
        <w:footnoteReference w:id="21"/>
      </w:r>
      <w:r>
        <w:rPr>
          <w:rFonts w:ascii="Arial" w:hAnsi="Arial" w:cs="Arial"/>
          <w:b/>
        </w:rPr>
        <w:t xml:space="preserve">, </w:t>
      </w:r>
      <w:r>
        <w:rPr>
          <w:rFonts w:ascii="Arial" w:hAnsi="Arial" w:cs="Arial"/>
        </w:rPr>
        <w:t>čím môže významne prispieť k plnenie cieľov stratégie Európa 2020</w:t>
      </w:r>
      <w:r>
        <w:rPr>
          <w:rStyle w:val="Odkaznapoznmkupodiarou"/>
          <w:rFonts w:ascii="Arial" w:hAnsi="Arial" w:cs="Arial"/>
        </w:rPr>
        <w:footnoteReference w:id="22"/>
      </w:r>
      <w:r>
        <w:rPr>
          <w:rFonts w:ascii="Arial" w:hAnsi="Arial" w:cs="Arial"/>
        </w:rPr>
        <w:t>.</w:t>
      </w:r>
    </w:p>
    <w:p>
      <w:pPr>
        <w:jc w:val="both"/>
        <w:rPr>
          <w:rFonts w:ascii="Arial" w:hAnsi="Arial" w:cs="Arial"/>
        </w:rPr>
      </w:pPr>
      <w:r>
        <w:rPr>
          <w:rFonts w:ascii="Arial" w:hAnsi="Arial" w:cs="Arial"/>
        </w:rPr>
        <w:t xml:space="preserve">Stratégia Európa 2020 má za cieľ vytvoriť z EU inteligentnú, udržateľnú a inkluzívnu ekonomiku , ktorá bude vytvárať vysokú mieru zamestnanosti, produktivity a sociálnej kohézie. Uvádza sa v nej, že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ktoré sú založené na tzv. </w:t>
      </w:r>
      <w:r>
        <w:rPr>
          <w:rFonts w:ascii="Arial" w:hAnsi="Arial" w:cs="Arial"/>
          <w:b/>
        </w:rPr>
        <w:t>kultúrnej kreativite</w:t>
      </w:r>
      <w:r>
        <w:rPr>
          <w:rFonts w:ascii="Arial" w:hAnsi="Arial" w:cs="Arial"/>
        </w:rPr>
        <w:t xml:space="preserve"> (culture-based creativity). V tomto zmysle je na Slovensku  potrebné </w:t>
      </w:r>
      <w:r>
        <w:rPr>
          <w:rFonts w:ascii="Arial" w:hAnsi="Arial" w:cs="Arial"/>
          <w:b/>
        </w:rPr>
        <w:t>systémovo podporiť rozvoj KKS</w:t>
      </w:r>
      <w:r>
        <w:rPr>
          <w:rFonts w:ascii="Arial" w:hAnsi="Arial" w:cs="Arial"/>
        </w:rPr>
        <w:t>pre zamestnanosť v kontexte  celého jeho „ekosystému.</w:t>
      </w:r>
    </w:p>
    <w:p>
      <w:pPr>
        <w:jc w:val="both"/>
        <w:rPr>
          <w:rFonts w:ascii="Arial" w:hAnsi="Arial" w:cs="Arial"/>
          <w:b/>
        </w:rPr>
      </w:pPr>
      <w:r>
        <w:rPr>
          <w:rFonts w:ascii="Arial" w:hAnsi="Arial" w:cs="Arial"/>
          <w:b/>
        </w:rPr>
        <w:t>Kultúrna kreativita ako predpoklad netechnologických inovácií</w:t>
      </w:r>
    </w:p>
    <w:p>
      <w:pPr>
        <w:jc w:val="both"/>
        <w:rPr>
          <w:rFonts w:ascii="Arial" w:hAnsi="Arial" w:cs="Arial"/>
        </w:rPr>
      </w:pPr>
      <w:r>
        <w:rPr>
          <w:rFonts w:ascii="Arial" w:hAnsi="Arial" w:cs="Arial"/>
        </w:rPr>
        <w:t xml:space="preserve">Kultúrny a kreatívny sektor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To znamená všetky umelecké, literárne, kultúrne, hudobné, architektonické a kreatívne obsahy, diela, produkty, predstavenia či služby s ekonomicky relevantným východiskom</w:t>
      </w:r>
      <w:r>
        <w:rPr>
          <w:rStyle w:val="Odkaznapoznmkupodiarou"/>
          <w:rFonts w:ascii="Arial" w:hAnsi="Arial" w:cs="Arial"/>
        </w:rPr>
        <w:footnoteReference w:id="23"/>
      </w:r>
      <w:r>
        <w:rPr>
          <w:rFonts w:ascii="Arial" w:hAnsi="Arial" w:cs="Arial"/>
        </w:rPr>
        <w:t xml:space="preserve">.Úspešné pretavenie kreatívneho aktu do kreatívnych produktov a služieb, či netechnologických inovácií je podmienené </w:t>
      </w:r>
      <w:r>
        <w:rPr>
          <w:rFonts w:ascii="Arial" w:hAnsi="Arial" w:cs="Arial"/>
          <w:b/>
        </w:rPr>
        <w:t>existenciou kreatívnych zručností a laterálneho myslenia</w:t>
      </w:r>
      <w:r>
        <w:rPr>
          <w:rFonts w:ascii="Arial" w:hAnsi="Arial" w:cs="Arial"/>
        </w:rPr>
        <w:t xml:space="preserve"> (originalita, originálne zdroje, kultúrna kreativita) ľudských zdrojov </w:t>
      </w:r>
      <w:r>
        <w:rPr>
          <w:rFonts w:ascii="Arial" w:hAnsi="Arial" w:cs="Arial"/>
          <w:b/>
        </w:rPr>
        <w:t>v podmienkach podporného prostredia</w:t>
      </w:r>
      <w:r>
        <w:rPr>
          <w:rFonts w:ascii="Arial" w:hAnsi="Arial" w:cs="Arial"/>
        </w:rPr>
        <w:t xml:space="preserve">(priestorové, technologické, sociálne, podnikateľské, finančné). Dôležitou podmienkou úspešných výsledkov je aj </w:t>
      </w:r>
      <w:r>
        <w:rPr>
          <w:rFonts w:ascii="Arial" w:hAnsi="Arial" w:cs="Arial"/>
          <w:b/>
        </w:rPr>
        <w:t>využívanie existujúcich štruktúr</w:t>
      </w:r>
      <w:r>
        <w:rPr>
          <w:rFonts w:ascii="Arial" w:hAnsi="Arial" w:cs="Arial"/>
        </w:rPr>
        <w:t>(kultúrne organizácie v zmysle ich infraštruktúry, produkcie a know - how,)</w:t>
      </w:r>
      <w:r>
        <w:rPr>
          <w:rFonts w:ascii="Arial" w:hAnsi="Arial" w:cs="Arial"/>
          <w:b/>
        </w:rPr>
        <w:t>a  dôraz na mladú generáciu</w:t>
      </w:r>
      <w:r>
        <w:rPr>
          <w:rFonts w:ascii="Arial" w:hAnsi="Arial" w:cs="Arial"/>
        </w:rPr>
        <w:t xml:space="preserve"> (absolventi umeleckých a kreatívnych odborov SŠ a VŠ) a talenty. </w:t>
      </w:r>
    </w:p>
    <w:p>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digitalizácie </w:t>
      </w:r>
      <w:r>
        <w:rPr>
          <w:rFonts w:ascii="Arial" w:hAnsi="Arial" w:cs="Arial"/>
        </w:rPr>
        <w:lastRenderedPageBreak/>
        <w:t xml:space="preserve">kultúrneho dedičstva, ktoré môžu tvoriť akýsi odrazový mostík pre ďalší rozvoj kultúrneho a kreatívneho priemyslu v podmienkach digitálnej doby. Ďalšie významné opatrenia realizované v rámci Košice EHMK umožnili vznik mnohých projektov v oblasti kultúrnej infraštruktúry a množstvo mäkkých opatrení v oblasti rozvoja kultúry a prístupu k nej. V Košickom kraji je možné veľmi dobre nadviazať na tieto aktivity s cieľom zamestnanosti v KKS. Významný sa v tomto zmysle javí projekt Kasárne Kulturpark, ktorý predstavuje profesionálne multifunkčné kultúrne centrum, ktoré má potenciál stimulovania zamestnanosti v KKS. V podmienkach SR je to zatiaľ jediné kreatívne centrum, ktoré môže slúžiť ako dobrý príklad. </w:t>
      </w:r>
    </w:p>
    <w:p>
      <w:pPr>
        <w:jc w:val="both"/>
        <w:rPr>
          <w:rFonts w:ascii="Arial" w:hAnsi="Arial" w:cs="Arial"/>
          <w:b/>
        </w:rPr>
      </w:pPr>
      <w:r>
        <w:rPr>
          <w:rFonts w:ascii="Arial" w:hAnsi="Arial" w:cs="Arial"/>
          <w:b/>
        </w:rPr>
        <w:t>Potenciál kreatívneho priemyslu v SR a jeho regionálny priemet</w:t>
      </w:r>
    </w:p>
    <w:p>
      <w:pPr>
        <w:jc w:val="both"/>
        <w:rPr>
          <w:rFonts w:ascii="Arial" w:hAnsi="Arial" w:cs="Arial"/>
        </w:rPr>
      </w:pPr>
      <w:r>
        <w:rPr>
          <w:rFonts w:ascii="Arial" w:hAnsi="Arial" w:cs="Arial"/>
          <w:b/>
        </w:rPr>
        <w:t>Bratislavský samosprávny kraj</w:t>
      </w:r>
      <w:r>
        <w:rPr>
          <w:rFonts w:ascii="Arial" w:hAnsi="Arial" w:cs="Arial"/>
        </w:rPr>
        <w:t xml:space="preserve"> je absolútnym kreatívnym centrom SR a disponuje rozvojovým potenciálom v každom z kreatívnych odvetví. Je to dané akademickým zázemím, rozvinutým a diverzifikovaným priemyslom s odvetviami, ktoré tvoria vysokú pridanú hodnotu , prítomnosťou veľkých hráčov, históriou v kreatívnom sektore a vhodnými podmienkami na rozvoj medzinárodnej spolupráce. Množstvo a kvalita ľudského potenciálu vychádza z dlhodobého záujmu o štúdium programov zameraných na kreatívne odvetvia. Za nevýhody možno považovať nedostatočne rozvinutú infraštruktúru, jej roztrieštenosť a nekomplexnosť. Napriek vysokému zastúpenie kreatívneho priemyslu existuje iba jedno centrum ponúkajúce možnosť rozvojových aktivít, ktoré však neposkytuje plnohodnotné zázemie pre komplexný rozvoj jednotlivých odvetví kreatívneho sektora.</w:t>
      </w:r>
    </w:p>
    <w:p>
      <w:pPr>
        <w:jc w:val="both"/>
        <w:rPr>
          <w:rFonts w:ascii="Arial" w:hAnsi="Arial" w:cs="Arial"/>
        </w:rPr>
      </w:pPr>
      <w:r>
        <w:rPr>
          <w:rFonts w:ascii="Arial" w:hAnsi="Arial" w:cs="Arial"/>
        </w:rPr>
        <w:t>Potenciál</w:t>
      </w:r>
      <w:r>
        <w:rPr>
          <w:rFonts w:ascii="Arial" w:hAnsi="Arial" w:cs="Arial"/>
          <w:b/>
        </w:rPr>
        <w:t xml:space="preserve"> Nitrianskeho kraja</w:t>
      </w:r>
      <w:r>
        <w:rPr>
          <w:rFonts w:ascii="Arial" w:hAnsi="Arial" w:cs="Arial"/>
        </w:rPr>
        <w:t xml:space="preserve"> pre úspešnú realizáciu kreatívnych odvetví predstavujú najmä výroba nábytku v Topoľčanoch (dizajn), obuvnícky priemysel v Komárne (módny dizajn)a rozvinutý potravinársky priemysel (reklama a marketing). Využiť ho možno najmä v zmysle opatrení zameraných na vznik a podporu rozvoja nových subjektov</w:t>
      </w:r>
    </w:p>
    <w:p>
      <w:pPr>
        <w:jc w:val="both"/>
        <w:rPr>
          <w:rFonts w:ascii="Arial" w:hAnsi="Arial" w:cs="Arial"/>
        </w:rPr>
      </w:pPr>
      <w:r>
        <w:rPr>
          <w:rFonts w:ascii="Arial" w:hAnsi="Arial" w:cs="Arial"/>
        </w:rPr>
        <w:t>Výhodami</w:t>
      </w:r>
      <w:r>
        <w:rPr>
          <w:rFonts w:ascii="Arial" w:hAnsi="Arial" w:cs="Arial"/>
          <w:b/>
        </w:rPr>
        <w:t xml:space="preserve"> Trnavského samosprávneho kraja</w:t>
      </w:r>
      <w:r>
        <w:rPr>
          <w:rFonts w:ascii="Arial" w:hAnsi="Arial" w:cs="Arial"/>
        </w:rPr>
        <w:t xml:space="preserve"> sú rozvinutý a diverzifikovaný priemysel, možnosť štúdia kreatívnych odvetví ako na stredných tak aj vysokých školách a možnosť rozvíjania založeného na kultúrnych tradíciách. Veľkí hráči kreatívneho priemyslu a niektoré jeho odvetvia však absentujú. Predpoklad úspešne realizovať rozvojové opatrenia spočíva v prierezovosti  študijných odborov vyučovaných v kraji. Spojenie kreatívno-technických, marketingových a remeselných kapacít v kombinácii so silným dopytom rozvinutého priemyslu môže podnietiť vznik synergického efektu, ktorý by bol hybnou silou rozvoja kreatívneho sektora v regióne.</w:t>
      </w:r>
    </w:p>
    <w:p>
      <w:pPr>
        <w:jc w:val="both"/>
        <w:rPr>
          <w:rFonts w:ascii="Arial" w:hAnsi="Arial" w:cs="Arial"/>
        </w:rPr>
      </w:pPr>
      <w:r>
        <w:rPr>
          <w:rFonts w:ascii="Arial" w:hAnsi="Arial" w:cs="Arial"/>
        </w:rPr>
        <w:t>Historická tradícia rozvoja módneho priemyslu v </w:t>
      </w:r>
      <w:r>
        <w:rPr>
          <w:rFonts w:ascii="Arial" w:hAnsi="Arial" w:cs="Arial"/>
          <w:b/>
        </w:rPr>
        <w:t>Trenčianskom kraji</w:t>
      </w:r>
      <w:r>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a módneho a nábytkárskeho dizajnu.  Tento dopyt je vhodne saturovať cielenými aktivitami podporujúcimi rozvoj týchto oblastí kreatívneho priemyslu formou podpory ich tvorby a rozvoja. Vhodným vybudovaním rozvojovej infraštruktúry s možnosťami koučingu a mentorovania sa podnieti vznik týchto nových subjektov.</w:t>
      </w:r>
    </w:p>
    <w:p>
      <w:pPr>
        <w:jc w:val="both"/>
        <w:rPr>
          <w:rFonts w:ascii="Arial" w:hAnsi="Arial" w:cs="Arial"/>
        </w:rPr>
      </w:pPr>
      <w:r>
        <w:rPr>
          <w:rFonts w:ascii="Arial" w:hAnsi="Arial" w:cs="Arial"/>
        </w:rPr>
        <w:t xml:space="preserve">Prirodzený rozvoj </w:t>
      </w:r>
      <w:r>
        <w:rPr>
          <w:rFonts w:ascii="Arial" w:hAnsi="Arial" w:cs="Arial"/>
          <w:b/>
        </w:rPr>
        <w:t>Žilinského kraja</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a to </w:t>
      </w:r>
      <w:r>
        <w:rPr>
          <w:rFonts w:ascii="Arial" w:hAnsi="Arial" w:cs="Arial"/>
        </w:rPr>
        <w:lastRenderedPageBreak/>
        <w:t xml:space="preserve">zameraním na rozvoj, rozvoja potenciálu neperiodickej tlače, hudobné a scénické umenie a remeslá tradičnej, ľudovej kultúry. </w:t>
      </w:r>
    </w:p>
    <w:p>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Banskobystrického kraja</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kreatívneho sektora. Zároveň je možné rozvojovými opatreniami zameranými na vznik nových subjektov využiť potenciál študentov a absolventov multimediálnych odborov dvoch vysokých škôl v kraji a značný potenciál remeselnej tradície.</w:t>
      </w:r>
    </w:p>
    <w:p>
      <w:pPr>
        <w:jc w:val="both"/>
        <w:rPr>
          <w:rFonts w:ascii="Arial" w:hAnsi="Arial" w:cs="Arial"/>
        </w:rPr>
      </w:pPr>
      <w:r>
        <w:rPr>
          <w:rFonts w:ascii="Arial" w:hAnsi="Arial" w:cs="Arial"/>
          <w:b/>
        </w:rPr>
        <w:t>Prešovský samosprávny kraj</w:t>
      </w:r>
      <w:r>
        <w:rPr>
          <w:rFonts w:ascii="Arial" w:hAnsi="Arial" w:cs="Arial"/>
        </w:rPr>
        <w:t xml:space="preserve"> svojou rozlohou, geografickým členením a absenciou veľkého priemyslu ma vysoký potenciál rozvoja cestovného ruchu.  Narastajúcim počtom návštevníkov sa značne zvýši dopyt po produktoch  hudobného a scénického  umenie a produktoch  remeslá tradičnej, ľudovej a mestskej kultúry. Navzdory tomuto potenciálu je Prešovský samosprávny kraj charakteristický jedným z najmenším počtom evidovaných ľudovoumeleckých výrobcov. Zacieleným opatrení na vybudovanie podpornej a rozvojovej infraštruktúry je možné tieto disproporcie dlhodobo znižovať.</w:t>
      </w:r>
    </w:p>
    <w:p>
      <w:pPr>
        <w:jc w:val="both"/>
        <w:rPr>
          <w:rFonts w:ascii="Arial" w:hAnsi="Arial" w:cs="Arial"/>
        </w:rPr>
      </w:pPr>
      <w:r>
        <w:rPr>
          <w:rFonts w:ascii="Arial" w:hAnsi="Arial" w:cs="Arial"/>
        </w:rPr>
        <w:t xml:space="preserve">Ľudský potenciál </w:t>
      </w:r>
      <w:r>
        <w:rPr>
          <w:rFonts w:ascii="Arial" w:hAnsi="Arial" w:cs="Arial"/>
          <w:b/>
        </w:rPr>
        <w:t>Košického kraja</w:t>
      </w:r>
      <w:r>
        <w:rPr>
          <w:rFonts w:ascii="Arial" w:hAnsi="Arial" w:cs="Arial"/>
        </w:rPr>
        <w:t xml:space="preserve"> tvoria študenti a absolventi mnohých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ktoré by podporili vznik, rozvoj, a možnosť medzinárodnej komunikácie a konfrontácie subjektov kreatívneho odvetvia. Realizované by mohli byť v rámci infraštruktúry vytvorenej počas realizácie projektu EHMK 2013.</w:t>
      </w:r>
    </w:p>
    <w:p>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pPr>
        <w:jc w:val="both"/>
        <w:rPr>
          <w:rFonts w:ascii="Arial" w:eastAsiaTheme="minorHAnsi" w:hAnsi="Arial" w:cs="Arial"/>
        </w:rPr>
      </w:pPr>
      <w:r>
        <w:rPr>
          <w:rFonts w:ascii="Arial" w:hAnsi="Arial" w:cs="Arial"/>
        </w:rPr>
        <w:t xml:space="preserve">Podiel zamestnanosti v kultúrnych a kreatívnych odvetviach na celkovej zamestnanosti dosahuje v  priemere za roky 2009 – 2011 nasledujúce hodnoty v jednotlivých krajoch: </w:t>
      </w:r>
      <w:r>
        <w:rPr>
          <w:rFonts w:ascii="Arial" w:hAnsi="Arial" w:cs="Arial"/>
        </w:rPr>
        <w:br/>
        <w:t xml:space="preserve">v  Bratislavskom kraji 14,69 %, v Trnavskom kraji 11,97 %, v Trenčianskom kraji 15,2 %, v Nitrianskom kraji 14,02 %, v Žilinskom kraji 15,9 %,  v Bansko-Bystrickom kraji 17,92 % , Prešovský kraj 13,5 % a Košický kraj 17,69 %. </w:t>
      </w:r>
    </w:p>
    <w:p>
      <w:pPr>
        <w:jc w:val="both"/>
        <w:rPr>
          <w:rFonts w:ascii="Arial" w:hAnsi="Arial" w:cs="Arial"/>
          <w:b/>
        </w:rPr>
      </w:pPr>
      <w:r>
        <w:rPr>
          <w:rFonts w:ascii="Arial" w:hAnsi="Arial" w:cs="Arial"/>
          <w:b/>
        </w:rPr>
        <w:t xml:space="preserve">Rozvojové potreby a disparity v oblasti kultúrneho a kreatívneho sektoru a spôsob ich riešenia v rámci IROP </w:t>
      </w:r>
    </w:p>
    <w:p>
      <w:pPr>
        <w:jc w:val="both"/>
        <w:rPr>
          <w:rFonts w:ascii="Arial" w:hAnsi="Arial" w:cs="Arial"/>
          <w:b/>
        </w:rPr>
      </w:pPr>
      <w:r>
        <w:rPr>
          <w:rFonts w:ascii="Arial" w:hAnsi="Arial" w:cs="Arial"/>
          <w:b/>
        </w:rPr>
        <w:t>Potreby a výzvy:</w:t>
      </w:r>
    </w:p>
    <w:p>
      <w:pPr>
        <w:pStyle w:val="Odsekzoznamu"/>
        <w:numPr>
          <w:ilvl w:val="0"/>
          <w:numId w:val="68"/>
        </w:numPr>
        <w:jc w:val="both"/>
        <w:rPr>
          <w:rFonts w:ascii="Arial" w:hAnsi="Arial" w:cs="Arial"/>
        </w:rPr>
      </w:pPr>
      <w:r>
        <w:rPr>
          <w:rFonts w:ascii="Arial" w:hAnsi="Arial" w:cs="Arial"/>
        </w:rPr>
        <w:t>Absencia možností profesionálneho pracovného prostredia pre kreatívne osoby v slobodnom podnikaní a kreatívne podniky</w:t>
      </w:r>
    </w:p>
    <w:p>
      <w:pPr>
        <w:pStyle w:val="Odsekzoznamu"/>
        <w:numPr>
          <w:ilvl w:val="0"/>
          <w:numId w:val="68"/>
        </w:numPr>
        <w:jc w:val="both"/>
        <w:rPr>
          <w:rFonts w:ascii="Arial" w:hAnsi="Arial" w:cs="Arial"/>
        </w:rPr>
      </w:pPr>
      <w:r>
        <w:rPr>
          <w:rFonts w:ascii="Arial" w:hAnsi="Arial" w:cs="Arial"/>
        </w:rPr>
        <w:t xml:space="preserve">Slabý stupeň pripravenosti absolventov kreatívnych odborov na samozamestanie, či zamestnanie </w:t>
      </w:r>
    </w:p>
    <w:p>
      <w:pPr>
        <w:pStyle w:val="Odsekzoznamu"/>
        <w:numPr>
          <w:ilvl w:val="0"/>
          <w:numId w:val="68"/>
        </w:numPr>
        <w:jc w:val="both"/>
        <w:rPr>
          <w:rFonts w:ascii="Arial" w:hAnsi="Arial" w:cs="Arial"/>
        </w:rPr>
      </w:pPr>
      <w:r>
        <w:rPr>
          <w:rFonts w:ascii="Arial" w:hAnsi="Arial" w:cs="Arial"/>
        </w:rPr>
        <w:t>Absencia podpory študentov, absolventov a talentov v KKS s cieľom zakladania vlastných podnikov</w:t>
      </w:r>
    </w:p>
    <w:p>
      <w:pPr>
        <w:pStyle w:val="Odsekzoznamu"/>
        <w:numPr>
          <w:ilvl w:val="0"/>
          <w:numId w:val="68"/>
        </w:numPr>
        <w:jc w:val="both"/>
        <w:rPr>
          <w:rFonts w:ascii="Arial" w:hAnsi="Arial" w:cs="Arial"/>
        </w:rPr>
      </w:pPr>
      <w:r>
        <w:rPr>
          <w:rFonts w:ascii="Arial" w:hAnsi="Arial" w:cs="Arial"/>
        </w:rPr>
        <w:t>Slabá podpora MSP v KKS</w:t>
      </w:r>
    </w:p>
    <w:p>
      <w:pPr>
        <w:pStyle w:val="Odsekzoznamu"/>
        <w:numPr>
          <w:ilvl w:val="0"/>
          <w:numId w:val="68"/>
        </w:numPr>
        <w:jc w:val="both"/>
        <w:rPr>
          <w:rFonts w:ascii="Arial" w:hAnsi="Arial" w:cs="Arial"/>
        </w:rPr>
      </w:pPr>
      <w:r>
        <w:rPr>
          <w:rFonts w:ascii="Arial" w:hAnsi="Arial" w:cs="Arial"/>
        </w:rPr>
        <w:t>Absencia modernej infraštruktúry nového typu (kreatívne centrá, huby, inkubátory) vrátane technologického vybavenia</w:t>
      </w:r>
    </w:p>
    <w:p>
      <w:pPr>
        <w:pStyle w:val="Odsekzoznamu"/>
        <w:numPr>
          <w:ilvl w:val="0"/>
          <w:numId w:val="68"/>
        </w:numPr>
        <w:jc w:val="both"/>
        <w:rPr>
          <w:rFonts w:ascii="Arial" w:hAnsi="Arial" w:cs="Arial"/>
        </w:rPr>
      </w:pPr>
      <w:r>
        <w:rPr>
          <w:rFonts w:ascii="Arial" w:hAnsi="Arial" w:cs="Arial"/>
        </w:rPr>
        <w:lastRenderedPageBreak/>
        <w:t>Nedostatočné priestorové možnosti pre testovanie a produkciu a spotrebu kultúrnych a kreatívnych produktov a služieb</w:t>
      </w:r>
    </w:p>
    <w:p>
      <w:pPr>
        <w:pStyle w:val="Odsekzoznamu"/>
        <w:numPr>
          <w:ilvl w:val="0"/>
          <w:numId w:val="68"/>
        </w:numPr>
        <w:jc w:val="both"/>
        <w:rPr>
          <w:rFonts w:ascii="Arial" w:hAnsi="Arial" w:cs="Arial"/>
        </w:rPr>
      </w:pPr>
      <w:r>
        <w:rPr>
          <w:rFonts w:ascii="Arial" w:hAnsi="Arial" w:cs="Arial"/>
        </w:rPr>
        <w:t>Nedostatočná podpora rozvoja talentov</w:t>
      </w:r>
    </w:p>
    <w:p>
      <w:pPr>
        <w:pStyle w:val="Odsekzoznamu"/>
        <w:numPr>
          <w:ilvl w:val="0"/>
          <w:numId w:val="68"/>
        </w:numPr>
        <w:jc w:val="both"/>
        <w:rPr>
          <w:rFonts w:ascii="Arial" w:hAnsi="Arial" w:cs="Arial"/>
        </w:rPr>
      </w:pPr>
      <w:r>
        <w:rPr>
          <w:rFonts w:ascii="Arial" w:hAnsi="Arial" w:cs="Arial"/>
        </w:rPr>
        <w:t>Nízka úroveň prepojenia kultúrnej a kreatívnej produkcie, netechnologických inovácií</w:t>
      </w:r>
    </w:p>
    <w:p>
      <w:pPr>
        <w:pStyle w:val="Odsekzoznamu"/>
        <w:numPr>
          <w:ilvl w:val="0"/>
          <w:numId w:val="68"/>
        </w:numPr>
        <w:jc w:val="both"/>
        <w:rPr>
          <w:rFonts w:ascii="Arial" w:hAnsi="Arial" w:cs="Arial"/>
        </w:rPr>
      </w:pPr>
      <w:r>
        <w:rPr>
          <w:rFonts w:ascii="Arial" w:hAnsi="Arial" w:cs="Arial"/>
        </w:rPr>
        <w:t xml:space="preserve">Absencia využívania zdigitalizovaného obsahu kultúrneho dedičstva </w:t>
      </w:r>
    </w:p>
    <w:p>
      <w:pPr>
        <w:pStyle w:val="Odsekzoznamu"/>
        <w:numPr>
          <w:ilvl w:val="0"/>
          <w:numId w:val="68"/>
        </w:numPr>
        <w:jc w:val="both"/>
        <w:rPr>
          <w:rFonts w:ascii="Arial" w:hAnsi="Arial" w:cs="Arial"/>
        </w:rPr>
      </w:pPr>
      <w:r>
        <w:rPr>
          <w:rFonts w:ascii="Arial" w:hAnsi="Arial" w:cs="Arial"/>
        </w:rPr>
        <w:t>Slabá úroveň kreatívnej a experimentálnej tvorby, absentuje medzinárodná spolupráca</w:t>
      </w:r>
    </w:p>
    <w:p>
      <w:pPr>
        <w:pStyle w:val="Odsekzoznamu"/>
        <w:numPr>
          <w:ilvl w:val="0"/>
          <w:numId w:val="68"/>
        </w:numPr>
        <w:jc w:val="both"/>
        <w:rPr>
          <w:rFonts w:ascii="Arial" w:hAnsi="Arial" w:cs="Arial"/>
        </w:rPr>
      </w:pPr>
      <w:r>
        <w:rPr>
          <w:rFonts w:ascii="Arial" w:hAnsi="Arial" w:cs="Arial"/>
        </w:rPr>
        <w:t>Nízka úroveň kreatívneho vývoja s prepojením na potreby trhu</w:t>
      </w:r>
    </w:p>
    <w:p>
      <w:pPr>
        <w:pStyle w:val="Odsekzoznamu"/>
        <w:numPr>
          <w:ilvl w:val="0"/>
          <w:numId w:val="68"/>
        </w:numPr>
        <w:jc w:val="both"/>
        <w:rPr>
          <w:rFonts w:ascii="Arial" w:hAnsi="Arial" w:cs="Arial"/>
        </w:rPr>
      </w:pPr>
      <w:r>
        <w:rPr>
          <w:rFonts w:ascii="Arial" w:hAnsi="Arial" w:cs="Arial"/>
        </w:rPr>
        <w:t>Nedostatočná spolupráca verejného a súkromného sektora v KKP</w:t>
      </w:r>
    </w:p>
    <w:p>
      <w:pPr>
        <w:pStyle w:val="Odsekzoznamu"/>
        <w:numPr>
          <w:ilvl w:val="0"/>
          <w:numId w:val="68"/>
        </w:numPr>
        <w:jc w:val="both"/>
        <w:rPr>
          <w:rFonts w:ascii="Arial" w:hAnsi="Arial" w:cs="Arial"/>
        </w:rPr>
      </w:pPr>
      <w:r>
        <w:rPr>
          <w:rFonts w:ascii="Arial" w:hAnsi="Arial" w:cs="Arial"/>
        </w:rPr>
        <w:t>Absentujúce príležitosti financovania mikro, malých a stredných podnikov KKP</w:t>
      </w:r>
    </w:p>
    <w:p>
      <w:pPr>
        <w:pStyle w:val="Odsekzoznamu"/>
        <w:numPr>
          <w:ilvl w:val="0"/>
          <w:numId w:val="68"/>
        </w:numPr>
        <w:jc w:val="both"/>
        <w:rPr>
          <w:rFonts w:ascii="Arial" w:hAnsi="Arial" w:cs="Arial"/>
        </w:rPr>
      </w:pPr>
      <w:r>
        <w:rPr>
          <w:rFonts w:ascii="Arial" w:hAnsi="Arial" w:cs="Arial"/>
        </w:rPr>
        <w:t>Nízke povedomie o KKP</w:t>
      </w:r>
    </w:p>
    <w:p>
      <w:pPr>
        <w:jc w:val="both"/>
        <w:rPr>
          <w:rFonts w:ascii="Arial" w:hAnsi="Arial" w:cs="Arial"/>
          <w:b/>
        </w:rPr>
      </w:pPr>
      <w:r>
        <w:rPr>
          <w:rFonts w:ascii="Arial" w:hAnsi="Arial" w:cs="Arial"/>
          <w:b/>
        </w:rPr>
        <w:t>Opatrenia na riešenie v rámci IROP:</w:t>
      </w:r>
    </w:p>
    <w:p>
      <w:pPr>
        <w:pStyle w:val="Odsekzoznamu"/>
        <w:numPr>
          <w:ilvl w:val="0"/>
          <w:numId w:val="68"/>
        </w:numPr>
        <w:spacing w:line="278" w:lineRule="auto"/>
        <w:jc w:val="both"/>
        <w:rPr>
          <w:rFonts w:ascii="Arial" w:hAnsi="Arial" w:cs="Arial"/>
        </w:rPr>
      </w:pPr>
      <w:r>
        <w:rPr>
          <w:rFonts w:ascii="Arial" w:hAnsi="Arial" w:cs="Arial"/>
        </w:rPr>
        <w:t>Podpora budovania podnikateľského ducha a zručností študentom, absolventom a talentom v KKS s cieľom samo-zamestnateľnosti, či zakladania vlastných podnikov</w:t>
      </w:r>
    </w:p>
    <w:p>
      <w:pPr>
        <w:pStyle w:val="Odsekzoznamu"/>
        <w:numPr>
          <w:ilvl w:val="0"/>
          <w:numId w:val="68"/>
        </w:numPr>
        <w:spacing w:line="278" w:lineRule="auto"/>
        <w:jc w:val="both"/>
        <w:rPr>
          <w:rFonts w:ascii="Arial" w:hAnsi="Arial" w:cs="Arial"/>
        </w:rPr>
      </w:pPr>
      <w:r>
        <w:rPr>
          <w:rFonts w:ascii="Arial" w:hAnsi="Arial" w:cs="Arial"/>
        </w:rPr>
        <w:t>Podpora MSP do 2 rokov existencie v KKS</w:t>
      </w:r>
    </w:p>
    <w:p>
      <w:pPr>
        <w:pStyle w:val="Odsekzoznamu"/>
        <w:numPr>
          <w:ilvl w:val="0"/>
          <w:numId w:val="68"/>
        </w:numPr>
        <w:jc w:val="both"/>
        <w:rPr>
          <w:rFonts w:ascii="Arial" w:hAnsi="Arial" w:cs="Arial"/>
        </w:rPr>
      </w:pPr>
      <w:r>
        <w:rPr>
          <w:rFonts w:ascii="Arial" w:hAnsi="Arial" w:cs="Arial"/>
        </w:rPr>
        <w:t>Špecifické poradenstvo v oblasti netechnologických inovácií a podnikania, networking, medzinárodná spolupráca</w:t>
      </w:r>
    </w:p>
    <w:p>
      <w:pPr>
        <w:pStyle w:val="Odsekzoznamu"/>
        <w:numPr>
          <w:ilvl w:val="0"/>
          <w:numId w:val="68"/>
        </w:numPr>
        <w:jc w:val="both"/>
        <w:rPr>
          <w:rFonts w:ascii="Arial" w:hAnsi="Arial" w:cs="Arial"/>
        </w:rPr>
      </w:pPr>
      <w:r>
        <w:rPr>
          <w:rFonts w:ascii="Arial" w:hAnsi="Arial" w:cs="Arial"/>
        </w:rPr>
        <w:t xml:space="preserve">Udržanie zamestnanosti a tvorba nových pracovných miest </w:t>
      </w:r>
    </w:p>
    <w:p>
      <w:pPr>
        <w:pStyle w:val="Odsekzoznamu"/>
        <w:numPr>
          <w:ilvl w:val="0"/>
          <w:numId w:val="68"/>
        </w:numPr>
        <w:jc w:val="both"/>
        <w:rPr>
          <w:rFonts w:ascii="Arial" w:hAnsi="Arial" w:cs="Arial"/>
        </w:rPr>
      </w:pPr>
      <w:r>
        <w:rPr>
          <w:rFonts w:ascii="Arial" w:hAnsi="Arial" w:cs="Arial"/>
        </w:rPr>
        <w:t xml:space="preserve">Poskytovanie služieb na podporu vzniku kreatívnych podnikov </w:t>
      </w:r>
    </w:p>
    <w:p>
      <w:pPr>
        <w:pStyle w:val="Odsekzoznamu"/>
        <w:numPr>
          <w:ilvl w:val="0"/>
          <w:numId w:val="68"/>
        </w:numPr>
        <w:spacing w:line="278" w:lineRule="auto"/>
        <w:jc w:val="both"/>
        <w:rPr>
          <w:rFonts w:ascii="Arial" w:hAnsi="Arial" w:cs="Arial"/>
        </w:rPr>
      </w:pPr>
      <w:r>
        <w:rPr>
          <w:rFonts w:ascii="Arial" w:hAnsi="Arial" w:cs="Arial"/>
        </w:rPr>
        <w:t xml:space="preserve">Vytváranie podmienok pre rozvoj KKP z hľadiska priestorových a technických podmienok, budovanie priestorov na stretávanie a experimentovanie, na kultúrnu a kreatívnu produkciu a spotrebu vrátane obnovy historických objektov </w:t>
      </w:r>
    </w:p>
    <w:p>
      <w:pPr>
        <w:pStyle w:val="Odsekzoznamu"/>
        <w:numPr>
          <w:ilvl w:val="0"/>
          <w:numId w:val="68"/>
        </w:numPr>
        <w:jc w:val="both"/>
        <w:rPr>
          <w:rFonts w:ascii="Arial" w:hAnsi="Arial" w:cs="Arial"/>
        </w:rPr>
      </w:pPr>
      <w:r>
        <w:rPr>
          <w:rFonts w:ascii="Arial" w:hAnsi="Arial" w:cs="Arial"/>
        </w:rPr>
        <w:t>Prístup k technologickému vybaveniu</w:t>
      </w:r>
    </w:p>
    <w:p>
      <w:pPr>
        <w:pStyle w:val="Odsekzoznamu"/>
        <w:numPr>
          <w:ilvl w:val="0"/>
          <w:numId w:val="68"/>
        </w:numPr>
        <w:jc w:val="both"/>
        <w:rPr>
          <w:rFonts w:ascii="Arial" w:hAnsi="Arial" w:cs="Arial"/>
        </w:rPr>
      </w:pPr>
      <w:r>
        <w:rPr>
          <w:rFonts w:ascii="Arial" w:hAnsi="Arial" w:cs="Arial"/>
        </w:rPr>
        <w:t>Podpora kreatívnej a experimentálnej tvorby, kreatívneho vývoja s cieľom nových kultúrnych a kreatívnych produktov a služieb trhovo orientovaných v systéme inkubátora</w:t>
      </w:r>
    </w:p>
    <w:p>
      <w:pPr>
        <w:pStyle w:val="Odsekzoznamu"/>
        <w:numPr>
          <w:ilvl w:val="0"/>
          <w:numId w:val="68"/>
        </w:numPr>
        <w:jc w:val="both"/>
        <w:rPr>
          <w:rFonts w:ascii="Arial" w:hAnsi="Arial" w:cs="Arial"/>
        </w:rPr>
      </w:pPr>
      <w:r>
        <w:rPr>
          <w:rFonts w:ascii="Arial" w:hAnsi="Arial" w:cs="Arial"/>
        </w:rPr>
        <w:t xml:space="preserve">Budovanie partnerstiev a organizačnej kultúry medzi verejným a súkromným sektorom v KKP </w:t>
      </w:r>
    </w:p>
    <w:p>
      <w:pPr>
        <w:pStyle w:val="Odsekzoznamu"/>
        <w:numPr>
          <w:ilvl w:val="0"/>
          <w:numId w:val="68"/>
        </w:numPr>
        <w:jc w:val="both"/>
        <w:rPr>
          <w:rFonts w:ascii="Arial" w:hAnsi="Arial" w:cs="Arial"/>
        </w:rPr>
      </w:pPr>
      <w:r>
        <w:rPr>
          <w:rFonts w:ascii="Arial" w:hAnsi="Arial" w:cs="Arial"/>
        </w:rPr>
        <w:t>Poskytovanie grantov talentom, organizáciám, a podnikom KKP</w:t>
      </w:r>
    </w:p>
    <w:p>
      <w:pPr>
        <w:pStyle w:val="Odsekzoznamu"/>
        <w:numPr>
          <w:ilvl w:val="0"/>
          <w:numId w:val="68"/>
        </w:numPr>
        <w:jc w:val="both"/>
        <w:rPr>
          <w:rFonts w:ascii="Arial" w:hAnsi="Arial" w:cs="Arial"/>
        </w:rPr>
      </w:pPr>
      <w:r>
        <w:rPr>
          <w:rFonts w:ascii="Arial" w:hAnsi="Arial" w:cs="Arial"/>
        </w:rPr>
        <w:t>Poskytovanie mikropôžičiek organizáciám, a podnikom KKP do 2 rokov existencie</w:t>
      </w:r>
    </w:p>
    <w:p>
      <w:pPr>
        <w:pStyle w:val="Odsekzoznamu"/>
      </w:pPr>
      <w:r>
        <w:rPr>
          <w:rFonts w:ascii="Arial" w:hAnsi="Arial" w:cs="Arial"/>
        </w:rPr>
        <w:t>Budovanie povedomia o KKP (prezentácie, kampane, konferencie, semináre, kultúrne politiky)</w:t>
      </w:r>
      <w:r>
        <w:rPr>
          <w:rFonts w:ascii="Times New Roman" w:hAnsi="Times New Roman"/>
          <w:sz w:val="24"/>
          <w:szCs w:val="24"/>
          <w:lang w:eastAsia="sk-SK"/>
        </w:rPr>
        <w:t>.</w:t>
      </w:r>
      <w:r>
        <w:t xml:space="preserve">. </w:t>
      </w:r>
    </w:p>
    <w:p>
      <w:pPr>
        <w:jc w:val="both"/>
        <w:rPr>
          <w:rFonts w:ascii="Arial" w:hAnsi="Arial" w:cs="Arial"/>
        </w:rPr>
      </w:pPr>
    </w:p>
    <w:p>
      <w:pPr>
        <w:shd w:val="clear" w:color="auto" w:fill="BFBFBF" w:themeFill="background1" w:themeFillShade="BF"/>
        <w:rPr>
          <w:rFonts w:ascii="Arial" w:hAnsi="Arial" w:cs="Arial"/>
          <w:b/>
          <w:i/>
        </w:rPr>
      </w:pPr>
      <w:r>
        <w:rPr>
          <w:rFonts w:ascii="Arial" w:hAnsi="Arial" w:cs="Arial"/>
          <w:b/>
          <w:i/>
        </w:rPr>
        <w:t>Zlepšenie kvality života v regiónoch s dôrazom na životné prostredie</w:t>
      </w:r>
    </w:p>
    <w:p>
      <w:pPr>
        <w:shd w:val="clear" w:color="auto" w:fill="D9D9D9"/>
        <w:jc w:val="both"/>
        <w:rPr>
          <w:rStyle w:val="Zvraznenie"/>
          <w:rFonts w:ascii="Arial" w:hAnsi="Arial" w:cs="Arial"/>
          <w:b/>
        </w:rPr>
      </w:pPr>
      <w:r>
        <w:rPr>
          <w:rStyle w:val="Zvraznenie"/>
          <w:rFonts w:ascii="Arial" w:hAnsi="Arial" w:cs="Arial"/>
          <w:b/>
        </w:rPr>
        <w:t>Zvýšenie energetickej efektívnosti budov na bývanie</w:t>
      </w:r>
    </w:p>
    <w:p>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priamo prispieva k dosahovaniu jedného z hlavných cieľov Stratégie Európa 2020 a to </w:t>
      </w:r>
      <w:r>
        <w:rPr>
          <w:rFonts w:ascii="Arial" w:hAnsi="Arial" w:cs="Arial"/>
          <w:i/>
        </w:rPr>
        <w:t xml:space="preserve">„znížiť emisie skleníkových plynov o 20 % (resp. až o 30 % pokiaľ k tomu budú vytvorené podmienky) v porovnaní s rokom 1990, zvýšiť podiel obnoviteľných zdrojov energie v konečnej spotrebe energie na 20 % a zvýšiť energetickú účinnosť o 20 %“. </w:t>
      </w:r>
      <w:r>
        <w:rPr>
          <w:rFonts w:ascii="Arial" w:hAnsi="Arial" w:cs="Arial"/>
        </w:rPr>
        <w:t>Z pohľadu Národného programu reforiem Slovenskej republiky 2013 (ďalej „NPR SR“) je ako jedna z prioritných oblastí špecificky zmienená Environmentálna udržateľnosť a energetika, čím NPR SR stanovuje cieľ „</w:t>
      </w:r>
      <w:r>
        <w:rPr>
          <w:rFonts w:ascii="Arial" w:hAnsi="Arial" w:cs="Arial"/>
          <w:i/>
        </w:rPr>
        <w:t xml:space="preserve">Znížiť do roku 2020 emisie skleníkových plynov mimo sektora v Systéme obchodovania s emisnými kvótami (ďalej aj „ETS“) o viac ako </w:t>
      </w:r>
      <w:r>
        <w:rPr>
          <w:rFonts w:ascii="Arial" w:hAnsi="Arial" w:cs="Arial"/>
          <w:i/>
        </w:rPr>
        <w:br/>
        <w:t xml:space="preserve">13 % v porovnaní s úrovňami v roku 2005 (pričom v strednodobom horizonte bude prehodnotená ambicióznosť emisného cieľa), ako aj zvýšiť podiel obnoviteľných zdrojov energie na konečnej </w:t>
      </w:r>
      <w:r>
        <w:rPr>
          <w:rFonts w:ascii="Arial" w:hAnsi="Arial" w:cs="Arial"/>
          <w:i/>
        </w:rPr>
        <w:lastRenderedPageBreak/>
        <w:t>spotrebe energie na 14 % a zvýšiť energetickú efektívnosť prostredníctvom úspory 11 % konečnej spotreby energie v  porovnaní s priemernou spotrebou v rokoch 2001 – 2005</w:t>
      </w:r>
      <w:r>
        <w:rPr>
          <w:rFonts w:ascii="Arial" w:hAnsi="Arial" w:cs="Arial"/>
        </w:rPr>
        <w:t>“</w:t>
      </w:r>
      <w:r>
        <w:rPr>
          <w:rFonts w:ascii="Arial" w:hAnsi="Arial" w:cs="Arial"/>
          <w:i/>
        </w:rPr>
        <w:t>.</w:t>
      </w:r>
    </w:p>
    <w:p>
      <w:pPr>
        <w:pStyle w:val="Odsekzoznamu"/>
        <w:ind w:left="0"/>
        <w:contextualSpacing w:val="0"/>
        <w:jc w:val="both"/>
        <w:rPr>
          <w:rFonts w:ascii="Arial" w:hAnsi="Arial" w:cs="Arial"/>
        </w:rPr>
      </w:pPr>
      <w:r>
        <w:rPr>
          <w:rFonts w:ascii="Arial" w:hAnsi="Arial" w:cs="Arial"/>
        </w:rPr>
        <w:t>Na konečnú energetickú spotrebu domácností, sektoru obchodu a služieb vrátane služieb poskytovaných verejnými inštitúciami má spotreba budov najväčší vplyv. Financovanie týchto obnov bolo realizované z viacerých zdrojov, a to z úverov zo Štátneho fondu rozvoja bývania (ďalej len „ŠFRB“), komerčných úverov, vlastných zdrojov vlastníkov budov (bytov) a čiastočne domácností. V rámci týchto systémov neboli nastavené procesy monitorovania, preto presné informácie o úsporách energie nie sú k dispozícii. Na základe monitorovania energetickej certifikácie budov možno konštatovať, že v období 2008 – 2010 sa zlepšením tepelno-technických vlastností budov ušetrilo cca 10 GWh (hodnota stanovená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pPr>
        <w:pStyle w:val="Odsekzoznamu"/>
        <w:ind w:left="0"/>
        <w:contextualSpacing w:val="0"/>
        <w:jc w:val="both"/>
        <w:rPr>
          <w:rFonts w:ascii="Arial" w:hAnsi="Arial" w:cs="Arial"/>
        </w:rPr>
      </w:pPr>
      <w:r>
        <w:rPr>
          <w:rFonts w:ascii="Arial" w:hAnsi="Arial" w:cs="Arial"/>
        </w:rPr>
        <w:t>Súčasné výrazné zatepľovanie bytových domov a budov a zároveň výmena okien napomáhajú znižovať spotrebu tepla v domácnostiach, kde sa do roku 2030 očakáva zateplenie väčšiny bytových domov, čo vyústi do výrazného zníženia spotreby tepla. Je pravdepodobné, že bude potrebné obnoviť už aj určitý podiel budov zateplených pred rokom 2010</w:t>
      </w:r>
      <w:r>
        <w:rPr>
          <w:rStyle w:val="Odkaznapoznmkupodiarou"/>
          <w:rFonts w:ascii="Arial" w:hAnsi="Arial" w:cs="Arial"/>
        </w:rPr>
        <w:footnoteReference w:id="24"/>
      </w:r>
      <w:r>
        <w:rPr>
          <w:rFonts w:ascii="Arial" w:hAnsi="Arial" w:cs="Arial"/>
        </w:rPr>
        <w:t xml:space="preserve">. V rokoch 1992 – 2011 bola podľa odborného odhadu obnovená 1/3 budov na bývanie (celkovo v SR evidujeme 1,7 mil. bytových jednotiek v 880 tis. budovách na bývanie), pričom z celkového počtu 815 386 rodinných domov bolo obnovených 27 % a  34 % z 64 615 bytových domov. </w:t>
      </w:r>
    </w:p>
    <w:p>
      <w:pPr>
        <w:pStyle w:val="Odsekzoznamu"/>
        <w:ind w:left="0"/>
        <w:contextualSpacing w:val="0"/>
        <w:jc w:val="both"/>
        <w:rPr>
          <w:rFonts w:ascii="Arial" w:hAnsi="Arial" w:cs="Arial"/>
        </w:rPr>
      </w:pPr>
      <w:r>
        <w:rPr>
          <w:rFonts w:ascii="Arial" w:hAnsi="Arial" w:cs="Arial"/>
        </w:rPr>
        <w:t>V SR v súčasnosti prebieha čiastočná pasportizácia bytových domov s celkovou podlahovou plochou viac ako 1000 m2 a síce na základe zákona č. 476/2008 Z. z.  o energetickej  efektívnosti a to poskytovaním údajov o spotrebe energie. Údaje poskytuje vlastník budovy resp. správca budovy a to na požiadanie prevádzkovateľa monitorovacieho systému efektívnosti pri používaní energie (Slovenská inovačná a energetická agentúra). V súčasnosti je v monitorovacom systéme evidovaných viac ako 13 000 bytových domov  z celkového počtu 64 615 bytových domov (podľa sčítania domov v roku 2011), čo je zhruba 20%. Údaje o energetickej náročnosti sú v štádiu vyhodnocovania. Výstupná správa bude k dispozícii v druhom polroku 2014.</w:t>
      </w:r>
    </w:p>
    <w:p>
      <w:pPr>
        <w:pStyle w:val="Odsekzoznamu"/>
        <w:ind w:left="0"/>
        <w:contextualSpacing w:val="0"/>
        <w:jc w:val="both"/>
        <w:rPr>
          <w:rFonts w:ascii="Arial" w:hAnsi="Arial" w:cs="Arial"/>
        </w:rPr>
      </w:pPr>
      <w:r>
        <w:rPr>
          <w:rFonts w:ascii="Arial" w:hAnsi="Arial" w:cs="Arial"/>
        </w:rPr>
        <w:t xml:space="preserve">Odhadovaná absorpčná kapacita pre zlepšovanie tepelno-technických vlastností stavebných konštrukcií budov na bývanie a modernizáciu technických zariadení budov je na obdobie rokov 2014 - 2020 približne 250 až 350 mil. EUR. Zvýši sa podiel nových nízkoenergetických a pasívnych budov, spotreba energie bude smerovať k vyššiemu využitiu obnoviteľných zdrojov energie. Vzhľadom na požiadavky smernice 2010/31/EÚ o energetickej hospodárnosti budov by mali všetky nové verejné budovy postavené od roku 2019 a všetky budovy postavené od roku 2021, spĺňať požiadavky budov s takmer nulovou potrebou energie (ďalej len „TNB“). Predmetné požiadavky sú zohľadnené aj v </w:t>
      </w:r>
      <w:r>
        <w:rPr>
          <w:rFonts w:ascii="Arial" w:hAnsi="Arial" w:cs="Arial"/>
          <w:b/>
        </w:rPr>
        <w:t>Národnom pláne zvyšovania počtu budov s takmer nulovou potrebou energie</w:t>
      </w:r>
      <w:r>
        <w:rPr>
          <w:rFonts w:ascii="Arial" w:hAnsi="Arial" w:cs="Arial"/>
        </w:rPr>
        <w:t>. Aplikáciou opatrení pre znižovanie energetickej náročnosti budov sa úspora energie na vykurovanie za rok po roku 2015 predpokladá na úrovni 40,7 kWh/m</w:t>
      </w:r>
      <w:r>
        <w:rPr>
          <w:rFonts w:ascii="Arial" w:hAnsi="Arial" w:cs="Arial"/>
          <w:vertAlign w:val="superscript"/>
        </w:rPr>
        <w:t>2</w:t>
      </w:r>
      <w:r>
        <w:rPr>
          <w:rFonts w:ascii="Arial" w:hAnsi="Arial" w:cs="Arial"/>
        </w:rPr>
        <w:t xml:space="preserve"> pre rodinný dom (RD), 25 kWh/m</w:t>
      </w:r>
      <w:r>
        <w:rPr>
          <w:rFonts w:ascii="Arial" w:hAnsi="Arial" w:cs="Arial"/>
          <w:vertAlign w:val="superscript"/>
        </w:rPr>
        <w:t>2</w:t>
      </w:r>
      <w:r>
        <w:rPr>
          <w:rFonts w:ascii="Arial" w:hAnsi="Arial" w:cs="Arial"/>
        </w:rPr>
        <w:t xml:space="preserve"> pre bytovú jednotku. Za predpokladov stanovených v Národnom pláne zvyšovania počtu budov s takmer nulovou potrebou energie predstavuje potenciál možných úspor energie za roky 2016 až 2021 pri nových budovách dosiahnutím energetickej úrovne </w:t>
      </w:r>
      <w:r>
        <w:rPr>
          <w:rFonts w:ascii="Arial" w:hAnsi="Arial" w:cs="Arial"/>
        </w:rPr>
        <w:lastRenderedPageBreak/>
        <w:t>takmer nulovej potreby energie spolu 1 497,7 TJ respektíve 1,5 PJ, čo predstavuje približne zníženie emisií CO</w:t>
      </w:r>
      <w:r>
        <w:rPr>
          <w:rFonts w:ascii="Arial" w:hAnsi="Arial" w:cs="Arial"/>
          <w:vertAlign w:val="subscript"/>
        </w:rPr>
        <w:t>2</w:t>
      </w:r>
      <w:r>
        <w:rPr>
          <w:rFonts w:ascii="Arial" w:hAnsi="Arial" w:cs="Arial"/>
        </w:rPr>
        <w:t xml:space="preserve"> o 87 tis. ton</w:t>
      </w:r>
      <w:r>
        <w:rPr>
          <w:rStyle w:val="Odkaznapoznmkupodiarou"/>
          <w:rFonts w:ascii="Arial" w:hAnsi="Arial" w:cs="Arial"/>
        </w:rPr>
        <w:footnoteReference w:id="25"/>
      </w:r>
      <w:r>
        <w:rPr>
          <w:rFonts w:ascii="Arial" w:hAnsi="Arial" w:cs="Arial"/>
        </w:rPr>
        <w:t>.</w:t>
      </w:r>
    </w:p>
    <w:p>
      <w:pPr>
        <w:jc w:val="both"/>
        <w:rPr>
          <w:rFonts w:ascii="Arial" w:hAnsi="Arial" w:cs="Arial"/>
          <w:b/>
        </w:rPr>
      </w:pPr>
      <w:r>
        <w:rPr>
          <w:rFonts w:ascii="Arial" w:hAnsi="Arial" w:cs="Arial"/>
          <w:b/>
        </w:rPr>
        <w:t>Skúsenosti s implementáciu iniciatívy JESSICA v rámci Regionálneho operačného programu a Operačného programu Bratislavský kraj v programovom období 2007 – 2013</w:t>
      </w:r>
    </w:p>
    <w:p>
      <w:pPr>
        <w:pStyle w:val="Odsekzoznamu"/>
        <w:ind w:left="0"/>
        <w:contextualSpacing w:val="0"/>
        <w:jc w:val="both"/>
        <w:rPr>
          <w:rFonts w:ascii="Arial" w:hAnsi="Arial" w:cs="Arial"/>
        </w:rPr>
      </w:pPr>
      <w:r>
        <w:rPr>
          <w:rFonts w:ascii="Arial" w:hAnsi="Arial" w:cs="Arial"/>
        </w:rPr>
        <w:t>Finančné prostriedky alokované v rámci ROP/OPBK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Pr>
          <w:rStyle w:val="Odkaznapoznmkupodiarou"/>
          <w:rFonts w:ascii="Arial" w:hAnsi="Arial" w:cs="Arial"/>
        </w:rPr>
        <w:footnoteReference w:id="26"/>
      </w:r>
      <w:r>
        <w:rPr>
          <w:rFonts w:ascii="Arial" w:hAnsi="Arial" w:cs="Arial"/>
        </w:rPr>
        <w:t>.</w:t>
      </w:r>
    </w:p>
    <w:p>
      <w:pPr>
        <w:pStyle w:val="Odsekzoznamu"/>
        <w:ind w:left="0"/>
        <w:contextualSpacing w:val="0"/>
        <w:jc w:val="both"/>
        <w:rPr>
          <w:rFonts w:ascii="Arial" w:hAnsi="Arial" w:cs="Arial"/>
        </w:rPr>
      </w:pPr>
    </w:p>
    <w:p>
      <w:pPr>
        <w:shd w:val="clear" w:color="auto" w:fill="D9D9D9"/>
        <w:jc w:val="both"/>
        <w:rPr>
          <w:rStyle w:val="Zvraznenie"/>
          <w:rFonts w:ascii="Arial" w:hAnsi="Arial" w:cs="Arial"/>
          <w:b/>
        </w:rPr>
      </w:pPr>
      <w:r>
        <w:rPr>
          <w:rStyle w:val="Zvraznenie"/>
          <w:rFonts w:ascii="Arial" w:hAnsi="Arial" w:cs="Arial"/>
          <w:b/>
        </w:rPr>
        <w:t>Zvýšenie dostupnosti zdrojov podzemných vôd pre zásobovanie obyvateľstva pitnou vodou</w:t>
      </w:r>
    </w:p>
    <w:p>
      <w:pPr>
        <w:pStyle w:val="Odsekzoznamu"/>
        <w:ind w:left="0"/>
        <w:contextualSpacing w:val="0"/>
        <w:jc w:val="both"/>
        <w:rPr>
          <w:rFonts w:ascii="Arial" w:hAnsi="Arial" w:cs="Arial"/>
        </w:rPr>
      </w:pPr>
      <w:r>
        <w:rPr>
          <w:rFonts w:ascii="Arial" w:hAnsi="Arial" w:cs="Arial"/>
        </w:rPr>
        <w:t xml:space="preserve">Nevyhnutnosť zabezpečenia zvýšenia dostupnosti zdrojov podzemnej vody umocňuje zmena klímy, ktorej nepriaznivé dôsledky na rôzne oblasti pozorujeme stále častejšie. Na území Slovenska sa výrazne prejavili počas posledných 30 rokov a najmä v prvom desaťročí 21. storočia. Podľa doterajšieho vývoja je pravdepodobné, že zmena klímy môže mať výraznejší negatívny vplyv na lokálne, málo výdatné zdroje vody, aj keď je bilancia objemu pitnej vody pre územie Slovenska pozitívna. Pre dosiahnutie dobrého zdravia obyvateľstva pri rešpektovaní rovnováhy ekonomických a ekologických podmienok je nevyhnutné prehodnotiť využiteľné množstvá podzemnej vody, vymedziť deficitné oblasti a zabezpečiť dostupnosť zdrojov pitnej vody. Dôsledky klimatickej zmeny a možné adaptačné opatrenia v jednotlivých sektoroch sú popísané v </w:t>
      </w:r>
      <w:r>
        <w:rPr>
          <w:rFonts w:ascii="Arial" w:hAnsi="Arial" w:cs="Arial"/>
          <w:b/>
        </w:rPr>
        <w:t>Záverečnej správe projektu Dôsledky klimatickej zmeny a možné adaptačné opatrenia v jednotlivých sektoroch</w:t>
      </w:r>
      <w:r>
        <w:rPr>
          <w:rStyle w:val="Odkaznapoznmkupodiarou"/>
          <w:rFonts w:ascii="Arial" w:hAnsi="Arial" w:cs="Arial"/>
          <w:b/>
        </w:rPr>
        <w:footnoteReference w:id="27"/>
      </w:r>
      <w:r>
        <w:rPr>
          <w:rFonts w:ascii="Arial" w:hAnsi="Arial" w:cs="Arial"/>
          <w:b/>
        </w:rPr>
        <w:t xml:space="preserve"> a v Národnej správe SR o zmene klímy, ktoré boli vypracované v rámci plnenia záväzkov podľa čl. 4 a čl. 12 Rámcového dohovoru OSN o Zmene klímy. </w:t>
      </w:r>
      <w:r>
        <w:rPr>
          <w:rFonts w:ascii="Arial" w:hAnsi="Arial" w:cs="Arial"/>
        </w:rPr>
        <w:t>Prvým komplexným dokumentom, ktorý na základe scenárov a analýzy nepriaznivých dôsledkov zmeny klímy poskytuje informácie o možnostiach na znižovanie zraniteľnosti a proaktívnu adaptáciu, je</w:t>
      </w:r>
      <w:r>
        <w:rPr>
          <w:rFonts w:ascii="Arial" w:hAnsi="Arial" w:cs="Arial"/>
          <w:b/>
        </w:rPr>
        <w:t xml:space="preserve"> Stratégia adaptácie SR na nepriaznivé dôsledky zmeny klímy</w:t>
      </w:r>
      <w:r>
        <w:rPr>
          <w:rStyle w:val="Odkaznapoznmkupodiarou"/>
          <w:rFonts w:ascii="Arial" w:hAnsi="Arial" w:cs="Arial"/>
          <w:b/>
        </w:rPr>
        <w:footnoteReference w:id="28"/>
      </w:r>
      <w:r>
        <w:rPr>
          <w:rFonts w:ascii="Arial" w:hAnsi="Arial" w:cs="Arial"/>
          <w:b/>
        </w:rPr>
        <w:t>.</w:t>
      </w:r>
    </w:p>
    <w:p>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b/>
        </w:rPr>
        <w:t>Koncepcia vodohospodárskej politiky SR do roku 2015</w:t>
      </w:r>
      <w:r>
        <w:rPr>
          <w:rFonts w:ascii="Arial" w:hAnsi="Arial" w:cs="Arial"/>
        </w:rPr>
        <w:t xml:space="preserve"> stanovuje špecifický cieľ: </w:t>
      </w:r>
      <w:r>
        <w:rPr>
          <w:rFonts w:ascii="Arial" w:hAnsi="Arial" w:cs="Arial"/>
          <w:i/>
        </w:rPr>
        <w:t xml:space="preserve">„Pripravovať výstavbu </w:t>
      </w:r>
      <w:r>
        <w:rPr>
          <w:rFonts w:ascii="Arial" w:hAnsi="Arial" w:cs="Arial"/>
          <w:i/>
        </w:rPr>
        <w:lastRenderedPageBreak/>
        <w:t>zdrojov vody na zásobovanie deficitných oblastí a oblastí s ohrozenou kvalitou vody v závislosti na rozširovaní zásobovania a kapacite využívaných zdrojov“</w:t>
      </w:r>
      <w:r>
        <w:rPr>
          <w:rFonts w:ascii="Arial" w:hAnsi="Arial" w:cs="Arial"/>
        </w:rPr>
        <w:t>.</w:t>
      </w:r>
    </w:p>
    <w:p>
      <w:pPr>
        <w:pStyle w:val="Odsekzoznamu"/>
        <w:ind w:left="0"/>
        <w:contextualSpacing w:val="0"/>
        <w:jc w:val="both"/>
        <w:rPr>
          <w:rFonts w:ascii="Arial" w:hAnsi="Arial" w:cs="Arial"/>
        </w:rPr>
      </w:pPr>
      <w:r>
        <w:rPr>
          <w:rFonts w:ascii="Arial" w:hAnsi="Arial" w:cs="Arial"/>
        </w:rPr>
        <w:t>Napriek pozitívnemu globálnemu pohľadu rámcovej bilancie potrieb vody, z ktorej vyplýva že vybudované kapacity zdrojov budú pokrývať všetky potreby, neodpovedá toto tvrdenie reálnemu stavu vo všetkých vodovodoch.</w:t>
      </w:r>
      <w:r>
        <w:rPr>
          <w:rStyle w:val="Odkaznapoznmkupodiarou"/>
          <w:rFonts w:ascii="Arial" w:hAnsi="Arial" w:cs="Arial"/>
        </w:rPr>
        <w:footnoteReference w:id="29"/>
      </w:r>
      <w:r>
        <w:rPr>
          <w:rFonts w:ascii="Arial" w:hAnsi="Arial" w:cs="Arial"/>
        </w:rPr>
        <w:t xml:space="preserve"> Vzhľadom k nerovnomernému rozloženiu vodných zdrojov na území Slovenska sú niektoré oblasti z hľadiska zdrojov vody prebytkové, iné oblasti zase vykazujú k roku 2015 deficit zdrojov. Vysoko prebytkové sú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(viaceré oblasti sú zásobované z povrchových tokov, ktoré sú náchylnejšie tak na deficit zrážok ako aj na znečistenie). Najčastejšie nedostatky sa prejavujú na vodných zdrojoch určených najmä na zásobovanie miestnych vodovodov. Často ide o problémy nedostatku vody v období dlhotrvajúcich periód sucha, prípadne v kvalite odoberanej vody. Lokálne nedostatky zásob pitnej vody je možné riešiť budovaním napojení na existujúce vodné zdroje alebo budovaním resp. rozširovaním súčasných vodných zdrojov. </w:t>
      </w:r>
    </w:p>
    <w:p>
      <w:pPr>
        <w:pStyle w:val="Odsekzoznamu"/>
        <w:ind w:left="0"/>
        <w:contextualSpacing w:val="0"/>
        <w:jc w:val="both"/>
        <w:rPr>
          <w:rFonts w:ascii="Arial" w:hAnsi="Arial" w:cs="Arial"/>
        </w:rPr>
      </w:pPr>
    </w:p>
    <w:p>
      <w:pPr>
        <w:shd w:val="clear" w:color="auto" w:fill="D9D9D9"/>
        <w:jc w:val="both"/>
        <w:rPr>
          <w:rStyle w:val="Zvraznenie"/>
          <w:rFonts w:ascii="Arial" w:hAnsi="Arial" w:cs="Arial"/>
          <w:b/>
          <w:i w:val="0"/>
        </w:rPr>
      </w:pPr>
      <w:r>
        <w:rPr>
          <w:rStyle w:val="Zvraznenie"/>
          <w:rFonts w:ascii="Arial" w:hAnsi="Arial" w:cs="Arial"/>
          <w:b/>
        </w:rPr>
        <w:t>Vytváranie predpokladov na zabezpečenie bezproblémového zásobovania obyvateľstva kvalitnou pitnou vodou a efektívne čistenie odpadových vôd bez negatívnych dopadov na životné prostredie</w:t>
      </w:r>
    </w:p>
    <w:p>
      <w:pPr>
        <w:pStyle w:val="Odsekzoznamu"/>
        <w:ind w:left="0"/>
        <w:contextualSpacing w:val="0"/>
        <w:jc w:val="both"/>
        <w:rPr>
          <w:rFonts w:ascii="Arial" w:hAnsi="Arial" w:cs="Arial"/>
        </w:rPr>
      </w:pPr>
      <w:r>
        <w:rPr>
          <w:rFonts w:ascii="Arial" w:hAnsi="Arial" w:cs="Arial"/>
          <w:b/>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týkajúcich sa rozvoja vodovodnej a kanalizačnej siete a zabezpečenia napojenia obyvateľov na sieť verejných vodovodov a kanalizácií. Na úrovni krajov SR sú vypracované </w:t>
      </w:r>
      <w:r>
        <w:rPr>
          <w:rFonts w:ascii="Arial" w:hAnsi="Arial" w:cs="Arial"/>
          <w:b/>
        </w:rPr>
        <w:t>plány rozvoja verejných vodovodov a verejných kanalizácií</w:t>
      </w:r>
      <w:r>
        <w:rPr>
          <w:rFonts w:ascii="Arial" w:hAnsi="Arial" w:cs="Arial"/>
        </w:rPr>
        <w:t xml:space="preserve">, ktorých cieľom je stanovenie základnej koncepcie optimálneho rozvoja zásobovania pitnou vodou a odkanalizovania a čistenia odpadových vôd sídel príslušného kraja. </w:t>
      </w:r>
    </w:p>
    <w:p>
      <w:pPr>
        <w:pStyle w:val="Odsekzoznamu"/>
        <w:ind w:left="0"/>
        <w:contextualSpacing w:val="0"/>
        <w:jc w:val="both"/>
        <w:rPr>
          <w:rFonts w:ascii="Arial" w:hAnsi="Arial" w:cs="Arial"/>
        </w:rPr>
      </w:pPr>
      <w:r>
        <w:rPr>
          <w:rFonts w:ascii="Arial" w:hAnsi="Arial" w:cs="Arial"/>
        </w:rPr>
        <w:t>Plán rozvoja verejných vodovodov pre územie SR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2890 obcí) čo predstavuje 81,2% z celkového počtu obcí SR.</w:t>
      </w:r>
    </w:p>
    <w:p>
      <w:pPr>
        <w:pStyle w:val="Odsekzoznamu"/>
        <w:ind w:left="0"/>
        <w:contextualSpacing w:val="0"/>
        <w:jc w:val="both"/>
        <w:rPr>
          <w:rFonts w:ascii="Arial" w:hAnsi="Arial" w:cs="Arial"/>
        </w:rPr>
      </w:pPr>
      <w:r>
        <w:rPr>
          <w:rFonts w:ascii="Arial" w:hAnsi="Arial" w:cs="Arial"/>
        </w:rPr>
        <w:t xml:space="preserve">Hlavným cieľom stratégie SR na úseku verejných kanalizácií je </w:t>
      </w:r>
      <w:r>
        <w:rPr>
          <w:rFonts w:ascii="Arial" w:hAnsi="Arial" w:cs="Arial"/>
          <w:b/>
        </w:rPr>
        <w:t>vytvárať podmienky na zvyšovanie podielu obyvateľov napojených na kanalizáciu s ČOV</w:t>
      </w:r>
      <w:r>
        <w:rPr>
          <w:rFonts w:ascii="Arial" w:hAnsi="Arial" w:cs="Arial"/>
        </w:rPr>
        <w:t xml:space="preserve"> a tým postupne znižovať zaostávanie rozvoja kanalizácií za rozvojom vodovodov. V období rokov 2008 - 2011 vzrástol počet km kanalizačnej a vodovodnej siete. V roku 2011 predstavoval podiel obyvateľov pripojených na verejnú kanalizáciu v SR 61,6 %, pričom s výnimkou Bratislavského kraja (87,1 %) všetky kraje nepresiahli 61% napojenosť. V porovnaní rokov 2008 a 2011 vzrástol počet km kanalizačnej siete vo všetkých krajoch okrem Bratislavského a Banskobystrického. Zo  Zmluvy o pristúpení  k EÚ vyplýva pre SR povinnosť zabezpečiť v stanovených prechodných obdobiach plnenie  požiadaviek vyplývajúcich zo smernice Rady 91/271/EHS o čistení komunálnych odpadových vôd, a to  zabezpečiť do konca roka 2010 odvádzanie a biologické čistenie </w:t>
      </w:r>
      <w:r>
        <w:rPr>
          <w:rFonts w:ascii="Arial" w:hAnsi="Arial" w:cs="Arial"/>
        </w:rPr>
        <w:lastRenderedPageBreak/>
        <w:t>odpadových vôd v aglomeráciách  nad 10 000 ekvivalentných obyvateľov a do konca roka 2015 zabezpečiť odvádzanie a biologické čistenie odpadových vôd v aglomeráciách nad 2000 ekvivalentných obyvateľov. Ostatné obce nespadajúce do uvedených veľkostných kategórií budú riešené priebežne, postupne a individuálne.</w:t>
      </w:r>
    </w:p>
    <w:p>
      <w:pPr>
        <w:pStyle w:val="Odsekzoznamu"/>
        <w:ind w:left="0"/>
        <w:contextualSpacing w:val="0"/>
        <w:jc w:val="both"/>
        <w:rPr>
          <w:rFonts w:ascii="Arial" w:hAnsi="Arial" w:cs="Arial"/>
        </w:rPr>
      </w:pPr>
      <w:r>
        <w:rPr>
          <w:rFonts w:ascii="Arial" w:hAnsi="Arial" w:cs="Arial"/>
        </w:rPr>
        <w:t xml:space="preserve">Opatrenia smerujúce k zabezpečeniu bezproblémového zásobovania obyvateľstva kvalitnou pitnou vodou a efektívnej likvidácii odpadových vôd bez negatívnych dopadov na životné prostredie 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investičnej priority budú jednotlivé aktivity riešiť rekonštrukcie prívodov vody, vodovodných sietí a zariadení. S cieľom zabezpečenia zásobovania obyvateľov bez prívodu pitnej vody, možno uvažovať s budovaním verejných vodovodov, okrem prípadov ich súbežnej výstavby s výstavbou verejnej kanalizácie podľa aktualizovaného Národného programu SR pre vykonávanie smernice Rady 91/271/EHS.</w:t>
      </w:r>
    </w:p>
    <w:p>
      <w:pPr>
        <w:pStyle w:val="Odsekzoznamu"/>
        <w:ind w:left="0"/>
        <w:contextualSpacing w:val="0"/>
        <w:jc w:val="both"/>
        <w:rPr>
          <w:rFonts w:ascii="Arial" w:hAnsi="Arial" w:cs="Arial"/>
        </w:rPr>
      </w:pPr>
      <w:r>
        <w:rPr>
          <w:rFonts w:ascii="Arial" w:hAnsi="Arial" w:cs="Arial"/>
        </w:rPr>
        <w:t>V oblasti odvedenia a čistenia odpadových vôd sa bude riešiť rekonštrukcia stokových sietí s cieľom zabezpečenia oddeleného odvádzania odpadových vôd od dažďovej vody.</w:t>
      </w:r>
    </w:p>
    <w:p>
      <w:pPr>
        <w:pStyle w:val="Odsekzoznamu"/>
        <w:ind w:left="0"/>
        <w:contextualSpacing w:val="0"/>
        <w:jc w:val="both"/>
        <w:rPr>
          <w:rFonts w:ascii="Arial" w:hAnsi="Arial" w:cs="Arial"/>
        </w:rPr>
      </w:pPr>
    </w:p>
    <w:p>
      <w:pPr>
        <w:shd w:val="clear" w:color="auto" w:fill="D9D9D9"/>
        <w:jc w:val="both"/>
        <w:rPr>
          <w:rFonts w:ascii="Arial" w:hAnsi="Arial" w:cs="Arial"/>
          <w:b/>
          <w:i/>
          <w:iCs/>
        </w:rPr>
      </w:pPr>
      <w:r>
        <w:rPr>
          <w:rStyle w:val="Zvraznenie"/>
          <w:rFonts w:ascii="Arial" w:hAnsi="Arial" w:cs="Arial"/>
          <w:b/>
        </w:rPr>
        <w:t xml:space="preserve">Zlepšenie kvality života obyvateľov a environmentálnych aspektov v mestách a mestských oblastiach prostredníctvom budovania prvkov zelenej infraštruktúry a regeneráciou a využitím nevyužívaných objektov a areálov (brownfields).   </w:t>
      </w:r>
    </w:p>
    <w:p>
      <w:pPr>
        <w:jc w:val="both"/>
        <w:rPr>
          <w:rFonts w:ascii="Arial" w:hAnsi="Arial" w:cs="Arial"/>
          <w:b/>
        </w:rPr>
      </w:pPr>
      <w:r>
        <w:rPr>
          <w:rFonts w:ascii="Arial" w:hAnsi="Arial" w:cs="Arial"/>
          <w:b/>
        </w:rPr>
        <w:t>Zelená infraštruktúra</w:t>
      </w:r>
    </w:p>
    <w:p>
      <w:pPr>
        <w:jc w:val="both"/>
        <w:rPr>
          <w:rFonts w:ascii="Arial" w:hAnsi="Arial" w:cs="Arial"/>
        </w:rPr>
      </w:pPr>
      <w:r>
        <w:rPr>
          <w:rFonts w:ascii="Arial" w:hAnsi="Arial" w:cs="Arial"/>
        </w:rPr>
        <w:t>V iniciatíve stratégie Európa 2020 „</w:t>
      </w:r>
      <w:r>
        <w:rPr>
          <w:rFonts w:ascii="Arial" w:hAnsi="Arial" w:cs="Arial"/>
          <w:i/>
        </w:rPr>
        <w:t xml:space="preserve">Európa efektívne využívajúca zdroje“ </w:t>
      </w:r>
      <w:r>
        <w:rPr>
          <w:rStyle w:val="Odkaznapoznmkupodiarou"/>
          <w:rFonts w:ascii="Arial" w:hAnsi="Arial" w:cs="Arial"/>
        </w:rPr>
        <w:footnoteReference w:id="30"/>
      </w:r>
      <w:r>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ktorý je prioritným cieľom EÚ v rámci stratégie Európa 2020. V tomto pláne sa považujú investície do zelenej infraštruktúry za dôležitý krok k ochrane prírodného kapitálu. V stratégii EÚ v oblasti biodiverzity do roku 2020</w:t>
      </w:r>
      <w:r>
        <w:rPr>
          <w:rStyle w:val="Odkaznapoznmkupodiarou"/>
          <w:rFonts w:ascii="Arial" w:hAnsi="Arial" w:cs="Arial"/>
        </w:rPr>
        <w:footnoteReference w:id="31"/>
      </w:r>
      <w:r>
        <w:rPr>
          <w:rFonts w:ascii="Arial" w:hAnsi="Arial" w:cs="Arial"/>
        </w:rPr>
        <w:t xml:space="preserve"> sa uvádza záväzok Komisie vytvoriť stratégiu pre zelenú infraštruktúru</w:t>
      </w:r>
      <w:r>
        <w:rPr>
          <w:rStyle w:val="Odkaznapoznmkupodiarou"/>
          <w:rFonts w:ascii="Arial" w:hAnsi="Arial" w:cs="Arial"/>
        </w:rPr>
        <w:footnoteReference w:id="32"/>
      </w:r>
      <w:r>
        <w:rPr>
          <w:rFonts w:ascii="Arial" w:hAnsi="Arial" w:cs="Arial"/>
        </w:rPr>
        <w:t xml:space="preserve">. </w:t>
      </w:r>
    </w:p>
    <w:p>
      <w:pPr>
        <w:jc w:val="both"/>
        <w:rPr>
          <w:rFonts w:ascii="Arial" w:hAnsi="Arial" w:cs="Arial"/>
        </w:rPr>
      </w:pPr>
      <w:r>
        <w:rPr>
          <w:rFonts w:ascii="Arial" w:hAnsi="Arial" w:cs="Arial"/>
        </w:rPr>
        <w:t xml:space="preserve">Materiál Európskej komisie </w:t>
      </w:r>
      <w:r>
        <w:rPr>
          <w:rFonts w:ascii="Arial" w:hAnsi="Arial" w:cs="Arial"/>
          <w:i/>
        </w:rPr>
        <w:t>„Zelená infraštruktúra – Zveľaďovanie prírodného kapitálu Európy“</w:t>
      </w:r>
      <w:r>
        <w:rPr>
          <w:rFonts w:ascii="Arial" w:hAnsi="Arial" w:cs="Arial"/>
        </w:rPr>
        <w:t xml:space="preserve"> definuje zelenú infraštruktúru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w:t>
      </w:r>
      <w:r>
        <w:rPr>
          <w:rFonts w:ascii="Arial" w:hAnsi="Arial" w:cs="Arial"/>
        </w:rPr>
        <w:lastRenderedPageBreak/>
        <w:t>vlastnosti v suchozemských (vrátane pobrežných) a morských oblastiach. Na pevnine sa zelená infraštruktúra nachádza vo vidieckych a mestských oblastiach</w:t>
      </w:r>
      <w:r>
        <w:rPr>
          <w:rStyle w:val="Odkaznapoznmkupodiarou"/>
          <w:rFonts w:ascii="Arial" w:hAnsi="Arial" w:cs="Arial"/>
        </w:rPr>
        <w:footnoteReference w:id="33"/>
      </w:r>
      <w:r>
        <w:rPr>
          <w:rFonts w:ascii="Arial" w:hAnsi="Arial" w:cs="Arial"/>
        </w:rPr>
        <w:t>.</w:t>
      </w:r>
    </w:p>
    <w:p>
      <w:pPr>
        <w:jc w:val="both"/>
        <w:rPr>
          <w:rFonts w:ascii="Arial" w:hAnsi="Arial" w:cs="Arial"/>
          <w:b/>
          <w:i/>
          <w:shd w:val="clear" w:color="auto" w:fill="FFFFFF"/>
        </w:rPr>
      </w:pPr>
      <w:r>
        <w:rPr>
          <w:rFonts w:ascii="Arial" w:hAnsi="Arial" w:cs="Arial"/>
          <w:b/>
          <w:i/>
          <w:shd w:val="clear" w:color="auto" w:fill="FFFFFF"/>
        </w:rPr>
        <w:t>Podpora „brownfields“</w:t>
      </w:r>
    </w:p>
    <w:p>
      <w:pPr>
        <w:jc w:val="both"/>
        <w:rPr>
          <w:rFonts w:ascii="Arial" w:hAnsi="Arial" w:cs="Arial"/>
          <w:shd w:val="clear" w:color="auto" w:fill="FFFFFF"/>
        </w:rPr>
      </w:pPr>
      <w:r>
        <w:rPr>
          <w:rFonts w:ascii="Arial" w:hAnsi="Arial" w:cs="Arial"/>
          <w:shd w:val="clear" w:color="auto" w:fill="FFFFFF"/>
        </w:rPr>
        <w:t>V súčasnosti používa odborná verejnosť termín „</w:t>
      </w:r>
      <w:r>
        <w:rPr>
          <w:rFonts w:ascii="Arial" w:hAnsi="Arial" w:cs="Arial"/>
          <w:i/>
          <w:shd w:val="clear" w:color="auto" w:fill="FFFFFF"/>
        </w:rPr>
        <w:t>brownfield</w:t>
      </w:r>
      <w:r>
        <w:rPr>
          <w:rFonts w:ascii="Arial" w:hAnsi="Arial" w:cs="Arial"/>
          <w:shd w:val="clear" w:color="auto" w:fill="FFFFFF"/>
        </w:rPr>
        <w:t>“ na označenie nehnuteľnosti (pozemok, alebo objekt), ktorá sa nachádza na v súčasnosti alebo v minulosti zastavanom území, ktorá nie je efektívne využívaná a ktorá je zanedbaná a prípadne i kontaminovaná. Jedná sa o nehnuteľnosť, ktorú nie je možné efektívne využívať bez toho, aby prebehol proces jej regenerácie. Brownfield obvykle vzniká ako pozostatok priemyselnej, poľnohospodárskej, rezidenčnej či inej aktivity.</w:t>
      </w:r>
    </w:p>
    <w:p>
      <w:pPr>
        <w:pStyle w:val="Odsekzoznamu"/>
        <w:ind w:left="0"/>
        <w:contextualSpacing w:val="0"/>
        <w:jc w:val="both"/>
        <w:rPr>
          <w:rFonts w:ascii="Arial" w:hAnsi="Arial" w:cs="Arial"/>
        </w:rPr>
      </w:pPr>
      <w:r>
        <w:rPr>
          <w:rFonts w:ascii="Arial" w:hAnsi="Arial" w:cs="Arial"/>
        </w:rPr>
        <w:t xml:space="preserve">Na základe výskumov brownfieldov sa ukazuje, že ich zásadným problémom je popri priamej environmentálnej záťaži územia aj sekundárne sociálno-ekonomické pôsobenie niekdajšej činnosti v území. Osobitným problémom takýchto území je aj ich negatívne pôsobenie na okolité územia, v ktorých sa spravidla objavuje mnoho zásadných problémov (kriminalita, negatívne vnímanie územia zo strany spoločnosti, nezamestnanosť a iné). Aj napriek viacerým snahám na Slovensku stále absentuje strategická vízia vo vzťahu k regenerácii brownfieldov. Strategické dokumenty ako Národná stratégia revitalizácie brownfieldov, či Program krajinárskych výstav by mali byť nástrojmi na komplexnú realizáciu revitalizačných zásahov na území vybraných miest a obcí v rámci implementácie Európskeho dohovoru o krajine v SR. Situáciu v oblasti brownfieldov a vstupu investorov do hnedých území komplikujú často nejasné vízie rozvoja miest a obcí vo vzťahu k brownfieldom, nejasné vlastnícke vzťahy, chýbajúce údaje o území a o miere jeho znečistenia a iné. Rehabilitácia brownfieldov je predovšetkým v mestských štruktúrach zložitý problém, ktorý vyžaduje aktívnu účasť všetkých aktérov, ale rozhodujúci je práve verejný sektor. Práve preto je činnosť alebo nečinnosť obecných a regionálnych samospráv určujúca pre smerovanie rozvoja – opätovné využitie, nedostatočné využívanie, degradovanie či zanedbanie brownfieldu alebo využívanie zelených lúk na novú výstavbu.    </w:t>
      </w:r>
    </w:p>
    <w:p>
      <w:pPr>
        <w:pStyle w:val="Odsekzoznamu"/>
        <w:ind w:left="0"/>
        <w:contextualSpacing w:val="0"/>
        <w:jc w:val="both"/>
        <w:rPr>
          <w:rFonts w:ascii="Arial" w:hAnsi="Arial" w:cs="Arial"/>
        </w:rPr>
      </w:pPr>
      <w:r>
        <w:rPr>
          <w:rFonts w:ascii="Arial" w:hAnsi="Arial" w:cs="Arial"/>
        </w:rPr>
        <w:t xml:space="preserve">Jediný doposiaľ realizovaný projekt zameraný na evidenciu disponibilných brownfieldov realizovala Slovenská agentúra pre rozvoj investícií a obchodu (SARIO), ktorá sa v rokoch </w:t>
      </w:r>
      <w:r>
        <w:rPr>
          <w:rFonts w:ascii="Arial" w:hAnsi="Arial" w:cs="Arial"/>
        </w:rPr>
        <w:br/>
        <w:t xml:space="preserve">2008 – 2009 spolu so starostami obcí pokúsila o zostavenie prehľadu zanedbaných území na Slovensku. Aj na základe uvedenej evidencie možno identifikovať brownfieldy na Slovensku ako </w:t>
      </w:r>
      <w:r>
        <w:rPr>
          <w:rFonts w:ascii="Arial" w:hAnsi="Arial" w:cs="Arial"/>
          <w:b/>
        </w:rPr>
        <w:t>územia výrazne poznačené predchádzajúcim užívaním a užívaním okolitých pozemkov, s reálne hroziacimi alebo očakávanými problémami s kontamináciou, územia opustené alebo len málo využívané a nachádzajú sa v rozvinutých resp. čiastočne rozvinutých oblastiach</w:t>
      </w:r>
      <w:r>
        <w:rPr>
          <w:rFonts w:ascii="Arial" w:hAnsi="Arial" w:cs="Arial"/>
        </w:rPr>
        <w:t xml:space="preserve">. Podľa predchádzajúceho využitia možno brownfieldy klasifikovať ako priemyselné, poľnohospodárske, armádne, administratívne, inštitucionálne (školy, nemocnice), rekreačné, kultúrne (kultúrne domy, kiná) a obytné. Na základe výsledkov mapovania brownfieldov v SR bolo identifikovaných spolu </w:t>
      </w:r>
      <w:r>
        <w:rPr>
          <w:rFonts w:ascii="Arial" w:hAnsi="Arial" w:cs="Arial"/>
          <w:b/>
        </w:rPr>
        <w:t xml:space="preserve">663 brownfieldov s celkovou výmerou </w:t>
      </w:r>
      <w:r>
        <w:rPr>
          <w:rFonts w:ascii="Arial" w:hAnsi="Arial" w:cs="Arial"/>
          <w:b/>
        </w:rPr>
        <w:br/>
        <w:t>1 736,3 ha</w:t>
      </w:r>
      <w:r>
        <w:rPr>
          <w:rStyle w:val="Odkaznapoznmkupodiarou"/>
          <w:rFonts w:ascii="Arial" w:hAnsi="Arial" w:cs="Arial"/>
          <w:shd w:val="clear" w:color="auto" w:fill="FFFFFF"/>
        </w:rPr>
        <w:footnoteReference w:id="34"/>
      </w:r>
      <w:r>
        <w:rPr>
          <w:rFonts w:ascii="Arial" w:hAnsi="Arial" w:cs="Arial"/>
        </w:rPr>
        <w:t xml:space="preserve">. V rámci regionálneho členenia bolo najviac hnedých plôch identifikovaných v Žilinskom kraji (187 areálov), najväčšiu výmeru zaberajú brownfieldy v Košickom kraji (386,8 ha). V štruktúre vlastníctva hnedých zón dominuje súkromné vlastníctvo (45,8 % brownfieldov), </w:t>
      </w:r>
      <w:r>
        <w:rPr>
          <w:rFonts w:ascii="Arial" w:hAnsi="Arial" w:cs="Arial"/>
        </w:rPr>
        <w:lastRenderedPageBreak/>
        <w:t>vo vlastníctve samosprávnych krajov je 8,8 % areálov, v obecnom vlastníctve 26,9 % areálov, družstvo vlastníkov vlastní cca 4,2 % areálov a zvyšok iný subjekt resp. neznámy vlastník. Z pohľadu regenerácie brownfieldov a stratégie ich ďalšieho využitia zohráva dôležitý faktor pôvodný účel hnedých zón a s ním súvisiaca hrozba kontaminácie prostredia. Najväčšia skupina brownfieldov pôvodne slúžila priemyslu (35,8 %), výrazný podiel majú poľnohospodárske brownfieldy (24,2 %), územia pôvodne slúžiace ako občianska vybavenosť (23,2 %), malý podiel predstavujú brownfieldy armádne (2,6 %), brownfieldy slúžiace pre cestovný ruch (7,5 %) a na bývanie (3,3 %). Brownfieldy v mestách a v mestských oblastiach, ktoré tvoria približne polovicu zo všetkých zmapovaných areálov, sa vyznačujú dobrým napojením na technickú infraštruktúru (voda, kanalizácia, plyn, elektrina) a relatívne dobrým technickým stavom.</w:t>
      </w:r>
    </w:p>
    <w:p>
      <w:pPr>
        <w:jc w:val="both"/>
        <w:rPr>
          <w:rFonts w:ascii="Arial" w:hAnsi="Arial" w:cs="Arial"/>
          <w:b/>
        </w:rPr>
      </w:pPr>
    </w:p>
    <w:p>
      <w:pPr>
        <w:jc w:val="both"/>
        <w:rPr>
          <w:rFonts w:ascii="Arial" w:hAnsi="Arial" w:cs="Arial"/>
          <w:i/>
          <w:shd w:val="clear" w:color="auto" w:fill="FFFFFF"/>
        </w:rPr>
      </w:pPr>
      <w:r>
        <w:rPr>
          <w:rFonts w:ascii="Arial" w:hAnsi="Arial" w:cs="Arial"/>
          <w:b/>
        </w:rPr>
        <w:t xml:space="preserve">Tabuľka č. 7 </w:t>
      </w:r>
      <w:r>
        <w:rPr>
          <w:rFonts w:ascii="Arial" w:hAnsi="Arial" w:cs="Arial"/>
          <w:i/>
        </w:rPr>
        <w:t>Počet brownfieldov a ich rozloha na základe výsledkov mapovania</w:t>
      </w:r>
      <w:r>
        <w:rPr>
          <w:rFonts w:ascii="Arial" w:hAnsi="Arial" w:cs="Arial"/>
          <w:i/>
          <w:shd w:val="clear" w:color="auto" w:fill="FFFFFF"/>
        </w:rPr>
        <w:t xml:space="preserve"> </w:t>
      </w:r>
    </w:p>
    <w:tbl>
      <w:tblPr>
        <w:tblStyle w:val="Svetlmriekazvraznenie11"/>
        <w:tblW w:w="9498" w:type="dxa"/>
        <w:tblInd w:w="108" w:type="dxa"/>
        <w:tblLook w:val="04A0" w:firstRow="1" w:lastRow="0" w:firstColumn="1" w:lastColumn="0" w:noHBand="0" w:noVBand="1"/>
      </w:tblPr>
      <w:tblGrid>
        <w:gridCol w:w="2977"/>
        <w:gridCol w:w="1843"/>
        <w:gridCol w:w="2268"/>
        <w:gridCol w:w="2410"/>
      </w:tblGrid>
      <w:tr>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hideMark/>
          </w:tcPr>
          <w:p>
            <w:pPr>
              <w:spacing w:after="0" w:line="240" w:lineRule="auto"/>
              <w:jc w:val="both"/>
              <w:rPr>
                <w:rFonts w:ascii="Arial" w:hAnsi="Arial" w:cs="Arial"/>
                <w:sz w:val="16"/>
                <w:szCs w:val="16"/>
                <w:lang w:eastAsia="sk-SK"/>
              </w:rPr>
            </w:pPr>
            <w:r>
              <w:rPr>
                <w:rFonts w:ascii="Arial" w:hAnsi="Arial" w:cs="Arial"/>
                <w:sz w:val="16"/>
                <w:szCs w:val="16"/>
                <w:lang w:eastAsia="sk-SK"/>
              </w:rPr>
              <w:t>SAMOSPRÁVNY KRAJ</w:t>
            </w:r>
          </w:p>
        </w:tc>
        <w:tc>
          <w:tcPr>
            <w:tcW w:w="6521" w:type="dxa"/>
            <w:gridSpan w:val="3"/>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sk-SK"/>
              </w:rPr>
            </w:pPr>
            <w:r>
              <w:rPr>
                <w:rFonts w:ascii="Arial" w:hAnsi="Arial" w:cs="Arial"/>
                <w:sz w:val="16"/>
                <w:szCs w:val="16"/>
                <w:lang w:eastAsia="sk-SK"/>
              </w:rPr>
              <w:t>spolu</w:t>
            </w:r>
          </w:p>
        </w:tc>
      </w:tr>
      <w:tr>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hideMark/>
          </w:tcPr>
          <w:p>
            <w:pPr>
              <w:spacing w:after="0" w:line="240" w:lineRule="auto"/>
              <w:jc w:val="both"/>
              <w:rPr>
                <w:rFonts w:ascii="Arial" w:hAnsi="Arial" w:cs="Arial"/>
                <w:sz w:val="16"/>
                <w:szCs w:val="16"/>
                <w:lang w:eastAsia="sk-SK"/>
              </w:rPr>
            </w:pPr>
          </w:p>
        </w:tc>
        <w:tc>
          <w:tcPr>
            <w:tcW w:w="1843" w:type="dxa"/>
            <w:vMerge w:val="restart"/>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sk-SK"/>
              </w:rPr>
            </w:pPr>
            <w:r>
              <w:rPr>
                <w:rFonts w:ascii="Arial" w:eastAsia="Times New Roman" w:hAnsi="Arial" w:cs="Arial"/>
                <w:b/>
                <w:sz w:val="16"/>
                <w:szCs w:val="16"/>
                <w:lang w:eastAsia="sk-SK"/>
              </w:rPr>
              <w:t>počet</w:t>
            </w:r>
          </w:p>
        </w:tc>
        <w:tc>
          <w:tcPr>
            <w:tcW w:w="4678"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sk-SK"/>
              </w:rPr>
            </w:pPr>
            <w:r>
              <w:rPr>
                <w:rFonts w:ascii="Arial" w:eastAsia="Times New Roman" w:hAnsi="Arial" w:cs="Arial"/>
                <w:b/>
                <w:sz w:val="16"/>
                <w:szCs w:val="16"/>
                <w:lang w:eastAsia="sk-SK"/>
              </w:rPr>
              <w:t>rozloha</w:t>
            </w:r>
          </w:p>
        </w:tc>
      </w:tr>
      <w:tr>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hideMark/>
          </w:tcPr>
          <w:p>
            <w:pPr>
              <w:spacing w:after="0" w:line="240" w:lineRule="auto"/>
              <w:jc w:val="both"/>
              <w:rPr>
                <w:rFonts w:ascii="Arial" w:hAnsi="Arial" w:cs="Arial"/>
                <w:sz w:val="16"/>
                <w:szCs w:val="16"/>
                <w:lang w:eastAsia="sk-SK"/>
              </w:rPr>
            </w:pPr>
          </w:p>
        </w:tc>
        <w:tc>
          <w:tcPr>
            <w:tcW w:w="1843" w:type="dxa"/>
            <w:vMerge/>
            <w:shd w:val="clear" w:color="auto" w:fill="auto"/>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6"/>
                <w:szCs w:val="16"/>
                <w:lang w:eastAsia="sk-SK"/>
              </w:rPr>
            </w:pPr>
          </w:p>
        </w:tc>
        <w:tc>
          <w:tcPr>
            <w:tcW w:w="226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6"/>
                <w:szCs w:val="16"/>
                <w:lang w:eastAsia="sk-SK"/>
              </w:rPr>
            </w:pPr>
            <w:r>
              <w:rPr>
                <w:rFonts w:ascii="Arial" w:eastAsia="Times New Roman" w:hAnsi="Arial" w:cs="Arial"/>
                <w:b/>
                <w:sz w:val="16"/>
                <w:szCs w:val="16"/>
                <w:lang w:eastAsia="sk-SK"/>
              </w:rPr>
              <w:t>ha</w:t>
            </w:r>
          </w:p>
        </w:tc>
        <w:tc>
          <w:tcPr>
            <w:tcW w:w="2410"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6"/>
                <w:szCs w:val="16"/>
                <w:lang w:eastAsia="sk-SK"/>
              </w:rPr>
            </w:pPr>
            <w:r>
              <w:rPr>
                <w:rFonts w:ascii="Arial" w:eastAsia="Times New Roman" w:hAnsi="Arial" w:cs="Arial"/>
                <w:b/>
                <w:sz w:val="16"/>
                <w:szCs w:val="16"/>
                <w:lang w:eastAsia="sk-SK"/>
              </w:rPr>
              <w:t>%</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Bratislavský</w:t>
            </w:r>
          </w:p>
        </w:tc>
        <w:tc>
          <w:tcPr>
            <w:tcW w:w="1843"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3</w:t>
            </w:r>
          </w:p>
        </w:tc>
        <w:tc>
          <w:tcPr>
            <w:tcW w:w="226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7,8</w:t>
            </w:r>
          </w:p>
        </w:tc>
        <w:tc>
          <w:tcPr>
            <w:tcW w:w="2410"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0,4</w:t>
            </w:r>
          </w:p>
        </w:tc>
      </w:tr>
      <w:tr>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Trnavský</w:t>
            </w:r>
          </w:p>
        </w:tc>
        <w:tc>
          <w:tcPr>
            <w:tcW w:w="1843"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28</w:t>
            </w:r>
          </w:p>
        </w:tc>
        <w:tc>
          <w:tcPr>
            <w:tcW w:w="226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138,7</w:t>
            </w:r>
          </w:p>
        </w:tc>
        <w:tc>
          <w:tcPr>
            <w:tcW w:w="2410"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8,0</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Nitriansky</w:t>
            </w:r>
          </w:p>
        </w:tc>
        <w:tc>
          <w:tcPr>
            <w:tcW w:w="1843"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89</w:t>
            </w:r>
          </w:p>
        </w:tc>
        <w:tc>
          <w:tcPr>
            <w:tcW w:w="226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244,7</w:t>
            </w:r>
          </w:p>
        </w:tc>
        <w:tc>
          <w:tcPr>
            <w:tcW w:w="2410"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14,1</w:t>
            </w:r>
          </w:p>
        </w:tc>
      </w:tr>
      <w:tr>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Trenčiansky</w:t>
            </w:r>
          </w:p>
        </w:tc>
        <w:tc>
          <w:tcPr>
            <w:tcW w:w="1843"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77</w:t>
            </w:r>
          </w:p>
        </w:tc>
        <w:tc>
          <w:tcPr>
            <w:tcW w:w="226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150,8</w:t>
            </w:r>
          </w:p>
        </w:tc>
        <w:tc>
          <w:tcPr>
            <w:tcW w:w="2410"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8,7</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Žilinský</w:t>
            </w:r>
          </w:p>
        </w:tc>
        <w:tc>
          <w:tcPr>
            <w:tcW w:w="1843"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187</w:t>
            </w:r>
          </w:p>
        </w:tc>
        <w:tc>
          <w:tcPr>
            <w:tcW w:w="226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297,8</w:t>
            </w:r>
          </w:p>
        </w:tc>
        <w:tc>
          <w:tcPr>
            <w:tcW w:w="2410"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17,2</w:t>
            </w:r>
          </w:p>
        </w:tc>
      </w:tr>
      <w:tr>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Banskobystrický</w:t>
            </w:r>
          </w:p>
        </w:tc>
        <w:tc>
          <w:tcPr>
            <w:tcW w:w="1843"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86</w:t>
            </w:r>
          </w:p>
        </w:tc>
        <w:tc>
          <w:tcPr>
            <w:tcW w:w="226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255,2</w:t>
            </w:r>
          </w:p>
        </w:tc>
        <w:tc>
          <w:tcPr>
            <w:tcW w:w="2410"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14,7</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Prešovský</w:t>
            </w:r>
          </w:p>
        </w:tc>
        <w:tc>
          <w:tcPr>
            <w:tcW w:w="1843"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89</w:t>
            </w:r>
          </w:p>
        </w:tc>
        <w:tc>
          <w:tcPr>
            <w:tcW w:w="226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254,6</w:t>
            </w:r>
          </w:p>
        </w:tc>
        <w:tc>
          <w:tcPr>
            <w:tcW w:w="2410"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14,7</w:t>
            </w:r>
          </w:p>
        </w:tc>
      </w:tr>
      <w:tr>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sz w:val="16"/>
                <w:szCs w:val="16"/>
                <w:lang w:eastAsia="sk-SK"/>
              </w:rPr>
            </w:pPr>
            <w:r>
              <w:rPr>
                <w:rFonts w:ascii="Arial" w:hAnsi="Arial" w:cs="Arial"/>
                <w:sz w:val="16"/>
                <w:szCs w:val="16"/>
                <w:lang w:eastAsia="sk-SK"/>
              </w:rPr>
              <w:t>Košický</w:t>
            </w:r>
          </w:p>
        </w:tc>
        <w:tc>
          <w:tcPr>
            <w:tcW w:w="1843"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104</w:t>
            </w:r>
          </w:p>
        </w:tc>
        <w:tc>
          <w:tcPr>
            <w:tcW w:w="226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386,8</w:t>
            </w:r>
          </w:p>
        </w:tc>
        <w:tc>
          <w:tcPr>
            <w:tcW w:w="2410"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eastAsia="sk-SK"/>
              </w:rPr>
            </w:pPr>
            <w:r>
              <w:rPr>
                <w:rFonts w:ascii="Arial" w:eastAsia="Times New Roman" w:hAnsi="Arial" w:cs="Arial"/>
                <w:sz w:val="16"/>
                <w:szCs w:val="16"/>
                <w:lang w:eastAsia="sk-SK"/>
              </w:rPr>
              <w:t>22,3</w:t>
            </w:r>
          </w:p>
        </w:tc>
      </w:tr>
      <w:tr>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pPr>
              <w:spacing w:after="0" w:line="240" w:lineRule="auto"/>
              <w:jc w:val="both"/>
              <w:rPr>
                <w:rFonts w:ascii="Arial" w:hAnsi="Arial" w:cs="Arial"/>
                <w:b w:val="0"/>
                <w:bCs w:val="0"/>
                <w:sz w:val="16"/>
                <w:szCs w:val="16"/>
                <w:lang w:eastAsia="sk-SK"/>
              </w:rPr>
            </w:pPr>
            <w:r>
              <w:rPr>
                <w:rFonts w:ascii="Arial" w:hAnsi="Arial" w:cs="Arial"/>
                <w:sz w:val="16"/>
                <w:szCs w:val="16"/>
                <w:lang w:eastAsia="sk-SK"/>
              </w:rPr>
              <w:t>SPOLU</w:t>
            </w:r>
          </w:p>
        </w:tc>
        <w:tc>
          <w:tcPr>
            <w:tcW w:w="1843"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sk-SK"/>
              </w:rPr>
            </w:pPr>
            <w:r>
              <w:rPr>
                <w:rFonts w:ascii="Arial" w:eastAsia="Times New Roman" w:hAnsi="Arial" w:cs="Arial"/>
                <w:b/>
                <w:bCs/>
                <w:sz w:val="16"/>
                <w:szCs w:val="16"/>
                <w:lang w:eastAsia="sk-SK"/>
              </w:rPr>
              <w:t>663</w:t>
            </w:r>
          </w:p>
        </w:tc>
        <w:tc>
          <w:tcPr>
            <w:tcW w:w="226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sk-SK"/>
              </w:rPr>
            </w:pPr>
            <w:r>
              <w:rPr>
                <w:rFonts w:ascii="Arial" w:eastAsia="Times New Roman" w:hAnsi="Arial" w:cs="Arial"/>
                <w:b/>
                <w:bCs/>
                <w:sz w:val="16"/>
                <w:szCs w:val="16"/>
                <w:lang w:eastAsia="sk-SK"/>
              </w:rPr>
              <w:t>1 736,3</w:t>
            </w:r>
          </w:p>
        </w:tc>
        <w:tc>
          <w:tcPr>
            <w:tcW w:w="2410"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sk-SK"/>
              </w:rPr>
            </w:pPr>
            <w:r>
              <w:rPr>
                <w:rFonts w:ascii="Arial" w:eastAsia="Times New Roman" w:hAnsi="Arial" w:cs="Arial"/>
                <w:b/>
                <w:bCs/>
                <w:sz w:val="16"/>
                <w:szCs w:val="16"/>
                <w:lang w:eastAsia="sk-SK"/>
              </w:rPr>
              <w:t>100,0</w:t>
            </w:r>
          </w:p>
        </w:tc>
      </w:tr>
    </w:tbl>
    <w:p>
      <w:pPr>
        <w:spacing w:before="120" w:after="0"/>
        <w:rPr>
          <w:rFonts w:ascii="Arial" w:hAnsi="Arial" w:cs="Arial"/>
          <w:i/>
          <w:sz w:val="20"/>
          <w:szCs w:val="20"/>
          <w:shd w:val="clear" w:color="auto" w:fill="FFFFFF"/>
        </w:rPr>
      </w:pPr>
      <w:r>
        <w:rPr>
          <w:rFonts w:ascii="Arial" w:hAnsi="Arial" w:cs="Arial"/>
          <w:i/>
          <w:sz w:val="20"/>
          <w:szCs w:val="20"/>
          <w:shd w:val="clear" w:color="auto" w:fill="FFFFFF"/>
        </w:rPr>
        <w:t>Zdroj: SARIO, 2009</w:t>
      </w:r>
    </w:p>
    <w:p>
      <w:pPr>
        <w:spacing w:before="120" w:after="0"/>
        <w:rPr>
          <w:rFonts w:ascii="Arial" w:hAnsi="Arial" w:cs="Arial"/>
          <w:i/>
          <w:shd w:val="clear" w:color="auto" w:fill="FFFFFF"/>
        </w:rPr>
      </w:pPr>
    </w:p>
    <w:p>
      <w:pPr>
        <w:shd w:val="clear" w:color="auto" w:fill="BFBFBF" w:themeFill="background1" w:themeFillShade="BF"/>
        <w:rPr>
          <w:rFonts w:ascii="Arial" w:hAnsi="Arial" w:cs="Arial"/>
          <w:b/>
          <w:i/>
        </w:rPr>
      </w:pPr>
      <w:r>
        <w:rPr>
          <w:rFonts w:ascii="Arial" w:hAnsi="Arial" w:cs="Arial"/>
          <w:b/>
          <w:i/>
        </w:rPr>
        <w:t xml:space="preserve">Potreby a výzvy na úrovni miestnych spoločenstiev </w:t>
      </w:r>
    </w:p>
    <w:p>
      <w:pPr>
        <w:jc w:val="both"/>
        <w:rPr>
          <w:rFonts w:ascii="Arial" w:hAnsi="Arial" w:cs="Arial"/>
        </w:rPr>
      </w:pPr>
      <w:r>
        <w:rPr>
          <w:rFonts w:ascii="Arial" w:hAnsi="Arial" w:cs="Arial"/>
        </w:rPr>
        <w:t xml:space="preserve">V zmysle Partnerskej dohody SR je </w:t>
      </w:r>
      <w:r>
        <w:rPr>
          <w:rFonts w:ascii="Arial" w:hAnsi="Arial" w:cs="Arial"/>
          <w:b/>
        </w:rPr>
        <w:t xml:space="preserve">cieľom miestneho rozvoja vedeného komunitou (ďalej aj „CLLD“) v podmienkach SR posilnenie hospodárskej, sociálnej a územnej súdržnosti prevažne vidieckeho územia a zaistenie dlhodobého udržateľného rozvoja územia s riešením vzťahov medzi vidieckymi rozvojovými centrami a ich funkčným zázemím. </w:t>
      </w:r>
      <w:r>
        <w:rPr>
          <w:rFonts w:ascii="Arial" w:hAnsi="Arial" w:cs="Arial"/>
        </w:rPr>
        <w:t>Prostredníctvom CLLD sa vo vidieckych oblastiach vytvoria možnosti reagovať na zmeny externého prostredia, zvýšiť ich adaptabilitu a odolnosť voči možnému negatívnemu vývoju, posilniť proaktívny prístup miestnych komunít a využiť príležitosti ako sú: potravinová bezpečnosť a sebestačnosť, ochrana prírodného prostredia a ekosystémov, klimatické zmeny, špecifická priemyselná produkcia a remeselná výroba v malom rozsahu, nové služby obyvateľstvu v oblasti voľného času a zdravia a pod.</w:t>
      </w:r>
    </w:p>
    <w:p>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s primeranou možnosťou zárobku, a čeliť tak vážnym ekonomickým, sociálnym a demografickým zmenám. V zmysle princípov vyváženého územného rozvoja je dôležité vytváranie funkčných a výkonných území na subregionálnej a mikroregionálnej úrovni, ktoré si vyžaduje vytvorenie predpokladov pre podporu nových vzťahov medzi mestami a vidiekom.</w:t>
      </w:r>
    </w:p>
    <w:p>
      <w:pPr>
        <w:tabs>
          <w:tab w:val="left" w:pos="1425"/>
        </w:tabs>
        <w:jc w:val="both"/>
        <w:rPr>
          <w:rFonts w:ascii="Arial" w:hAnsi="Arial" w:cs="Arial"/>
        </w:rPr>
      </w:pPr>
      <w:r>
        <w:rPr>
          <w:rFonts w:ascii="Arial" w:hAnsi="Arial" w:cs="Arial"/>
        </w:rPr>
        <w:lastRenderedPageBreak/>
        <w:t>Pre miestnu úroveň vidieckych osídlení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pPr>
        <w:tabs>
          <w:tab w:val="left" w:pos="1425"/>
        </w:tabs>
        <w:jc w:val="both"/>
        <w:rPr>
          <w:rFonts w:ascii="Arial" w:hAnsi="Arial" w:cs="Arial"/>
        </w:rPr>
      </w:pPr>
      <w:r>
        <w:rPr>
          <w:rFonts w:ascii="Arial" w:hAnsi="Arial" w:cs="Arial"/>
        </w:rPr>
        <w:t>Hlavné výzvy na miestnej úrovni nadväzujú na tri oblasti štrukturálnych problémov:</w:t>
      </w:r>
    </w:p>
    <w:p>
      <w:pPr>
        <w:pStyle w:val="Odsekzoznamu"/>
        <w:numPr>
          <w:ilvl w:val="0"/>
          <w:numId w:val="46"/>
        </w:numPr>
        <w:tabs>
          <w:tab w:val="left" w:pos="1425"/>
        </w:tabs>
        <w:jc w:val="both"/>
        <w:rPr>
          <w:rFonts w:ascii="Arial" w:hAnsi="Arial" w:cs="Arial"/>
          <w:b/>
        </w:rPr>
      </w:pPr>
      <w:r>
        <w:rPr>
          <w:rFonts w:ascii="Arial" w:hAnsi="Arial" w:cs="Arial"/>
          <w:b/>
        </w:rPr>
        <w:t>Zníženie sociálno-ekonomickej zaostalosti</w:t>
      </w:r>
    </w:p>
    <w:p>
      <w:pPr>
        <w:pStyle w:val="Odsekzoznamu"/>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pPr>
        <w:pStyle w:val="Odsekzoznamu"/>
        <w:numPr>
          <w:ilvl w:val="0"/>
          <w:numId w:val="47"/>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pPr>
        <w:pStyle w:val="Odsekzoznamu"/>
        <w:numPr>
          <w:ilvl w:val="0"/>
          <w:numId w:val="47"/>
        </w:numPr>
        <w:tabs>
          <w:tab w:val="left" w:pos="1425"/>
        </w:tabs>
        <w:jc w:val="both"/>
        <w:rPr>
          <w:rFonts w:ascii="Arial" w:hAnsi="Arial" w:cs="Arial"/>
        </w:rPr>
      </w:pPr>
      <w:r>
        <w:rPr>
          <w:rFonts w:ascii="Arial" w:hAnsi="Arial" w:cs="Arial"/>
        </w:rPr>
        <w:t>zlepšiť podporu živnostníkov a samostatne hospodáriacich roľníkov (SHR), mikro a malých podnikov najmä v poľnohospodárskom sektore ,</w:t>
      </w:r>
    </w:p>
    <w:p>
      <w:pPr>
        <w:pStyle w:val="Odsekzoznamu"/>
        <w:numPr>
          <w:ilvl w:val="0"/>
          <w:numId w:val="47"/>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pPr>
        <w:pStyle w:val="Odsekzoznamu"/>
        <w:numPr>
          <w:ilvl w:val="0"/>
          <w:numId w:val="47"/>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pPr>
        <w:pStyle w:val="Odsekzoznamu"/>
        <w:numPr>
          <w:ilvl w:val="0"/>
          <w:numId w:val="47"/>
        </w:numPr>
        <w:tabs>
          <w:tab w:val="left" w:pos="1425"/>
        </w:tabs>
        <w:jc w:val="both"/>
        <w:rPr>
          <w:rFonts w:ascii="Arial" w:hAnsi="Arial" w:cs="Arial"/>
        </w:rPr>
      </w:pPr>
      <w:r>
        <w:rPr>
          <w:rFonts w:ascii="Arial" w:hAnsi="Arial" w:cs="Arial"/>
        </w:rPr>
        <w:t>eliminovať dôsledky vnútornej migrácie rezultujúcej do odlivu najmä mladých ľudí zo zaostalejších regiónov alebo prílevu obyvateľov do obcí v zázemí väčších miest v rámci suburbanizácie,</w:t>
      </w:r>
    </w:p>
    <w:p>
      <w:pPr>
        <w:pStyle w:val="Odsekzoznamu"/>
        <w:numPr>
          <w:ilvl w:val="0"/>
          <w:numId w:val="47"/>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pPr>
        <w:pStyle w:val="Odsekzoznamu"/>
        <w:numPr>
          <w:ilvl w:val="0"/>
          <w:numId w:val="47"/>
        </w:numPr>
        <w:tabs>
          <w:tab w:val="left" w:pos="1425"/>
        </w:tabs>
        <w:jc w:val="both"/>
        <w:rPr>
          <w:rFonts w:ascii="Arial" w:hAnsi="Arial" w:cs="Arial"/>
        </w:rPr>
      </w:pPr>
      <w:r>
        <w:rPr>
          <w:rFonts w:ascii="Arial" w:hAnsi="Arial" w:cs="Arial"/>
        </w:rPr>
        <w:t>rozvíjať potenciál miestnych ekonomík a zlepšiť zavádzanie inovácií na miestnej úrovni,</w:t>
      </w:r>
    </w:p>
    <w:p>
      <w:pPr>
        <w:pStyle w:val="Odsekzoznamu"/>
        <w:numPr>
          <w:ilvl w:val="0"/>
          <w:numId w:val="47"/>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pPr>
        <w:pStyle w:val="Odsekzoznamu"/>
        <w:tabs>
          <w:tab w:val="left" w:pos="1425"/>
        </w:tabs>
        <w:jc w:val="both"/>
        <w:rPr>
          <w:rFonts w:ascii="Arial" w:hAnsi="Arial" w:cs="Arial"/>
        </w:rPr>
      </w:pPr>
    </w:p>
    <w:p>
      <w:pPr>
        <w:pStyle w:val="Odsekzoznamu"/>
        <w:numPr>
          <w:ilvl w:val="0"/>
          <w:numId w:val="46"/>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pPr>
        <w:pStyle w:val="Odsekzoznamu"/>
        <w:tabs>
          <w:tab w:val="left" w:pos="1425"/>
        </w:tabs>
        <w:jc w:val="both"/>
        <w:rPr>
          <w:rFonts w:ascii="Arial" w:hAnsi="Arial" w:cs="Arial"/>
        </w:rPr>
      </w:pPr>
      <w:r>
        <w:rPr>
          <w:rFonts w:ascii="Arial" w:hAnsi="Arial" w:cs="Arial"/>
        </w:rPr>
        <w:t xml:space="preserve">zlepšiť sociálnu a technickú infraštruktúra, </w:t>
      </w:r>
    </w:p>
    <w:p>
      <w:pPr>
        <w:pStyle w:val="Odsekzoznamu"/>
        <w:numPr>
          <w:ilvl w:val="0"/>
          <w:numId w:val="47"/>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pPr>
        <w:pStyle w:val="Odsekzoznamu"/>
        <w:numPr>
          <w:ilvl w:val="0"/>
          <w:numId w:val="47"/>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pPr>
        <w:pStyle w:val="Odsekzoznamu"/>
        <w:numPr>
          <w:ilvl w:val="0"/>
          <w:numId w:val="47"/>
        </w:numPr>
        <w:tabs>
          <w:tab w:val="left" w:pos="1425"/>
        </w:tabs>
        <w:jc w:val="both"/>
        <w:rPr>
          <w:rFonts w:ascii="Arial" w:hAnsi="Arial" w:cs="Arial"/>
        </w:rPr>
      </w:pPr>
      <w:r>
        <w:rPr>
          <w:rFonts w:ascii="Arial" w:hAnsi="Arial" w:cs="Arial"/>
        </w:rPr>
        <w:t>zvýšiť odolnosť a ochranu voči živelným katastrofám,</w:t>
      </w:r>
    </w:p>
    <w:p>
      <w:pPr>
        <w:pStyle w:val="Odsekzoznamu"/>
        <w:numPr>
          <w:ilvl w:val="0"/>
          <w:numId w:val="47"/>
        </w:numPr>
        <w:tabs>
          <w:tab w:val="left" w:pos="1425"/>
        </w:tabs>
        <w:jc w:val="both"/>
        <w:rPr>
          <w:rFonts w:ascii="Arial" w:hAnsi="Arial" w:cs="Arial"/>
        </w:rPr>
      </w:pPr>
      <w:r>
        <w:rPr>
          <w:rFonts w:ascii="Arial" w:hAnsi="Arial" w:cs="Arial"/>
        </w:rPr>
        <w:t>zlepšiť zavádzanie nových progresívnych (zelených) technológií a inovácií,</w:t>
      </w:r>
    </w:p>
    <w:p>
      <w:pPr>
        <w:pStyle w:val="Odsekzoznamu"/>
        <w:numPr>
          <w:ilvl w:val="0"/>
          <w:numId w:val="47"/>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pPr>
        <w:pStyle w:val="Odsekzoznamu"/>
        <w:tabs>
          <w:tab w:val="left" w:pos="1425"/>
        </w:tabs>
        <w:jc w:val="both"/>
        <w:rPr>
          <w:rFonts w:ascii="Arial" w:hAnsi="Arial" w:cs="Arial"/>
        </w:rPr>
      </w:pPr>
    </w:p>
    <w:p>
      <w:pPr>
        <w:pStyle w:val="Odsekzoznamu"/>
        <w:numPr>
          <w:ilvl w:val="0"/>
          <w:numId w:val="46"/>
        </w:numPr>
        <w:tabs>
          <w:tab w:val="left" w:pos="1425"/>
        </w:tabs>
        <w:jc w:val="both"/>
        <w:rPr>
          <w:rFonts w:ascii="Arial" w:hAnsi="Arial" w:cs="Arial"/>
          <w:b/>
        </w:rPr>
      </w:pPr>
      <w:r>
        <w:rPr>
          <w:rFonts w:ascii="Arial" w:hAnsi="Arial" w:cs="Arial"/>
          <w:b/>
        </w:rPr>
        <w:t xml:space="preserve">Zlepšenie infraštruktúry miestnych služieb </w:t>
      </w:r>
    </w:p>
    <w:p>
      <w:pPr>
        <w:pStyle w:val="Odsekzoznamu"/>
        <w:numPr>
          <w:ilvl w:val="0"/>
          <w:numId w:val="47"/>
        </w:numPr>
        <w:tabs>
          <w:tab w:val="left" w:pos="1425"/>
        </w:tabs>
        <w:jc w:val="both"/>
        <w:rPr>
          <w:rFonts w:ascii="Arial" w:hAnsi="Arial" w:cs="Arial"/>
        </w:rPr>
      </w:pPr>
      <w:r>
        <w:rPr>
          <w:rFonts w:ascii="Arial" w:hAnsi="Arial" w:cs="Arial"/>
        </w:rPr>
        <w:t>zvýšiť efektívnosť, kvalitu a rôznorodosť miestnych služieb,</w:t>
      </w:r>
    </w:p>
    <w:p>
      <w:pPr>
        <w:pStyle w:val="Odsekzoznamu"/>
        <w:numPr>
          <w:ilvl w:val="0"/>
          <w:numId w:val="47"/>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pPr>
        <w:jc w:val="both"/>
        <w:rPr>
          <w:rFonts w:ascii="Arial" w:hAnsi="Arial" w:cs="Arial"/>
        </w:rPr>
      </w:pPr>
      <w:r>
        <w:rPr>
          <w:rFonts w:ascii="Arial" w:hAnsi="Arial" w:cs="Arial"/>
        </w:rPr>
        <w:t>Kľúčovou výzvou na miestnej úrovni je sociálna inovácia ako rozvoj a uskutočňovanie nových nápadov (produkty, služby, modely) v záujme naplnenia sociálnych potrieb a cieľov, ako aj nadväzovania nových sociálnych vzťahov medzi rôznymi skupinami obyvateľstva alebo organizáciami vedúce k integrovaným projektom.</w:t>
      </w:r>
    </w:p>
    <w:p>
      <w:pPr>
        <w:jc w:val="both"/>
        <w:rPr>
          <w:rFonts w:ascii="Arial" w:hAnsi="Arial" w:cs="Arial"/>
        </w:rPr>
      </w:pPr>
      <w:r>
        <w:rPr>
          <w:rFonts w:ascii="Arial" w:hAnsi="Arial" w:cs="Arial"/>
        </w:rPr>
        <w:lastRenderedPageBreak/>
        <w:t>Osobitným problémom a výzvam čelia vidiecke obce v zázemí väčších miest. V dôsledku vnútornej migrácie obyvateľstva, ktorá ovplyvňuje socioekonomickú situáciu a priestorové vzťahy na vidieku, dochádza k procesu suburbanizácie, prejavujúcej sa migráciou strednej  a solventnejšej vrstvy obyvateľstva na vidiek, čo prináša okamžitý tlak na vyššiu občiansku vybavenosť a  služby vidieckeho priestoru. Dynamizuje sa tak rozvoj prímestských vidieckych sídiel. Najvýraznejšie sa tieto zmeny prejavujú vo vzťahoch dvoch najväčších miest (Bratislava a Košice) a ich zázemia, kde sú migračné úbytky miest smerované hlavne do ich zázemia.</w:t>
      </w:r>
    </w:p>
    <w:p>
      <w:pPr>
        <w:jc w:val="both"/>
        <w:rPr>
          <w:rFonts w:ascii="Arial" w:hAnsi="Arial" w:cs="Arial"/>
        </w:rPr>
      </w:pPr>
      <w:r>
        <w:rPr>
          <w:rFonts w:ascii="Arial" w:hAnsi="Arial" w:cs="Arial"/>
        </w:rPr>
        <w:t>Na jednej strane sú suburbanizované obce a obce s dobrými rozvojovými potenciálmi, na druhej strane je väčšina vidieckych obcí (najmä menších), kde dochádza ku kumulácii problémových rozvojových potenciálov a dispozícií ako i negatívnych dopadov transformácie. V odľahlých vidieckych oblastiach a v najmenších vidieckych sídlach dochádza ku koncentrácii „neviditeľnej“ sociálnej exklúzie, ktorá je typická pre vidiek a riziku reprodukcie tejto exklúzie, ide o tzv. mäkké formy vylúčenia – nedostatočná občianska vybavenosť a jej dostupnosť, nerozvinutá technická infraštruktúra, atď.</w:t>
      </w:r>
    </w:p>
    <w:p>
      <w:pPr>
        <w:jc w:val="both"/>
        <w:rPr>
          <w:rFonts w:ascii="Arial" w:hAnsi="Arial" w:cs="Arial"/>
          <w:b/>
        </w:rPr>
      </w:pPr>
      <w:r>
        <w:rPr>
          <w:rFonts w:ascii="Arial" w:hAnsi="Arial" w:cs="Arial"/>
          <w:b/>
        </w:rPr>
        <w:t>Medzi hlavné prioritné oblasti riešené prostredníctvom prístupu CLLD patria:</w:t>
      </w:r>
    </w:p>
    <w:p>
      <w:pPr>
        <w:pStyle w:val="Odsekzoznamu"/>
        <w:numPr>
          <w:ilvl w:val="0"/>
          <w:numId w:val="48"/>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pPr>
        <w:pStyle w:val="Odsekzoznamu"/>
        <w:numPr>
          <w:ilvl w:val="0"/>
          <w:numId w:val="48"/>
        </w:numPr>
        <w:jc w:val="both"/>
        <w:rPr>
          <w:rFonts w:ascii="Arial" w:hAnsi="Arial" w:cs="Arial"/>
        </w:rPr>
      </w:pPr>
      <w:r>
        <w:rPr>
          <w:rFonts w:ascii="Arial" w:hAnsi="Arial" w:cs="Arial"/>
        </w:rPr>
        <w:t>ochrana životného prostredia, adaptácia na dôsledky klimatickej zmeny, efektívne a udržateľné hospodárenie so zdrojmi,</w:t>
      </w:r>
    </w:p>
    <w:p>
      <w:pPr>
        <w:pStyle w:val="Odsekzoznamu"/>
        <w:numPr>
          <w:ilvl w:val="0"/>
          <w:numId w:val="48"/>
        </w:numPr>
        <w:jc w:val="both"/>
        <w:rPr>
          <w:rFonts w:ascii="Arial" w:hAnsi="Arial" w:cs="Arial"/>
        </w:rPr>
      </w:pPr>
      <w:r>
        <w:rPr>
          <w:rFonts w:ascii="Arial" w:hAnsi="Arial" w:cs="Arial"/>
        </w:rPr>
        <w:t>budovanie kapacít a rozvoj občianskej spoločnosti v regiónoch,</w:t>
      </w:r>
    </w:p>
    <w:p>
      <w:pPr>
        <w:pStyle w:val="Odsekzoznamu"/>
        <w:numPr>
          <w:ilvl w:val="0"/>
          <w:numId w:val="48"/>
        </w:numPr>
        <w:jc w:val="both"/>
        <w:rPr>
          <w:rFonts w:ascii="Arial" w:hAnsi="Arial" w:cs="Arial"/>
        </w:rPr>
      </w:pPr>
      <w:r>
        <w:rPr>
          <w:rFonts w:ascii="Arial" w:hAnsi="Arial" w:cs="Arial"/>
        </w:rPr>
        <w:t>zlepšenie kvality a bezpečnosti vybavenosti a fyzickej regenerácie vidieckych oblastí v závislosti od špecifických potrieb podľa úrovne ich rozvinutosti.</w:t>
      </w:r>
    </w:p>
    <w:p>
      <w:pPr>
        <w:jc w:val="both"/>
        <w:rPr>
          <w:rFonts w:ascii="Arial" w:hAnsi="Arial" w:cs="Arial"/>
        </w:rPr>
      </w:pPr>
      <w:r>
        <w:rPr>
          <w:rFonts w:ascii="Arial" w:hAnsi="Arial" w:cs="Arial"/>
        </w:rPr>
        <w:t xml:space="preserve">Nástroj CLLD bude podporovaný viacfondovým prístupom z prostriedkov EFRR (IROP) a EPFRV (PRV), pričom </w:t>
      </w:r>
      <w:r>
        <w:rPr>
          <w:rFonts w:ascii="Arial" w:hAnsi="Arial" w:cs="Arial"/>
          <w:b/>
        </w:rPr>
        <w:t>oblasti podpory z IROP</w:t>
      </w:r>
      <w:r>
        <w:rPr>
          <w:rFonts w:ascii="Arial" w:hAnsi="Arial" w:cs="Arial"/>
        </w:rPr>
        <w:t xml:space="preserve"> sú nasledovné:</w:t>
      </w:r>
    </w:p>
    <w:p>
      <w:pPr>
        <w:pStyle w:val="Odsekzoznamu"/>
        <w:numPr>
          <w:ilvl w:val="0"/>
          <w:numId w:val="48"/>
        </w:numPr>
        <w:jc w:val="both"/>
        <w:rPr>
          <w:rFonts w:ascii="Arial" w:hAnsi="Arial" w:cs="Arial"/>
        </w:rPr>
      </w:pPr>
      <w:r>
        <w:rPr>
          <w:rFonts w:ascii="Arial" w:hAnsi="Arial" w:cs="Arial"/>
        </w:rPr>
        <w:t>podpora budovania kapacít pre miestny rozvoj vedený komunitou,</w:t>
      </w:r>
    </w:p>
    <w:p>
      <w:pPr>
        <w:pStyle w:val="Odsekzoznamu"/>
        <w:numPr>
          <w:ilvl w:val="0"/>
          <w:numId w:val="48"/>
        </w:numPr>
        <w:jc w:val="both"/>
        <w:rPr>
          <w:rFonts w:ascii="Arial" w:hAnsi="Arial" w:cs="Arial"/>
        </w:rPr>
      </w:pPr>
      <w:r>
        <w:rPr>
          <w:rFonts w:ascii="Arial" w:hAnsi="Arial" w:cs="Arial"/>
        </w:rPr>
        <w:t>podpora rastu a tvorby pracovných miest rozvojom podnikania a inovácií na miestnej úrovni,</w:t>
      </w:r>
    </w:p>
    <w:p>
      <w:pPr>
        <w:pStyle w:val="Odsekzoznamu"/>
        <w:numPr>
          <w:ilvl w:val="0"/>
          <w:numId w:val="48"/>
        </w:numPr>
        <w:jc w:val="both"/>
        <w:rPr>
          <w:rFonts w:ascii="Arial" w:hAnsi="Arial" w:cs="Arial"/>
        </w:rPr>
      </w:pPr>
      <w:r>
        <w:rPr>
          <w:rFonts w:ascii="Arial" w:hAnsi="Arial" w:cs="Arial"/>
        </w:rPr>
        <w:t>podpora verejných služieb a verejnej infraštruktúry s dôrazom na podporu udržateľných vidiecko-mestských prepojení.</w:t>
      </w:r>
    </w:p>
    <w:p>
      <w:pPr>
        <w:pStyle w:val="Odsekzoznamu"/>
        <w:jc w:val="both"/>
        <w:rPr>
          <w:rFonts w:ascii="Arial" w:hAnsi="Arial" w:cs="Arial"/>
        </w:rPr>
      </w:pPr>
    </w:p>
    <w:p>
      <w:pPr>
        <w:rPr>
          <w:rFonts w:ascii="Arial" w:hAnsi="Arial" w:cs="Arial"/>
          <w:sz w:val="24"/>
          <w:szCs w:val="24"/>
        </w:rPr>
      </w:pPr>
    </w:p>
    <w:p>
      <w:pPr>
        <w:pStyle w:val="Nadpis3"/>
        <w:jc w:val="both"/>
        <w:rPr>
          <w:rFonts w:ascii="Arial" w:hAnsi="Arial" w:cs="Arial"/>
        </w:rPr>
      </w:pPr>
      <w:bookmarkStart w:id="3" w:name="_Toc387153889"/>
      <w:r>
        <w:rPr>
          <w:rFonts w:ascii="Arial" w:hAnsi="Arial" w:cs="Arial"/>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3"/>
    </w:p>
    <w:p>
      <w:pPr>
        <w:pStyle w:val="Odsekzoznamu"/>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sectPr>
          <w:pgSz w:w="11906" w:h="16838"/>
          <w:pgMar w:top="1417" w:right="1417" w:bottom="1417" w:left="993" w:header="708" w:footer="708" w:gutter="0"/>
          <w:cols w:space="708"/>
          <w:titlePg/>
          <w:docGrid w:linePitch="360"/>
        </w:sectPr>
      </w:pPr>
    </w:p>
    <w:p>
      <w:pPr>
        <w:rPr>
          <w:rFonts w:ascii="Arial" w:hAnsi="Arial" w:cs="Arial"/>
          <w:i/>
        </w:rPr>
      </w:pPr>
      <w:r>
        <w:rPr>
          <w:rStyle w:val="Siln"/>
          <w:rFonts w:ascii="Arial" w:hAnsi="Arial" w:cs="Arial"/>
        </w:rPr>
        <w:lastRenderedPageBreak/>
        <w:t>Tabuľka č. 8</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tc>
          <w:tcPr>
            <w:tcW w:w="266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Národný program reforiem SR 2013:</w:t>
            </w:r>
          </w:p>
          <w:p>
            <w:pPr>
              <w:spacing w:after="0" w:line="240" w:lineRule="auto"/>
              <w:jc w:val="both"/>
              <w:rPr>
                <w:rFonts w:ascii="Arial" w:hAnsi="Arial" w:cs="Arial"/>
                <w:sz w:val="16"/>
                <w:szCs w:val="16"/>
              </w:rPr>
            </w:pPr>
            <w:r>
              <w:rPr>
                <w:rFonts w:ascii="Arial" w:hAnsi="Arial" w:cs="Arial"/>
                <w:sz w:val="16"/>
                <w:szCs w:val="16"/>
              </w:rPr>
              <w:t>- Zvýšenie energetickej efektívnosti a využitia OZE vo verejnom sektore a verejných budovách vrátane ich obnovy.</w:t>
            </w:r>
          </w:p>
          <w:p>
            <w:pPr>
              <w:spacing w:after="0" w:line="240" w:lineRule="auto"/>
              <w:jc w:val="both"/>
              <w:rPr>
                <w:rFonts w:ascii="Arial" w:hAnsi="Arial" w:cs="Arial"/>
                <w:sz w:val="16"/>
                <w:szCs w:val="16"/>
              </w:rPr>
            </w:pPr>
            <w:r>
              <w:rPr>
                <w:rFonts w:ascii="Arial" w:hAnsi="Arial" w:cs="Arial"/>
                <w:sz w:val="16"/>
                <w:szCs w:val="16"/>
              </w:rPr>
              <w:t>- Zvyšovanie energetickej hospodárnosti a podielu OZE v sektore bytových budov.</w:t>
            </w:r>
          </w:p>
          <w:p>
            <w:pPr>
              <w:spacing w:after="0" w:line="240" w:lineRule="auto"/>
              <w:jc w:val="both"/>
              <w:rPr>
                <w:rFonts w:ascii="Arial" w:hAnsi="Arial" w:cs="Arial"/>
                <w:sz w:val="16"/>
                <w:szCs w:val="16"/>
              </w:rPr>
            </w:pPr>
            <w:r>
              <w:rPr>
                <w:rFonts w:ascii="Arial" w:hAnsi="Arial" w:cs="Arial"/>
                <w:sz w:val="16"/>
                <w:szCs w:val="16"/>
              </w:rPr>
              <w:t>- Cieľ pre rok 2020: Dosiahnuť kumulovanú úsporu 130 PJ.</w:t>
            </w:r>
            <w:r>
              <w:rPr>
                <w:rStyle w:val="Odkaznapoznmkupodiarou"/>
                <w:rFonts w:ascii="Arial" w:hAnsi="Arial" w:cs="Arial"/>
                <w:sz w:val="16"/>
                <w:szCs w:val="16"/>
              </w:rPr>
              <w:footnoteReference w:id="35"/>
            </w:r>
          </w:p>
          <w:p>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najmä v budovách a v priemysle.</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V súlade s Koncepciou vodohospodárskej politiky SR do roku 2015 potreba „pripravovať výstavbu zdrojov vody na zásobovanie deficitných oblastí a oblastí s ohrozenou kvalitou vody v závislosti na rozširovaní zásobovania a kapacite využívaných zdrojov“.</w:t>
            </w:r>
          </w:p>
          <w:p>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pPr>
              <w:spacing w:after="0" w:line="240" w:lineRule="auto"/>
              <w:jc w:val="both"/>
              <w:rPr>
                <w:rFonts w:ascii="Arial" w:hAnsi="Arial" w:cs="Arial"/>
                <w:sz w:val="16"/>
                <w:szCs w:val="16"/>
              </w:rPr>
            </w:pPr>
            <w:r>
              <w:rPr>
                <w:rFonts w:ascii="Arial" w:hAnsi="Arial" w:cs="Arial"/>
                <w:sz w:val="16"/>
                <w:szCs w:val="16"/>
              </w:rPr>
              <w:t>3) Potreba naďalej plniť požiadavky vplývajúce zo Smernice Rady 91/271/EHS na odvádzanie a čistenie komunálnych odpadových vôd v aglomeráciách nad 2000 EO.</w:t>
            </w:r>
          </w:p>
          <w:p>
            <w:pPr>
              <w:spacing w:after="0" w:line="240" w:lineRule="auto"/>
              <w:jc w:val="both"/>
              <w:rPr>
                <w:rFonts w:ascii="Arial" w:hAnsi="Arial" w:cs="Arial"/>
                <w:sz w:val="16"/>
                <w:szCs w:val="16"/>
              </w:rPr>
            </w:pPr>
            <w:r>
              <w:rPr>
                <w:rFonts w:ascii="Arial" w:hAnsi="Arial" w:cs="Arial"/>
                <w:sz w:val="16"/>
                <w:szCs w:val="16"/>
              </w:rPr>
              <w:t>4) Dominantne plošne negatívny dopad klimatických zmien na zdroje podzemných vôd po roku 1980 -   podzemné vody tvoria 85 % zdrojov pitných vôd SR.</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pPr>
              <w:spacing w:after="0" w:line="240" w:lineRule="auto"/>
              <w:jc w:val="both"/>
              <w:rPr>
                <w:rFonts w:ascii="Arial" w:hAnsi="Arial" w:cs="Arial"/>
                <w:sz w:val="16"/>
                <w:szCs w:val="16"/>
              </w:rPr>
            </w:pPr>
            <w:r>
              <w:rPr>
                <w:rFonts w:ascii="Arial" w:hAnsi="Arial" w:cs="Arial"/>
                <w:sz w:val="16"/>
                <w:szCs w:val="16"/>
              </w:rPr>
              <w:t xml:space="preserve">4) Potreba redukcie prachových častíc PM10 v súlade s cieľmi Národnej stratégie pre redukciu PM10 a zabezpečenie dosiahnutia cieľov programov na zlepšenie kvality ovzdušia. </w:t>
            </w:r>
          </w:p>
          <w:p>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pPr>
              <w:spacing w:after="0" w:line="240" w:lineRule="auto"/>
              <w:jc w:val="both"/>
              <w:rPr>
                <w:rFonts w:ascii="Arial" w:hAnsi="Arial" w:cs="Arial"/>
                <w:sz w:val="16"/>
                <w:szCs w:val="16"/>
              </w:rPr>
            </w:pPr>
            <w:r>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7: Podpora udržateľnej dopravy a odstraňovanie prekážok v </w:t>
            </w:r>
            <w:r>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lastRenderedPageBreak/>
              <w:t xml:space="preserve">c) Vývoj a zlepšovanie ekologicky priaznivých, vrátane nízkohlukových, a nízkouhlíkových dopravných systémov </w:t>
            </w:r>
            <w:r>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lastRenderedPageBreak/>
              <w:t>1) Prostredníctvom posilnenia regionálnej a lokálnej mobility zlepšiť kvalitu života v regiónoch.</w:t>
            </w:r>
          </w:p>
          <w:p>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pPr>
              <w:spacing w:after="0" w:line="240" w:lineRule="auto"/>
              <w:jc w:val="both"/>
              <w:rPr>
                <w:rFonts w:ascii="Arial" w:hAnsi="Arial" w:cs="Arial"/>
                <w:sz w:val="16"/>
                <w:szCs w:val="16"/>
              </w:rPr>
            </w:pPr>
            <w:r>
              <w:rPr>
                <w:rFonts w:ascii="Arial" w:hAnsi="Arial" w:cs="Arial"/>
                <w:sz w:val="16"/>
                <w:szCs w:val="16"/>
              </w:rPr>
              <w:lastRenderedPageBreak/>
              <w:t>4) Narastajúci význam znečistenia ovzdušia spôsobený mobilnými zdrojmi (doprava).</w:t>
            </w:r>
          </w:p>
          <w:p>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pPr>
              <w:spacing w:after="0" w:line="240" w:lineRule="auto"/>
              <w:jc w:val="both"/>
              <w:rPr>
                <w:rFonts w:ascii="Arial" w:hAnsi="Arial" w:cs="Arial"/>
                <w:sz w:val="16"/>
                <w:szCs w:val="16"/>
              </w:rPr>
            </w:pPr>
            <w:r>
              <w:rPr>
                <w:rFonts w:ascii="Arial" w:hAnsi="Arial" w:cs="Arial"/>
                <w:sz w:val="16"/>
                <w:szCs w:val="16"/>
              </w:rPr>
              <w:t>5) Potreba zatraktívniť a zefektívniť fungovanie verejnej osobnej dopravy.</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p>
            <w:pPr>
              <w:spacing w:after="0" w:line="240" w:lineRule="auto"/>
              <w:jc w:val="both"/>
              <w:rPr>
                <w:rFonts w:ascii="Arial" w:hAnsi="Arial" w:cs="Arial"/>
                <w:sz w:val="16"/>
                <w:szCs w:val="16"/>
              </w:rPr>
            </w:pPr>
            <w:r>
              <w:rPr>
                <w:rFonts w:ascii="Arial" w:hAnsi="Arial" w:cs="Arial"/>
                <w:sz w:val="16"/>
                <w:szCs w:val="16"/>
              </w:rPr>
              <w:t>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Kreativita bez inovácie môže existovať, ale inovácie nemôžu vzniknúť, pokiaľ neexistuje kreatívna tvorba v určitom okamihu. Dá sa predpokladať, že odvetvia v dvadsiatom prvom storočí budú stále viac závisieť na generovaní poznatkov prostredníctvom kreativity a inovácií. Kultúrny a kreatívny priemysel má ako katalyzátor inovácií značný potenciál pre riešenie tvorby hospodárskeho rastu a ako sektor má významný podiel na zamestnanosti. V súčasnosti predstavuje na Slovensku  približne 4% podiel na celkových tržbách hospodárstva SR a viac než 4% podiel na celkovej zamestnanosti SR , čím môže významne prispieť k stratégii Európa 2020.</w:t>
            </w:r>
          </w:p>
          <w:p>
            <w:pPr>
              <w:spacing w:after="0" w:line="240" w:lineRule="auto"/>
              <w:jc w:val="both"/>
              <w:rPr>
                <w:rFonts w:ascii="Arial" w:hAnsi="Arial" w:cs="Arial"/>
                <w:sz w:val="16"/>
                <w:szCs w:val="16"/>
              </w:rPr>
            </w:pPr>
            <w:r>
              <w:rPr>
                <w:rFonts w:ascii="Arial" w:hAnsi="Arial" w:cs="Arial"/>
                <w:sz w:val="16"/>
                <w:szCs w:val="16"/>
              </w:rPr>
              <w:t>3) Pre podporu rastu priaznivého pre zamestnanosť je potrebné rozvíjať vnútorný kultúrny potenciál regiónov vrátane konverzie upadajúcich priemyselných oblastí a rozvoja kultúrnych zdrojov. Pre takéto ciele je potrebná podpora kultúrnych a kreatívnych odvetví prostredníctvom opatrení inteligentného rastu v oblastiach kreativity, transferu vedomostí a technológií, rozvoj digitálnych a podnikateľských zručností v oblasti kreatívneho priemyslu, rozvoja špecifickej infraštruktúry od produkcie, distribúcie a spotreby kreatívnych produktov a služieb ako aj opatrení smerujúcich k prístupu k financovaniu úspešných výsledkov kreatívnej tvorby, a podpora nových typov podnikateľských modelov, vrátane inovatívneho zhodnocovania potenciálu duševného vlastníctva.</w:t>
            </w:r>
          </w:p>
          <w:p>
            <w:pPr>
              <w:spacing w:after="0" w:line="240" w:lineRule="auto"/>
              <w:jc w:val="both"/>
              <w:rPr>
                <w:rFonts w:ascii="Arial" w:hAnsi="Arial" w:cs="Arial"/>
                <w:sz w:val="16"/>
                <w:szCs w:val="16"/>
              </w:rPr>
            </w:pPr>
            <w:r>
              <w:rPr>
                <w:rFonts w:ascii="Arial" w:hAnsi="Arial" w:cs="Arial"/>
                <w:sz w:val="16"/>
                <w:szCs w:val="16"/>
              </w:rPr>
              <w:t>4) Potreba budovať úplne nový typ fyzickej infraštruktúry (kreatívne centrá, inkubátory, huby, co-workingy) ako miesta priaznivé pre tvorbu, testovanie a netechnologické inovácie s ekonomiky relevantným východiskom (na základe analýz trhu) a s tým súvisiacu podporu mäkkej infraštruktúry (nové zručnosti, partnerstvá naprieč sektormi, sieťovanie, rozvoj dopytu) a investície do samozamestnávania (SZČO či slobodní umelci), mikro a MSP, ktoré sú najčastejšou formou kreatívnych odvetví.</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podporiť prechod od inštitucionálnej starostlivosti ku komunitnej (NPR SR 2013, Stratégia deinštitucionalizácie systému sociálnych služieb a náhradnej starostlivosti v Slovenskej republike (2011), Pozičný dokument SR)...</w:t>
            </w:r>
          </w:p>
          <w:p>
            <w:pPr>
              <w:spacing w:after="0" w:line="240" w:lineRule="auto"/>
              <w:jc w:val="both"/>
              <w:rPr>
                <w:rFonts w:ascii="Arial" w:hAnsi="Arial" w:cs="Arial"/>
                <w:sz w:val="16"/>
                <w:szCs w:val="16"/>
              </w:rPr>
            </w:pPr>
            <w:r>
              <w:rPr>
                <w:rFonts w:ascii="Arial" w:hAnsi="Arial" w:cs="Arial"/>
                <w:sz w:val="16"/>
                <w:szCs w:val="16"/>
              </w:rPr>
              <w:t>2) Špecifické odporúčanie Rady č. 3, 2013: „</w:t>
            </w:r>
            <w:r>
              <w:rPr>
                <w:rFonts w:ascii="Arial" w:hAnsi="Arial" w:cs="Arial"/>
                <w:i/>
                <w:sz w:val="16"/>
                <w:szCs w:val="16"/>
              </w:rPr>
              <w:t>Zvýšiť stimulovanie zamestnanosti žien prostredníctvom zlepšenia poskytovania zariadení starostlivosti o deti, najmä pre deti do veku troch rokov.</w:t>
            </w:r>
            <w:r>
              <w:rPr>
                <w:rFonts w:ascii="Arial" w:hAnsi="Arial" w:cs="Arial"/>
                <w:sz w:val="16"/>
                <w:szCs w:val="16"/>
              </w:rPr>
              <w:t>“.</w:t>
            </w:r>
          </w:p>
          <w:p>
            <w:pPr>
              <w:spacing w:after="0" w:line="240" w:lineRule="auto"/>
              <w:jc w:val="both"/>
              <w:rPr>
                <w:rFonts w:ascii="Arial" w:hAnsi="Arial" w:cs="Arial"/>
                <w:sz w:val="16"/>
                <w:szCs w:val="16"/>
                <w:lang w:eastAsia="sk-SK"/>
              </w:rPr>
            </w:pPr>
            <w:r>
              <w:rPr>
                <w:rFonts w:ascii="Arial" w:hAnsi="Arial" w:cs="Arial"/>
                <w:sz w:val="16"/>
                <w:szCs w:val="16"/>
              </w:rPr>
              <w:t xml:space="preserve">35) </w:t>
            </w:r>
            <w:r>
              <w:rPr>
                <w:rFonts w:ascii="Arial" w:hAnsi="Arial" w:cs="Arial"/>
                <w:sz w:val="16"/>
                <w:szCs w:val="16"/>
                <w:lang w:eastAsia="sk-SK"/>
              </w:rPr>
              <w:t>Odporúčanie Rady, ktoré sa týka národného programu reforiem Slovenska na rok 2013 a ktorým sa predkladá stanovisko Rady k programu stability Slovenska na roky 2012 – 2016, Ú. v. EÚ C 217, 30.7.2013, s. 71.</w:t>
            </w:r>
          </w:p>
          <w:p>
            <w:pPr>
              <w:spacing w:after="0" w:line="240" w:lineRule="auto"/>
              <w:jc w:val="both"/>
              <w:rPr>
                <w:rFonts w:ascii="Arial" w:hAnsi="Arial" w:cs="Arial"/>
                <w:sz w:val="16"/>
                <w:szCs w:val="16"/>
              </w:rPr>
            </w:pPr>
            <w:r>
              <w:rPr>
                <w:rFonts w:ascii="Arial" w:hAnsi="Arial" w:cs="Arial"/>
                <w:sz w:val="16"/>
                <w:szCs w:val="16"/>
              </w:rPr>
              <w:t xml:space="preserve">4) </w:t>
            </w:r>
            <w:r>
              <w:rPr>
                <w:rFonts w:ascii="Arial" w:hAnsi="Arial" w:cs="Arial"/>
                <w:sz w:val="16"/>
                <w:szCs w:val="16"/>
                <w:lang w:eastAsia="sk-SK"/>
              </w:rPr>
              <w:t>Investing in Health – Commission staff working document (sprievodný dokument komunikácie „Towards Social Investment for Growth and Cohesion – including implementing the ESF 2014 – 2020).</w:t>
            </w:r>
          </w:p>
          <w:p>
            <w:pPr>
              <w:spacing w:after="0" w:line="240" w:lineRule="auto"/>
              <w:jc w:val="both"/>
              <w:rPr>
                <w:rFonts w:ascii="Arial" w:hAnsi="Arial" w:cs="Arial"/>
                <w:sz w:val="16"/>
                <w:szCs w:val="16"/>
              </w:rPr>
            </w:pPr>
            <w:r>
              <w:rPr>
                <w:rFonts w:ascii="Arial" w:hAnsi="Arial" w:cs="Arial"/>
                <w:sz w:val="16"/>
                <w:szCs w:val="16"/>
              </w:rPr>
              <w:t xml:space="preserve">5) </w:t>
            </w:r>
            <w:r>
              <w:rPr>
                <w:rFonts w:ascii="Arial" w:hAnsi="Arial" w:cs="Arial"/>
                <w:sz w:val="16"/>
                <w:szCs w:val="16"/>
                <w:lang w:eastAsia="sk-SK"/>
              </w:rPr>
              <w:t>Nízka efektívnosť slovenského zdravotníctva a potreba reformných  štrukturálnych zmien v zdravotníctve.</w:t>
            </w:r>
          </w:p>
          <w:p>
            <w:pPr>
              <w:spacing w:after="0" w:line="240" w:lineRule="auto"/>
              <w:jc w:val="both"/>
              <w:rPr>
                <w:rFonts w:ascii="Arial" w:hAnsi="Arial" w:cs="Arial"/>
                <w:sz w:val="16"/>
                <w:szCs w:val="16"/>
              </w:rPr>
            </w:pPr>
            <w:r>
              <w:rPr>
                <w:rFonts w:ascii="Arial" w:hAnsi="Arial" w:cs="Arial"/>
                <w:sz w:val="16"/>
                <w:szCs w:val="16"/>
                <w:lang w:eastAsia="sk-SK"/>
              </w:rPr>
              <w:t>6) NPR SR 2013: „</w:t>
            </w:r>
            <w:r>
              <w:rPr>
                <w:rFonts w:ascii="Arial" w:hAnsi="Arial" w:cs="Arial"/>
                <w:i/>
                <w:sz w:val="16"/>
                <w:szCs w:val="16"/>
              </w:rPr>
              <w:t>Vláda SR prijme opatrenia pre dosiahnutie čo najvyššej efektívnosti bez ohrozenia dostupnosti a kvality liečby</w:t>
            </w:r>
            <w:r>
              <w:rPr>
                <w:rFonts w:ascii="Arial" w:hAnsi="Arial" w:cs="Arial"/>
                <w:sz w:val="16"/>
                <w:szCs w:val="16"/>
              </w:rPr>
              <w:t>.“.</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pPr>
              <w:spacing w:after="0" w:line="240" w:lineRule="auto"/>
              <w:jc w:val="both"/>
              <w:rPr>
                <w:rFonts w:ascii="Arial" w:hAnsi="Arial" w:cs="Arial"/>
                <w:sz w:val="16"/>
                <w:szCs w:val="16"/>
              </w:rPr>
            </w:pPr>
            <w:r>
              <w:rPr>
                <w:rFonts w:ascii="Arial" w:hAnsi="Arial" w:cs="Arial"/>
                <w:sz w:val="16"/>
                <w:szCs w:val="16"/>
              </w:rPr>
              <w:t>2) Potreba rozvíjať aktívne komunity.</w:t>
            </w:r>
          </w:p>
          <w:p>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pPr>
              <w:spacing w:after="0" w:line="240" w:lineRule="auto"/>
              <w:jc w:val="both"/>
              <w:rPr>
                <w:rFonts w:ascii="Arial" w:hAnsi="Arial" w:cs="Arial"/>
                <w:sz w:val="16"/>
                <w:szCs w:val="16"/>
              </w:rPr>
            </w:pPr>
            <w:r>
              <w:rPr>
                <w:rFonts w:ascii="Arial" w:hAnsi="Arial" w:cs="Arial"/>
                <w:sz w:val="16"/>
                <w:szCs w:val="16"/>
              </w:rPr>
              <w:lastRenderedPageBreak/>
              <w:t>5) Stratégia SR pre integráciu Rómov do roku 2020.</w:t>
            </w:r>
          </w:p>
          <w:p>
            <w:pPr>
              <w:spacing w:after="0" w:line="240" w:lineRule="auto"/>
              <w:jc w:val="both"/>
              <w:rPr>
                <w:rFonts w:ascii="Arial" w:hAnsi="Arial" w:cs="Arial"/>
                <w:sz w:val="16"/>
                <w:szCs w:val="16"/>
              </w:rPr>
            </w:pPr>
            <w:r>
              <w:rPr>
                <w:rFonts w:ascii="Arial" w:hAnsi="Arial" w:cs="Arial"/>
                <w:sz w:val="16"/>
                <w:szCs w:val="16"/>
              </w:rPr>
              <w:t xml:space="preserve">6) Národný program reforiem SR 2014: </w:t>
            </w:r>
            <w:r>
              <w:rPr>
                <w:rFonts w:ascii="Arial" w:hAnsi="Arial" w:cs="Arial"/>
                <w:sz w:val="16"/>
                <w:szCs w:val="16"/>
                <w:lang w:eastAsia="sk-SK"/>
              </w:rPr>
              <w:t>„</w:t>
            </w:r>
            <w:r>
              <w:rPr>
                <w:rFonts w:ascii="Arial" w:hAnsi="Arial" w:cs="Arial"/>
                <w:i/>
                <w:sz w:val="16"/>
                <w:szCs w:val="16"/>
              </w:rPr>
              <w:t>Vláda SR prijme opatrenia pre dosiahnutie čo najvyššej efektívnosti bez ohrozenia dostupnosti a kvality liečby</w:t>
            </w:r>
            <w:r>
              <w:rPr>
                <w:rFonts w:ascii="Arial" w:hAnsi="Arial" w:cs="Arial"/>
                <w:sz w:val="16"/>
                <w:szCs w:val="16"/>
              </w:rPr>
              <w:t xml:space="preserve">. </w:t>
            </w:r>
            <w:r>
              <w:rPr>
                <w:rFonts w:ascii="Arial" w:hAnsi="Arial" w:cs="Arial"/>
                <w:i/>
                <w:sz w:val="16"/>
                <w:szCs w:val="16"/>
              </w:rPr>
              <w:t>Zavedie sa integrovaný model poskytovania zdravotnej starostlivosti, zjednotia sa liečebné postupy, zlepší sa informovanosť pacientov zverejňovaním indikátorov kvality a čakacích listín a platby za diagnostickú skupinu. “.</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Špecifické odporúčanie Rady č. 4, 2013: „posilniť poskytovanie praktickej výučby priamo v podnikoch“.  „Zvýšiť úsilie o zlepšenie prístupu k vysoko kvalitnému a inkluzívnemu predškolskému a školskému vzdelávaniu marginalizovaných skupín obyvateľstva,“</w:t>
            </w:r>
          </w:p>
          <w:p>
            <w:pPr>
              <w:spacing w:after="0" w:line="240" w:lineRule="auto"/>
              <w:jc w:val="both"/>
              <w:rPr>
                <w:rFonts w:ascii="Arial" w:hAnsi="Arial" w:cs="Arial"/>
                <w:sz w:val="16"/>
                <w:szCs w:val="16"/>
              </w:rPr>
            </w:pPr>
            <w:r>
              <w:rPr>
                <w:rFonts w:ascii="Arial" w:hAnsi="Arial" w:cs="Arial"/>
                <w:sz w:val="16"/>
                <w:szCs w:val="16"/>
              </w:rPr>
              <w:t xml:space="preserve">2) NPR SR 2012 „podporovať predškolské vzdelávanie v MŠ rozšírením kapacity MŠ“, vytvoriť podmienky pre lepšie prepojenie odborných škôl s praxou.“ </w:t>
            </w:r>
          </w:p>
          <w:p>
            <w:pPr>
              <w:spacing w:after="0" w:line="240" w:lineRule="auto"/>
              <w:jc w:val="both"/>
              <w:rPr>
                <w:rFonts w:ascii="Arial" w:hAnsi="Arial" w:cs="Arial"/>
                <w:sz w:val="16"/>
                <w:szCs w:val="16"/>
              </w:rPr>
            </w:pPr>
            <w:r>
              <w:rPr>
                <w:rFonts w:ascii="Arial" w:hAnsi="Arial" w:cs="Arial"/>
                <w:sz w:val="16"/>
                <w:szCs w:val="16"/>
              </w:rPr>
              <w:t xml:space="preserve">3) Pozičný dokument SR: „zvýšenie účasti žien na pracovnom trhu, investície musia podporovať opatrenia pre  rovnosť mužov a žien a zosúladenie pracovného a súkromného života“,  </w:t>
            </w:r>
          </w:p>
          <w:p>
            <w:pPr>
              <w:spacing w:after="0" w:line="240" w:lineRule="auto"/>
              <w:jc w:val="both"/>
              <w:rPr>
                <w:rFonts w:ascii="Arial" w:hAnsi="Arial" w:cs="Arial"/>
                <w:sz w:val="16"/>
                <w:szCs w:val="16"/>
              </w:rPr>
            </w:pPr>
            <w:r>
              <w:rPr>
                <w:rFonts w:ascii="Arial" w:hAnsi="Arial" w:cs="Arial"/>
                <w:sz w:val="16"/>
                <w:szCs w:val="16"/>
              </w:rPr>
              <w:t>„Zlepšiť prístup k celoživotnému vzdelávaniu, a zvýšiť význam systémov vzdelávania pre potreby pracovného trhu“.</w:t>
            </w:r>
          </w:p>
          <w:p>
            <w:pPr>
              <w:spacing w:after="0" w:line="240" w:lineRule="auto"/>
              <w:jc w:val="both"/>
              <w:rPr>
                <w:rFonts w:ascii="Arial" w:hAnsi="Arial" w:cs="Arial"/>
                <w:sz w:val="16"/>
                <w:szCs w:val="16"/>
              </w:rPr>
            </w:pPr>
            <w:r>
              <w:rPr>
                <w:rFonts w:ascii="Arial" w:hAnsi="Arial" w:cs="Arial"/>
                <w:sz w:val="16"/>
                <w:szCs w:val="16"/>
              </w:rPr>
              <w:t>4) Pozičný dokument SR: „</w:t>
            </w:r>
            <w:r>
              <w:rPr>
                <w:rFonts w:ascii="Arial" w:hAnsi="Arial" w:cs="Arial"/>
                <w:i/>
                <w:iCs/>
                <w:sz w:val="16"/>
                <w:szCs w:val="16"/>
              </w:rPr>
              <w:t xml:space="preserve">Odborná príprava </w:t>
            </w:r>
            <w:r>
              <w:rPr>
                <w:rFonts w:ascii="Arial" w:hAnsi="Arial" w:cs="Arial"/>
                <w:sz w:val="16"/>
                <w:szCs w:val="16"/>
              </w:rPr>
              <w:t xml:space="preserve">a účasť na </w:t>
            </w:r>
            <w:r>
              <w:rPr>
                <w:rFonts w:ascii="Arial" w:hAnsi="Arial" w:cs="Arial"/>
                <w:i/>
                <w:iCs/>
                <w:sz w:val="16"/>
                <w:szCs w:val="16"/>
              </w:rPr>
              <w:t xml:space="preserve">celoživotnom vzdelávaní“ </w:t>
            </w:r>
          </w:p>
          <w:p>
            <w:pPr>
              <w:spacing w:after="0" w:line="240" w:lineRule="auto"/>
              <w:jc w:val="both"/>
              <w:rPr>
                <w:rFonts w:ascii="Arial" w:hAnsi="Arial" w:cs="Arial"/>
                <w:sz w:val="16"/>
                <w:szCs w:val="16"/>
              </w:rPr>
            </w:pPr>
            <w:r>
              <w:rPr>
                <w:rFonts w:ascii="Arial" w:hAnsi="Arial" w:cs="Arial"/>
                <w:sz w:val="16"/>
                <w:szCs w:val="16"/>
              </w:rPr>
              <w:t>5) Správa o stave školstva na Slovensku 2013 „Skvalitniť systém predškolskej výchovy a vzdelávania“, „Zvýšiť kvalitu odborného vzdelávania a prípravy“, „Zabezpečiť prístup ku kvalitnej výchove a vzdelávaniu pre znevýhodnené skupiny obyvateľstva“, „podporiť zvyšovanie kapacít materských škôl“.</w:t>
            </w:r>
          </w:p>
        </w:tc>
      </w:tr>
    </w:tbl>
    <w:p>
      <w:pPr>
        <w:rPr>
          <w:rFonts w:ascii="Arial" w:hAnsi="Arial" w:cs="Arial"/>
        </w:rPr>
      </w:pPr>
    </w:p>
    <w:p>
      <w:pPr>
        <w:pStyle w:val="Nadpis2"/>
        <w:rPr>
          <w:rFonts w:ascii="Arial" w:hAnsi="Arial" w:cs="Arial"/>
        </w:rPr>
        <w:sectPr>
          <w:pgSz w:w="16838" w:h="11906" w:orient="landscape"/>
          <w:pgMar w:top="1417" w:right="1417" w:bottom="1417" w:left="1417" w:header="708" w:footer="708" w:gutter="0"/>
          <w:cols w:space="708"/>
          <w:docGrid w:linePitch="360"/>
        </w:sectPr>
      </w:pPr>
    </w:p>
    <w:p>
      <w:pPr>
        <w:pStyle w:val="Nadpis2"/>
        <w:rPr>
          <w:rFonts w:ascii="Arial" w:hAnsi="Arial" w:cs="Arial"/>
        </w:rPr>
      </w:pPr>
      <w:bookmarkStart w:id="4" w:name="_Toc387153890"/>
      <w:r>
        <w:rPr>
          <w:rFonts w:ascii="Arial" w:hAnsi="Arial" w:cs="Arial"/>
        </w:rPr>
        <w:lastRenderedPageBreak/>
        <w:t>1.2 Odôvodnenie pridelených finančných prostriedkov</w:t>
      </w:r>
      <w:bookmarkEnd w:id="4"/>
    </w:p>
    <w:p>
      <w:pPr>
        <w:rPr>
          <w:rFonts w:ascii="Arial" w:hAnsi="Arial" w:cs="Arial"/>
          <w:i/>
          <w:color w:val="4EACF3"/>
        </w:rPr>
      </w:pPr>
    </w:p>
    <w:p>
      <w:pPr>
        <w:jc w:val="both"/>
        <w:rPr>
          <w:rFonts w:ascii="Arial" w:hAnsi="Arial" w:cs="Arial"/>
        </w:rPr>
      </w:pPr>
      <w:r>
        <w:rPr>
          <w:rFonts w:ascii="Arial" w:hAnsi="Arial" w:cs="Arial"/>
        </w:rPr>
        <w:t xml:space="preserve">Celková alokácia IROP za zdroje EÚ predstavuje  1 814 490 415 EUR, z toho 6,14 % na TC 4 (nízkouhlíkové hospodárstvo), 4,87 % na TC 6 (životné prostredie), 23,20 % na TC 7 (doprava), 15,20 % na TC 8 (podpora zamestnanosti), 32,79 % na TC 9 (sociálna inklúzia)  a 14,49 % na TC 10 (vzdelávanie). Rozdelenie finančných alokácií na príslušné relevantné tematické ciele, tak ako sú zadefinované v „Pozičnom dokumente Komisie k vypracovaniu Partnerskej dohody a programov na Slovensku na roky 2014 – 2020“, zohľadňuje predovšetkým ich príspevok k plneniu priorít zadefinovaných v stratégii Európa 2020 a národných programoch reforiem a národných priorít financovania uvedených v PD SR so zohľadnením potrieb a výziev regiónov SR. </w:t>
      </w:r>
    </w:p>
    <w:p>
      <w:pPr>
        <w:jc w:val="both"/>
        <w:rPr>
          <w:rFonts w:ascii="Arial" w:hAnsi="Arial" w:cs="Arial"/>
        </w:rPr>
      </w:pPr>
      <w:r>
        <w:rPr>
          <w:rFonts w:ascii="Arial" w:hAnsi="Arial" w:cs="Arial"/>
          <w:b/>
        </w:rPr>
        <w:t>Najvyššia finančná alokácia  - 32,79 %</w:t>
      </w:r>
      <w:r>
        <w:rPr>
          <w:rFonts w:ascii="Arial" w:hAnsi="Arial" w:cs="Arial"/>
        </w:rPr>
        <w:t xml:space="preserve"> z celkovej finančnej alokácie, bola vyčlenená na </w:t>
      </w:r>
      <w:r>
        <w:rPr>
          <w:rFonts w:ascii="Arial" w:hAnsi="Arial" w:cs="Arial"/>
          <w:b/>
        </w:rPr>
        <w:t xml:space="preserve">TC9 </w:t>
      </w:r>
      <w:r>
        <w:rPr>
          <w:rFonts w:ascii="Arial" w:hAnsi="Arial" w:cs="Arial"/>
        </w:rPr>
        <w:t xml:space="preserve">- Podpora sociálneho začlenenia, boj proti chudobe a akejkoľvek diskriminácii. Intervencie v rámci uvedeného tematického cieľa zahŕňajú riešenie potrieb do </w:t>
      </w:r>
      <w:r>
        <w:rPr>
          <w:rFonts w:ascii="Arial" w:hAnsi="Arial" w:cs="Arial"/>
          <w:b/>
        </w:rPr>
        <w:t>zdravotníckej a sociálnej infraštruktúry</w:t>
      </w:r>
      <w:r>
        <w:rPr>
          <w:rFonts w:ascii="Arial" w:hAnsi="Arial" w:cs="Arial"/>
        </w:rPr>
        <w:t xml:space="preserve"> a investícií v rámci stratégií </w:t>
      </w:r>
      <w:r>
        <w:rPr>
          <w:rFonts w:ascii="Arial" w:hAnsi="Arial" w:cs="Arial"/>
          <w:b/>
        </w:rPr>
        <w:t>miestneho rozvoja vedeného komunitou</w:t>
      </w:r>
      <w:r>
        <w:rPr>
          <w:rFonts w:ascii="Arial" w:hAnsi="Arial" w:cs="Arial"/>
        </w:rPr>
        <w:t>. Investície do podpory prechod poskytovania sociálnych služieb a výkonu opatrení sociálnoprávnej ochrany detí a sociálnej kurately z inštitucionálnej formy na komunitnú a modernizácie zdravotnej infraštruktúry si vyžadujú realizáciu finančne nákladných opatrení, čo odráža aj výšku disponibilnej alokácie.</w:t>
      </w:r>
    </w:p>
    <w:p>
      <w:pPr>
        <w:jc w:val="both"/>
        <w:rPr>
          <w:rFonts w:ascii="Arial" w:hAnsi="Arial" w:cs="Arial"/>
        </w:rPr>
      </w:pPr>
      <w:r>
        <w:rPr>
          <w:rFonts w:ascii="Arial" w:hAnsi="Arial" w:cs="Arial"/>
        </w:rPr>
        <w:t xml:space="preserve">Významný podiel finančných prostriedkov - </w:t>
      </w:r>
      <w:r>
        <w:rPr>
          <w:rFonts w:ascii="Arial" w:hAnsi="Arial" w:cs="Arial"/>
          <w:b/>
        </w:rPr>
        <w:t>23,20 %</w:t>
      </w:r>
      <w:r>
        <w:rPr>
          <w:rFonts w:ascii="Arial" w:hAnsi="Arial" w:cs="Arial"/>
        </w:rPr>
        <w:t xml:space="preserve"> z celkovej finančnej alokácie, bol alokovaný na </w:t>
      </w:r>
      <w:r>
        <w:rPr>
          <w:rFonts w:ascii="Arial" w:hAnsi="Arial" w:cs="Arial"/>
          <w:b/>
        </w:rPr>
        <w:t xml:space="preserve">TC7 </w:t>
      </w:r>
      <w:r>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Pr>
          <w:rFonts w:ascii="Arial" w:hAnsi="Arial" w:cs="Arial"/>
          <w:b/>
        </w:rPr>
        <w:t>regionálnych ciest</w:t>
      </w:r>
      <w:r>
        <w:rPr>
          <w:rFonts w:ascii="Arial" w:hAnsi="Arial" w:cs="Arial"/>
        </w:rPr>
        <w:t xml:space="preserve"> umožnia zlepšenie prístupu k jednotnému európskemu trhu a službám a zlepšenie kvality života v regiónoch prostredníctvom napojenia na sieť TEN-T. Podpora a rozvoj </w:t>
      </w:r>
      <w:r>
        <w:rPr>
          <w:rFonts w:ascii="Arial" w:hAnsi="Arial" w:cs="Arial"/>
          <w:b/>
        </w:rPr>
        <w:t>integrovaných dopravných systémov</w:t>
      </w:r>
      <w:r>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pPr>
        <w:jc w:val="both"/>
        <w:rPr>
          <w:rFonts w:ascii="Arial" w:hAnsi="Arial" w:cs="Arial"/>
        </w:rPr>
      </w:pPr>
      <w:r>
        <w:rPr>
          <w:rFonts w:ascii="Arial" w:hAnsi="Arial" w:cs="Arial"/>
        </w:rPr>
        <w:t xml:space="preserve">Pre potreby rastu priaznivého pre zamestnanosť,  bola v rámci </w:t>
      </w:r>
      <w:r>
        <w:rPr>
          <w:rFonts w:ascii="Arial" w:hAnsi="Arial" w:cs="Arial"/>
          <w:b/>
        </w:rPr>
        <w:t>TC8</w:t>
      </w:r>
      <w:r>
        <w:rPr>
          <w:rFonts w:ascii="Arial" w:hAnsi="Arial" w:cs="Arial"/>
        </w:rPr>
        <w:t xml:space="preserve"> - Podpora udržateľnosti a kvality zamestnanosti a mobility pracovnej sily, vyčlenených </w:t>
      </w:r>
      <w:r>
        <w:rPr>
          <w:rFonts w:ascii="Arial" w:hAnsi="Arial" w:cs="Arial"/>
          <w:b/>
        </w:rPr>
        <w:t>15,20 %</w:t>
      </w:r>
      <w:r>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Pr>
          <w:rFonts w:ascii="Arial" w:hAnsi="Arial" w:cs="Arial"/>
          <w:b/>
        </w:rPr>
        <w:t xml:space="preserve">kreativity ľudských zdrojov </w:t>
      </w:r>
      <w:r>
        <w:rPr>
          <w:rFonts w:ascii="Arial" w:hAnsi="Arial" w:cs="Arial"/>
        </w:rPr>
        <w:t>v regiónoch.</w:t>
      </w:r>
    </w:p>
    <w:p>
      <w:pPr>
        <w:jc w:val="both"/>
        <w:rPr>
          <w:rFonts w:ascii="Arial" w:hAnsi="Arial" w:cs="Arial"/>
        </w:rPr>
      </w:pPr>
      <w:r>
        <w:rPr>
          <w:rFonts w:ascii="Arial" w:hAnsi="Arial" w:cs="Arial"/>
        </w:rPr>
        <w:t xml:space="preserve">Opatrenia v rámci </w:t>
      </w:r>
      <w:r>
        <w:rPr>
          <w:rFonts w:ascii="Arial" w:hAnsi="Arial" w:cs="Arial"/>
          <w:b/>
        </w:rPr>
        <w:t>TC10</w:t>
      </w:r>
      <w:r>
        <w:rPr>
          <w:rFonts w:ascii="Arial" w:hAnsi="Arial" w:cs="Arial"/>
        </w:rPr>
        <w:t xml:space="preserve"> - Investovanie do vzdelania, školení a odbornej prípravy, ako aj zručností a celoživotného vzdelávania, na ktorý bolo vyčlenených </w:t>
      </w:r>
      <w:r>
        <w:rPr>
          <w:rFonts w:ascii="Arial" w:hAnsi="Arial" w:cs="Arial"/>
          <w:b/>
        </w:rPr>
        <w:t>14,49 %</w:t>
      </w:r>
      <w:r>
        <w:rPr>
          <w:rFonts w:ascii="Arial" w:hAnsi="Arial" w:cs="Arial"/>
        </w:rPr>
        <w:t xml:space="preserve"> prostriedkov z celkovej finančnej alokácie, by mali zlepšiť dlhodobý negatívny trend v SR v oblasti </w:t>
      </w:r>
      <w:r>
        <w:rPr>
          <w:rFonts w:ascii="Arial" w:hAnsi="Arial" w:cs="Arial"/>
          <w:b/>
        </w:rPr>
        <w:t>predškolského vzdelávania</w:t>
      </w:r>
      <w:r>
        <w:rPr>
          <w:rFonts w:ascii="Arial" w:hAnsi="Arial" w:cs="Arial"/>
        </w:rPr>
        <w:t xml:space="preserve">, a to predovšetkým zvýšiť hrubú zaškolenosť detí s dopadom na zvýšenie podielu žien na pracovnom trhu (Pozičný dokument SR), v oblasti primárneho vzdelávania zlepšiť kľúčové </w:t>
      </w:r>
      <w:r>
        <w:rPr>
          <w:rFonts w:ascii="Arial" w:hAnsi="Arial" w:cs="Arial"/>
          <w:b/>
        </w:rPr>
        <w:t>kompetencie žiakov</w:t>
      </w:r>
      <w:r>
        <w:rPr>
          <w:rFonts w:ascii="Arial" w:hAnsi="Arial" w:cs="Arial"/>
        </w:rPr>
        <w:t xml:space="preserve"> </w:t>
      </w:r>
      <w:r>
        <w:rPr>
          <w:rFonts w:ascii="Arial" w:hAnsi="Arial" w:cs="Arial"/>
          <w:b/>
        </w:rPr>
        <w:t>základných škôl</w:t>
      </w:r>
      <w:r>
        <w:rPr>
          <w:rFonts w:ascii="Arial" w:hAnsi="Arial" w:cs="Arial"/>
        </w:rPr>
        <w:t xml:space="preserve"> a v oblasti </w:t>
      </w:r>
      <w:r>
        <w:rPr>
          <w:rFonts w:ascii="Arial" w:hAnsi="Arial" w:cs="Arial"/>
          <w:b/>
        </w:rPr>
        <w:t>stredného odborného vzdelávania a prípravy</w:t>
      </w:r>
      <w:r>
        <w:rPr>
          <w:rFonts w:ascii="Arial" w:hAnsi="Arial" w:cs="Arial"/>
        </w:rPr>
        <w:t xml:space="preserve"> zvýšiť jeho kvalitu a relevanciu pre trh prácu. Zároveň sa očakáva zlepšenie prístupu k celoživotnému vzdelávaniu. </w:t>
      </w:r>
    </w:p>
    <w:p>
      <w:pPr>
        <w:jc w:val="both"/>
        <w:rPr>
          <w:rFonts w:ascii="Arial" w:hAnsi="Arial" w:cs="Arial"/>
        </w:rPr>
      </w:pPr>
      <w:r>
        <w:rPr>
          <w:rFonts w:ascii="Arial" w:hAnsi="Arial" w:cs="Arial"/>
        </w:rPr>
        <w:lastRenderedPageBreak/>
        <w:t xml:space="preserve">Na </w:t>
      </w:r>
      <w:r>
        <w:rPr>
          <w:rFonts w:ascii="Arial" w:hAnsi="Arial" w:cs="Arial"/>
          <w:b/>
        </w:rPr>
        <w:t>TC4</w:t>
      </w:r>
      <w:r>
        <w:rPr>
          <w:rFonts w:ascii="Arial" w:hAnsi="Arial" w:cs="Arial"/>
        </w:rPr>
        <w:t xml:space="preserve"> - Podpora prechodu na nízkouhlíkové hospodárstvo vo všetkých sektoroch, bolo vyčlenených </w:t>
      </w:r>
      <w:r>
        <w:rPr>
          <w:rFonts w:ascii="Arial" w:hAnsi="Arial" w:cs="Arial"/>
          <w:b/>
        </w:rPr>
        <w:t>6,14 %</w:t>
      </w:r>
      <w:r>
        <w:rPr>
          <w:rFonts w:ascii="Arial" w:hAnsi="Arial" w:cs="Arial"/>
        </w:rPr>
        <w:t xml:space="preserve"> prostriedkov z celkovej finančnej alokácie. Uvedená výška finančných prostriedkov bola určená na zvýšenie </w:t>
      </w:r>
      <w:r>
        <w:rPr>
          <w:rFonts w:ascii="Arial" w:hAnsi="Arial" w:cs="Arial"/>
          <w:b/>
        </w:rPr>
        <w:t>energetickej efektívnosti</w:t>
      </w:r>
      <w:r>
        <w:rPr>
          <w:rFonts w:ascii="Arial" w:hAnsi="Arial" w:cs="Arial"/>
        </w:rPr>
        <w:t xml:space="preserve"> budov na bývanie, pričom konkrétne opatrenia sú v súlade so smernicou o energetickej efektívnosti a o energetickej hospodárnosti budov.</w:t>
      </w:r>
    </w:p>
    <w:p>
      <w:pPr>
        <w:jc w:val="both"/>
        <w:rPr>
          <w:rFonts w:ascii="Arial" w:hAnsi="Arial" w:cs="Arial"/>
        </w:rPr>
      </w:pPr>
      <w:r>
        <w:rPr>
          <w:rFonts w:ascii="Arial" w:hAnsi="Arial" w:cs="Arial"/>
        </w:rPr>
        <w:t xml:space="preserve">Na </w:t>
      </w:r>
      <w:r>
        <w:rPr>
          <w:rFonts w:ascii="Arial" w:hAnsi="Arial" w:cs="Arial"/>
          <w:b/>
        </w:rPr>
        <w:t>TC6</w:t>
      </w:r>
      <w:r>
        <w:rPr>
          <w:rFonts w:ascii="Arial" w:hAnsi="Arial" w:cs="Arial"/>
        </w:rPr>
        <w:t xml:space="preserve"> – Zachovanie a ochrana životného prostredia a podpora efektívneho využívania zdrojov bola vyčlenená alokácia predstavujúca </w:t>
      </w:r>
      <w:r>
        <w:rPr>
          <w:rFonts w:ascii="Arial" w:hAnsi="Arial" w:cs="Arial"/>
          <w:b/>
        </w:rPr>
        <w:t>4,87 %</w:t>
      </w:r>
      <w:r>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w:t>
      </w:r>
    </w:p>
    <w:p>
      <w:pPr>
        <w:rPr>
          <w:rFonts w:ascii="Arial" w:hAnsi="Arial" w:cs="Arial"/>
        </w:rPr>
      </w:pPr>
    </w:p>
    <w:p>
      <w:pPr>
        <w:rPr>
          <w:rStyle w:val="Siln"/>
          <w:rFonts w:ascii="Arial" w:hAnsi="Arial" w:cs="Arial"/>
        </w:rPr>
        <w:sectPr>
          <w:pgSz w:w="11906" w:h="16838"/>
          <w:pgMar w:top="1418" w:right="1418" w:bottom="1418" w:left="1418" w:header="709" w:footer="709" w:gutter="0"/>
          <w:cols w:space="708"/>
          <w:docGrid w:linePitch="360"/>
        </w:sectPr>
      </w:pPr>
    </w:p>
    <w:p>
      <w:pPr>
        <w:rPr>
          <w:rStyle w:val="Zvraznenie"/>
          <w:rFonts w:ascii="Arial" w:hAnsi="Arial" w:cs="Arial"/>
        </w:rPr>
      </w:pPr>
      <w:r>
        <w:rPr>
          <w:rStyle w:val="Siln"/>
          <w:rFonts w:ascii="Arial" w:hAnsi="Arial" w:cs="Arial"/>
        </w:rPr>
        <w:lastRenderedPageBreak/>
        <w:t>Tabuľka č. 9</w:t>
      </w:r>
      <w:r>
        <w:rPr>
          <w:rFonts w:ascii="Arial" w:hAnsi="Arial" w:cs="Arial"/>
        </w:rPr>
        <w:t xml:space="preserve"> </w:t>
      </w:r>
      <w:r>
        <w:rPr>
          <w:rStyle w:val="Zvraznenie"/>
          <w:rFonts w:ascii="Arial" w:hAnsi="Arial" w:cs="Arial"/>
        </w:rPr>
        <w:t>Prehľad investičnej stratégie IROP</w:t>
      </w:r>
    </w:p>
    <w:p>
      <w:pPr>
        <w:rPr>
          <w:rStyle w:val="Zvraznenie"/>
          <w:rFonts w:ascii="Arial" w:hAnsi="Arial" w:cs="Arial"/>
        </w:rPr>
      </w:pP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rPr>
            </w:pPr>
            <w:r>
              <w:rPr>
                <w:rFonts w:ascii="Arial" w:hAnsi="Arial" w:cs="Arial"/>
                <w:bCs w:val="0"/>
                <w:sz w:val="16"/>
                <w:szCs w:val="16"/>
              </w:rPr>
              <w:t>Prioritná os</w:t>
            </w:r>
          </w:p>
        </w:tc>
        <w:tc>
          <w:tcPr>
            <w:tcW w:w="709"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421 000 000,00</w:t>
            </w: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23,20</w:t>
            </w:r>
          </w:p>
        </w:tc>
        <w:tc>
          <w:tcPr>
            <w:tcW w:w="1843"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268" w:type="dxa"/>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Zabezpečenie udržateľnej formy mobility prostredníctvom zvyšovania atraktivity a konkurencieschopnosti verejnej osobnej dopravy</w:t>
            </w:r>
          </w:p>
        </w:tc>
        <w:tc>
          <w:tcPr>
            <w:tcW w:w="2268" w:type="dxa"/>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osôb prepravených verejnou osobnou dopravou na celkovom počte prepravených osôb</w:t>
            </w:r>
          </w:p>
        </w:tc>
      </w:tr>
      <w:tr>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cyklistickej dopravy na celkovej deľbe dopravnej práce</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757 913 197,00</w:t>
            </w:r>
          </w:p>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41,77</w:t>
            </w:r>
          </w:p>
        </w:tc>
        <w:tc>
          <w:tcPr>
            <w:tcW w:w="1843" w:type="dxa"/>
            <w:vMerge w:val="restart"/>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 xml:space="preserve">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w:t>
            </w:r>
            <w:r>
              <w:rPr>
                <w:rFonts w:ascii="Arial" w:hAnsi="Arial" w:cs="Arial"/>
                <w:sz w:val="16"/>
                <w:szCs w:val="16"/>
              </w:rPr>
              <w:lastRenderedPageBreak/>
              <w:t>komunitné</w:t>
            </w:r>
          </w:p>
        </w:tc>
        <w:tc>
          <w:tcPr>
            <w:tcW w:w="2268" w:type="dxa"/>
            <w:vMerge w:val="restart"/>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lastRenderedPageBreak/>
              <w:t>2.1.1 Podporiť prechod poskytovania sociálnych služieb a zabezpečenia výkonu opatrení sociálnoprávnej ochrany detí a sociálnej kurately v zariadení z inštitucionálnej formy na komunitnú (poskytovanú na komunitnej úrovni)</w:t>
            </w: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Podiel detí v detských domovoch, ktorým je </w:t>
            </w:r>
            <w:r>
              <w:rPr>
                <w:rFonts w:ascii="Arial" w:hAnsi="Arial" w:cs="Arial"/>
                <w:sz w:val="16"/>
                <w:szCs w:val="16"/>
              </w:rPr>
              <w:lastRenderedPageBreak/>
              <w:t>poskytovaná starostlivosť v rámci komunity na celkovom počte detí v detských domovoch</w:t>
            </w:r>
          </w:p>
        </w:tc>
      </w:tr>
      <w:tr>
        <w:trPr>
          <w:cnfStyle w:val="000000010000" w:firstRow="0" w:lastRow="0" w:firstColumn="0" w:lastColumn="0" w:oddVBand="0" w:evenVBand="0" w:oddHBand="0" w:evenHBand="1"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spacing w:after="0"/>
              <w:rPr>
                <w:rFonts w:ascii="Arial" w:hAnsi="Arial" w:cs="Arial"/>
                <w:iCs/>
                <w:sz w:val="16"/>
                <w:szCs w:val="16"/>
              </w:rPr>
            </w:pPr>
          </w:p>
        </w:tc>
        <w:tc>
          <w:tcPr>
            <w:tcW w:w="709"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2.1.2 Modernizovať zdravotnícku infraštruktúru za účelom integrácie zdravotnej starostlivosti a zlepšenia dostupnosti ku kvalitným zdravotníckym službám.</w:t>
            </w: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produktivity a zlepšenia dostupnosti ku kvalitným zdravotníckym službám</w:t>
            </w:r>
          </w:p>
        </w:tc>
        <w:tc>
          <w:tcPr>
            <w:tcW w:w="2268"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Obložnosť akútnych lôžok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zaškolenosti detí </w:t>
            </w: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Hrubá zaškolenosť detí v materských školách</w:t>
            </w:r>
          </w:p>
        </w:tc>
      </w:tr>
      <w:tr>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spacing w:after="0"/>
              <w:rPr>
                <w:rFonts w:ascii="Arial" w:hAnsi="Arial" w:cs="Arial"/>
                <w:b w:val="0"/>
                <w:bCs w:val="0"/>
                <w:iCs/>
                <w:sz w:val="16"/>
                <w:szCs w:val="16"/>
              </w:rPr>
            </w:pPr>
          </w:p>
        </w:tc>
        <w:tc>
          <w:tcPr>
            <w:tcW w:w="709"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trPr>
          <w:cnfStyle w:val="000000010000" w:firstRow="0" w:lastRow="0" w:firstColumn="0" w:lastColumn="0" w:oddVBand="0" w:evenVBand="0" w:oddHBand="0" w:evenHBand="1"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na odbornom výcviku </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pri ktorých sú zriadené centrá odborného vzdelávania a prípravy</w:t>
            </w:r>
          </w:p>
        </w:tc>
      </w:tr>
      <w:tr>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iCs/>
                <w:sz w:val="16"/>
                <w:szCs w:val="16"/>
              </w:rPr>
            </w:pPr>
          </w:p>
        </w:tc>
        <w:tc>
          <w:tcPr>
            <w:tcW w:w="70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alebo v školských hospodárstvach</w:t>
            </w:r>
          </w:p>
        </w:tc>
      </w:tr>
      <w:tr>
        <w:trPr>
          <w:cnfStyle w:val="000000010000" w:firstRow="0" w:lastRow="0" w:firstColumn="0" w:lastColumn="0" w:oddVBand="0" w:evenVBand="0" w:oddHBand="0" w:evenHBand="1" w:firstRowFirstColumn="0" w:firstRowLastColumn="0" w:lastRowFirstColumn="0" w:lastRowLastColumn="0"/>
          <w:trHeight w:val="2539"/>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sz w:val="16"/>
                <w:szCs w:val="16"/>
              </w:rPr>
            </w:pPr>
            <w:r>
              <w:rPr>
                <w:rFonts w:ascii="Arial" w:hAnsi="Arial" w:cs="Arial"/>
                <w:sz w:val="16"/>
                <w:szCs w:val="16"/>
              </w:rPr>
              <w:lastRenderedPageBreak/>
              <w:t>3.Mobilizácia kreatívneho potenciálu v regiónoch</w:t>
            </w:r>
          </w:p>
        </w:tc>
        <w:tc>
          <w:tcPr>
            <w:tcW w:w="70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275 860 548,00</w:t>
            </w:r>
          </w:p>
        </w:tc>
        <w:tc>
          <w:tcPr>
            <w:tcW w:w="1276"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highlight w:val="yellow"/>
              </w:rPr>
            </w:pPr>
            <w:r>
              <w:rPr>
                <w:rFonts w:ascii="Arial" w:hAnsi="Arial" w:cs="Arial"/>
                <w:iCs/>
                <w:sz w:val="16"/>
                <w:szCs w:val="16"/>
              </w:rPr>
              <w:t>15,20</w:t>
            </w:r>
          </w:p>
        </w:tc>
        <w:tc>
          <w:tcPr>
            <w:tcW w:w="1843"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3.1 Stimulovanie podpory udržateľnej zamestnanosti v kultúrnom a kreatívnom sektore prostredníctvom vytvorenia priaznivého prostredia  vo forme tvrdej a mäkkej infraštruktúry pre rozvoj kreativity a netechnologických inovácií</w:t>
            </w: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pracovných miest</w:t>
            </w:r>
          </w:p>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4. Zlepšenie kvality života v regiónoch s dôrazom na životné prostredie</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199 716 670,00</w:t>
            </w: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11,01</w:t>
            </w:r>
          </w:p>
        </w:tc>
        <w:tc>
          <w:tcPr>
            <w:tcW w:w="1843"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4. Podpora prechodu na nízkouhlíkové hospodárstvo vo všetkých sektoroch</w:t>
            </w:r>
          </w:p>
        </w:tc>
        <w:tc>
          <w:tcPr>
            <w:tcW w:w="2410"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budov na bývanie</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budov na bývanie</w:t>
            </w:r>
          </w:p>
        </w:tc>
      </w:tr>
      <w:tr>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6. Zachovanie a ochrana životného prostredia a podpora efektívneho  využívania zdrojov</w:t>
            </w:r>
          </w:p>
        </w:tc>
        <w:tc>
          <w:tcPr>
            <w:tcW w:w="2410"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4.2.1 Zvýšenie dostupnosti zdrojov podzemných vôd pre zásobovanie obyvateľstva pitnou vodou</w:t>
            </w: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Bilancia podzemných zdrojov pitnej vody</w:t>
            </w:r>
          </w:p>
        </w:tc>
      </w:tr>
      <w:tr>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4.2.2 Zabezpečenie bezproblémového zásobovania obyvateľstva kvalitnou pitnou vodou a efektívna likvidácia odpadových vôd bez negatívnych dopadov na životné prostredie</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Počet obcí so zlepšeným odvádzaním a čistením komunálnych odpadových vôd </w:t>
            </w:r>
          </w:p>
        </w:tc>
      </w:tr>
      <w:tr>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(e) Prijímania opatrení na zlepšenie mestského prostredia, revitalizácie miest, oživenia a dekontaminácie opustených priemyselných </w:t>
            </w:r>
            <w:r>
              <w:rPr>
                <w:rFonts w:ascii="Arial" w:hAnsi="Arial" w:cs="Arial"/>
                <w:sz w:val="16"/>
                <w:szCs w:val="16"/>
              </w:rPr>
              <w:lastRenderedPageBreak/>
              <w:t>lokalít (vrátane oblastí, ktoré prechádzajú zmenou), zníženia znečistenia ovzdušia a podpory opatrení na zníženie hluku</w:t>
            </w:r>
          </w:p>
        </w:tc>
        <w:tc>
          <w:tcPr>
            <w:tcW w:w="2268"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lastRenderedPageBreak/>
              <w:t xml:space="preserve">4.3.1 Zlepšenie environmentálnych aspektov v mestách a mestských oblastiach prostredníctvom budovania prvkov zelenej </w:t>
            </w:r>
            <w:r>
              <w:rPr>
                <w:rFonts w:ascii="Arial" w:hAnsi="Arial" w:cs="Arial"/>
                <w:iCs/>
                <w:sz w:val="16"/>
                <w:szCs w:val="16"/>
              </w:rPr>
              <w:lastRenderedPageBreak/>
              <w:t>infraštruktúry a adaptácia urbanizovaného prostredia na zmeny klímy ako aj zavádzaním systémových prvkov znižovania znečistenia ovzdušia a hluku.</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lastRenderedPageBreak/>
              <w:t>Podiel zelenej infraštruktúry na celkovej rozlohe miest</w:t>
            </w:r>
          </w:p>
        </w:tc>
      </w:tr>
      <w:tr>
        <w:trPr>
          <w:cnfStyle w:val="000000010000" w:firstRow="0" w:lastRow="0" w:firstColumn="0" w:lastColumn="0" w:oddVBand="0" w:evenVBand="0" w:oddHBand="0" w:evenHBand="1"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bCs/>
                <w:sz w:val="16"/>
                <w:szCs w:val="20"/>
              </w:rPr>
              <w:t>Emisie znečisťujúcej látky PM</w:t>
            </w:r>
            <w:r>
              <w:rPr>
                <w:rFonts w:ascii="Arial" w:hAnsi="Arial" w:cs="Arial"/>
                <w:bCs/>
                <w:sz w:val="16"/>
                <w:szCs w:val="20"/>
                <w:vertAlign w:val="subscript"/>
              </w:rPr>
              <w:t>10</w:t>
            </w:r>
            <w:r>
              <w:rPr>
                <w:rFonts w:ascii="Arial" w:hAnsi="Arial" w:cs="Arial"/>
                <w:bCs/>
                <w:sz w:val="16"/>
                <w:szCs w:val="20"/>
              </w:rPr>
              <w:t xml:space="preserve"> a PM</w:t>
            </w:r>
            <w:r>
              <w:rPr>
                <w:rFonts w:ascii="Arial" w:hAnsi="Arial" w:cs="Arial"/>
                <w:bCs/>
                <w:sz w:val="16"/>
                <w:szCs w:val="20"/>
                <w:vertAlign w:val="subscript"/>
              </w:rPr>
              <w:t xml:space="preserve">2.5 </w:t>
            </w:r>
            <w:r>
              <w:rPr>
                <w:rFonts w:ascii="Arial" w:hAnsi="Arial" w:cs="Arial"/>
                <w:bCs/>
                <w:sz w:val="16"/>
                <w:szCs w:val="20"/>
              </w:rPr>
              <w:t>vyjadrené znížení dní s prekročeným imisným limitom 50 ug/m3 pod limit EÚ – 35 dní v roku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4.3.2 Regenerácia a využitie nevyužívaných objektov a areálov (brownfields) a vnútroblokov sídlisk s cieľom zlepšenia kvality života obyvateľov v obciach, mestách a mestských oblastiach.   </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poskytovaných služieb pre verejnosť</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100 000 000,00</w:t>
            </w:r>
          </w:p>
        </w:tc>
        <w:tc>
          <w:tcPr>
            <w:tcW w:w="1276"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5,51</w:t>
            </w:r>
          </w:p>
        </w:tc>
        <w:tc>
          <w:tcPr>
            <w:tcW w:w="1843"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5.1.1 Zvýšenie budovania kapacít pre miestny rozvoj vedený komunitou</w:t>
            </w: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Populácia pokrytá MAS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5.1.2 Zvýšenie tvorby pracovných miest rozvojom podnikania a inovácií na miestnej úrovni</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vytvorených pracovných miest</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5.1.3 Zlepšenie udržateľných vzťahov medzi vidieckymi rozvojovými centrami a ich zázemím vo verejných službách a vo verejných infraštruktúrach</w:t>
            </w: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Vidiecka a mestská populácia so zlepšenou infraštruktúrou a prístupom k verejným službám</w:t>
            </w:r>
          </w:p>
        </w:tc>
      </w:tr>
      <w:tr>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sz w:val="16"/>
                <w:szCs w:val="16"/>
              </w:rPr>
            </w:pPr>
            <w:r>
              <w:rPr>
                <w:rFonts w:ascii="Arial" w:hAnsi="Arial" w:cs="Arial"/>
                <w:sz w:val="16"/>
                <w:szCs w:val="16"/>
              </w:rPr>
              <w:t>6. Technická pomoc</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60 000 000,00</w:t>
            </w: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3,31</w:t>
            </w:r>
          </w:p>
        </w:tc>
        <w:tc>
          <w:tcPr>
            <w:tcW w:w="1843"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6.1 Zabezpečenie efektívneho riadenia a implementácie IROP</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fluktuácie administratívnych kapacít</w:t>
            </w:r>
            <w:r>
              <w:rPr>
                <w:rFonts w:ascii="Arial" w:hAnsi="Arial" w:cs="Arial"/>
                <w:iCs/>
                <w:sz w:val="16"/>
                <w:szCs w:val="16"/>
              </w:rPr>
              <w:t xml:space="preserve"> </w:t>
            </w:r>
          </w:p>
        </w:tc>
      </w:tr>
      <w:tr>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Vybavenosť administratívnych kapacít modernými materiálno–technickými, priestorovými a prevádzkovými podmienkami</w:t>
            </w:r>
          </w:p>
        </w:tc>
      </w:tr>
      <w:tr>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Výška absorbovaných oprávnených výdavkov z celkovej alokácie IROP</w:t>
            </w:r>
          </w:p>
        </w:tc>
      </w:tr>
      <w:tr>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sz w:val="16"/>
                <w:szCs w:val="16"/>
              </w:rPr>
            </w:pPr>
            <w:r>
              <w:rPr>
                <w:rFonts w:ascii="Arial" w:hAnsi="Arial" w:cs="Arial"/>
                <w:sz w:val="16"/>
                <w:szCs w:val="16"/>
              </w:rPr>
              <w:t>Spolu</w:t>
            </w:r>
          </w:p>
        </w:tc>
        <w:tc>
          <w:tcPr>
            <w:tcW w:w="70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1 814 490 415,00</w:t>
            </w:r>
          </w:p>
        </w:tc>
        <w:tc>
          <w:tcPr>
            <w:tcW w:w="127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100,00</w:t>
            </w:r>
          </w:p>
        </w:tc>
        <w:tc>
          <w:tcPr>
            <w:tcW w:w="1843"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p>
      <w:pPr>
        <w:rPr>
          <w:rFonts w:ascii="Arial" w:hAnsi="Arial" w:cs="Arial"/>
        </w:rPr>
        <w:sectPr>
          <w:pgSz w:w="16838" w:h="11906" w:orient="landscape"/>
          <w:pgMar w:top="1417" w:right="1417" w:bottom="1417" w:left="1417" w:header="708" w:footer="708" w:gutter="0"/>
          <w:cols w:space="708"/>
          <w:docGrid w:linePitch="360"/>
        </w:sectPr>
      </w:pPr>
    </w:p>
    <w:p>
      <w:pPr>
        <w:pStyle w:val="Nadpis1"/>
        <w:rPr>
          <w:rFonts w:ascii="Arial" w:hAnsi="Arial" w:cs="Arial"/>
        </w:rPr>
      </w:pPr>
      <w:bookmarkStart w:id="5" w:name="_Toc387153891"/>
      <w:r>
        <w:rPr>
          <w:rFonts w:ascii="Arial" w:hAnsi="Arial" w:cs="Arial"/>
        </w:rPr>
        <w:lastRenderedPageBreak/>
        <w:t>Prioritné osi Integrovaného regionálneho operačného programu</w:t>
      </w:r>
      <w:bookmarkEnd w:id="5"/>
    </w:p>
    <w:p>
      <w:pPr>
        <w:pStyle w:val="Nadpis2"/>
        <w:rPr>
          <w:rFonts w:ascii="Arial" w:hAnsi="Arial" w:cs="Arial"/>
        </w:rPr>
      </w:pPr>
      <w:bookmarkStart w:id="6" w:name="_Toc387153892"/>
      <w:r>
        <w:rPr>
          <w:rFonts w:ascii="Arial" w:hAnsi="Arial" w:cs="Arial"/>
        </w:rPr>
        <w:t>2.A Opis prioritných osí Integrovaného regionálneho operačného programu</w:t>
      </w:r>
      <w:bookmarkEnd w:id="6"/>
    </w:p>
    <w:p>
      <w:pPr>
        <w:pStyle w:val="Nadpis3"/>
        <w:shd w:val="clear" w:color="auto" w:fill="21306A"/>
        <w:rPr>
          <w:rFonts w:ascii="Arial" w:hAnsi="Arial" w:cs="Arial"/>
          <w:color w:val="FFFFFF"/>
          <w:sz w:val="28"/>
          <w:szCs w:val="28"/>
        </w:rPr>
      </w:pPr>
      <w:bookmarkStart w:id="7" w:name="_Toc387153893"/>
      <w:r>
        <w:rPr>
          <w:rFonts w:ascii="Arial" w:hAnsi="Arial" w:cs="Arial"/>
          <w:color w:val="FFFFFF"/>
          <w:sz w:val="28"/>
          <w:szCs w:val="28"/>
        </w:rPr>
        <w:t>2.1 Prioritná os č. 1: Bezpečná a ekologická doprava v regiónoch</w:t>
      </w:r>
      <w:bookmarkEnd w:id="7"/>
    </w:p>
    <w:p>
      <w:pPr>
        <w:rPr>
          <w:rFonts w:ascii="Arial" w:hAnsi="Arial" w:cs="Arial"/>
          <w:i/>
          <w:color w:val="4EACF3"/>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ID prioritnej osi</w:t>
            </w:r>
          </w:p>
        </w:tc>
        <w:tc>
          <w:tcPr>
            <w:tcW w:w="4606"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rPr>
          <w:rFonts w:ascii="Arial" w:hAnsi="Arial" w:cs="Arial"/>
          <w:b/>
        </w:rPr>
      </w:pPr>
    </w:p>
    <w:p>
      <w:pPr>
        <w:rPr>
          <w:rFonts w:ascii="Arial" w:hAnsi="Arial" w:cs="Arial"/>
          <w:b/>
          <w:i/>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470 588 239</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42 000 000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rPr>
          <w:rFonts w:ascii="Arial" w:hAnsi="Arial" w:cs="Arial"/>
          <w:color w:val="4EACF3"/>
        </w:rPr>
      </w:pPr>
    </w:p>
    <w:p>
      <w:pPr>
        <w:rPr>
          <w:rFonts w:ascii="Arial" w:hAnsi="Arial" w:cs="Arial"/>
          <w:color w:val="4EACF3"/>
        </w:rPr>
      </w:pPr>
    </w:p>
    <w:p>
      <w:pPr>
        <w:rPr>
          <w:rFonts w:ascii="Arial" w:hAnsi="Arial" w:cs="Arial"/>
          <w:color w:val="4EACF3"/>
        </w:rPr>
      </w:pPr>
    </w:p>
    <w:p>
      <w:pPr>
        <w:rPr>
          <w:rFonts w:ascii="Arial" w:hAnsi="Arial" w:cs="Arial"/>
          <w:color w:val="4EACF3"/>
        </w:rPr>
      </w:pPr>
    </w:p>
    <w:p>
      <w:pPr>
        <w:rPr>
          <w:rFonts w:ascii="Arial" w:hAnsi="Arial" w:cs="Arial"/>
          <w:color w:val="4EACF3"/>
        </w:rPr>
      </w:pPr>
    </w:p>
    <w:p>
      <w:pPr>
        <w:rPr>
          <w:rFonts w:ascii="Arial" w:hAnsi="Arial" w:cs="Arial"/>
          <w:color w:val="4EACF3"/>
        </w:rPr>
      </w:pPr>
    </w:p>
    <w:p>
      <w:pPr>
        <w:rPr>
          <w:rFonts w:ascii="Arial" w:hAnsi="Arial" w:cs="Arial"/>
          <w:color w:val="4EACF3"/>
        </w:rPr>
      </w:pPr>
    </w:p>
    <w:p>
      <w:pPr>
        <w:pStyle w:val="Nadpis4"/>
        <w:shd w:val="clear" w:color="auto" w:fill="21306A"/>
        <w:jc w:val="both"/>
        <w:rPr>
          <w:rFonts w:ascii="Arial" w:hAnsi="Arial" w:cs="Arial"/>
          <w:color w:val="FFFFFF"/>
        </w:rPr>
      </w:pPr>
      <w:bookmarkStart w:id="8" w:name="_Toc387153894"/>
      <w:r>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8"/>
    </w:p>
    <w:p>
      <w:pPr>
        <w:rPr>
          <w:rFonts w:ascii="Arial" w:hAnsi="Arial" w:cs="Arial"/>
          <w:b/>
        </w:rPr>
      </w:pPr>
    </w:p>
    <w:p>
      <w:pPr>
        <w:rPr>
          <w:rFonts w:ascii="Arial" w:hAnsi="Arial" w:cs="Arial"/>
          <w:color w:val="4EACF3"/>
        </w:rPr>
      </w:pPr>
      <w:r>
        <w:rPr>
          <w:rFonts w:ascii="Arial" w:hAnsi="Arial" w:cs="Arial"/>
          <w:b/>
        </w:rPr>
        <w:t>Špecifický cieľ 1.1:</w:t>
      </w:r>
      <w:r>
        <w:rPr>
          <w:rFonts w:ascii="Arial" w:hAnsi="Arial" w:cs="Arial"/>
        </w:rPr>
        <w:t xml:space="preserve"> </w:t>
      </w:r>
    </w:p>
    <w:p>
      <w:pPr>
        <w:shd w:val="clear" w:color="auto" w:fill="D9D9D9"/>
        <w:jc w:val="both"/>
        <w:rPr>
          <w:rStyle w:val="Zvraznenie"/>
          <w:rFonts w:ascii="Arial" w:hAnsi="Arial" w:cs="Arial"/>
        </w:rPr>
      </w:pPr>
      <w:r>
        <w:rPr>
          <w:rStyle w:val="Zvraznenie"/>
          <w:rFonts w:ascii="Arial" w:hAnsi="Arial" w:cs="Arial"/>
        </w:rPr>
        <w:t>Zlepšenie dostupnosti k cestnej infraštruktúre TEN-T a cestám I. triedy.</w:t>
      </w:r>
    </w:p>
    <w:p>
      <w:pPr>
        <w:jc w:val="both"/>
        <w:rPr>
          <w:rFonts w:ascii="Arial" w:hAnsi="Arial" w:cs="Arial"/>
        </w:rPr>
      </w:pPr>
      <w:r>
        <w:rPr>
          <w:rFonts w:ascii="Arial" w:hAnsi="Arial" w:cs="Arial"/>
        </w:rPr>
        <w:t xml:space="preserve">Zámerom opatrení v rámci tohto špecifického cieľa je napojiť znevýhodnené mestské a vidiecke územia prostredníctvom rekonštrukcie, modernizácie a výstavby nových regionálnych ciest a odstraňovaním bodových závad </w:t>
      </w:r>
      <w:r>
        <w:rPr>
          <w:rFonts w:ascii="Arial" w:hAnsi="Arial" w:cs="Arial"/>
          <w:b/>
        </w:rPr>
        <w:t>v súlade s vypracovaným Strategickým plánom rozvoja a údržby ciest na úrovni regiónov (Regionálny Master plán)</w:t>
      </w:r>
      <w:r>
        <w:rPr>
          <w:rFonts w:ascii="Arial" w:hAnsi="Arial" w:cs="Arial"/>
        </w:rPr>
        <w:t xml:space="preserve"> s dôrazom na posilnenie ich konkurencieschopnosti a adaptability, prispieť k udržateľnému rozvoju a eliminovať vplyv dopravy na životné prostredie a kvalitu života obyvateľov.</w:t>
      </w:r>
    </w:p>
    <w:p>
      <w:pPr>
        <w:jc w:val="both"/>
        <w:rPr>
          <w:rFonts w:ascii="Arial" w:hAnsi="Arial" w:cs="Arial"/>
        </w:rPr>
      </w:pPr>
      <w:r>
        <w:rPr>
          <w:rFonts w:ascii="Arial" w:hAnsi="Arial" w:cs="Arial"/>
        </w:rPr>
        <w:t>Predovšetkým pre väčšinu vidieckych oblastí a niektoré mestské oblasti sú cesty II. a III. triedy sú hlavnými komunikačnými spojnicami, ktoré vytvárajú predpoklady, aby obyvatelia týchto oblastí mohli byť začlenení do širších rozvojových procesov. Investovanie do regionálnych ciest umožňuje menej rozvíjajúcim a zaostávajúcim oblastiam znižovať vnútroregionálne rozdiely v prístupe k základným službám (vzdelanie, zdravotná a sociálna starostlivosť, kultúra, a pod.), v prístupe na trh práce ako aj v prístupe k základným tovarom. Kvalitnejšie cesty II. a III. triedy predstavujú základnú podmienku pre zlepšenie každodennej (</w:t>
      </w:r>
      <w:r>
        <w:rPr>
          <w:rFonts w:ascii="Arial" w:hAnsi="Arial" w:cs="Arial"/>
          <w:i/>
        </w:rPr>
        <w:t>circular</w:t>
      </w:r>
      <w:r>
        <w:rPr>
          <w:rFonts w:ascii="Arial" w:hAnsi="Arial" w:cs="Arial"/>
        </w:rPr>
        <w:t xml:space="preserve">) mobility osôb vidieckych území spojenej aj s rastúcou diverzifikáciou hospodárstiev smerom k nepoľnohospodárskym činnostiam znamenajúcim zároveň rast zamestnanosti. Dostatočne vybudovaná a kvalitná cestná infraštruktúra priamo vplýva na rozvoj cestovného ruchu v regiónoch. </w:t>
      </w:r>
    </w:p>
    <w:p>
      <w:pPr>
        <w:jc w:val="both"/>
        <w:rPr>
          <w:rFonts w:ascii="Arial" w:hAnsi="Arial" w:cs="Arial"/>
        </w:rPr>
      </w:pPr>
      <w:r>
        <w:rPr>
          <w:rFonts w:ascii="Arial" w:hAnsi="Arial" w:cs="Arial"/>
          <w:b/>
        </w:rPr>
        <w:t>Výsledky podpory IROP:</w:t>
      </w:r>
    </w:p>
    <w:p>
      <w:pPr>
        <w:pStyle w:val="Odsekzoznamu"/>
        <w:numPr>
          <w:ilvl w:val="0"/>
          <w:numId w:val="48"/>
        </w:numPr>
        <w:jc w:val="both"/>
        <w:rPr>
          <w:rFonts w:ascii="Arial" w:hAnsi="Arial" w:cs="Arial"/>
        </w:rPr>
      </w:pPr>
      <w:r>
        <w:rPr>
          <w:rFonts w:ascii="Arial" w:hAnsi="Arial" w:cs="Arial"/>
        </w:rPr>
        <w:t>zlepšenie napojenia regiónov na nadradenú cestnú infraštruktúru a infraštruktúru TEN-T, čím sa napomôže vyváženejšiemu územnému rozvoju;</w:t>
      </w:r>
    </w:p>
    <w:p>
      <w:pPr>
        <w:pStyle w:val="Odsekzoznamu"/>
        <w:numPr>
          <w:ilvl w:val="0"/>
          <w:numId w:val="48"/>
        </w:numPr>
        <w:jc w:val="both"/>
        <w:rPr>
          <w:rFonts w:ascii="Arial" w:hAnsi="Arial" w:cs="Arial"/>
        </w:rPr>
      </w:pPr>
      <w:r>
        <w:rPr>
          <w:rFonts w:ascii="Arial" w:hAnsi="Arial" w:cs="Arial"/>
        </w:rPr>
        <w:t>zlepšenie kvality cestnej infraštruktúry vytvorí podmienky pre hospodársky rast a zároveň nebude svojimi vlastnosťami limitovať vnútorný potenciál kraja;</w:t>
      </w:r>
    </w:p>
    <w:p>
      <w:pPr>
        <w:pStyle w:val="Odsekzoznamu"/>
        <w:numPr>
          <w:ilvl w:val="0"/>
          <w:numId w:val="48"/>
        </w:numPr>
        <w:jc w:val="both"/>
        <w:rPr>
          <w:rFonts w:ascii="Arial" w:hAnsi="Arial" w:cs="Arial"/>
        </w:rPr>
      </w:pPr>
      <w:r>
        <w:rPr>
          <w:rFonts w:ascii="Arial" w:hAnsi="Arial" w:cs="Arial"/>
        </w:rPr>
        <w:t>zlepšenie stavebno-technického stavu cestnej siete s dopadom na zlepšenie bezpečnosti, plynulosti cestnej premávky, zníženie nehodovosti, zníženie energetickej náročnosti dopravy a zníženia negatívnych dopadov na životné prostredie;</w:t>
      </w:r>
    </w:p>
    <w:p>
      <w:pPr>
        <w:pStyle w:val="Odsekzoznamu"/>
        <w:numPr>
          <w:ilvl w:val="0"/>
          <w:numId w:val="48"/>
        </w:numPr>
        <w:jc w:val="both"/>
        <w:rPr>
          <w:rFonts w:ascii="Arial" w:hAnsi="Arial" w:cs="Arial"/>
        </w:rPr>
      </w:pPr>
      <w:r>
        <w:rPr>
          <w:rFonts w:ascii="Arial" w:hAnsi="Arial" w:cs="Arial"/>
        </w:rPr>
        <w:t>zmiernenie negatívnych dopadov cestnej premávky (predovšetkým tranzitnej a nákladnej dopravy) na obyvateľstvo miest a obcí a zvýšenie kvality ich života prostredníctvom budovania nových úsekov ciest.</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Style w:val="Zvraznenie"/>
          <w:rFonts w:ascii="Arial" w:hAnsi="Arial" w:cs="Arial"/>
        </w:rPr>
      </w:pPr>
      <w:r>
        <w:rPr>
          <w:rStyle w:val="Siln"/>
          <w:rFonts w:ascii="Arial" w:hAnsi="Arial" w:cs="Arial"/>
        </w:rPr>
        <w:lastRenderedPageBreak/>
        <w:t>Tabuľka č. 10</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tc>
          <w:tcPr>
            <w:tcW w:w="39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eastAsia="Times New Roman" w:hAnsi="Arial" w:cs="Arial"/>
                <w:bCs/>
                <w:sz w:val="16"/>
                <w:szCs w:val="16"/>
              </w:rPr>
            </w:pP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Ročne </w:t>
            </w:r>
          </w:p>
        </w:tc>
      </w:tr>
      <w:tr>
        <w:tc>
          <w:tcPr>
            <w:tcW w:w="3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eastAsia="Times New Roman" w:hAnsi="Arial" w:cs="Arial"/>
                <w:bCs/>
                <w:sz w:val="16"/>
                <w:szCs w:val="16"/>
              </w:rPr>
            </w:pP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jc w:val="both"/>
        <w:rPr>
          <w:rFonts w:ascii="Arial" w:hAnsi="Arial" w:cs="Arial"/>
        </w:rPr>
      </w:pPr>
      <w:r>
        <w:rPr>
          <w:rFonts w:ascii="Arial" w:hAnsi="Arial" w:cs="Arial"/>
        </w:rPr>
        <w:t xml:space="preserve">* </w:t>
      </w:r>
      <w:r>
        <w:rPr>
          <w:rFonts w:ascii="Arial" w:hAnsi="Arial" w:cs="Arial"/>
          <w:sz w:val="20"/>
        </w:rPr>
        <w:t>hodnota bude doplnená v závislosti od identifikácie projektov vhodných pre realizáciu v nadväznosti na Strategický plán rozvoja a údržby ciest na úrovni regiónov</w:t>
      </w:r>
    </w:p>
    <w:p>
      <w:pPr>
        <w:pStyle w:val="Nadpis5"/>
        <w:shd w:val="clear" w:color="auto" w:fill="B8C1E9"/>
        <w:rPr>
          <w:rFonts w:ascii="Arial" w:hAnsi="Arial" w:cs="Arial"/>
        </w:rPr>
      </w:pPr>
      <w:r>
        <w:rPr>
          <w:rFonts w:ascii="Arial" w:hAnsi="Arial" w:cs="Arial"/>
        </w:rPr>
        <w:t xml:space="preserve"> </w:t>
      </w:r>
      <w:bookmarkStart w:id="9" w:name="_Toc387153895"/>
      <w:r>
        <w:rPr>
          <w:rFonts w:ascii="Arial" w:hAnsi="Arial" w:cs="Arial"/>
        </w:rPr>
        <w:t>Akcia, ktorá sa má podporiť v rámci investičnej priority</w:t>
      </w:r>
      <w:bookmarkEnd w:id="9"/>
    </w:p>
    <w:p>
      <w:pPr>
        <w:pStyle w:val="Nadpis6"/>
        <w:jc w:val="both"/>
        <w:rPr>
          <w:rFonts w:ascii="Arial" w:hAnsi="Arial" w:cs="Arial"/>
        </w:rPr>
      </w:pPr>
      <w:bookmarkStart w:id="10" w:name="_Toc387153896"/>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0"/>
    </w:p>
    <w:p>
      <w:pPr>
        <w:jc w:val="both"/>
        <w:rPr>
          <w:rFonts w:ascii="Arial" w:hAnsi="Arial" w:cs="Arial"/>
        </w:rPr>
      </w:pPr>
    </w:p>
    <w:p>
      <w:pPr>
        <w:jc w:val="both"/>
        <w:rPr>
          <w:rFonts w:ascii="Arial" w:hAnsi="Arial" w:cs="Arial"/>
        </w:rPr>
      </w:pPr>
      <w:r>
        <w:rPr>
          <w:rFonts w:ascii="Arial" w:hAnsi="Arial" w:cs="Arial"/>
          <w:b/>
        </w:rPr>
        <w:t>Špecifický cieľ č. 1.1</w:t>
      </w:r>
      <w:r>
        <w:rPr>
          <w:rFonts w:ascii="Arial" w:hAnsi="Arial" w:cs="Arial"/>
        </w:rPr>
        <w:t xml:space="preserve"> je dosahovaný realizáciou nasledovných aktivít:</w:t>
      </w:r>
    </w:p>
    <w:p>
      <w:pPr>
        <w:numPr>
          <w:ilvl w:val="1"/>
          <w:numId w:val="2"/>
        </w:numPr>
        <w:tabs>
          <w:tab w:val="clear" w:pos="1080"/>
          <w:tab w:val="num" w:pos="709"/>
        </w:tabs>
        <w:ind w:left="709"/>
        <w:jc w:val="both"/>
        <w:rPr>
          <w:rFonts w:ascii="Arial" w:hAnsi="Arial" w:cs="Arial"/>
        </w:rPr>
      </w:pPr>
      <w:r>
        <w:rPr>
          <w:rFonts w:ascii="Arial" w:hAnsi="Arial" w:cs="Arial"/>
          <w:b/>
        </w:rPr>
        <w:t>rekonštrukciou ciest II. a III. triedy</w:t>
      </w:r>
      <w:r>
        <w:rPr>
          <w:rFonts w:ascii="Arial" w:hAnsi="Arial" w:cs="Arial"/>
        </w:rPr>
        <w:t xml:space="preserve"> za účelom zvýšenia úrovne dopravno-technického stavu existujúcich úsekov ciest a zlepšenia dopravného napojenia priemyselných parkov a zón a centier osídlenia na nadradenú dopravnú infraštruktúru, ktorá zahŕňa kompletnú aj komplexnú hĺbkovú rekonštrukciu vozovky,  v úsekoch kde je to možné, nastane úprava šírkových parametrov vozovky; </w:t>
      </w:r>
    </w:p>
    <w:p>
      <w:pPr>
        <w:numPr>
          <w:ilvl w:val="1"/>
          <w:numId w:val="2"/>
        </w:numPr>
        <w:tabs>
          <w:tab w:val="clear" w:pos="1080"/>
          <w:tab w:val="num" w:pos="410"/>
          <w:tab w:val="num" w:pos="709"/>
        </w:tabs>
        <w:ind w:left="709"/>
        <w:jc w:val="both"/>
        <w:rPr>
          <w:rFonts w:ascii="Arial" w:hAnsi="Arial" w:cs="Arial"/>
        </w:rPr>
      </w:pPr>
      <w:r>
        <w:rPr>
          <w:rFonts w:ascii="Arial" w:hAnsi="Arial" w:cs="Arial"/>
          <w:b/>
        </w:rPr>
        <w:t>modernizáciou vybraných cestných úsekov</w:t>
      </w:r>
      <w:r>
        <w:rPr>
          <w:rFonts w:ascii="Arial" w:hAnsi="Arial" w:cs="Arial"/>
        </w:rPr>
        <w:t xml:space="preserve"> s cieľom odstraňovania nehodových lokalít, zvýšenia bezpečnosti na cestách a križovatkách zavádzaním inteligentných riadiacich systémov (merače rýchlosti, signalizácia, mimoúrovňové križovanie, zmeny riešenia, kruhové križovatky, signalizačné zariadenia, ktoré reagujú na rýchlosť vozidiel,  atď.);</w:t>
      </w:r>
    </w:p>
    <w:p>
      <w:pPr>
        <w:numPr>
          <w:ilvl w:val="1"/>
          <w:numId w:val="2"/>
        </w:numPr>
        <w:tabs>
          <w:tab w:val="clear" w:pos="1080"/>
          <w:tab w:val="num" w:pos="709"/>
        </w:tabs>
        <w:ind w:left="709"/>
        <w:jc w:val="both"/>
        <w:rPr>
          <w:rFonts w:ascii="Arial" w:hAnsi="Arial" w:cs="Arial"/>
        </w:rPr>
      </w:pPr>
      <w:r>
        <w:rPr>
          <w:rFonts w:ascii="Arial" w:hAnsi="Arial" w:cs="Arial"/>
          <w:b/>
        </w:rPr>
        <w:t>budovaním nových úsekov ciest II. triedy</w:t>
      </w:r>
      <w:r>
        <w:rPr>
          <w:rFonts w:ascii="Arial" w:hAnsi="Arial" w:cs="Arial"/>
        </w:rPr>
        <w:t xml:space="preserve"> (výnimočne ciest III. triedy)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pPr>
        <w:numPr>
          <w:ilvl w:val="1"/>
          <w:numId w:val="2"/>
        </w:numPr>
        <w:tabs>
          <w:tab w:val="clear" w:pos="1080"/>
          <w:tab w:val="num" w:pos="410"/>
          <w:tab w:val="num" w:pos="709"/>
        </w:tabs>
        <w:ind w:left="709"/>
        <w:jc w:val="both"/>
        <w:rPr>
          <w:rFonts w:ascii="Arial" w:hAnsi="Arial" w:cs="Arial"/>
        </w:rPr>
      </w:pPr>
      <w:r>
        <w:rPr>
          <w:rFonts w:ascii="Arial" w:hAnsi="Arial" w:cs="Arial"/>
          <w:b/>
        </w:rPr>
        <w:t>rekonštrukciou a budovaním dopravných subsystémov</w:t>
      </w:r>
      <w:r>
        <w:rPr>
          <w:rFonts w:ascii="Arial" w:hAnsi="Arial" w:cs="Arial"/>
        </w:rPr>
        <w:t xml:space="preserve"> zabezpečujúcich zvyšovanie úrovne dopravných, bezpečnostných a environmentálnych aspektov (napr. radarové merače rýchlosti, vhodné prvky upokojovania dopravy a pod.);</w:t>
      </w:r>
    </w:p>
    <w:p>
      <w:pPr>
        <w:numPr>
          <w:ilvl w:val="1"/>
          <w:numId w:val="2"/>
        </w:numPr>
        <w:tabs>
          <w:tab w:val="clear" w:pos="1080"/>
          <w:tab w:val="num" w:pos="410"/>
          <w:tab w:val="num" w:pos="709"/>
        </w:tabs>
        <w:ind w:left="709"/>
        <w:jc w:val="both"/>
        <w:rPr>
          <w:rFonts w:ascii="Arial" w:hAnsi="Arial" w:cs="Arial"/>
        </w:rPr>
      </w:pPr>
      <w:r>
        <w:rPr>
          <w:rFonts w:ascii="Arial" w:hAnsi="Arial" w:cs="Arial"/>
          <w:b/>
        </w:rPr>
        <w:t>budovaním prvkov upokojenia dopravy</w:t>
      </w:r>
      <w:r>
        <w:rPr>
          <w:rFonts w:ascii="Arial" w:hAnsi="Arial" w:cs="Arial"/>
        </w:rPr>
        <w:t xml:space="preserve"> v sídlach za účelom vytvárania podmienok a infraštruktúry pre bezpečný pohyb zraniteľných účastníkov premávky, predovšetkým chodcov a cyklistov;</w:t>
      </w:r>
    </w:p>
    <w:p>
      <w:pPr>
        <w:numPr>
          <w:ilvl w:val="1"/>
          <w:numId w:val="2"/>
        </w:numPr>
        <w:tabs>
          <w:tab w:val="clear" w:pos="1080"/>
          <w:tab w:val="num" w:pos="709"/>
        </w:tabs>
        <w:ind w:left="709"/>
        <w:jc w:val="both"/>
        <w:rPr>
          <w:rFonts w:ascii="Arial" w:hAnsi="Arial" w:cs="Arial"/>
        </w:rPr>
      </w:pPr>
      <w:r>
        <w:rPr>
          <w:rFonts w:ascii="Arial" w:hAnsi="Arial" w:cs="Arial"/>
          <w:b/>
        </w:rPr>
        <w:t>prestavbou komunikácií</w:t>
      </w:r>
      <w:r>
        <w:rPr>
          <w:rFonts w:ascii="Arial" w:hAnsi="Arial" w:cs="Arial"/>
        </w:rPr>
        <w:t xml:space="preserve"> v prípade mimoriadne nevhodnej charakteristiky trasovania vozovky, odkanalizovania, nestabilného podložia alebo svahov zárezov/násypov, prípadne vysokej nehodovosti úsekov;</w:t>
      </w:r>
    </w:p>
    <w:p>
      <w:pPr>
        <w:numPr>
          <w:ilvl w:val="1"/>
          <w:numId w:val="2"/>
        </w:numPr>
        <w:tabs>
          <w:tab w:val="clear" w:pos="1080"/>
          <w:tab w:val="num" w:pos="709"/>
        </w:tabs>
        <w:ind w:left="709"/>
        <w:jc w:val="both"/>
        <w:rPr>
          <w:rFonts w:ascii="Arial" w:hAnsi="Arial" w:cs="Arial"/>
        </w:rPr>
      </w:pPr>
      <w:r>
        <w:rPr>
          <w:rFonts w:ascii="Arial" w:hAnsi="Arial" w:cs="Arial"/>
          <w:b/>
        </w:rPr>
        <w:lastRenderedPageBreak/>
        <w:t>aktivitami zameranými na zmierňovanie dopadov negatívnych vplyvov z dopravy na životné prostredie a obyvateľov</w:t>
      </w:r>
      <w:r>
        <w:rPr>
          <w:rFonts w:ascii="Arial" w:hAnsi="Arial" w:cs="Arial"/>
        </w:rPr>
        <w:t xml:space="preserve"> prejazdných úsekov ciest cez mestá a obce (napr. budovanie protihlukových opatrení, účinných systémov odvodnenia a pod.);</w:t>
      </w:r>
    </w:p>
    <w:p>
      <w:pPr>
        <w:numPr>
          <w:ilvl w:val="1"/>
          <w:numId w:val="2"/>
        </w:numPr>
        <w:tabs>
          <w:tab w:val="clear" w:pos="1080"/>
          <w:tab w:val="num" w:pos="410"/>
          <w:tab w:val="num" w:pos="709"/>
        </w:tabs>
        <w:ind w:left="709"/>
        <w:jc w:val="both"/>
        <w:rPr>
          <w:rFonts w:ascii="Arial" w:hAnsi="Arial" w:cs="Arial"/>
        </w:rPr>
      </w:pPr>
      <w:r>
        <w:rPr>
          <w:rFonts w:ascii="Arial" w:hAnsi="Arial" w:cs="Arial"/>
          <w:b/>
        </w:rPr>
        <w:t>zvýšenie nosnosti nevyhovujúcich mostových konštrukcií</w:t>
      </w:r>
      <w:r>
        <w:rPr>
          <w:rFonts w:ascii="Arial" w:hAnsi="Arial" w:cs="Arial"/>
        </w:rPr>
        <w:t xml:space="preserve"> alebo ich výmeny v nadväznosti na regióny, ktoré majú najvyšší percentuálny podiel mostných konštrukcií z hľadiska stavebného stavu: zlý až havarijný.</w:t>
      </w:r>
    </w:p>
    <w:p>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Strategický plán rozvoja a údržby ciest na úrovni regiónov (Regionálny Master plán)</w:t>
      </w:r>
      <w:r>
        <w:rPr>
          <w:rFonts w:ascii="Arial" w:hAnsi="Arial" w:cs="Arial"/>
        </w:rPr>
        <w:t xml:space="preserve">. V záujme plnenia cieľov Stratégie EU 2020 sa samosprávne kraje v rámci zostavovania Regionálneho Master plánu zamerali nielen na oblasti týkajúce sa rekonštrukcií havarijných úsekov ciest, ale najmä na zabezpečenie bezpečnosti cestnej premávky, zlepšenie regionálnych dopravných prepojení v záujme zlepšenia mobility a konkurencieschopnosti regiónov, posilňovanie mobility a zlepšovanie kvality životného prostredia. </w:t>
      </w:r>
      <w:r>
        <w:rPr>
          <w:rFonts w:ascii="Arial" w:hAnsi="Arial" w:cs="Arial"/>
          <w:b/>
        </w:rPr>
        <w:t>Výber projektov (úsekov) potenciálne vhodných pre podporu z IROP na úrovni výstavby, rekonštrukcie a modernizácie, vzíde z vyhodnotenia projektov uvedených v Regionálnom Master pláne.</w:t>
      </w:r>
      <w:r>
        <w:rPr>
          <w:rFonts w:ascii="Arial" w:hAnsi="Arial" w:cs="Arial"/>
        </w:rPr>
        <w:t xml:space="preserve"> </w:t>
      </w:r>
      <w:r>
        <w:rPr>
          <w:rFonts w:ascii="Arial" w:hAnsi="Arial" w:cs="Arial"/>
          <w:b/>
        </w:rPr>
        <w:t>Rozsah hodnotiacich kritérií v Regionálnom Master pláne bol pre účely vhodnosti realizácie projektov v IROP spracovaný detailnejšie s bližšou úžitkovou špecifikáciou. Projekty sú posudzované na úrovni výberových (kvalitatívnych) kritérií, kedy je</w:t>
      </w:r>
      <w:r>
        <w:rPr>
          <w:rFonts w:ascii="Arial" w:hAnsi="Arial" w:cs="Arial"/>
        </w:rPr>
        <w:t xml:space="preserve"> </w:t>
      </w:r>
      <w:r>
        <w:rPr>
          <w:rFonts w:ascii="Arial" w:hAnsi="Arial" w:cs="Arial"/>
          <w:b/>
        </w:rPr>
        <w:t>vyhodnocovaná oprávnenosť zaradenia vybraných projektov na financovanie cez IROP.</w:t>
      </w:r>
      <w:r>
        <w:rPr>
          <w:rFonts w:ascii="Arial" w:hAnsi="Arial" w:cs="Arial"/>
        </w:rPr>
        <w:t xml:space="preserve"> Úlohou tejto fázy hodnotenia je stanoviť striktné podmienky a predpoklady začlenenia opatrení podľa vlastností predmetnej infraštruktúry vo vzťahu k splneniu hodnotiacich kritérií. </w:t>
      </w:r>
      <w:r>
        <w:rPr>
          <w:rFonts w:ascii="Arial" w:hAnsi="Arial" w:cs="Arial"/>
          <w:b/>
        </w:rPr>
        <w:t>V rámci predselekčných kritérií spočíva hodnotenie projektov v troch nadväzujúcich úrovniach – (i) konektivita, t.j. napojenie infraštruktúry na regionálnej úrovni dotknutej navrhovanými opatreniami na transeurópsku cestnú dopravnú sieť, (ii) synergia, t.j. doplnkovosť s investičnými intervenciami v podobe veľkých projektov nadnárodnej a národnej cestnej dopravnej siete, (iii) ekonomický rozvoj – potenciál priemyselných parkov, centier KURS a dopravných napojení centier hospodárskeho významu zadefinovaných na úrovni konkrétnych RIÚS. Hodnotenie projektov na základe kvantitatívnych kritérií generujúcich konečné poradie projektov z hľadiska ich celospoločenských prínosov sa uskutoční na úrovni konkrétnej Regionálnej integrovanej územnej stratégie.</w:t>
      </w:r>
      <w:r>
        <w:rPr>
          <w:rFonts w:ascii="Arial" w:hAnsi="Arial" w:cs="Arial"/>
        </w:rPr>
        <w:t xml:space="preserve"> Pre posúdenie ekonomickej efektívnosti projektov (zjednodušená kalkulácia ekonomických, resp. celospoločenských prínosov projektov) sa budú počítať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r>
        <w:rPr>
          <w:rStyle w:val="Odkaznapoznmkupodiarou"/>
          <w:rFonts w:ascii="Arial" w:hAnsi="Arial" w:cs="Arial"/>
        </w:rPr>
        <w:footnoteReference w:id="36"/>
      </w:r>
      <w:r>
        <w:rPr>
          <w:rFonts w:ascii="Arial" w:hAnsi="Arial" w:cs="Arial"/>
        </w:rPr>
        <w:t>.</w:t>
      </w:r>
    </w:p>
    <w:p>
      <w:pPr>
        <w:jc w:val="both"/>
        <w:rPr>
          <w:rFonts w:ascii="Arial" w:hAnsi="Arial" w:cs="Arial"/>
        </w:rPr>
      </w:pPr>
      <w:r>
        <w:rPr>
          <w:rFonts w:ascii="Arial" w:hAnsi="Arial" w:cs="Arial"/>
        </w:rPr>
        <w:t xml:space="preserve">Aktuálne potreby a výzvy v rozvoji cestnej infraštruktúry II. a III. triedy budú v rámci IROP riešené prostredníctvom opatrení zameraných na </w:t>
      </w:r>
      <w:r>
        <w:rPr>
          <w:rFonts w:ascii="Arial" w:hAnsi="Arial" w:cs="Arial"/>
          <w:b/>
        </w:rPr>
        <w:t>výstavbu, rekonštrukciu a modernizáciu ciest</w:t>
      </w:r>
      <w:r>
        <w:rPr>
          <w:rFonts w:ascii="Arial" w:hAnsi="Arial" w:cs="Arial"/>
        </w:rPr>
        <w:t xml:space="preserve">. Výstavba nových úsekov sa bude týkať najmä </w:t>
      </w:r>
      <w:r>
        <w:rPr>
          <w:rFonts w:ascii="Arial" w:hAnsi="Arial" w:cs="Arial"/>
          <w:b/>
        </w:rPr>
        <w:t xml:space="preserve">posilnenia regionálnej mobility </w:t>
      </w:r>
      <w:r>
        <w:rPr>
          <w:rFonts w:ascii="Arial" w:hAnsi="Arial" w:cs="Arial"/>
          <w:b/>
        </w:rPr>
        <w:br/>
        <w:t xml:space="preserve">a zníženia dopravného zaťaženia v husto obývaných regiónoch v prepojení na sieť </w:t>
      </w:r>
      <w:r>
        <w:rPr>
          <w:rFonts w:ascii="Arial" w:hAnsi="Arial" w:cs="Arial"/>
          <w:b/>
        </w:rPr>
        <w:br/>
        <w:t>TEN-T a medzinárodnú cestnú sieť.</w:t>
      </w:r>
      <w:r>
        <w:rPr>
          <w:rFonts w:ascii="Arial" w:hAnsi="Arial" w:cs="Arial"/>
        </w:rPr>
        <w:t xml:space="preserve"> V oblasti rekonštrukcie a modernizácie budú intervencie zamerané predovšetkým na </w:t>
      </w:r>
      <w:r>
        <w:rPr>
          <w:rFonts w:ascii="Arial" w:hAnsi="Arial" w:cs="Arial"/>
          <w:b/>
        </w:rPr>
        <w:t xml:space="preserve">rekonštrukciu úsekov ciest II. triedy </w:t>
      </w:r>
      <w:r>
        <w:rPr>
          <w:rFonts w:ascii="Arial" w:hAnsi="Arial" w:cs="Arial"/>
          <w:b/>
        </w:rPr>
        <w:lastRenderedPageBreak/>
        <w:t>a v odôvodnených prípadoch ciest III. triedy resp. mostných objektov v zlom stavebno-technickom stave s cieľom zabezpečenia obsluhy centier osídlenia, priemyselných zón a dopravných napojení centier hospodárskeho významu zadefinovaných na úrovni konkrétnych RIÚS</w:t>
      </w:r>
      <w:r>
        <w:rPr>
          <w:rFonts w:ascii="Arial" w:hAnsi="Arial" w:cs="Arial"/>
        </w:rPr>
        <w:t xml:space="preserve">. Dôraz bude kladený aj na </w:t>
      </w:r>
      <w:r>
        <w:rPr>
          <w:rFonts w:ascii="Arial" w:hAnsi="Arial" w:cs="Arial"/>
          <w:b/>
        </w:rPr>
        <w:t>oblasť zvýšenia bezpečnosti cestnej premávky, odstraňovanie kolíznych bodov, modernizáciu úsekov ciest II. a III. triedy</w:t>
      </w:r>
      <w:r>
        <w:rPr>
          <w:rFonts w:ascii="Arial" w:hAnsi="Arial" w:cs="Arial"/>
        </w:rPr>
        <w:t xml:space="preserve"> zabezpečujúcich dopravné napojenia terminálov osobnej dopravy prípadne budovanie prvkov upokojovania dopravy v sídlach.</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vyšší územný celok ako vlastník ciest II. a III. triedy,</w:t>
      </w:r>
    </w:p>
    <w:p>
      <w:pPr>
        <w:pStyle w:val="Odsekzoznamu"/>
        <w:numPr>
          <w:ilvl w:val="0"/>
          <w:numId w:val="2"/>
        </w:numPr>
        <w:jc w:val="both"/>
        <w:rPr>
          <w:rFonts w:ascii="Arial" w:hAnsi="Arial" w:cs="Arial"/>
        </w:rPr>
      </w:pPr>
      <w:r>
        <w:rPr>
          <w:rFonts w:ascii="Arial" w:hAnsi="Arial" w:cs="Arial"/>
        </w:rPr>
        <w:t>Hlavné mesto SR Bratislava ako vlastník ciest II. a III. triedy,</w:t>
      </w:r>
    </w:p>
    <w:p>
      <w:pPr>
        <w:pStyle w:val="Odsekzoznamu"/>
        <w:numPr>
          <w:ilvl w:val="0"/>
          <w:numId w:val="2"/>
        </w:numPr>
        <w:jc w:val="both"/>
        <w:rPr>
          <w:rFonts w:ascii="Arial" w:hAnsi="Arial" w:cs="Arial"/>
        </w:rPr>
      </w:pPr>
      <w:r>
        <w:rPr>
          <w:rFonts w:ascii="Arial" w:hAnsi="Arial" w:cs="Arial"/>
        </w:rPr>
        <w:t xml:space="preserve">Mesto Košice ako vlastník ciest II. a III. triedy. </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pPr>
        <w:pStyle w:val="Odsekzoznamu"/>
        <w:numPr>
          <w:ilvl w:val="0"/>
          <w:numId w:val="2"/>
        </w:numPr>
        <w:jc w:val="both"/>
        <w:rPr>
          <w:rFonts w:ascii="Arial" w:hAnsi="Arial" w:cs="Arial"/>
        </w:rPr>
      </w:pPr>
      <w:r>
        <w:rPr>
          <w:rFonts w:ascii="Arial" w:hAnsi="Arial" w:cs="Arial"/>
        </w:rPr>
        <w:t>prevádzkovatelia a investori v priemyselných zónach.</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pStyle w:val="Nadpis6"/>
        <w:rPr>
          <w:rFonts w:ascii="Arial" w:hAnsi="Arial" w:cs="Arial"/>
        </w:rPr>
      </w:pPr>
      <w:bookmarkStart w:id="11" w:name="_Toc387153897"/>
      <w:r>
        <w:rPr>
          <w:rFonts w:ascii="Arial" w:hAnsi="Arial" w:cs="Arial"/>
        </w:rPr>
        <w:t>2.1.1.2. Hlavné zásady výberu operácií</w:t>
      </w:r>
      <w:bookmarkEnd w:id="11"/>
    </w:p>
    <w:p>
      <w:pPr>
        <w:jc w:val="both"/>
        <w:rPr>
          <w:rFonts w:ascii="Arial" w:hAnsi="Arial" w:cs="Arial"/>
        </w:rPr>
      </w:pPr>
    </w:p>
    <w:p>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pPr>
        <w:pStyle w:val="Odsekzoznamu"/>
        <w:numPr>
          <w:ilvl w:val="0"/>
          <w:numId w:val="7"/>
        </w:numPr>
        <w:jc w:val="both"/>
        <w:rPr>
          <w:rFonts w:ascii="Arial" w:hAnsi="Arial" w:cs="Arial"/>
        </w:rPr>
      </w:pPr>
      <w:r>
        <w:rPr>
          <w:rFonts w:ascii="Arial" w:hAnsi="Arial" w:cs="Arial"/>
        </w:rPr>
        <w:t>udržateľnosť projektu je zohľadnená v Pláne údržby ciest na úrovni VÚC,</w:t>
      </w:r>
    </w:p>
    <w:p>
      <w:pPr>
        <w:pStyle w:val="Odsekzoznamu"/>
        <w:numPr>
          <w:ilvl w:val="0"/>
          <w:numId w:val="7"/>
        </w:numPr>
        <w:jc w:val="both"/>
        <w:rPr>
          <w:rFonts w:ascii="Arial" w:hAnsi="Arial" w:cs="Arial"/>
        </w:rPr>
      </w:pPr>
      <w:r>
        <w:rPr>
          <w:rFonts w:ascii="Arial" w:hAnsi="Arial" w:cs="Arial"/>
        </w:rPr>
        <w:t>projekt je v súlade s princípmi Plánu jednotného európskeho dopravného priestoru,</w:t>
      </w:r>
    </w:p>
    <w:p>
      <w:pPr>
        <w:pStyle w:val="Odsekzoznamu"/>
        <w:numPr>
          <w:ilvl w:val="0"/>
          <w:numId w:val="7"/>
        </w:numPr>
        <w:jc w:val="both"/>
        <w:rPr>
          <w:rFonts w:ascii="Arial" w:hAnsi="Arial" w:cs="Arial"/>
        </w:rPr>
      </w:pPr>
      <w:r>
        <w:rPr>
          <w:rFonts w:ascii="Arial" w:hAnsi="Arial" w:cs="Arial"/>
        </w:rPr>
        <w:t xml:space="preserve">projekt sa napája na sieť TEN-T v zmysle definície uvedenej  v Strategickom pláne rozvoja a údržby ciest na úrovni regiónov, </w:t>
      </w:r>
    </w:p>
    <w:p>
      <w:pPr>
        <w:pStyle w:val="Odsekzoznamu"/>
        <w:numPr>
          <w:ilvl w:val="0"/>
          <w:numId w:val="13"/>
        </w:numPr>
        <w:jc w:val="both"/>
        <w:rPr>
          <w:rFonts w:ascii="Arial" w:hAnsi="Arial" w:cs="Arial"/>
        </w:rPr>
      </w:pPr>
      <w:r>
        <w:rPr>
          <w:rFonts w:ascii="Arial" w:hAnsi="Arial" w:cs="Arial"/>
        </w:rPr>
        <w:t xml:space="preserve">projekt je súčasťou aktivít na nadradenej dopravnej sieti, </w:t>
      </w:r>
    </w:p>
    <w:p>
      <w:pPr>
        <w:pStyle w:val="Odsekzoznamu"/>
        <w:numPr>
          <w:ilvl w:val="0"/>
          <w:numId w:val="13"/>
        </w:numPr>
        <w:jc w:val="both"/>
        <w:rPr>
          <w:rFonts w:ascii="Arial" w:hAnsi="Arial" w:cs="Arial"/>
        </w:rPr>
      </w:pPr>
      <w:r>
        <w:rPr>
          <w:rFonts w:ascii="Arial" w:hAnsi="Arial" w:cs="Arial"/>
        </w:rPr>
        <w:t xml:space="preserve">projekt prispeje k zlepšeniu stavebného a dopravno-technického stavu, </w:t>
      </w:r>
    </w:p>
    <w:p>
      <w:pPr>
        <w:pStyle w:val="Odsekzoznamu"/>
        <w:numPr>
          <w:ilvl w:val="0"/>
          <w:numId w:val="13"/>
        </w:numPr>
        <w:jc w:val="both"/>
        <w:rPr>
          <w:rFonts w:ascii="Arial" w:hAnsi="Arial" w:cs="Arial"/>
        </w:rPr>
      </w:pPr>
      <w:r>
        <w:rPr>
          <w:rFonts w:ascii="Arial" w:hAnsi="Arial" w:cs="Arial"/>
        </w:rPr>
        <w:t xml:space="preserve">realizácia projektu prispeje k využitiu rozvojových území a plôch, </w:t>
      </w:r>
    </w:p>
    <w:p>
      <w:pPr>
        <w:pStyle w:val="Odsekzoznamu"/>
        <w:numPr>
          <w:ilvl w:val="0"/>
          <w:numId w:val="13"/>
        </w:numPr>
        <w:jc w:val="both"/>
        <w:rPr>
          <w:rFonts w:ascii="Arial" w:hAnsi="Arial" w:cs="Arial"/>
        </w:rPr>
      </w:pPr>
      <w:r>
        <w:rPr>
          <w:rFonts w:ascii="Arial" w:hAnsi="Arial" w:cs="Arial"/>
        </w:rPr>
        <w:t>projekt prispieva k zvýšeniu  bezpečnosti,</w:t>
      </w:r>
    </w:p>
    <w:p>
      <w:pPr>
        <w:pStyle w:val="Odsekzoznamu"/>
        <w:numPr>
          <w:ilvl w:val="0"/>
          <w:numId w:val="13"/>
        </w:numPr>
        <w:jc w:val="both"/>
        <w:rPr>
          <w:rFonts w:ascii="Arial" w:hAnsi="Arial" w:cs="Arial"/>
        </w:rPr>
      </w:pPr>
      <w:r>
        <w:rPr>
          <w:rFonts w:ascii="Arial" w:hAnsi="Arial" w:cs="Arial"/>
        </w:rPr>
        <w:t xml:space="preserve">projekt znižuje prevádzkové náklady na opravu a údržbu komunikácií, </w:t>
      </w:r>
    </w:p>
    <w:p>
      <w:pPr>
        <w:pStyle w:val="Odsekzoznamu"/>
        <w:numPr>
          <w:ilvl w:val="0"/>
          <w:numId w:val="13"/>
        </w:numPr>
        <w:jc w:val="both"/>
        <w:rPr>
          <w:rFonts w:ascii="Arial" w:hAnsi="Arial" w:cs="Arial"/>
        </w:rPr>
      </w:pPr>
      <w:r>
        <w:rPr>
          <w:rFonts w:ascii="Arial" w:hAnsi="Arial" w:cs="Arial"/>
        </w:rPr>
        <w:t xml:space="preserve">projekt obsahuje prvky pre elimináciu negatívnych vplyvov dopravy na životné prostredie s dôrazom na chránené územia a územia NATURA 2000, </w:t>
      </w:r>
    </w:p>
    <w:p>
      <w:pPr>
        <w:pStyle w:val="Odsekzoznamu"/>
        <w:numPr>
          <w:ilvl w:val="0"/>
          <w:numId w:val="13"/>
        </w:numPr>
        <w:jc w:val="both"/>
        <w:rPr>
          <w:rFonts w:ascii="Arial" w:hAnsi="Arial" w:cs="Arial"/>
        </w:rPr>
      </w:pPr>
      <w:r>
        <w:rPr>
          <w:rFonts w:ascii="Arial" w:hAnsi="Arial" w:cs="Arial"/>
        </w:rPr>
        <w:t xml:space="preserve">projekt je výsledkom analýzy dopytu, posúdenia variant a analýzy nákladov a prínosov, </w:t>
      </w:r>
    </w:p>
    <w:p>
      <w:pPr>
        <w:pStyle w:val="Odsekzoznamu"/>
        <w:numPr>
          <w:ilvl w:val="0"/>
          <w:numId w:val="13"/>
        </w:numPr>
        <w:jc w:val="both"/>
        <w:rPr>
          <w:rFonts w:ascii="Arial" w:hAnsi="Arial" w:cs="Arial"/>
        </w:rPr>
      </w:pPr>
      <w:r>
        <w:rPr>
          <w:rFonts w:ascii="Arial" w:hAnsi="Arial" w:cs="Arial"/>
        </w:rPr>
        <w:t>projekt prispieva k zvýšeniu  kvality verejnej osobnej dopravy,</w:t>
      </w:r>
    </w:p>
    <w:p>
      <w:pPr>
        <w:pStyle w:val="Odsekzoznamu"/>
        <w:numPr>
          <w:ilvl w:val="0"/>
          <w:numId w:val="13"/>
        </w:numPr>
        <w:jc w:val="both"/>
        <w:rPr>
          <w:rFonts w:ascii="Arial" w:hAnsi="Arial" w:cs="Arial"/>
        </w:rPr>
      </w:pPr>
      <w:r>
        <w:rPr>
          <w:rFonts w:ascii="Arial" w:hAnsi="Arial" w:cs="Arial"/>
        </w:rPr>
        <w:t>projekt prispieva k skráteniu jazdnej doby verejnej dopravy,</w:t>
      </w:r>
    </w:p>
    <w:p>
      <w:pPr>
        <w:pStyle w:val="Odsekzoznamu"/>
        <w:numPr>
          <w:ilvl w:val="0"/>
          <w:numId w:val="13"/>
        </w:numPr>
        <w:jc w:val="both"/>
        <w:rPr>
          <w:rFonts w:ascii="Arial" w:hAnsi="Arial" w:cs="Arial"/>
        </w:rPr>
      </w:pPr>
      <w:r>
        <w:rPr>
          <w:rFonts w:ascii="Arial" w:hAnsi="Arial" w:cs="Arial"/>
        </w:rPr>
        <w:t xml:space="preserve">projekt znižuje prevádzkové náklady verejnej dopravy, </w:t>
      </w:r>
    </w:p>
    <w:p>
      <w:pPr>
        <w:pStyle w:val="Odsekzoznamu"/>
        <w:numPr>
          <w:ilvl w:val="0"/>
          <w:numId w:val="13"/>
        </w:numPr>
        <w:jc w:val="both"/>
        <w:rPr>
          <w:rFonts w:ascii="Arial" w:hAnsi="Arial" w:cs="Arial"/>
        </w:rPr>
      </w:pPr>
      <w:r>
        <w:rPr>
          <w:rFonts w:ascii="Arial" w:hAnsi="Arial" w:cs="Arial"/>
        </w:rPr>
        <w:t xml:space="preserve">projekt prispieva k integrácii a previazanosti služieb vo verejnej doprave, </w:t>
      </w:r>
    </w:p>
    <w:p>
      <w:pPr>
        <w:pStyle w:val="Odsekzoznamu"/>
        <w:numPr>
          <w:ilvl w:val="0"/>
          <w:numId w:val="13"/>
        </w:numPr>
        <w:jc w:val="both"/>
        <w:rPr>
          <w:rFonts w:ascii="Arial" w:hAnsi="Arial" w:cs="Arial"/>
        </w:rPr>
      </w:pPr>
      <w:r>
        <w:rPr>
          <w:rFonts w:ascii="Arial" w:hAnsi="Arial" w:cs="Arial"/>
        </w:rPr>
        <w:t xml:space="preserve">projekt využíva moderné IKT vo väzbe na potreby cestujúcich, </w:t>
      </w:r>
    </w:p>
    <w:p>
      <w:pPr>
        <w:pStyle w:val="Odsekzoznamu"/>
        <w:numPr>
          <w:ilvl w:val="0"/>
          <w:numId w:val="13"/>
        </w:numPr>
        <w:jc w:val="both"/>
        <w:rPr>
          <w:rFonts w:ascii="Arial" w:hAnsi="Arial" w:cs="Arial"/>
        </w:rPr>
      </w:pPr>
      <w:r>
        <w:rPr>
          <w:rFonts w:ascii="Arial" w:hAnsi="Arial" w:cs="Arial"/>
        </w:rPr>
        <w:t xml:space="preserve">projekt prispieva k rozvoju multimodality v osobnej doprave, </w:t>
      </w:r>
    </w:p>
    <w:p>
      <w:pPr>
        <w:pStyle w:val="Odsekzoznamu"/>
        <w:numPr>
          <w:ilvl w:val="0"/>
          <w:numId w:val="13"/>
        </w:numPr>
        <w:jc w:val="both"/>
        <w:rPr>
          <w:rFonts w:ascii="Arial" w:hAnsi="Arial" w:cs="Arial"/>
        </w:rPr>
      </w:pPr>
      <w:r>
        <w:rPr>
          <w:rFonts w:ascii="Arial" w:hAnsi="Arial" w:cs="Arial"/>
        </w:rPr>
        <w:lastRenderedPageBreak/>
        <w:t xml:space="preserve">projekt prispieva k zvýšeniu bezpečnosti zraniteľných účastníkov prepravy, </w:t>
      </w:r>
    </w:p>
    <w:p>
      <w:pPr>
        <w:pStyle w:val="Odsekzoznamu"/>
        <w:numPr>
          <w:ilvl w:val="0"/>
          <w:numId w:val="13"/>
        </w:numPr>
        <w:jc w:val="both"/>
        <w:rPr>
          <w:rFonts w:ascii="Arial" w:hAnsi="Arial" w:cs="Arial"/>
        </w:rPr>
      </w:pPr>
      <w:r>
        <w:rPr>
          <w:rFonts w:ascii="Arial" w:hAnsi="Arial" w:cs="Arial"/>
        </w:rPr>
        <w:t>projekt prispieva  k segregácii cestnej dopravy  a cyklodopravy,</w:t>
      </w:r>
    </w:p>
    <w:p>
      <w:pPr>
        <w:pStyle w:val="Odsekzoznamu"/>
        <w:numPr>
          <w:ilvl w:val="0"/>
          <w:numId w:val="13"/>
        </w:numPr>
        <w:jc w:val="both"/>
        <w:rPr>
          <w:rFonts w:ascii="Arial" w:hAnsi="Arial" w:cs="Arial"/>
        </w:rPr>
      </w:pPr>
      <w:r>
        <w:rPr>
          <w:rFonts w:ascii="Arial" w:hAnsi="Arial" w:cs="Arial"/>
        </w:rPr>
        <w:t>projekt uplatňuje zásadu „znečisťovateľ platí“ ako podmienku výberu projektov.</w:t>
      </w:r>
    </w:p>
    <w:p>
      <w:pPr>
        <w:jc w:val="both"/>
        <w:rPr>
          <w:rFonts w:ascii="Arial" w:hAnsi="Arial" w:cs="Arial"/>
        </w:rPr>
      </w:pPr>
      <w:r>
        <w:rPr>
          <w:rFonts w:ascii="Arial" w:hAnsi="Arial" w:cs="Arial"/>
          <w:b/>
        </w:rPr>
        <w:t>Stratégie smerujúce k rozvoju cestnej infraštruktúry nižšej kategórie a ich napojeniu na nadradenú cestnú sieť vychádzajú z predpokladu napomáhania k vyváženejšiemu a udržateľnejšiemu regionálnemu rozvoju.</w:t>
      </w:r>
      <w:r>
        <w:rPr>
          <w:rFonts w:ascii="Arial" w:hAnsi="Arial" w:cs="Arial"/>
        </w:rPr>
        <w:t xml:space="preserve"> Zlepšením kvality ciest II. a III. triedy zároveň dochádza k eliminácii regionálnych rozdielov a disproporcií s dôrazom na zvýšenie konkurencieschopnosti voči ostatným regiónom. Súčasťou rekonštrukcií a zvyšovania úrovne ciest musí byť podpora zlepšenia podmienok pre chodcov, cyklistov a verejnú osobnú dopravu.</w:t>
      </w:r>
    </w:p>
    <w:p>
      <w:pPr>
        <w:jc w:val="both"/>
        <w:rPr>
          <w:rFonts w:ascii="Arial" w:hAnsi="Arial" w:cs="Arial"/>
        </w:rPr>
      </w:pPr>
      <w:r>
        <w:rPr>
          <w:rFonts w:ascii="Arial" w:hAnsi="Arial" w:cs="Arial"/>
        </w:rPr>
        <w:t xml:space="preserve">Kvalitu ciest II. triedy je potrebné zvýšiť v regiónoch, kde: </w:t>
      </w:r>
    </w:p>
    <w:p>
      <w:pPr>
        <w:pStyle w:val="Odsekzoznamu"/>
        <w:numPr>
          <w:ilvl w:val="0"/>
          <w:numId w:val="7"/>
        </w:numPr>
        <w:jc w:val="both"/>
        <w:rPr>
          <w:rFonts w:ascii="Arial" w:hAnsi="Arial" w:cs="Arial"/>
        </w:rPr>
      </w:pPr>
      <w:r>
        <w:rPr>
          <w:rFonts w:ascii="Arial" w:hAnsi="Arial" w:cs="Arial"/>
        </w:rPr>
        <w:t xml:space="preserve">úseky ciest II. triedy preberajú funkcie ciest I. triedy v rámci zabezpečenia obslužnosti územia ako aj v napojení na cesty I. triedy a na infraštruktúru TEN-T; </w:t>
      </w:r>
    </w:p>
    <w:p>
      <w:pPr>
        <w:pStyle w:val="Odsekzoznamu"/>
        <w:numPr>
          <w:ilvl w:val="0"/>
          <w:numId w:val="7"/>
        </w:numPr>
        <w:jc w:val="both"/>
        <w:rPr>
          <w:rFonts w:ascii="Arial" w:hAnsi="Arial" w:cs="Arial"/>
        </w:rPr>
      </w:pPr>
      <w:r>
        <w:rPr>
          <w:rFonts w:ascii="Arial" w:hAnsi="Arial" w:cs="Arial"/>
        </w:rPr>
        <w:t>cesty II. triedy prepájajú centrá osídlenia zadefinované v KURS 2001 v znení KURS 2011 a zabezpečujú dopravné napojenia centier hospodárskeho významu zadefinované na úrovni konkrétnych RIÚS;</w:t>
      </w:r>
    </w:p>
    <w:p>
      <w:pPr>
        <w:pStyle w:val="Odsekzoznamu"/>
        <w:numPr>
          <w:ilvl w:val="0"/>
          <w:numId w:val="7"/>
        </w:numPr>
        <w:jc w:val="both"/>
        <w:rPr>
          <w:rFonts w:ascii="Arial" w:hAnsi="Arial" w:cs="Arial"/>
        </w:rPr>
      </w:pPr>
      <w:r>
        <w:rPr>
          <w:rFonts w:ascii="Arial" w:hAnsi="Arial" w:cs="Arial"/>
        </w:rPr>
        <w:t>úseky ciest II. triedy zabezpečujú dopravné napojenie priemyselných zón, prekladísk intermodálnej dopravy na nadradenú dopravnú infraštruktúru;</w:t>
      </w:r>
    </w:p>
    <w:p>
      <w:pPr>
        <w:pStyle w:val="Odsekzoznamu"/>
        <w:numPr>
          <w:ilvl w:val="0"/>
          <w:numId w:val="7"/>
        </w:numPr>
        <w:jc w:val="both"/>
        <w:rPr>
          <w:rFonts w:ascii="Arial" w:hAnsi="Arial" w:cs="Arial"/>
        </w:rPr>
      </w:pPr>
      <w:r>
        <w:rPr>
          <w:rFonts w:ascii="Arial" w:hAnsi="Arial" w:cs="Arial"/>
        </w:rPr>
        <w:t>nadradená cestná sieť úplne absentuje prípadne je výrazne poddimenzovaná na okresnej úrovni. Jedná sa o vybrané oblasti južných okresov západného, stredného a východného Slovenska a tiež okresy severovýchodného Slovenska;</w:t>
      </w:r>
    </w:p>
    <w:p>
      <w:pPr>
        <w:pStyle w:val="Odsekzoznamu"/>
        <w:numPr>
          <w:ilvl w:val="0"/>
          <w:numId w:val="7"/>
        </w:numPr>
        <w:jc w:val="both"/>
        <w:rPr>
          <w:rFonts w:ascii="Arial" w:hAnsi="Arial" w:cs="Arial"/>
        </w:rPr>
      </w:pPr>
      <w:r>
        <w:rPr>
          <w:rFonts w:ascii="Arial" w:hAnsi="Arial" w:cs="Arial"/>
        </w:rPr>
        <w:t>na základe technického stavu komunikácií a mostných objektov, intenzity zaťaženia cestných komunikácií, prípadne identifikácie nehodových lokalít možno identifikovať úseky na komunikáciách II. triedy, ktoré si vyžadujú neodkladnú rekonštrukciu;</w:t>
      </w:r>
    </w:p>
    <w:p>
      <w:pPr>
        <w:pStyle w:val="Odsekzoznamu"/>
        <w:numPr>
          <w:ilvl w:val="0"/>
          <w:numId w:val="7"/>
        </w:numPr>
        <w:jc w:val="both"/>
        <w:rPr>
          <w:rFonts w:ascii="Arial" w:hAnsi="Arial" w:cs="Arial"/>
        </w:rPr>
      </w:pPr>
      <w:r>
        <w:rPr>
          <w:rFonts w:ascii="Arial" w:hAnsi="Arial" w:cs="Arial"/>
        </w:rPr>
        <w:t xml:space="preserve">je vysoká frekvencia cyklistov alebo je potenciál na rozvoj cyklistickej dopravy. </w:t>
      </w:r>
    </w:p>
    <w:p>
      <w:pPr>
        <w:jc w:val="both"/>
        <w:rPr>
          <w:rFonts w:ascii="Arial" w:hAnsi="Arial" w:cs="Arial"/>
        </w:rPr>
      </w:pPr>
      <w:r>
        <w:rPr>
          <w:rFonts w:ascii="Arial" w:hAnsi="Arial" w:cs="Arial"/>
        </w:rPr>
        <w:t>Cesty III. triedy predstavujú komunikácie prevažne miestneho významu, ktorých význam spočíva predovšetkým v zabezpečení prepojenia vidieckych obcí. Zlepšenie kvality ciest III. triedy je nevyhnutné v regiónoch a lokalitách, kde:</w:t>
      </w:r>
    </w:p>
    <w:p>
      <w:pPr>
        <w:pStyle w:val="Odsekzoznamu"/>
        <w:numPr>
          <w:ilvl w:val="0"/>
          <w:numId w:val="13"/>
        </w:numPr>
        <w:jc w:val="both"/>
        <w:rPr>
          <w:rFonts w:ascii="Arial" w:hAnsi="Arial" w:cs="Arial"/>
        </w:rPr>
      </w:pPr>
      <w:r>
        <w:rPr>
          <w:rFonts w:ascii="Arial" w:hAnsi="Arial" w:cs="Arial"/>
        </w:rPr>
        <w:t>prepojenie ciest III. triedy na cestnú infraštruktúru TEN-T je zabezpečené priamym dopravným napojením;</w:t>
      </w:r>
    </w:p>
    <w:p>
      <w:pPr>
        <w:pStyle w:val="Odsekzoznamu"/>
        <w:numPr>
          <w:ilvl w:val="0"/>
          <w:numId w:val="13"/>
        </w:numPr>
        <w:jc w:val="both"/>
        <w:rPr>
          <w:rFonts w:ascii="Arial" w:hAnsi="Arial" w:cs="Arial"/>
        </w:rPr>
      </w:pPr>
      <w:r>
        <w:rPr>
          <w:rFonts w:ascii="Arial" w:hAnsi="Arial" w:cs="Arial"/>
        </w:rPr>
        <w:t>úseky ciest III. triedy zabezpečujú dopravné napojenie priemyselných zón, prekladísk intermodálnej dopravy na nadradenú dopravnú infraštruktúru a centier hospodárskeho významu zadefinovaných na úrovni konkrétnych RIÚS;</w:t>
      </w:r>
    </w:p>
    <w:p>
      <w:pPr>
        <w:pStyle w:val="Odsekzoznamu"/>
        <w:numPr>
          <w:ilvl w:val="0"/>
          <w:numId w:val="13"/>
        </w:numPr>
        <w:jc w:val="both"/>
        <w:rPr>
          <w:rFonts w:ascii="Arial" w:hAnsi="Arial" w:cs="Arial"/>
        </w:rPr>
      </w:pPr>
      <w:r>
        <w:rPr>
          <w:rFonts w:ascii="Arial" w:hAnsi="Arial" w:cs="Arial"/>
        </w:rPr>
        <w:t>cesty III. triedy prepájajú cesty II. triedy napojené na cestnú infraštruktúru TEN-T;</w:t>
      </w:r>
    </w:p>
    <w:p>
      <w:pPr>
        <w:pStyle w:val="Odsekzoznamu"/>
        <w:numPr>
          <w:ilvl w:val="0"/>
          <w:numId w:val="13"/>
        </w:numPr>
        <w:jc w:val="both"/>
        <w:rPr>
          <w:rFonts w:ascii="Arial" w:hAnsi="Arial" w:cs="Arial"/>
        </w:rPr>
      </w:pPr>
      <w:r>
        <w:rPr>
          <w:rFonts w:ascii="Arial" w:hAnsi="Arial" w:cs="Arial"/>
        </w:rPr>
        <w:t>cesty III. triedy zabezpečujú základnú (dennú) mobilitu osôb a dostupnosť základných sociálnych a ekonomických potrieb (zamestnanie, ubytovanie, obživa a pod.), tovarov a služieb (vzdelanie, zdravotná starostlivosť a pod.) v rámci ťažísk osídlenia 1 – 3 úrovne;</w:t>
      </w:r>
    </w:p>
    <w:p>
      <w:pPr>
        <w:pStyle w:val="Odsekzoznamu"/>
        <w:numPr>
          <w:ilvl w:val="0"/>
          <w:numId w:val="13"/>
        </w:numPr>
        <w:jc w:val="both"/>
        <w:rPr>
          <w:rFonts w:ascii="Arial" w:hAnsi="Arial" w:cs="Arial"/>
        </w:rPr>
      </w:pPr>
      <w:r>
        <w:rPr>
          <w:rFonts w:ascii="Arial" w:hAnsi="Arial" w:cs="Arial"/>
        </w:rPr>
        <w:t>na cestách III. triedy sú identifikované prvky a závady vplývajúce na bezpečnosť cestnej premávky;</w:t>
      </w:r>
    </w:p>
    <w:p>
      <w:pPr>
        <w:pStyle w:val="Odsekzoznamu"/>
        <w:numPr>
          <w:ilvl w:val="0"/>
          <w:numId w:val="13"/>
        </w:numPr>
        <w:jc w:val="both"/>
        <w:rPr>
          <w:rFonts w:ascii="Arial" w:hAnsi="Arial" w:cs="Arial"/>
        </w:rPr>
      </w:pPr>
      <w:r>
        <w:rPr>
          <w:rFonts w:ascii="Arial" w:hAnsi="Arial" w:cs="Arial"/>
        </w:rPr>
        <w:t>obyvatelia miest a obcí sú zaťažovaní nadmernou cestnou dopravou a nevyhovujúcim stavom životného prostredia (napr. zvýšená úroveň znečisťujúcich látok v ovzduší, vysoká intenzita hluku a pod.).</w:t>
      </w:r>
    </w:p>
    <w:p>
      <w:pPr>
        <w:jc w:val="both"/>
        <w:rPr>
          <w:rFonts w:ascii="Arial" w:hAnsi="Arial" w:cs="Arial"/>
        </w:rPr>
      </w:pPr>
      <w:r>
        <w:rPr>
          <w:rFonts w:ascii="Arial" w:hAnsi="Arial" w:cs="Arial"/>
        </w:rPr>
        <w:lastRenderedPageBreak/>
        <w:t>Uvedené princípy sa uplatňujú v závislosti od  typu a charakteru projektu.</w:t>
      </w:r>
    </w:p>
    <w:p>
      <w:pPr>
        <w:pStyle w:val="Nadpis6"/>
        <w:rPr>
          <w:rFonts w:ascii="Arial" w:hAnsi="Arial" w:cs="Arial"/>
        </w:rPr>
      </w:pPr>
      <w:bookmarkStart w:id="12" w:name="_Toc387153898"/>
      <w:r>
        <w:rPr>
          <w:rFonts w:ascii="Arial" w:hAnsi="Arial" w:cs="Arial"/>
        </w:rPr>
        <w:t>2.1.1.3. Plánované využitie finančných nástrojov</w:t>
      </w:r>
      <w:bookmarkEnd w:id="12"/>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13" w:name="_Toc387153899"/>
      <w:r>
        <w:rPr>
          <w:rFonts w:ascii="Arial" w:hAnsi="Arial" w:cs="Arial"/>
        </w:rPr>
        <w:t>2.1.1.4. Plánované využitie veľkých  projektov</w:t>
      </w:r>
      <w:bookmarkEnd w:id="13"/>
    </w:p>
    <w:p>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jc w:val="both"/>
        <w:rPr>
          <w:rFonts w:ascii="Arial" w:hAnsi="Arial" w:cs="Arial"/>
        </w:rPr>
      </w:pPr>
      <w:r>
        <w:rPr>
          <w:rFonts w:ascii="Arial" w:hAnsi="Arial" w:cs="Arial"/>
        </w:rPr>
        <w:t xml:space="preserve"> </w:t>
      </w:r>
      <w:bookmarkStart w:id="14" w:name="_Toc387153900"/>
      <w:r>
        <w:rPr>
          <w:rFonts w:ascii="Arial" w:hAnsi="Arial" w:cs="Arial"/>
        </w:rPr>
        <w:t>2.1.1.5.Ukazovatele výstupov podľa investičnej priority a ak je to vhodné, podľa kategórie regiónu</w:t>
      </w:r>
      <w:bookmarkEnd w:id="14"/>
    </w:p>
    <w:p>
      <w:pPr>
        <w:rPr>
          <w:rFonts w:ascii="Arial" w:hAnsi="Arial" w:cs="Arial"/>
        </w:rPr>
      </w:pPr>
    </w:p>
    <w:p>
      <w:pPr>
        <w:jc w:val="both"/>
        <w:rPr>
          <w:rFonts w:ascii="Arial" w:hAnsi="Arial" w:cs="Arial"/>
        </w:rPr>
      </w:pPr>
      <w:r>
        <w:rPr>
          <w:rStyle w:val="Siln"/>
          <w:rFonts w:ascii="Arial" w:hAnsi="Arial" w:cs="Arial"/>
        </w:rPr>
        <w:t xml:space="preserve">Tabuľka č. 11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6"/>
        <w:gridCol w:w="1915"/>
        <w:gridCol w:w="963"/>
        <w:gridCol w:w="652"/>
        <w:gridCol w:w="971"/>
        <w:gridCol w:w="608"/>
        <w:gridCol w:w="567"/>
        <w:gridCol w:w="992"/>
        <w:gridCol w:w="1035"/>
        <w:gridCol w:w="1053"/>
      </w:tblGrid>
      <w:tr>
        <w:trPr>
          <w:trHeight w:val="278"/>
        </w:trPr>
        <w:tc>
          <w:tcPr>
            <w:tcW w:w="38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915"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67"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5"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6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7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1035"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Viac rozvinutý región </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zrekonštruovaných </w:t>
            </w:r>
            <w:r>
              <w:rPr>
                <w:rFonts w:ascii="Arial" w:hAnsi="Arial" w:cs="Arial"/>
                <w:sz w:val="16"/>
                <w:szCs w:val="16"/>
              </w:rPr>
              <w:lastRenderedPageBreak/>
              <w:t xml:space="preserve">mostných objektov </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mostný objekt</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zrekonštruovaných mostných objektov</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mostný objekt</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nových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08"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nových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08"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jc w:val="both"/>
        <w:rPr>
          <w:rFonts w:ascii="Arial" w:hAnsi="Arial" w:cs="Arial"/>
        </w:rPr>
      </w:pPr>
      <w:r>
        <w:rPr>
          <w:rFonts w:ascii="Arial" w:hAnsi="Arial" w:cs="Arial"/>
        </w:rPr>
        <w:t xml:space="preserve">* </w:t>
      </w:r>
      <w:r>
        <w:rPr>
          <w:rFonts w:ascii="Arial" w:hAnsi="Arial" w:cs="Arial"/>
          <w:sz w:val="20"/>
        </w:rPr>
        <w:t>hodnota bude doplnená v závislosti od identifikácie projektov vhodných pre realizáciu v nadväznosti na Strategický plán rozvoja a údržby ciest na úrovni regiónov</w:t>
      </w:r>
    </w:p>
    <w:p>
      <w:pPr>
        <w:pBdr>
          <w:bottom w:val="single" w:sz="12" w:space="1" w:color="auto"/>
        </w:pBdr>
        <w:rPr>
          <w:rFonts w:ascii="Arial" w:hAnsi="Arial" w:cs="Arial"/>
        </w:rPr>
      </w:pPr>
    </w:p>
    <w:p/>
    <w:p>
      <w:pPr>
        <w:pStyle w:val="Nadpis4"/>
        <w:shd w:val="clear" w:color="auto" w:fill="21306A"/>
        <w:jc w:val="both"/>
        <w:rPr>
          <w:rFonts w:ascii="Arial" w:hAnsi="Arial" w:cs="Arial"/>
          <w:color w:val="FFFFFF"/>
        </w:rPr>
      </w:pPr>
      <w:bookmarkStart w:id="15" w:name="_Toc387153901"/>
      <w:r>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5"/>
    </w:p>
    <w:p>
      <w:pPr>
        <w:rPr>
          <w:rFonts w:ascii="Arial" w:hAnsi="Arial" w:cs="Arial"/>
        </w:rPr>
      </w:pPr>
    </w:p>
    <w:p>
      <w:pPr>
        <w:jc w:val="both"/>
        <w:rPr>
          <w:rFonts w:ascii="Arial" w:hAnsi="Arial" w:cs="Arial"/>
          <w:color w:val="4EACF3"/>
        </w:rPr>
      </w:pPr>
      <w:r>
        <w:rPr>
          <w:rFonts w:ascii="Arial" w:hAnsi="Arial" w:cs="Arial"/>
          <w:b/>
        </w:rPr>
        <w:t>Špecifický cieľ č. 1.2.1:</w:t>
      </w:r>
    </w:p>
    <w:p>
      <w:pPr>
        <w:shd w:val="clear" w:color="auto" w:fill="D9D9D9"/>
        <w:jc w:val="both"/>
        <w:rPr>
          <w:rStyle w:val="Zvraznenie"/>
          <w:rFonts w:ascii="Arial" w:hAnsi="Arial" w:cs="Arial"/>
        </w:rPr>
      </w:pPr>
      <w:r>
        <w:rPr>
          <w:rStyle w:val="Zvraznenie"/>
          <w:rFonts w:ascii="Arial" w:hAnsi="Arial" w:cs="Arial"/>
        </w:rPr>
        <w:t xml:space="preserve">Zabezpečenie udržateľnej formy mobility prostredníctvom zvyšovania atraktivity a konkurencieschopnosti verejnej osobnej dopravy. </w:t>
      </w:r>
    </w:p>
    <w:p>
      <w:pPr>
        <w:jc w:val="both"/>
        <w:rPr>
          <w:rFonts w:ascii="Arial" w:hAnsi="Arial" w:cs="Arial"/>
        </w:rPr>
      </w:pPr>
      <w:r>
        <w:rPr>
          <w:rFonts w:ascii="Arial" w:hAnsi="Arial" w:cs="Arial"/>
        </w:rPr>
        <w:t xml:space="preserve">Všeobecne platí, že intenzívnejšie využívanie verejnej osobnej dopravy na úkor individuálnej automobilovej dopravy vedie k zvýšenej kvalite ovzdušia v mestách. 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 xml:space="preserve">Dopyt po verejnej osobnej doprave je zväčša pozitívne ovplyvňovaný nasledovnými faktormi: (i) spoľahlivosť; (ii) kratší čas strávený v dopravnom prostriedku (časová elasticita); (iii) kratší čas strávený mimo dopravného prostriedku (frekvencia spojov, čas na prestup z jedného dopravného prostriedku na druhý, dostupnosť zastávok v mieste bydliska a pracoviska); (iv) vyššia cena palív; (v) drahšie poplatky za parkovanie a spoplatnenie prístupu do centier miest.  </w:t>
      </w:r>
    </w:p>
    <w:p>
      <w:pPr>
        <w:jc w:val="both"/>
        <w:rPr>
          <w:rFonts w:ascii="Arial" w:hAnsi="Arial" w:cs="Arial"/>
        </w:rPr>
      </w:pPr>
      <w:r>
        <w:rPr>
          <w:rFonts w:ascii="Arial" w:hAnsi="Arial" w:cs="Arial"/>
          <w:b/>
        </w:rPr>
        <w:t>Podstatným príspevkom ku kvalite života, prostredia a životného prostredia je aj trvalo udržateľná, ľahko dostupná a cenovo výhodná sieť mestskej dopravy, ktorej spoje nadväzujú na dopravné systémy v rámci mestskej oblasti.</w:t>
      </w:r>
      <w:r>
        <w:rPr>
          <w:rFonts w:ascii="Arial" w:hAnsi="Arial" w:cs="Arial"/>
        </w:rPr>
        <w:t xml:space="preserve"> Mestská doprava musí byť 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pPr>
        <w:jc w:val="both"/>
        <w:rPr>
          <w:rFonts w:ascii="Arial" w:hAnsi="Arial" w:cs="Arial"/>
        </w:rPr>
      </w:pPr>
      <w:r>
        <w:rPr>
          <w:rFonts w:ascii="Arial" w:hAnsi="Arial" w:cs="Arial"/>
        </w:rPr>
        <w:t xml:space="preserve">Víziou stratégie rozvoja verejnej osobnej dopravy je zvrátiť doterajší nepriaznivý vývoj v deľbe prepravnej práce v osobnej doprave. Cieľom je prostredníctvom integrácie jednotlivých </w:t>
      </w:r>
      <w:r>
        <w:rPr>
          <w:rFonts w:ascii="Arial" w:hAnsi="Arial" w:cs="Arial"/>
        </w:rPr>
        <w:lastRenderedPageBreak/>
        <w:t>dopravných systémov a ich lepšou organizáciou vytvoriť podmienky pre trvalo udržateľnú regionálnu a mestskú mobilitu.</w:t>
      </w:r>
    </w:p>
    <w:p>
      <w:pPr>
        <w:jc w:val="both"/>
        <w:rPr>
          <w:rFonts w:ascii="Arial" w:hAnsi="Arial" w:cs="Arial"/>
        </w:rPr>
      </w:pPr>
      <w:r>
        <w:rPr>
          <w:rFonts w:ascii="Arial" w:hAnsi="Arial" w:cs="Arial"/>
          <w:b/>
          <w:bCs/>
        </w:rPr>
        <w:t>Výsledok podpory IROP</w:t>
      </w:r>
      <w:r>
        <w:rPr>
          <w:rFonts w:ascii="Arial" w:hAnsi="Arial" w:cs="Arial"/>
        </w:rPr>
        <w:t xml:space="preserve">: </w:t>
      </w:r>
    </w:p>
    <w:p>
      <w:pPr>
        <w:pStyle w:val="Odsekzoznamu"/>
        <w:numPr>
          <w:ilvl w:val="0"/>
          <w:numId w:val="2"/>
        </w:numPr>
        <w:tabs>
          <w:tab w:val="clear" w:pos="360"/>
          <w:tab w:val="num" w:pos="709"/>
        </w:tabs>
        <w:ind w:left="709" w:hanging="283"/>
        <w:jc w:val="both"/>
        <w:rPr>
          <w:rFonts w:ascii="Arial" w:hAnsi="Arial" w:cs="Arial"/>
        </w:rPr>
      </w:pPr>
      <w:r>
        <w:rPr>
          <w:rFonts w:ascii="Arial" w:hAnsi="Arial" w:cs="Arial"/>
        </w:rPr>
        <w:t>efektívnejšie využívanie verejnej osobnej dopravy na základe vypracovania plánov udržateľnej mestskej mobility a plánov dopravnej obslužnosti regiónov,</w:t>
      </w:r>
    </w:p>
    <w:p>
      <w:pPr>
        <w:pStyle w:val="Odsekzoznamu"/>
        <w:numPr>
          <w:ilvl w:val="0"/>
          <w:numId w:val="2"/>
        </w:numPr>
        <w:tabs>
          <w:tab w:val="clear" w:pos="360"/>
          <w:tab w:val="num" w:pos="720"/>
        </w:tabs>
        <w:ind w:left="720"/>
        <w:jc w:val="both"/>
        <w:rPr>
          <w:rFonts w:ascii="Arial" w:hAnsi="Arial" w:cs="Arial"/>
        </w:rPr>
      </w:pPr>
      <w:r>
        <w:rPr>
          <w:rFonts w:ascii="Arial" w:hAnsi="Arial" w:cs="Arial"/>
        </w:rPr>
        <w:t>zvýšenie počtu osôb prepravených VOD prostredníctvom zatraktívnenia VOD (zabezpečením prístupnejšieho vozidlového parku, budovaním súvisiacej infraštruktúry, zjednotením cestovných dokladov a prepravných podmienok a zavádzaním doplnkových služieb pre cestujúcich),</w:t>
      </w:r>
    </w:p>
    <w:p>
      <w:pPr>
        <w:pStyle w:val="Odsekzoznamu"/>
        <w:numPr>
          <w:ilvl w:val="0"/>
          <w:numId w:val="2"/>
        </w:numPr>
        <w:tabs>
          <w:tab w:val="clear" w:pos="360"/>
          <w:tab w:val="num" w:pos="720"/>
        </w:tabs>
        <w:ind w:left="709" w:hanging="283"/>
        <w:jc w:val="both"/>
        <w:rPr>
          <w:rFonts w:ascii="Arial" w:hAnsi="Arial" w:cs="Arial"/>
        </w:rPr>
      </w:pPr>
      <w:r>
        <w:rPr>
          <w:rFonts w:ascii="Arial" w:hAnsi="Arial" w:cs="Arial"/>
        </w:rPr>
        <w:t xml:space="preserve">zmena deľby prepravnej práce v prospech ekologicky priaznivejších módov dopravy, </w:t>
      </w:r>
    </w:p>
    <w:p>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 a zníženie zaťaženia obyvateľstva hlukom prostredníctvom obnovy vozidlového parku v rámci verejnej mestskej a prímestskej dopravy.</w:t>
      </w:r>
    </w:p>
    <w:p>
      <w:pPr>
        <w:rPr>
          <w:rStyle w:val="Zvraznenie"/>
          <w:rFonts w:ascii="Arial" w:hAnsi="Arial" w:cs="Arial"/>
        </w:rPr>
      </w:pPr>
      <w:r>
        <w:rPr>
          <w:rStyle w:val="Siln"/>
          <w:rFonts w:ascii="Arial" w:hAnsi="Arial" w:cs="Arial"/>
        </w:rPr>
        <w:t>Tabuľka č. 12</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186"/>
        <w:gridCol w:w="940"/>
        <w:gridCol w:w="954"/>
        <w:gridCol w:w="1249"/>
        <w:gridCol w:w="1249"/>
        <w:gridCol w:w="959"/>
        <w:gridCol w:w="992"/>
        <w:gridCol w:w="1383"/>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4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Základná hodnota</w:t>
            </w:r>
          </w:p>
        </w:tc>
        <w:tc>
          <w:tcPr>
            <w:tcW w:w="124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Základný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3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osôb prepravených verejnou osobnou dopravou na celkovom počte prepravených osôb</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w:t>
            </w:r>
          </w:p>
        </w:tc>
        <w:tc>
          <w:tcPr>
            <w:tcW w:w="12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osôb prepravených verejnou osobnou dopravou na celkovom počte prepravených osôb</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w:t>
            </w:r>
          </w:p>
        </w:tc>
        <w:tc>
          <w:tcPr>
            <w:tcW w:w="12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rPr>
          <w:rFonts w:ascii="Arial" w:hAnsi="Arial" w:cs="Arial"/>
          <w:color w:val="4EACF3"/>
        </w:rPr>
      </w:pPr>
      <w:r>
        <w:rPr>
          <w:rFonts w:ascii="Arial" w:hAnsi="Arial" w:cs="Arial"/>
          <w:b/>
        </w:rPr>
        <w:t>Špecifický cieľ č. 1.2.2:</w:t>
      </w:r>
    </w:p>
    <w:p>
      <w:pPr>
        <w:shd w:val="clear" w:color="auto" w:fill="D9D9D9"/>
        <w:jc w:val="both"/>
        <w:rPr>
          <w:rStyle w:val="Zvraznenie"/>
          <w:rFonts w:ascii="Arial" w:hAnsi="Arial" w:cs="Arial"/>
        </w:rPr>
      </w:pPr>
      <w:r>
        <w:rPr>
          <w:rStyle w:val="Zvraznenie"/>
          <w:rFonts w:ascii="Arial" w:hAnsi="Arial" w:cs="Arial"/>
        </w:rPr>
        <w:t>Zvýšenie atraktivity a prepravnej kapacity nemotorovej dopravy (predovšetkým cyklistickej dopravy) na celkovom počte prepravených osôb.</w:t>
      </w:r>
    </w:p>
    <w:p>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realizáciu opatrení na upokojovanie dopravy, a pod. Realizáciou opatrení v rámci tohto špecifického cieľa sa očakáva zvýšenie podielu cyklistickej dopravy na celkovej deľbe dopravnej práce v SR zo súčasných 1,5 % na 10 % do roku 2020 v súlade so základnou víziou Národnej stratégie rozvoja cyklistickej dopravy a cykloturistiky v SR a zníženie celkového znečistenia ovzdušia dopravou v prípade nárastu nemotorovej dopravy na celkovej deľbe prepravnej práce. </w:t>
      </w:r>
      <w:r>
        <w:rPr>
          <w:rFonts w:ascii="Arial" w:hAnsi="Arial" w:cs="Arial"/>
          <w:b/>
        </w:rPr>
        <w:t xml:space="preserve">Prostredníctvom jednotlivých opatrení a aktivít bude potrebné začleniť cyklistickú dopravu ako plnohodnotný spôsob prepravy v rámci mestskej mobility, vytvoriť ľahko dostupnú a cenovo </w:t>
      </w:r>
      <w:r>
        <w:rPr>
          <w:rFonts w:ascii="Arial" w:hAnsi="Arial" w:cs="Arial"/>
          <w:b/>
        </w:rPr>
        <w:lastRenderedPageBreak/>
        <w:t>výhodnú sieť mestskej dopravy</w:t>
      </w:r>
      <w:r>
        <w:rPr>
          <w:rFonts w:ascii="Arial" w:hAnsi="Arial" w:cs="Arial"/>
        </w:rPr>
        <w:t xml:space="preserve"> a zmeniť vnímanie cyklistov nielen v kontexte športového či turistického vyžitia. V prvých rokoch rozvoja cyklistickej infraštruktúry je vzhľadom k rozdrobenosti pozemkov v SR reálnejšie dosiahnuť podstatné rozšírenie ponuky cyklokomunikácií realizáciou cyklopruhov a cyklokoridorov na existujúcich komunikáciách spolu s príslušným dopravným značením a doplnkovou cykloinfraštruktúrou.</w:t>
      </w:r>
      <w:r>
        <w:rPr>
          <w:rStyle w:val="Odkaznapoznmkupodiarou"/>
          <w:rFonts w:ascii="Arial" w:hAnsi="Arial" w:cs="Arial"/>
        </w:rPr>
        <w:footnoteReference w:id="37"/>
      </w:r>
    </w:p>
    <w:p>
      <w:pPr>
        <w:jc w:val="both"/>
        <w:rPr>
          <w:rFonts w:ascii="Arial" w:hAnsi="Arial" w:cs="Arial"/>
        </w:rPr>
      </w:pPr>
      <w:r>
        <w:rPr>
          <w:rFonts w:ascii="Arial" w:hAnsi="Arial" w:cs="Arial"/>
          <w:b/>
          <w:bCs/>
        </w:rPr>
        <w:t>Výsledok podpory IROP</w:t>
      </w:r>
      <w:r>
        <w:rPr>
          <w:rFonts w:ascii="Arial" w:hAnsi="Arial" w:cs="Arial"/>
        </w:rPr>
        <w:t xml:space="preserve">: </w:t>
      </w:r>
    </w:p>
    <w:p>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 mestách vytvorí podmienky pre lepšiu mobilitu jeho obyvateľov,</w:t>
      </w:r>
    </w:p>
    <w:p>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pPr>
        <w:jc w:val="both"/>
        <w:rPr>
          <w:rStyle w:val="Zvraznenie"/>
          <w:rFonts w:ascii="Arial" w:hAnsi="Arial" w:cs="Arial"/>
        </w:rPr>
      </w:pPr>
      <w:r>
        <w:rPr>
          <w:rStyle w:val="Siln"/>
          <w:rFonts w:ascii="Arial" w:hAnsi="Arial" w:cs="Arial"/>
        </w:rPr>
        <w:t>Tabuľka č. 13</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2"/>
        <w:gridCol w:w="1499"/>
        <w:gridCol w:w="969"/>
        <w:gridCol w:w="987"/>
        <w:gridCol w:w="1293"/>
        <w:gridCol w:w="1293"/>
        <w:gridCol w:w="990"/>
        <w:gridCol w:w="812"/>
        <w:gridCol w:w="1053"/>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9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1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9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8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0,5</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8,0</w:t>
            </w:r>
          </w:p>
        </w:tc>
        <w:tc>
          <w:tcPr>
            <w:tcW w:w="8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9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8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12,0</w:t>
            </w:r>
          </w:p>
        </w:tc>
        <w:tc>
          <w:tcPr>
            <w:tcW w:w="8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5"/>
        <w:shd w:val="clear" w:color="auto" w:fill="B8C1E9"/>
        <w:rPr>
          <w:rFonts w:ascii="Arial" w:hAnsi="Arial" w:cs="Arial"/>
        </w:rPr>
      </w:pPr>
      <w:bookmarkStart w:id="16" w:name="_Toc387153902"/>
      <w:r>
        <w:rPr>
          <w:rFonts w:ascii="Arial" w:hAnsi="Arial" w:cs="Arial"/>
        </w:rPr>
        <w:t>Akcia, ktorá sa má podporiť v rámci investičnej priority</w:t>
      </w:r>
      <w:bookmarkEnd w:id="16"/>
    </w:p>
    <w:p>
      <w:pPr>
        <w:rPr>
          <w:rFonts w:ascii="Arial" w:hAnsi="Arial" w:cs="Arial"/>
        </w:rPr>
      </w:pPr>
    </w:p>
    <w:p>
      <w:pPr>
        <w:pStyle w:val="Nadpis6"/>
        <w:jc w:val="both"/>
        <w:rPr>
          <w:rFonts w:ascii="Arial" w:hAnsi="Arial" w:cs="Arial"/>
        </w:rPr>
      </w:pPr>
      <w:bookmarkStart w:id="17" w:name="_Toc387153903"/>
      <w:r>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7"/>
      <w:r>
        <w:rPr>
          <w:rFonts w:ascii="Arial" w:hAnsi="Arial" w:cs="Arial"/>
        </w:rPr>
        <w:t xml:space="preserve"> </w:t>
      </w:r>
    </w:p>
    <w:p>
      <w:pPr>
        <w:tabs>
          <w:tab w:val="left" w:pos="1425"/>
        </w:tabs>
        <w:spacing w:before="120"/>
        <w:rPr>
          <w:rFonts w:ascii="Arial" w:hAnsi="Arial" w:cs="Arial"/>
          <w:b/>
        </w:rPr>
      </w:pPr>
      <w:r>
        <w:rPr>
          <w:rFonts w:ascii="Arial" w:hAnsi="Arial" w:cs="Arial"/>
        </w:rPr>
        <w:t xml:space="preserve">Opatrenia v rámci investičnej priority sú v súlade s cieľmi Stratégie rozvoja verejnej osobnej a nemotorovej dopravy v SR do roku 2020, ktorá identifikuje aktuálny stav v oblasti verejnej osobnej dopravy (ďalej len „VOD“) v jednotlivých regiónoch SR, identifikuje príčiny tohto stavu a uvádza možnosti budúceho vývoja. Základnou podmienkou pre financovanie aktivít pre účely rozvoja mestskej VOD je </w:t>
      </w:r>
      <w:r>
        <w:rPr>
          <w:rFonts w:ascii="Arial" w:hAnsi="Arial" w:cs="Arial"/>
          <w:b/>
        </w:rPr>
        <w:t>vypracovanie plánov udržateľnej mestskej mobility</w:t>
      </w:r>
      <w:r>
        <w:rPr>
          <w:rFonts w:ascii="Arial" w:hAnsi="Arial" w:cs="Arial"/>
        </w:rPr>
        <w:t xml:space="preserve">. Intervencie do regionálnej autobusovej dopravy budú podmienené </w:t>
      </w:r>
      <w:r>
        <w:rPr>
          <w:rFonts w:ascii="Arial" w:hAnsi="Arial" w:cs="Arial"/>
          <w:b/>
        </w:rPr>
        <w:t xml:space="preserve">vypracovaním plánov dopravnej obsluhy regiónu </w:t>
      </w:r>
      <w:r>
        <w:rPr>
          <w:rFonts w:ascii="Arial" w:hAnsi="Arial" w:cs="Arial"/>
        </w:rPr>
        <w:t xml:space="preserve">a existenciou </w:t>
      </w:r>
      <w:r>
        <w:rPr>
          <w:rFonts w:ascii="Arial" w:hAnsi="Arial" w:cs="Arial"/>
          <w:b/>
        </w:rPr>
        <w:t>plne funkčných integrovaných dopravných systémov</w:t>
      </w:r>
      <w:r>
        <w:rPr>
          <w:rStyle w:val="Odkaznapoznmkupodiarou"/>
          <w:rFonts w:ascii="Arial" w:hAnsi="Arial" w:cs="Arial"/>
        </w:rPr>
        <w:footnoteReference w:id="38"/>
      </w:r>
      <w:r>
        <w:rPr>
          <w:rFonts w:ascii="Arial" w:hAnsi="Arial" w:cs="Arial"/>
          <w:b/>
        </w:rPr>
        <w:t xml:space="preserve"> (ďalej len „IDS“)</w:t>
      </w:r>
      <w:r>
        <w:rPr>
          <w:rFonts w:ascii="Arial" w:hAnsi="Arial" w:cs="Arial"/>
        </w:rPr>
        <w:t>.</w:t>
      </w:r>
    </w:p>
    <w:p>
      <w:pPr>
        <w:tabs>
          <w:tab w:val="left" w:pos="1425"/>
        </w:tabs>
        <w:spacing w:before="120"/>
        <w:rPr>
          <w:rFonts w:ascii="Arial" w:hAnsi="Arial" w:cs="Arial"/>
          <w:b/>
        </w:rPr>
      </w:pPr>
    </w:p>
    <w:p>
      <w:pPr>
        <w:tabs>
          <w:tab w:val="left" w:pos="1425"/>
        </w:tabs>
        <w:spacing w:before="120"/>
        <w:rPr>
          <w:rFonts w:ascii="Arial" w:hAnsi="Arial" w:cs="Arial"/>
          <w:b/>
        </w:rPr>
      </w:pPr>
    </w:p>
    <w:p>
      <w:pPr>
        <w:tabs>
          <w:tab w:val="left" w:pos="1425"/>
        </w:tabs>
        <w:spacing w:before="120"/>
        <w:rPr>
          <w:rFonts w:ascii="Arial" w:hAnsi="Arial" w:cs="Arial"/>
        </w:rPr>
      </w:pPr>
      <w:r>
        <w:rPr>
          <w:rFonts w:ascii="Arial" w:hAnsi="Arial" w:cs="Arial"/>
          <w:b/>
        </w:rPr>
        <w:lastRenderedPageBreak/>
        <w:t>Špecifický cieľ č. 1.2.1</w:t>
      </w:r>
      <w:r>
        <w:rPr>
          <w:rFonts w:ascii="Arial" w:hAnsi="Arial" w:cs="Arial"/>
        </w:rPr>
        <w:t xml:space="preserve"> je dosahovaný realizáciou nasledovných aktivít:</w:t>
      </w:r>
      <w:r>
        <w:rPr>
          <w:rFonts w:ascii="Arial" w:hAnsi="Arial" w:cs="Arial"/>
        </w:rPr>
        <w:tab/>
      </w:r>
    </w:p>
    <w:p>
      <w:pPr>
        <w:pStyle w:val="Odsekzoznamu"/>
        <w:numPr>
          <w:ilvl w:val="0"/>
          <w:numId w:val="41"/>
        </w:numPr>
        <w:tabs>
          <w:tab w:val="left" w:pos="709"/>
        </w:tabs>
        <w:jc w:val="both"/>
        <w:rPr>
          <w:rFonts w:ascii="Arial" w:hAnsi="Arial" w:cs="Arial"/>
        </w:rPr>
      </w:pPr>
      <w:r>
        <w:rPr>
          <w:rFonts w:ascii="Arial" w:hAnsi="Arial" w:cs="Arial"/>
        </w:rPr>
        <w:t>spracovanie, resp. aktualizácia strategických dokumentov a územnoplánovacích podkladov (plány mobility</w:t>
      </w:r>
      <w:r>
        <w:rPr>
          <w:rStyle w:val="Odkaznapoznmkupodiarou"/>
          <w:rFonts w:ascii="Arial" w:hAnsi="Arial" w:cs="Arial"/>
        </w:rPr>
        <w:footnoteReference w:id="39"/>
      </w:r>
      <w:r>
        <w:rPr>
          <w:rFonts w:ascii="Arial" w:hAnsi="Arial" w:cs="Arial"/>
        </w:rPr>
        <w:t>, generely dopravy, plány dopravnej obsluhy);</w:t>
      </w:r>
    </w:p>
    <w:p>
      <w:pPr>
        <w:pStyle w:val="Odsekzoznamu"/>
        <w:numPr>
          <w:ilvl w:val="0"/>
          <w:numId w:val="41"/>
        </w:numPr>
        <w:tabs>
          <w:tab w:val="left" w:pos="709"/>
        </w:tabs>
        <w:jc w:val="both"/>
        <w:rPr>
          <w:rFonts w:ascii="Arial" w:hAnsi="Arial" w:cs="Arial"/>
        </w:rPr>
      </w:pPr>
      <w:r>
        <w:rPr>
          <w:rFonts w:ascii="Arial" w:hAnsi="Arial" w:cs="Arial"/>
        </w:rPr>
        <w:t>obnova a budovanie vyhradených jazdných pruhov pre verejnú osobnú dopravu;</w:t>
      </w:r>
    </w:p>
    <w:p>
      <w:pPr>
        <w:pStyle w:val="Odsekzoznamu"/>
        <w:numPr>
          <w:ilvl w:val="0"/>
          <w:numId w:val="41"/>
        </w:numPr>
        <w:tabs>
          <w:tab w:val="left" w:pos="709"/>
        </w:tabs>
        <w:jc w:val="both"/>
        <w:rPr>
          <w:rFonts w:ascii="Arial" w:hAnsi="Arial" w:cs="Arial"/>
        </w:rPr>
      </w:pPr>
      <w:r>
        <w:rPr>
          <w:rFonts w:ascii="Arial" w:hAnsi="Arial" w:cs="Arial"/>
        </w:rPr>
        <w:t>náhrada autobusov mestskej hromadnej dopravy alebo prímestskej autobusovej dopravy na dieselový pohon vysokoenvironmentálnymi autobusmi, napr. plynovými autobusmi, hybridnými autobusmi alebo elektrobusmi, spolu s budovaním zodpovedajúcej zásobovacej infraštruktúry (napr. plniacich staníc plynu, nabíjacích staníc) vrátane nákupu nízkopodlažných/low-entry nízkoemisných autobusov/elektrobusov</w:t>
      </w:r>
      <w:r>
        <w:rPr>
          <w:rStyle w:val="Odkaznapoznmkupodiarou"/>
          <w:rFonts w:ascii="Arial" w:hAnsi="Arial" w:cs="Arial"/>
        </w:rPr>
        <w:footnoteReference w:id="40"/>
      </w:r>
      <w:r>
        <w:rPr>
          <w:rFonts w:ascii="Arial" w:hAnsi="Arial" w:cs="Arial"/>
        </w:rPr>
        <w:t xml:space="preserve">;  </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prestupných terminálov</w:t>
      </w:r>
      <w:r>
        <w:rPr>
          <w:rStyle w:val="Odkaznapoznmkupodiarou"/>
          <w:rFonts w:ascii="Arial" w:hAnsi="Arial" w:cs="Arial"/>
        </w:rPr>
        <w:footnoteReference w:id="41"/>
      </w:r>
      <w:r>
        <w:rPr>
          <w:rFonts w:ascii="Arial" w:hAnsi="Arial" w:cs="Arial"/>
        </w:rPr>
        <w:t>, okrem terminálov so zásahom do železničnej infraštruktúry</w:t>
      </w:r>
      <w:r>
        <w:rPr>
          <w:rStyle w:val="Odkaznapoznmkupodiarou"/>
          <w:rFonts w:ascii="Arial" w:hAnsi="Arial" w:cs="Arial"/>
        </w:rPr>
        <w:footnoteReference w:id="42"/>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integrovaných zastávok subsystémov verejnej osobnej dopravy</w:t>
      </w:r>
      <w:r>
        <w:rPr>
          <w:rStyle w:val="Odkaznapoznmkupodiarou"/>
          <w:rFonts w:ascii="Arial" w:hAnsi="Arial" w:cs="Arial"/>
        </w:rPr>
        <w:footnoteReference w:id="43"/>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obratísk cestnej verejnej osobnej dopravy;</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záchytných parkovísk Park &amp; Ride (P+R), Kiss &amp; Ride (K+R), Bike &amp; Ride (B+R)</w:t>
      </w:r>
      <w:r>
        <w:rPr>
          <w:rStyle w:val="Odkaznapoznmkupodiarou"/>
          <w:rFonts w:ascii="Arial" w:hAnsi="Arial" w:cs="Arial"/>
        </w:rPr>
        <w:footnoteReference w:id="44"/>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t>zavádzanie opatrení preferencie verejnej osobnej dopravy;</w:t>
      </w:r>
    </w:p>
    <w:p>
      <w:pPr>
        <w:pStyle w:val="Odsekzoznamu"/>
        <w:numPr>
          <w:ilvl w:val="0"/>
          <w:numId w:val="41"/>
        </w:numPr>
        <w:tabs>
          <w:tab w:val="left" w:pos="709"/>
        </w:tabs>
        <w:jc w:val="both"/>
        <w:rPr>
          <w:rFonts w:ascii="Arial" w:hAnsi="Arial" w:cs="Arial"/>
        </w:rPr>
      </w:pPr>
      <w:r>
        <w:rPr>
          <w:rFonts w:ascii="Arial" w:hAnsi="Arial" w:cs="Arial"/>
        </w:rPr>
        <w:t>modernizácia existujúcich a zavádzanie nových integrovaných dopravných systémov  - technická podpora softvérového zabezpečenia (napr. tarifné a informačné systémy, dispečerské systémy) ako aj hardvérového vybavenia (označovače lístkov, predajné automaty, zastávkové informačné systémy a pod.);</w:t>
      </w:r>
    </w:p>
    <w:p>
      <w:pPr>
        <w:pStyle w:val="Odsekzoznamu"/>
        <w:numPr>
          <w:ilvl w:val="0"/>
          <w:numId w:val="41"/>
        </w:numPr>
        <w:tabs>
          <w:tab w:val="left" w:pos="709"/>
        </w:tabs>
        <w:jc w:val="both"/>
        <w:rPr>
          <w:rFonts w:ascii="Arial" w:hAnsi="Arial" w:cs="Arial"/>
        </w:rPr>
      </w:pPr>
      <w:r>
        <w:rPr>
          <w:rFonts w:ascii="Arial" w:hAnsi="Arial" w:cs="Arial"/>
        </w:rPr>
        <w:t>zavádzanie doplnkových služieb verejnej osobnej dopravy (napr. preprava bicyklov, lyží, internetové pripojenie a pod.);</w:t>
      </w:r>
    </w:p>
    <w:p>
      <w:pPr>
        <w:pStyle w:val="Odsekzoznamu"/>
        <w:numPr>
          <w:ilvl w:val="0"/>
          <w:numId w:val="41"/>
        </w:numPr>
        <w:tabs>
          <w:tab w:val="left" w:pos="709"/>
        </w:tabs>
        <w:jc w:val="both"/>
        <w:rPr>
          <w:rFonts w:ascii="Arial" w:hAnsi="Arial" w:cs="Arial"/>
        </w:rPr>
      </w:pPr>
      <w:r>
        <w:rPr>
          <w:rFonts w:ascii="Arial" w:hAnsi="Arial" w:cs="Arial"/>
        </w:rPr>
        <w:t>podpora informovanosti verejnosti s cieľom zvyšovania atraktivity verejnej osobnej dopravy (napr. webové portály a mobilné aplikácie).</w:t>
      </w:r>
    </w:p>
    <w:p>
      <w:pPr>
        <w:jc w:val="both"/>
        <w:rPr>
          <w:rFonts w:ascii="Arial" w:hAnsi="Arial" w:cs="Arial"/>
        </w:rPr>
      </w:pPr>
      <w:r>
        <w:rPr>
          <w:rFonts w:ascii="Arial" w:hAnsi="Arial" w:cs="Arial"/>
        </w:rPr>
        <w:t xml:space="preserve">V procese tvorby stratégií pre VOD bude potrebné zabezpečiť vypracovanie základných strategických dokumentov na mestskej a regionálnej úrovni: </w:t>
      </w:r>
    </w:p>
    <w:p>
      <w:pPr>
        <w:pStyle w:val="Odsekzoznamu"/>
        <w:numPr>
          <w:ilvl w:val="0"/>
          <w:numId w:val="2"/>
        </w:numPr>
        <w:tabs>
          <w:tab w:val="clear" w:pos="360"/>
          <w:tab w:val="num" w:pos="720"/>
        </w:tabs>
        <w:ind w:left="720"/>
        <w:jc w:val="both"/>
        <w:rPr>
          <w:rFonts w:ascii="Arial" w:hAnsi="Arial" w:cs="Arial"/>
        </w:rPr>
      </w:pPr>
      <w:r>
        <w:rPr>
          <w:rFonts w:ascii="Arial" w:hAnsi="Arial" w:cs="Arial"/>
          <w:b/>
        </w:rPr>
        <w:lastRenderedPageBreak/>
        <w:t>plánu udržateľnej mestskej mobility</w:t>
      </w:r>
      <w:r>
        <w:rPr>
          <w:rFonts w:ascii="Arial" w:hAnsi="Arial" w:cs="Arial"/>
        </w:rPr>
        <w:t>, ktorý predstavuje strategický plán navrhnutý pre uspokojovanie mobilných potrieb ľudí a podnikateľov v obciach a mestách a pre zvýšenie kvality ich života</w:t>
      </w:r>
      <w:r>
        <w:rPr>
          <w:rStyle w:val="Odkaznapoznmkupodiarou"/>
          <w:rFonts w:ascii="Arial" w:hAnsi="Arial" w:cs="Arial"/>
        </w:rPr>
        <w:footnoteReference w:id="45"/>
      </w:r>
      <w:r>
        <w:rPr>
          <w:rFonts w:ascii="Arial" w:hAnsi="Arial" w:cs="Arial"/>
        </w:rPr>
        <w:t>,</w:t>
      </w:r>
    </w:p>
    <w:p>
      <w:pPr>
        <w:pStyle w:val="Odsekzoznamu"/>
        <w:numPr>
          <w:ilvl w:val="0"/>
          <w:numId w:val="2"/>
        </w:numPr>
        <w:tabs>
          <w:tab w:val="clear" w:pos="360"/>
          <w:tab w:val="num" w:pos="720"/>
        </w:tabs>
        <w:ind w:left="720"/>
        <w:jc w:val="both"/>
        <w:rPr>
          <w:rFonts w:ascii="Arial" w:hAnsi="Arial" w:cs="Arial"/>
        </w:rPr>
      </w:pPr>
      <w:r>
        <w:rPr>
          <w:rFonts w:ascii="Arial" w:hAnsi="Arial" w:cs="Arial"/>
          <w:b/>
        </w:rPr>
        <w:t>plánu dopravnej obsluhy regiónu s dopravnou a tarifnou integráciou všetkých subsystémov mestskej a regionálnej verejnej osobnej dopravy</w:t>
      </w:r>
      <w:r>
        <w:rPr>
          <w:rFonts w:ascii="Arial" w:hAnsi="Arial" w:cs="Arial"/>
        </w:rPr>
        <w:t>, ktorý predstavuje návrh efektívnej dopravnej technológie verejnej osobnej dopravy so zohľadnením štandardov kvality a dopravnej obsluhy a faktorov vplývajúcich na dopyt po preprave a prepravnú ponuku.</w:t>
      </w:r>
    </w:p>
    <w:p>
      <w:pPr>
        <w:jc w:val="both"/>
        <w:rPr>
          <w:rFonts w:ascii="Arial" w:hAnsi="Arial" w:cs="Arial"/>
        </w:rPr>
      </w:pPr>
      <w:r>
        <w:rPr>
          <w:rFonts w:ascii="Arial" w:hAnsi="Arial" w:cs="Arial"/>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Spektrum aktivít v IROP bude zamerané na budovanie infraštruktúry mestskej a prímestskej dopravy (zastávky, prestupné terminály, záchytné parkoviská, a pod.), nákup ekologických autobusov pre mestskú aj prímestskú dopravu v rámci integrovaných dopravných systémov a podporu zavádzania jednotných tarifných systémov. V rámci OP II bude podporovaná obnova mobilného parku pre mestskú dráhovú dopravu, t. j. nákup električiek a trolejbusov, rekonštrukcia električkových tratí v Bratislave a Košiciach, výstavba (rozširovanie) trolejbusových tratí, výstavba a modernizácia infraštruktúry pre integrované dopravné systémy, obnova mobilných prostriedkov zabezpečujúcich železničnú osobnú prímestskú a regionálnu dopravu, výstavba prestupných terminálov  osobnej dopravy v nadväznosti na dráhovú dopravu, výstavba veľkokapacitných záchytných parkovísk s väzbou na dráhovú verejnú osobnú dopravu. Obnova vozidlového parku pre MHD bude prostredníctvom OP II nasmerovaná do miest Bratislava, Košice, Prešov, Žilina a Banská Bystrica. </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široká verejnosť.</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jc w:val="both"/>
        <w:rPr>
          <w:rFonts w:ascii="Arial" w:hAnsi="Arial" w:cs="Arial"/>
          <w:b/>
        </w:rPr>
      </w:pPr>
      <w:r>
        <w:rPr>
          <w:rFonts w:ascii="Arial" w:hAnsi="Arial" w:cs="Arial"/>
        </w:rPr>
        <w:t xml:space="preserve">Opatrenia týkajúce sa služieb vo verejnom záujme budú implementované v súlade s nariadením EP a Rady (ES) č. 1370 z 23. októbra 2007 o službách vo verejnom záujme v </w:t>
      </w:r>
      <w:r>
        <w:rPr>
          <w:rFonts w:ascii="Arial" w:hAnsi="Arial" w:cs="Arial"/>
        </w:rPr>
        <w:lastRenderedPageBreak/>
        <w:t>železničnej a cestnej osobnej doprave, ktorým sa zrušujú nariadenia Rady (EHS) č. 1191/69 a (EHS) č. 1107/70.</w:t>
      </w:r>
    </w:p>
    <w:p>
      <w:pPr>
        <w:jc w:val="both"/>
        <w:rPr>
          <w:rFonts w:ascii="Arial" w:hAnsi="Arial" w:cs="Arial"/>
          <w:b/>
        </w:rPr>
      </w:pPr>
    </w:p>
    <w:p>
      <w:pPr>
        <w:jc w:val="both"/>
        <w:rPr>
          <w:rFonts w:ascii="Arial" w:hAnsi="Arial" w:cs="Arial"/>
        </w:rPr>
      </w:pPr>
      <w:r>
        <w:rPr>
          <w:rFonts w:ascii="Arial" w:hAnsi="Arial" w:cs="Arial"/>
          <w:b/>
        </w:rPr>
        <w:t>Špecifický cieľ č. 1.2.2</w:t>
      </w:r>
      <w:r>
        <w:rPr>
          <w:rFonts w:ascii="Arial" w:hAnsi="Arial" w:cs="Arial"/>
        </w:rPr>
        <w:t xml:space="preserve"> je dosahovaný realizáciou nasledovných aktivít:</w:t>
      </w:r>
    </w:p>
    <w:p>
      <w:pPr>
        <w:pStyle w:val="Odsekzoznamu"/>
        <w:numPr>
          <w:ilvl w:val="0"/>
          <w:numId w:val="2"/>
        </w:numPr>
        <w:jc w:val="both"/>
        <w:rPr>
          <w:rFonts w:ascii="Arial" w:hAnsi="Arial" w:cs="Arial"/>
        </w:rPr>
      </w:pPr>
      <w:r>
        <w:rPr>
          <w:rFonts w:ascii="Arial" w:hAnsi="Arial" w:cs="Arial"/>
        </w:rPr>
        <w:t>spracovanie strategických dokumentov a územnoplánovacích podkladov;</w:t>
      </w:r>
    </w:p>
    <w:p>
      <w:pPr>
        <w:pStyle w:val="Odsekzoznamu"/>
        <w:numPr>
          <w:ilvl w:val="0"/>
          <w:numId w:val="2"/>
        </w:numPr>
        <w:jc w:val="both"/>
        <w:rPr>
          <w:rFonts w:ascii="Arial" w:hAnsi="Arial" w:cs="Arial"/>
        </w:rPr>
      </w:pPr>
      <w:r>
        <w:rPr>
          <w:rFonts w:ascii="Arial" w:hAnsi="Arial" w:cs="Arial"/>
        </w:rPr>
        <w:t xml:space="preserve">budovanie cyklistickej infraštruktúry (cyklodopravné účely): </w:t>
      </w:r>
    </w:p>
    <w:p>
      <w:pPr>
        <w:pStyle w:val="Odsekzoznamu"/>
        <w:numPr>
          <w:ilvl w:val="1"/>
          <w:numId w:val="2"/>
        </w:numPr>
        <w:tabs>
          <w:tab w:val="left" w:pos="709"/>
        </w:tabs>
        <w:jc w:val="both"/>
        <w:rPr>
          <w:rFonts w:ascii="Arial" w:hAnsi="Arial" w:cs="Arial"/>
        </w:rPr>
      </w:pPr>
      <w:r>
        <w:rPr>
          <w:rFonts w:ascii="Arial" w:hAnsi="Arial" w:cs="Arial"/>
        </w:rPr>
        <w:t xml:space="preserve">komunikácie - obnova a rekonštrukcia už existujúcich cyklistických komunikácií, budovanie nových cyklistických komunikácií, cyklokoridorov na existujúcich mestských komunikáciách, </w:t>
      </w:r>
    </w:p>
    <w:p>
      <w:pPr>
        <w:pStyle w:val="Odsekzoznamu"/>
        <w:numPr>
          <w:ilvl w:val="1"/>
          <w:numId w:val="2"/>
        </w:numPr>
        <w:tabs>
          <w:tab w:val="left" w:pos="709"/>
        </w:tabs>
        <w:jc w:val="both"/>
        <w:rPr>
          <w:rFonts w:ascii="Arial" w:hAnsi="Arial" w:cs="Arial"/>
        </w:rPr>
      </w:pPr>
      <w:r>
        <w:rPr>
          <w:rFonts w:ascii="Arial" w:hAnsi="Arial" w:cs="Arial"/>
        </w:rPr>
        <w:t>doplnková infraštruktúra (napr. chránené parkoviská pre bicykle, cyklostojany, nabíjacie stanice pre elektrobicykle systémy automatickej požičovne bicyklov a pod.);</w:t>
      </w:r>
    </w:p>
    <w:p>
      <w:pPr>
        <w:pStyle w:val="Odsekzoznamu"/>
        <w:numPr>
          <w:ilvl w:val="0"/>
          <w:numId w:val="2"/>
        </w:numPr>
        <w:jc w:val="both"/>
        <w:rPr>
          <w:rFonts w:ascii="Arial" w:hAnsi="Arial" w:cs="Arial"/>
        </w:rPr>
      </w:pPr>
      <w:r>
        <w:rPr>
          <w:rFonts w:ascii="Arial" w:hAnsi="Arial" w:cs="Arial"/>
        </w:rPr>
        <w:t>budovanie prvkov upokojovania dopravy (pešie zóny, shared space</w:t>
      </w:r>
      <w:r>
        <w:rPr>
          <w:rStyle w:val="Odkaznapoznmkupodiarou"/>
          <w:rFonts w:ascii="Arial" w:hAnsi="Arial" w:cs="Arial"/>
        </w:rPr>
        <w:footnoteReference w:id="46"/>
      </w:r>
      <w:r>
        <w:rPr>
          <w:rFonts w:ascii="Arial" w:hAnsi="Arial" w:cs="Arial"/>
        </w:rPr>
        <w:t>, vylúčenie dopravy z ulíc okrem mestskej hromadnej dopravy a cyklistov, a pod.);</w:t>
      </w:r>
    </w:p>
    <w:p>
      <w:pPr>
        <w:pStyle w:val="Odsekzoznamu"/>
        <w:numPr>
          <w:ilvl w:val="0"/>
          <w:numId w:val="2"/>
        </w:numPr>
        <w:jc w:val="both"/>
        <w:rPr>
          <w:rFonts w:ascii="Arial" w:hAnsi="Arial" w:cs="Arial"/>
        </w:rPr>
      </w:pPr>
      <w:r>
        <w:rPr>
          <w:rFonts w:ascii="Arial" w:hAnsi="Arial" w:cs="Arial"/>
        </w:rPr>
        <w:t>revitalizácia verejných priestorov s cieľom uprednostnenia verejnej osobnej dopravy a nemotorovej dopravy v kontexte komplexnosti poskytovaných dopravných služieb a väzieb na funkcie územia;</w:t>
      </w:r>
    </w:p>
    <w:p>
      <w:pPr>
        <w:pStyle w:val="Odsekzoznamu"/>
        <w:numPr>
          <w:ilvl w:val="0"/>
          <w:numId w:val="2"/>
        </w:numPr>
        <w:jc w:val="both"/>
        <w:rPr>
          <w:rFonts w:ascii="Arial" w:hAnsi="Arial" w:cs="Arial"/>
        </w:rPr>
      </w:pPr>
      <w:r>
        <w:rPr>
          <w:rFonts w:ascii="Arial" w:hAnsi="Arial" w:cs="Arial"/>
        </w:rPr>
        <w:t>zvyšovanie bezpečnosti zraniteľných účastníkov cestnej premávky, odstraňovanie úzkych miest v pešej doprave, odstraňovanie bariér pri prestupovaní, a pod.;</w:t>
      </w:r>
    </w:p>
    <w:p>
      <w:pPr>
        <w:pStyle w:val="Odsekzoznamu"/>
        <w:numPr>
          <w:ilvl w:val="0"/>
          <w:numId w:val="2"/>
        </w:numPr>
        <w:jc w:val="both"/>
        <w:rPr>
          <w:rFonts w:ascii="Arial" w:hAnsi="Arial" w:cs="Arial"/>
        </w:rPr>
      </w:pPr>
      <w:r>
        <w:rPr>
          <w:rFonts w:ascii="Arial" w:hAnsi="Arial" w:cs="Arial"/>
        </w:rPr>
        <w:t>propagácia a zvyšovanie atraktivity cyklistickej dopravy vo verejnosti.</w:t>
      </w:r>
    </w:p>
    <w:p>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široká verejnosť.</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pStyle w:val="Odsekzoznamu"/>
        <w:jc w:val="both"/>
        <w:rPr>
          <w:rFonts w:ascii="Arial" w:hAnsi="Arial" w:cs="Arial"/>
        </w:rPr>
      </w:pPr>
    </w:p>
    <w:p>
      <w:pPr>
        <w:jc w:val="both"/>
        <w:rPr>
          <w:rFonts w:ascii="Arial" w:hAnsi="Arial" w:cs="Arial"/>
        </w:rPr>
      </w:pPr>
    </w:p>
    <w:p>
      <w:pPr>
        <w:pStyle w:val="Nadpis6"/>
        <w:rPr>
          <w:rFonts w:ascii="Arial" w:hAnsi="Arial" w:cs="Arial"/>
        </w:rPr>
      </w:pPr>
      <w:bookmarkStart w:id="18" w:name="_Toc387153904"/>
      <w:r>
        <w:rPr>
          <w:rFonts w:ascii="Arial" w:hAnsi="Arial" w:cs="Arial"/>
        </w:rPr>
        <w:lastRenderedPageBreak/>
        <w:t>2.1.2.2. Hlavné zásady výberu operácií</w:t>
      </w:r>
      <w:bookmarkEnd w:id="18"/>
    </w:p>
    <w:p>
      <w:pPr>
        <w:spacing w:line="240" w:lineRule="auto"/>
        <w:jc w:val="both"/>
        <w:rPr>
          <w:rFonts w:ascii="Arial" w:hAnsi="Arial" w:cs="Arial"/>
        </w:rPr>
      </w:pPr>
    </w:p>
    <w:p>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investičnej priority 1.2.</w:t>
      </w:r>
      <w:r>
        <w:rPr>
          <w:rFonts w:ascii="Arial" w:hAnsi="Arial" w:cs="Arial"/>
        </w:rPr>
        <w:t xml:space="preserve"> a dosiahnutie stanovených výsledkov navrhované operácie/projekty rešpektujú nasledovné princípy:</w:t>
      </w:r>
    </w:p>
    <w:p>
      <w:pPr>
        <w:pStyle w:val="Odsekzoznamu"/>
        <w:numPr>
          <w:ilvl w:val="0"/>
          <w:numId w:val="71"/>
        </w:numPr>
        <w:jc w:val="both"/>
        <w:rPr>
          <w:rFonts w:ascii="Arial" w:hAnsi="Arial" w:cs="Arial"/>
        </w:rPr>
      </w:pPr>
      <w:r>
        <w:rPr>
          <w:rFonts w:ascii="Arial" w:hAnsi="Arial" w:cs="Arial"/>
        </w:rPr>
        <w:t>financovanie infraštruktúry pre regionálnu VOD je možné len pre plne funkčné integrované dopravné systémy , ktoré sú v súlade s Bielou knihou o doprave EK,</w:t>
      </w:r>
    </w:p>
    <w:p>
      <w:pPr>
        <w:pStyle w:val="Odsekzoznamu"/>
        <w:numPr>
          <w:ilvl w:val="0"/>
          <w:numId w:val="71"/>
        </w:numPr>
        <w:jc w:val="both"/>
        <w:rPr>
          <w:rFonts w:ascii="Arial" w:hAnsi="Arial" w:cs="Arial"/>
        </w:rPr>
      </w:pPr>
      <w:r>
        <w:rPr>
          <w:rFonts w:ascii="Arial" w:hAnsi="Arial" w:cs="Arial"/>
        </w:rPr>
        <w:t>opatrenia v rámci investičnej priority do regionálnej VOD sú podmienené existenciou plánu dopravnej obsluhy regiónu, v prípade mestskej VOD vypracovaním plánu udržateľnej mestskej mobility,</w:t>
      </w:r>
    </w:p>
    <w:p>
      <w:pPr>
        <w:pStyle w:val="Odsekzoznamu"/>
        <w:numPr>
          <w:ilvl w:val="0"/>
          <w:numId w:val="71"/>
        </w:numPr>
        <w:jc w:val="both"/>
        <w:rPr>
          <w:rFonts w:ascii="Arial" w:hAnsi="Arial" w:cs="Arial"/>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pPr>
        <w:pStyle w:val="Odsekzoznamu"/>
        <w:numPr>
          <w:ilvl w:val="0"/>
          <w:numId w:val="71"/>
        </w:numPr>
        <w:jc w:val="both"/>
        <w:rPr>
          <w:rFonts w:ascii="Arial" w:hAnsi="Arial" w:cs="Arial"/>
        </w:rPr>
      </w:pPr>
      <w:r>
        <w:rPr>
          <w:rFonts w:ascii="Arial" w:hAnsi="Arial" w:cs="Arial"/>
        </w:rPr>
        <w:t xml:space="preserve">projekt prispieva k zvýšeniu  bezpečnosti, </w:t>
      </w:r>
    </w:p>
    <w:p>
      <w:pPr>
        <w:pStyle w:val="Odsekzoznamu"/>
        <w:numPr>
          <w:ilvl w:val="0"/>
          <w:numId w:val="71"/>
        </w:numPr>
        <w:jc w:val="both"/>
        <w:rPr>
          <w:rFonts w:ascii="Arial" w:hAnsi="Arial" w:cs="Arial"/>
        </w:rPr>
      </w:pPr>
    </w:p>
    <w:p>
      <w:pPr>
        <w:pStyle w:val="Odsekzoznamu"/>
        <w:numPr>
          <w:ilvl w:val="0"/>
          <w:numId w:val="71"/>
        </w:numPr>
        <w:jc w:val="both"/>
        <w:rPr>
          <w:rFonts w:ascii="Arial" w:hAnsi="Arial" w:cs="Arial"/>
        </w:rPr>
      </w:pPr>
      <w:r>
        <w:rPr>
          <w:rFonts w:ascii="Arial" w:hAnsi="Arial" w:cs="Arial"/>
        </w:rPr>
        <w:t xml:space="preserve">projekt obsahuje prvky pre elimináciu negatívnych vplyvov dopravy na životné prostredie s dôrazom na chránené územia a územia NATURA 2000, </w:t>
      </w:r>
    </w:p>
    <w:p>
      <w:pPr>
        <w:pStyle w:val="Odsekzoznamu"/>
        <w:numPr>
          <w:ilvl w:val="0"/>
          <w:numId w:val="71"/>
        </w:numPr>
        <w:rPr>
          <w:rFonts w:ascii="Arial" w:hAnsi="Arial" w:cs="Arial"/>
        </w:rPr>
      </w:pPr>
      <w:r>
        <w:rPr>
          <w:rFonts w:ascii="Arial" w:hAnsi="Arial" w:cs="Arial"/>
        </w:rPr>
        <w:t>projekt je výsledkom analýzy dopytu, posúdenia variant a analýzy nákladov a prínosov,projekt prispieva k zvýšeniu kvality verejnej osobnej dopravy,</w:t>
      </w:r>
    </w:p>
    <w:p>
      <w:pPr>
        <w:pStyle w:val="Odsekzoznamu"/>
        <w:numPr>
          <w:ilvl w:val="0"/>
          <w:numId w:val="71"/>
        </w:numPr>
        <w:rPr>
          <w:rFonts w:ascii="Arial" w:hAnsi="Arial" w:cs="Arial"/>
        </w:rPr>
      </w:pPr>
      <w:r>
        <w:rPr>
          <w:rFonts w:ascii="Arial" w:hAnsi="Arial" w:cs="Arial"/>
        </w:rPr>
        <w:t xml:space="preserve">projekt znižuje prevádzkové náklady verejnej dopravy, </w:t>
      </w:r>
    </w:p>
    <w:p>
      <w:pPr>
        <w:pStyle w:val="Odsekzoznamu"/>
        <w:numPr>
          <w:ilvl w:val="0"/>
          <w:numId w:val="71"/>
        </w:numPr>
        <w:rPr>
          <w:rFonts w:ascii="Arial" w:hAnsi="Arial" w:cs="Arial"/>
        </w:rPr>
      </w:pPr>
      <w:r>
        <w:rPr>
          <w:rFonts w:ascii="Arial" w:hAnsi="Arial" w:cs="Arial"/>
        </w:rPr>
        <w:t xml:space="preserve">projekt prispieva k integrácii a previazanosti služieb vo verejnej doprave, </w:t>
      </w:r>
    </w:p>
    <w:p>
      <w:pPr>
        <w:pStyle w:val="Odsekzoznamu"/>
        <w:numPr>
          <w:ilvl w:val="0"/>
          <w:numId w:val="71"/>
        </w:numPr>
        <w:rPr>
          <w:rFonts w:ascii="Arial" w:hAnsi="Arial" w:cs="Arial"/>
        </w:rPr>
      </w:pPr>
      <w:r>
        <w:rPr>
          <w:rFonts w:ascii="Arial" w:hAnsi="Arial" w:cs="Arial"/>
        </w:rPr>
        <w:t xml:space="preserve">projekt využíva moderné IKT vo väzbe na potreby cestujúcich, </w:t>
      </w:r>
    </w:p>
    <w:p>
      <w:pPr>
        <w:pStyle w:val="Odsekzoznamu"/>
        <w:numPr>
          <w:ilvl w:val="0"/>
          <w:numId w:val="71"/>
        </w:numPr>
        <w:rPr>
          <w:rFonts w:ascii="Arial" w:hAnsi="Arial" w:cs="Arial"/>
        </w:rPr>
      </w:pPr>
      <w:r>
        <w:rPr>
          <w:rFonts w:ascii="Arial" w:hAnsi="Arial" w:cs="Arial"/>
        </w:rPr>
        <w:t xml:space="preserve">projekt prispieva k rozvoju multimodality v osobnej doprave, </w:t>
      </w:r>
    </w:p>
    <w:p>
      <w:pPr>
        <w:pStyle w:val="Odsekzoznamu"/>
        <w:numPr>
          <w:ilvl w:val="0"/>
          <w:numId w:val="71"/>
        </w:numPr>
        <w:rPr>
          <w:rFonts w:ascii="Arial" w:hAnsi="Arial" w:cs="Arial"/>
        </w:rPr>
      </w:pPr>
      <w:r>
        <w:rPr>
          <w:rFonts w:ascii="Arial" w:hAnsi="Arial" w:cs="Arial"/>
        </w:rPr>
        <w:t xml:space="preserve">projekt reaguje na potreby osôb so špecifickými potrebami, </w:t>
      </w:r>
    </w:p>
    <w:p>
      <w:pPr>
        <w:pStyle w:val="Odsekzoznamu"/>
        <w:numPr>
          <w:ilvl w:val="0"/>
          <w:numId w:val="71"/>
        </w:numPr>
        <w:rPr>
          <w:rFonts w:ascii="Arial" w:hAnsi="Arial" w:cs="Arial"/>
        </w:rPr>
      </w:pPr>
      <w:r>
        <w:rPr>
          <w:rFonts w:ascii="Arial" w:hAnsi="Arial" w:cs="Arial"/>
        </w:rPr>
        <w:t xml:space="preserve">projekt prispieva k zvýšeniu bezpečnosti zraniteľných účastníkov cestnej premávky, </w:t>
      </w:r>
    </w:p>
    <w:p>
      <w:pPr>
        <w:pStyle w:val="Odsekzoznamu"/>
        <w:numPr>
          <w:ilvl w:val="0"/>
          <w:numId w:val="71"/>
        </w:numPr>
        <w:rPr>
          <w:rFonts w:ascii="Arial" w:hAnsi="Arial" w:cs="Arial"/>
        </w:rPr>
      </w:pPr>
      <w:r>
        <w:rPr>
          <w:rFonts w:ascii="Arial" w:hAnsi="Arial" w:cs="Arial"/>
        </w:rPr>
        <w:t>projekt prispieva  k segregácii cestnej dopravy  a cyklodopravy,</w:t>
      </w:r>
    </w:p>
    <w:p>
      <w:pPr>
        <w:pStyle w:val="Odsekzoznamu"/>
        <w:numPr>
          <w:ilvl w:val="0"/>
          <w:numId w:val="71"/>
        </w:numPr>
        <w:rPr>
          <w:rFonts w:ascii="Arial" w:hAnsi="Arial" w:cs="Arial"/>
        </w:rPr>
      </w:pPr>
      <w:r>
        <w:rPr>
          <w:rFonts w:ascii="Arial" w:hAnsi="Arial" w:cs="Arial"/>
        </w:rPr>
        <w:t xml:space="preserve">pre projekty preukazujúce napojenosť cyklistickej infraštruktúry na verejnú osobnú dopravu bude platiť efektívna bonifikácia, </w:t>
      </w:r>
    </w:p>
    <w:p>
      <w:pPr>
        <w:pStyle w:val="Odsekzoznamu"/>
        <w:numPr>
          <w:ilvl w:val="0"/>
          <w:numId w:val="71"/>
        </w:numPr>
        <w:rPr>
          <w:rFonts w:ascii="Arial" w:hAnsi="Arial" w:cs="Arial"/>
        </w:rPr>
      </w:pPr>
      <w:r>
        <w:rPr>
          <w:rFonts w:ascii="Arial" w:hAnsi="Arial" w:cs="Arial"/>
        </w:rPr>
        <w:t xml:space="preserve">nové prestupné terminály a integrované zastávky nadväzujú na projekty budovania BID cez OP Integrovaná infraštruktúra, </w:t>
      </w:r>
    </w:p>
    <w:p>
      <w:pPr>
        <w:pStyle w:val="Odsekzoznamu"/>
        <w:numPr>
          <w:ilvl w:val="0"/>
          <w:numId w:val="71"/>
        </w:numPr>
        <w:rPr>
          <w:rFonts w:ascii="Arial" w:hAnsi="Arial" w:cs="Arial"/>
        </w:rPr>
      </w:pPr>
      <w:r>
        <w:rPr>
          <w:rFonts w:ascii="Arial" w:hAnsi="Arial" w:cs="Arial"/>
        </w:rPr>
        <w:t xml:space="preserve">prestupné terminály a integrované zastávky integrujú regionálnu verejnú osobnú dopravu a nosnú koľajovú sieť BID, </w:t>
      </w:r>
    </w:p>
    <w:p>
      <w:pPr>
        <w:pStyle w:val="Odsekzoznamu"/>
        <w:numPr>
          <w:ilvl w:val="0"/>
          <w:numId w:val="71"/>
        </w:numPr>
        <w:rPr>
          <w:rFonts w:ascii="Arial" w:hAnsi="Arial" w:cs="Arial"/>
        </w:rPr>
      </w:pPr>
      <w:r>
        <w:rPr>
          <w:rFonts w:ascii="Arial" w:hAnsi="Arial" w:cs="Arial"/>
        </w:rPr>
        <w:t xml:space="preserve">prestupné terminály a integrované zastávky integrujú regionálnu verejnú osobnú dopravu a mestskú hromadnú dopravu, </w:t>
      </w:r>
    </w:p>
    <w:p>
      <w:pPr>
        <w:pStyle w:val="Odsekzoznamu"/>
        <w:numPr>
          <w:ilvl w:val="0"/>
          <w:numId w:val="71"/>
        </w:numPr>
        <w:rPr>
          <w:rFonts w:ascii="Arial" w:hAnsi="Arial" w:cs="Arial"/>
          <w:i/>
        </w:rPr>
      </w:pPr>
      <w:r>
        <w:rPr>
          <w:rFonts w:ascii="Arial" w:hAnsi="Arial" w:cs="Arial"/>
        </w:rPr>
        <w:t>zastávkový informačný systém je napojený na dispečerský systém vybudovaný v PO 2007-2013,</w:t>
      </w:r>
    </w:p>
    <w:p>
      <w:pPr>
        <w:pStyle w:val="Odsekzoznamu"/>
        <w:numPr>
          <w:ilvl w:val="0"/>
          <w:numId w:val="71"/>
        </w:numPr>
        <w:rPr>
          <w:rFonts w:ascii="Arial" w:hAnsi="Arial" w:cs="Arial"/>
          <w:i/>
        </w:rPr>
      </w:pPr>
      <w:r>
        <w:rPr>
          <w:rFonts w:ascii="Arial" w:hAnsi="Arial" w:cs="Arial"/>
        </w:rPr>
        <w:t>projekt uplatňuje zásadu „znečisťovateľ platí“ ako podmienku výberu projektov.</w:t>
      </w:r>
    </w:p>
    <w:p>
      <w:pPr>
        <w:rPr>
          <w:rFonts w:ascii="Arial" w:hAnsi="Arial" w:cs="Arial"/>
          <w:i/>
        </w:rPr>
      </w:pPr>
      <w:r>
        <w:rPr>
          <w:rFonts w:ascii="Arial" w:hAnsi="Arial" w:cs="Arial"/>
        </w:rPr>
        <w:t>Uvedené princípy sa uplatňujú v závislosti od  typu a charakteru projektu.</w:t>
      </w:r>
    </w:p>
    <w:p>
      <w:pPr>
        <w:pStyle w:val="Nadpis6"/>
        <w:rPr>
          <w:rFonts w:ascii="Arial" w:hAnsi="Arial" w:cs="Arial"/>
        </w:rPr>
      </w:pPr>
      <w:bookmarkStart w:id="19" w:name="_Toc387153905"/>
      <w:r>
        <w:rPr>
          <w:rFonts w:ascii="Arial" w:hAnsi="Arial" w:cs="Arial"/>
        </w:rPr>
        <w:t>2.1.2.3. Plánované využitie finančných nástrojov</w:t>
      </w:r>
      <w:bookmarkEnd w:id="19"/>
    </w:p>
    <w:p>
      <w:pPr>
        <w:spacing w:before="240"/>
        <w:jc w:val="both"/>
        <w:rPr>
          <w:rFonts w:ascii="Arial" w:hAnsi="Arial" w:cs="Arial"/>
        </w:rPr>
      </w:pPr>
      <w:r>
        <w:rPr>
          <w:rFonts w:ascii="Arial" w:hAnsi="Arial" w:cs="Arial"/>
        </w:rPr>
        <w:t xml:space="preserve">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w:t>
      </w:r>
      <w:r>
        <w:rPr>
          <w:rFonts w:ascii="Arial" w:hAnsi="Arial" w:cs="Arial"/>
        </w:rPr>
        <w:lastRenderedPageBreak/>
        <w:t>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20" w:name="_Toc387153906"/>
      <w:r>
        <w:rPr>
          <w:rFonts w:ascii="Arial" w:hAnsi="Arial" w:cs="Arial"/>
        </w:rPr>
        <w:t>2.1.2.4  Plánované využitie veľkých  projektov</w:t>
      </w:r>
      <w:bookmarkEnd w:id="20"/>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21" w:name="_Toc387153907"/>
      <w:r>
        <w:rPr>
          <w:rFonts w:ascii="Arial" w:hAnsi="Arial" w:cs="Arial"/>
        </w:rPr>
        <w:t>2.1.2.5. Ukazovatele výstupov podľa investičnej priority a ak je to vhodné, podľa kategórie regiónu</w:t>
      </w:r>
      <w:bookmarkEnd w:id="21"/>
    </w:p>
    <w:p>
      <w:pPr>
        <w:spacing w:before="120"/>
        <w:rPr>
          <w:rFonts w:ascii="Arial" w:hAnsi="Arial" w:cs="Arial"/>
        </w:rPr>
      </w:pPr>
      <w:r>
        <w:rPr>
          <w:rStyle w:val="Siln"/>
          <w:rFonts w:ascii="Arial" w:hAnsi="Arial" w:cs="Arial"/>
        </w:rPr>
        <w:t>Tabuľka č. 14</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604"/>
        <w:gridCol w:w="1100"/>
        <w:gridCol w:w="1088"/>
        <w:gridCol w:w="982"/>
        <w:gridCol w:w="544"/>
        <w:gridCol w:w="544"/>
        <w:gridCol w:w="911"/>
        <w:gridCol w:w="949"/>
        <w:gridCol w:w="1190"/>
      </w:tblGrid>
      <w:tr>
        <w:trPr>
          <w:trHeight w:val="278"/>
        </w:trPr>
        <w:tc>
          <w:tcPr>
            <w:tcW w:w="3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0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8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8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99"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4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90"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0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8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8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4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91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MaZ</w:t>
            </w:r>
          </w:p>
        </w:tc>
        <w:tc>
          <w:tcPr>
            <w:tcW w:w="94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90"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MHD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MHD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Viac rozvinutý </w:t>
            </w:r>
            <w:r>
              <w:rPr>
                <w:rFonts w:ascii="Arial" w:hAnsi="Arial" w:cs="Arial"/>
                <w:sz w:val="16"/>
                <w:szCs w:val="16"/>
              </w:rPr>
              <w:lastRenderedPageBreak/>
              <w:t>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prímestskej dopravy</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štandardizovaných terminálov (veľkosť, štandard)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Terminál typu X</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štandardizovaných terminálov (veľkosť, štandard)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Terminál typu X</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Integrovaná zastávka</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Integrovaná zastávka</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Informačný systém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Informačný systém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Style w:val="Nadpis5"/>
        <w:shd w:val="clear" w:color="auto" w:fill="B8C1E9"/>
        <w:rPr>
          <w:rFonts w:ascii="Arial" w:hAnsi="Arial" w:cs="Arial"/>
        </w:rPr>
      </w:pPr>
      <w:bookmarkStart w:id="22" w:name="_Toc383369278"/>
      <w:bookmarkStart w:id="23" w:name="_Toc387153908"/>
      <w:r>
        <w:rPr>
          <w:rFonts w:ascii="Arial" w:hAnsi="Arial" w:cs="Arial"/>
        </w:rPr>
        <w:t>Výkonnostný rámec</w:t>
      </w:r>
      <w:bookmarkEnd w:id="22"/>
      <w:bookmarkEnd w:id="23"/>
    </w:p>
    <w:p>
      <w:pPr>
        <w:rPr>
          <w:rFonts w:ascii="Arial" w:hAnsi="Arial" w:cs="Arial"/>
        </w:rPr>
      </w:pPr>
    </w:p>
    <w:p>
      <w:pPr>
        <w:rPr>
          <w:rFonts w:ascii="Arial" w:hAnsi="Arial" w:cs="Arial"/>
        </w:rPr>
      </w:pPr>
      <w:r>
        <w:rPr>
          <w:rStyle w:val="Siln"/>
          <w:rFonts w:ascii="Arial" w:hAnsi="Arial" w:cs="Arial"/>
        </w:rPr>
        <w:t>Tabuľka č. 15</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708"/>
        <w:gridCol w:w="426"/>
        <w:gridCol w:w="425"/>
        <w:gridCol w:w="930"/>
        <w:gridCol w:w="629"/>
        <w:gridCol w:w="992"/>
      </w:tblGrid>
      <w:tr>
        <w:trPr>
          <w:trHeight w:val="646"/>
        </w:trPr>
        <w:tc>
          <w:tcPr>
            <w:tcW w:w="6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78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6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Dĺžka nových úsekov cyklistických komunikácií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Dĺžka nových úsekov cyklistických komunikácií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nahradených autobusov MHD</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Vozidlo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Počet nahradených </w:t>
            </w:r>
            <w:r>
              <w:rPr>
                <w:rFonts w:ascii="Arial" w:hAnsi="Arial" w:cs="Arial"/>
                <w:sz w:val="14"/>
                <w:szCs w:val="14"/>
              </w:rPr>
              <w:lastRenderedPageBreak/>
              <w:t>autobusov MHD</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lastRenderedPageBreak/>
              <w:t>Vozidlo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Viac rozvinutý </w:t>
            </w:r>
            <w:r>
              <w:rPr>
                <w:rFonts w:ascii="Arial" w:hAnsi="Arial" w:cs="Arial"/>
                <w:sz w:val="14"/>
                <w:szCs w:val="14"/>
              </w:rPr>
              <w:lastRenderedPageBreak/>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Počet štandardizovaných terminálov (veľkosť, štandard)</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Terminál typu X</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Počet štandardizovaných terminálov (veľkosť, štandard)</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Terminál typu X</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Style w:val="Nadpis5"/>
        <w:shd w:val="clear" w:color="auto" w:fill="B8C1E9"/>
        <w:rPr>
          <w:rFonts w:ascii="Arial" w:hAnsi="Arial" w:cs="Arial"/>
        </w:rPr>
      </w:pPr>
      <w:bookmarkStart w:id="24" w:name="_Toc383369279"/>
      <w:bookmarkStart w:id="25" w:name="_Toc387153909"/>
      <w:r>
        <w:rPr>
          <w:rFonts w:ascii="Arial" w:hAnsi="Arial" w:cs="Arial"/>
        </w:rPr>
        <w:t>Kategórie intervencie</w:t>
      </w:r>
      <w:bookmarkEnd w:id="24"/>
      <w:bookmarkEnd w:id="25"/>
    </w:p>
    <w:p>
      <w:pPr>
        <w:rPr>
          <w:rFonts w:ascii="Arial" w:hAnsi="Arial" w:cs="Arial"/>
        </w:rPr>
      </w:pPr>
    </w:p>
    <w:p>
      <w:pPr>
        <w:rPr>
          <w:rStyle w:val="Zvraznenie"/>
          <w:rFonts w:ascii="Arial" w:hAnsi="Arial" w:cs="Arial"/>
        </w:rPr>
      </w:pPr>
      <w:r>
        <w:rPr>
          <w:rStyle w:val="Siln"/>
          <w:rFonts w:ascii="Arial" w:hAnsi="Arial" w:cs="Arial"/>
        </w:rPr>
        <w:t>Tabuľka č. 16</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210 000 000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23 000 000</w:t>
            </w:r>
          </w:p>
        </w:tc>
      </w:tr>
    </w:tbl>
    <w:p>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400 000 000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68 000 000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24 000 000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iCs/>
                <w:sz w:val="16"/>
                <w:szCs w:val="16"/>
              </w:rPr>
            </w:pPr>
            <w:r>
              <w:rPr>
                <w:rFonts w:ascii="Arial" w:hAnsi="Arial" w:cs="Arial"/>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303 000 000</w:t>
            </w:r>
          </w:p>
        </w:tc>
      </w:tr>
    </w:tbl>
    <w:p>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310 000 000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sz w:val="16"/>
                <w:szCs w:val="16"/>
              </w:rPr>
              <w:t xml:space="preserve">Tabuľka 7: </w:t>
            </w: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750 000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250 000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iCs/>
                <w:sz w:val="16"/>
                <w:szCs w:val="16"/>
              </w:rPr>
            </w:pPr>
            <w:r>
              <w:rPr>
                <w:rFonts w:ascii="Arial" w:hAnsi="Arial" w:cs="Arial"/>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19 000 000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19 000 000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pPr>
        <w:rPr>
          <w:rStyle w:val="Zvraznenie"/>
          <w:rFonts w:ascii="Arial" w:hAnsi="Arial" w:cs="Arial"/>
        </w:rPr>
      </w:pPr>
    </w:p>
    <w:p>
      <w:pPr>
        <w:pStyle w:val="Nadpis5"/>
        <w:shd w:val="clear" w:color="auto" w:fill="B8C1E9"/>
        <w:jc w:val="both"/>
        <w:rPr>
          <w:rFonts w:ascii="Arial" w:hAnsi="Arial" w:cs="Arial"/>
        </w:rPr>
      </w:pPr>
      <w:bookmarkStart w:id="26" w:name="_Toc383369280"/>
      <w:bookmarkStart w:id="27" w:name="_Toc387153910"/>
      <w:r>
        <w:rPr>
          <w:rFonts w:ascii="Arial" w:hAnsi="Arial" w:cs="Arial"/>
        </w:rPr>
        <w:t>Súhrn plánovaného využitia technickej pomoci vrátane, ak je to vhodné, akcií na posilnenie administratívnej spôsobilosti orgánov zapojených do riadenia a kontroly programu a príjemcov</w:t>
      </w:r>
      <w:bookmarkEnd w:id="26"/>
      <w:bookmarkEnd w:id="27"/>
      <w:r>
        <w:rPr>
          <w:rFonts w:ascii="Arial" w:hAnsi="Arial" w:cs="Arial"/>
        </w:rPr>
        <w:t xml:space="preserve"> </w:t>
      </w:r>
    </w:p>
    <w:p>
      <w:pPr>
        <w:spacing w:after="0" w:line="240" w:lineRule="auto"/>
        <w:jc w:val="both"/>
        <w:rPr>
          <w:rFonts w:ascii="Arial" w:hAnsi="Arial" w:cs="Arial"/>
          <w:color w:val="000000"/>
          <w:lang w:eastAsia="sk-SK"/>
        </w:rPr>
      </w:pPr>
    </w:p>
    <w:p>
      <w:pPr>
        <w:spacing w:after="0" w:line="240" w:lineRule="auto"/>
        <w:jc w:val="both"/>
        <w:rPr>
          <w:rFonts w:ascii="Arial" w:hAnsi="Arial" w:cs="Arial"/>
          <w:color w:val="000000"/>
          <w:lang w:eastAsia="sk-SK"/>
        </w:rPr>
      </w:pPr>
      <w:r>
        <w:rPr>
          <w:rFonts w:ascii="Arial" w:hAnsi="Arial" w:cs="Arial"/>
          <w:color w:val="000000"/>
          <w:lang w:eastAsia="sk-SK"/>
        </w:rPr>
        <w:t>N/A</w:t>
      </w:r>
    </w:p>
    <w:p>
      <w:pPr>
        <w:pStyle w:val="Nadpis3"/>
        <w:shd w:val="clear" w:color="auto" w:fill="21306A"/>
        <w:rPr>
          <w:rFonts w:ascii="Arial" w:hAnsi="Arial" w:cs="Arial"/>
          <w:color w:val="FFFFFF"/>
          <w:sz w:val="28"/>
          <w:szCs w:val="28"/>
        </w:rPr>
        <w:sectPr>
          <w:pgSz w:w="11906" w:h="16838"/>
          <w:pgMar w:top="1417" w:right="1417" w:bottom="1417" w:left="1417" w:header="708" w:footer="708" w:gutter="0"/>
          <w:cols w:space="708"/>
          <w:docGrid w:linePitch="360"/>
        </w:sectPr>
      </w:pPr>
    </w:p>
    <w:p>
      <w:pPr>
        <w:pStyle w:val="Nadpis3"/>
        <w:shd w:val="clear" w:color="auto" w:fill="21306A"/>
        <w:rPr>
          <w:rFonts w:ascii="Arial" w:hAnsi="Arial" w:cs="Arial"/>
          <w:color w:val="FFFFFF"/>
          <w:sz w:val="28"/>
          <w:szCs w:val="28"/>
        </w:rPr>
      </w:pPr>
      <w:bookmarkStart w:id="28" w:name="_Toc387153911"/>
      <w:r>
        <w:rPr>
          <w:rFonts w:ascii="Arial" w:hAnsi="Arial" w:cs="Arial"/>
          <w:color w:val="FFFFFF"/>
          <w:sz w:val="28"/>
          <w:szCs w:val="28"/>
        </w:rPr>
        <w:lastRenderedPageBreak/>
        <w:t>2.2.Prioritná os č. 2: Ľahší prístup k efektívnym a kvalitnejším verejným službám</w:t>
      </w:r>
      <w:bookmarkEnd w:id="28"/>
    </w:p>
    <w:p>
      <w:pPr>
        <w:rPr>
          <w:rFonts w:ascii="Arial" w:hAnsi="Arial" w:cs="Arial"/>
        </w:rPr>
      </w:pPr>
    </w:p>
    <w:p>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je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b/>
        </w:rPr>
      </w:pPr>
    </w:p>
    <w:p>
      <w:pPr>
        <w:jc w:val="both"/>
        <w:rPr>
          <w:rFonts w:ascii="Arial" w:hAnsi="Arial" w:cs="Arial"/>
          <w:b/>
        </w:rPr>
      </w:pPr>
    </w:p>
    <w:p>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854 117 658</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63 826 396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
      <w:pPr>
        <w:pStyle w:val="Nadpis4"/>
        <w:shd w:val="clear" w:color="auto" w:fill="21306A"/>
        <w:jc w:val="both"/>
        <w:rPr>
          <w:rFonts w:ascii="Arial" w:hAnsi="Arial" w:cs="Arial"/>
          <w:color w:val="FFFFFF"/>
        </w:rPr>
      </w:pPr>
      <w:bookmarkStart w:id="29" w:name="_Toc387153912"/>
      <w:r>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29"/>
    </w:p>
    <w:p>
      <w:pPr>
        <w:rPr>
          <w:rFonts w:ascii="Arial" w:hAnsi="Arial" w:cs="Arial"/>
        </w:rPr>
      </w:pPr>
    </w:p>
    <w:p>
      <w:pPr>
        <w:rPr>
          <w:rFonts w:ascii="Arial" w:hAnsi="Arial" w:cs="Arial"/>
          <w:i/>
          <w:color w:val="4EACF3"/>
        </w:rPr>
      </w:pPr>
      <w:r>
        <w:rPr>
          <w:rFonts w:ascii="Arial" w:hAnsi="Arial" w:cs="Arial"/>
          <w:b/>
        </w:rPr>
        <w:t>Špecifický cieľ č. 2.1.1:</w:t>
      </w:r>
      <w:r>
        <w:rPr>
          <w:rFonts w:ascii="Arial" w:hAnsi="Arial" w:cs="Arial"/>
        </w:rPr>
        <w:t xml:space="preserve"> </w:t>
      </w:r>
    </w:p>
    <w:p>
      <w:pPr>
        <w:shd w:val="clear" w:color="auto" w:fill="D9D9D9"/>
        <w:jc w:val="both"/>
        <w:rPr>
          <w:rStyle w:val="Zvraznenie"/>
          <w:rFonts w:ascii="Arial" w:hAnsi="Arial" w:cs="Arial"/>
        </w:rPr>
      </w:pPr>
      <w:r>
        <w:rPr>
          <w:rStyle w:val="Zvraznenie"/>
          <w:rFonts w:ascii="Arial" w:hAnsi="Arial" w:cs="Arial"/>
        </w:rPr>
        <w:t xml:space="preserve">Podporiť prechod poskytovania sociálnych služieb a zabezpečenia výkonu opatrení sociálnoprávnej ochrany detí a sociálnej kurately v zariadení z inštitucionálnej formy na komunitnú (poskytovanú na komunitnej úrovni) </w:t>
      </w:r>
    </w:p>
    <w:p>
      <w:pPr>
        <w:jc w:val="both"/>
        <w:rPr>
          <w:rFonts w:ascii="Arial" w:hAnsi="Arial" w:cs="Arial"/>
        </w:rPr>
      </w:pPr>
      <w:r>
        <w:rPr>
          <w:rFonts w:ascii="Arial" w:hAnsi="Arial" w:cs="Arial"/>
        </w:rPr>
        <w:t xml:space="preserve">Proces prechodu poskytovania sociálnych služieb z inštitucionálnej formy na komunitnú a výkonu </w:t>
      </w:r>
      <w:r>
        <w:rPr>
          <w:rStyle w:val="Zvraznenie"/>
          <w:rFonts w:ascii="Arial" w:hAnsi="Arial" w:cs="Arial"/>
          <w:i w:val="0"/>
        </w:rPr>
        <w:t>opatrení sociálnoprávnej ochrany detí a sociálnej kurately v zariadení</w:t>
      </w:r>
      <w:r>
        <w:rPr>
          <w:rFonts w:ascii="Arial" w:hAnsi="Arial" w:cs="Arial"/>
          <w:i/>
        </w:rPr>
        <w:t xml:space="preserve"> </w:t>
      </w:r>
      <w:r>
        <w:rPr>
          <w:rFonts w:ascii="Arial" w:hAnsi="Arial" w:cs="Arial"/>
        </w:rPr>
        <w:t xml:space="preserve">na komunitnej úrovni je spojený nielen s opatreniami na zlepšovanie kvality služieb a opatrení vrátane vzdelávania zamestnancov, prípravy prijímateľov alebo prípravy komunity, ale aj s riešením priestorových podmienok (zmenami fyzického prostredia), v ktorých sa poskytuje alebo zabezpečuje príslušná starostlivosť. </w:t>
      </w:r>
      <w:r>
        <w:rPr>
          <w:rFonts w:ascii="Arial" w:hAnsi="Arial" w:cs="Arial"/>
          <w:b/>
        </w:rPr>
        <w:t>IROP bude investične podporovať vytváranie vhodných priestorových podmienok (vhodného fyzického prostredia) pre poskytovanie sociálnych služieb a zabezpečovanie výkonu sociálnoprávnej ochrany detí a sociálnej kurately v zariadení, ktoré sú v súlade so zásadami starostlivosti na komunitnej báze</w:t>
      </w:r>
      <w:r>
        <w:rPr>
          <w:rFonts w:ascii="Arial" w:hAnsi="Arial" w:cs="Arial"/>
        </w:rPr>
        <w:t>, t. j. v prirodzenom sociálnom prostredí alebo v prirodzených spoločenstvách organizačne a kultúrne čo najviac podobných bežnej rodine. Investovanie do budov a materiálno-technického vybavenia bude synergicky previazané s podporou „mäkkých“ aktivít financovaných z OP ĽZ. Úlohou OP ĽZ je vytvárať také podmienky, ktoré zabezpečia pri poskytovaní sociálnych služieb a výkonu sociálnoprávnej ochrany detí a sociálnej kurately zotrvanie osôb v ich domácom rodinnom prostredí alebo v komunite.  V prípade, že daná osoba nie je schopná, resp. nemôže zotrvať vo svojom domácom rodinnom prostredí,  sociálne služby, resp. náhradná starostlivosť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Prostredníctvom IROP sa budú podporovať takéto komunitné zariadenia umožňujúce nezávislý individuálny život za predpokladu posilnenia fungovania a variability komunitných služieb a rôznych preventívnych opatrení zo strany OP ĽZ.</w:t>
      </w:r>
    </w:p>
    <w:p>
      <w:pPr>
        <w:jc w:val="both"/>
        <w:rPr>
          <w:rFonts w:ascii="Arial" w:hAnsi="Arial" w:cs="Arial"/>
        </w:rPr>
      </w:pPr>
      <w:r>
        <w:rPr>
          <w:rFonts w:ascii="Arial" w:hAnsi="Arial" w:cs="Arial"/>
        </w:rPr>
        <w:lastRenderedPageBreak/>
        <w:t>Vo vzťahu k existujúcim zariadeniam sociálnych služieb s celoročným pobytom je nevyhnutné postupne znižovať počet tradičných veľkokapacitných zariadení sociálnych služieb, prevádzkovať zariadenia s nízkou kapacitou (zariadenia komunitnej starostlivosti) a podporovať terénne a ambulantné sociálne služby a sociálne služby v zariadeniach s týždenným pobytom.</w:t>
      </w:r>
    </w:p>
    <w:p>
      <w:pPr>
        <w:jc w:val="both"/>
        <w:rPr>
          <w:rFonts w:ascii="Arial" w:hAnsi="Arial" w:cs="Arial"/>
          <w:b/>
        </w:rPr>
      </w:pPr>
      <w:r>
        <w:rPr>
          <w:rFonts w:ascii="Arial" w:hAnsi="Arial" w:cs="Arial"/>
          <w:b/>
        </w:rPr>
        <w:t>Výsledok podpory IROP:</w:t>
      </w:r>
    </w:p>
    <w:p>
      <w:pPr>
        <w:pStyle w:val="Odsekzoznamu"/>
        <w:numPr>
          <w:ilvl w:val="0"/>
          <w:numId w:val="2"/>
        </w:numPr>
        <w:jc w:val="both"/>
        <w:rPr>
          <w:rFonts w:ascii="Arial" w:hAnsi="Arial" w:cs="Arial"/>
        </w:rPr>
      </w:pPr>
      <w:r>
        <w:rPr>
          <w:rFonts w:ascii="Arial" w:hAnsi="Arial" w:cs="Arial"/>
        </w:rPr>
        <w:t>transformácia a deinštitucionalizácia existujúcich zariadení s celoročným pobytom/pobytového charakteru na zariadenia poskytujúce sociálne služby a zabezpečujúce výkon opatrení sociálnoprávnej ochrany detí a sociálnej kurately  na komunitnej báze, t. j. v prirodzenom sociálnom prostredí alebo v prirodzených spoločenstvách organizačne a kultúrne čo najviac podobných bežnej rodine;</w:t>
      </w:r>
    </w:p>
    <w:p>
      <w:pPr>
        <w:pStyle w:val="Odsekzoznamu"/>
        <w:numPr>
          <w:ilvl w:val="0"/>
          <w:numId w:val="2"/>
        </w:numPr>
        <w:jc w:val="both"/>
      </w:pPr>
      <w:r>
        <w:rPr>
          <w:rFonts w:ascii="Arial" w:hAnsi="Arial" w:cs="Arial"/>
        </w:rPr>
        <w:t>skvalitnenie a rozšírenie ponuky existujúcich sociálnych služieb a opatrení sociálnoprávnej ochrany detí a sociálnej kurately, ktoré sa poskytujú/vykonávajú na komunitnej báze, v prirodzenom rodinnom prostredí, resp. náhradnom rodinnom prostredí, vrátane inovatívnych služieb komunitnej starostlivosti a inovatívnych opatrení;</w:t>
      </w:r>
    </w:p>
    <w:p>
      <w:pPr>
        <w:pStyle w:val="Odsekzoznamu"/>
        <w:numPr>
          <w:ilvl w:val="0"/>
          <w:numId w:val="2"/>
        </w:numPr>
        <w:jc w:val="both"/>
      </w:pPr>
      <w:r>
        <w:rPr>
          <w:rFonts w:ascii="Arial" w:hAnsi="Arial" w:cs="Arial"/>
        </w:rPr>
        <w:t>vybudovanie siete zariadení starostlivosti o detí do troch rokov veku za účelom podpory zosúladenia rodinného a pracovného života rodičov a zvýšenia zamestnanosti žien;</w:t>
      </w:r>
    </w:p>
    <w:p>
      <w:pPr>
        <w:pStyle w:val="Odsekzoznamu"/>
        <w:numPr>
          <w:ilvl w:val="0"/>
          <w:numId w:val="2"/>
        </w:numPr>
        <w:jc w:val="both"/>
      </w:pPr>
      <w:r>
        <w:rPr>
          <w:rFonts w:ascii="Arial" w:hAnsi="Arial" w:cs="Arial"/>
        </w:rPr>
        <w:t>zabezpečenie nových sociálnych služieb a opatrení sociálnoprávnej ochrany detí a sociálnej kurately, ktoré sa poskytujú/vykonávajú na komunitnej báze, vrátane inovatívnych služieb a opatrení komunitnej starostlivosti;</w:t>
      </w:r>
    </w:p>
    <w:p>
      <w:pPr>
        <w:pStyle w:val="Odsekzoznamu"/>
        <w:numPr>
          <w:ilvl w:val="0"/>
          <w:numId w:val="2"/>
        </w:numPr>
        <w:jc w:val="both"/>
      </w:pPr>
      <w:r>
        <w:rPr>
          <w:rFonts w:ascii="Arial" w:hAnsi="Arial" w:cs="Arial"/>
        </w:rPr>
        <w:t>dostupnosť rôznych foriem podpory rodičom a iným osobám zodpovedným za starostlivosť o dieťa.</w:t>
      </w:r>
    </w:p>
    <w:p>
      <w:pPr>
        <w:rPr>
          <w:rStyle w:val="Zvraznenie"/>
          <w:rFonts w:ascii="Arial" w:hAnsi="Arial" w:cs="Arial"/>
        </w:rPr>
      </w:pPr>
      <w:r>
        <w:rPr>
          <w:rStyle w:val="Siln"/>
          <w:rFonts w:ascii="Arial" w:hAnsi="Arial" w:cs="Arial"/>
        </w:rPr>
        <w:t>Tabuľka č. 17</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tc>
          <w:tcPr>
            <w:tcW w:w="40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w:t>
            </w:r>
            <w:r>
              <w:rPr>
                <w:rFonts w:ascii="Arial" w:hAnsi="Arial" w:cs="Arial"/>
                <w:sz w:val="16"/>
                <w:szCs w:val="16"/>
              </w:rPr>
              <w:lastRenderedPageBreak/>
              <w:t>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Štatistické výkazy MPSVR SR,</w:t>
            </w:r>
          </w:p>
          <w:p>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Štatistické výkazy MPSVR SR,</w:t>
            </w:r>
          </w:p>
          <w:p>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jc w:val="both"/>
        <w:rPr>
          <w:rFonts w:ascii="Arial" w:hAnsi="Arial" w:cs="Arial"/>
          <w:b/>
        </w:rPr>
      </w:pPr>
      <w:r>
        <w:rPr>
          <w:rFonts w:ascii="Arial" w:hAnsi="Arial" w:cs="Arial"/>
          <w:b/>
        </w:rPr>
        <w:t>Špecifický cieľ č. 2.1.2:</w:t>
      </w:r>
    </w:p>
    <w:p>
      <w:pPr>
        <w:shd w:val="clear" w:color="auto" w:fill="D9D9D9"/>
        <w:jc w:val="both"/>
        <w:rPr>
          <w:rFonts w:ascii="Arial" w:hAnsi="Arial" w:cs="Arial"/>
        </w:rPr>
      </w:pPr>
      <w:r>
        <w:rPr>
          <w:rStyle w:val="Zvraznenie"/>
          <w:rFonts w:ascii="Arial" w:hAnsi="Arial" w:cs="Arial"/>
        </w:rPr>
        <w:t>Modernizovať zdravotnícku infraštruktúru za účelom zlepšenia dostupnosti ku kvalitným  službám v oblasti primárnej zdravotnej starostlivosti</w:t>
      </w:r>
    </w:p>
    <w:p>
      <w:pPr>
        <w:spacing w:before="120"/>
        <w:jc w:val="both"/>
        <w:rPr>
          <w:rFonts w:ascii="Arial" w:eastAsiaTheme="minorHAnsi" w:hAnsi="Arial" w:cs="Arial"/>
        </w:rPr>
      </w:pPr>
      <w:r>
        <w:rPr>
          <w:rFonts w:ascii="Arial" w:eastAsiaTheme="minorHAnsi" w:hAnsi="Arial" w:cs="Arial"/>
        </w:rPr>
        <w:t>Slovensko v súčasnosti v porovnaní s ostatnými krajinami EÚ dosahuje nízku úroveň efektivity zdravotníctva. Jedným z hlavných dôsledkov je kratší počet rokov života v zdraví (Healthy life years) obyvateľov Slovenska oproti priemeru krajín EÚ. Kým obyvatelia Slovenska žijú v zdraví priemerne 52,2 roka, u obyvateľov EÚ je to takmer o 10 rokov viac (62 rokov)</w:t>
      </w:r>
      <w:r>
        <w:rPr>
          <w:rStyle w:val="Odkaznapoznmkupodiarou"/>
          <w:rFonts w:ascii="Arial" w:eastAsiaTheme="minorHAnsi" w:hAnsi="Arial" w:cs="Arial"/>
        </w:rPr>
        <w:footnoteReference w:id="47"/>
      </w:r>
      <w:r>
        <w:rPr>
          <w:rFonts w:ascii="Arial" w:eastAsiaTheme="minorHAnsi" w:hAnsi="Arial" w:cs="Arial"/>
        </w:rPr>
        <w:t>. Prehlbuje sa tým pravdepodobnosť sociálnej exklúzie obyvateľstva hlavne v preddôchodkovom veku z dôvodu zhoršovania sa ich zdravotného stavu – najmä chronické ochorenia a polymorbídne stavy</w:t>
      </w:r>
      <w:r>
        <w:rPr>
          <w:rStyle w:val="Odkaznapoznmkupodiarou"/>
          <w:rFonts w:ascii="Arial" w:eastAsiaTheme="minorHAnsi" w:hAnsi="Arial" w:cs="Arial"/>
        </w:rPr>
        <w:footnoteReference w:id="48"/>
      </w:r>
      <w:r>
        <w:rPr>
          <w:rFonts w:ascii="Arial" w:eastAsiaTheme="minorHAnsi" w:hAnsi="Arial" w:cs="Arial"/>
        </w:rPr>
        <w:t>.</w:t>
      </w:r>
    </w:p>
    <w:p>
      <w:pPr>
        <w:spacing w:before="120"/>
        <w:jc w:val="both"/>
        <w:rPr>
          <w:rFonts w:ascii="Arial" w:eastAsiaTheme="minorHAnsi" w:hAnsi="Arial" w:cs="Arial"/>
        </w:rPr>
      </w:pPr>
      <w:r>
        <w:rPr>
          <w:rFonts w:ascii="Arial" w:eastAsiaTheme="minorHAnsi" w:hAnsi="Arial" w:cs="Arial"/>
        </w:rPr>
        <w:t>Nízka úroveň a záchyt chronických ochorení v ranom štádiu a neefektívny manažment pacienta v primárnej ambulantnej a následnej zdravotnej starostlivosti zvyšuje nároky na špecializovanú starostlivosť ako aj hospitalizácie a zhoršuje zdravotný stav obyvateľstva SR, čím hlavne starších obyvateľov v produktívnom veku znevýhodňuje na trhu práce a prispieva k sociálnemu vylúčeniu.</w:t>
      </w:r>
    </w:p>
    <w:p>
      <w:pPr>
        <w:jc w:val="both"/>
        <w:rPr>
          <w:rFonts w:ascii="Arial" w:hAnsi="Arial" w:cs="Arial"/>
        </w:rPr>
      </w:pPr>
      <w:r>
        <w:rPr>
          <w:rFonts w:ascii="Arial" w:hAnsi="Arial" w:cs="Arial"/>
        </w:rPr>
        <w:t xml:space="preserve">Východiskovým strategickým dokumentom, ktorý popisuje problémy slovenského zdravotníctva, v strednodobom horizonte určuje smerovanie štátnej politiky zdravia, stanovuje prioritné oblasti a kvantifikuje očakávaný cieľový stav v roku 2030 je „Strategický rámec starostlivosti o zdravie pre roky 2014 – 2030“ (ďalej len „strategický rámec“). </w:t>
      </w:r>
    </w:p>
    <w:p>
      <w:pPr>
        <w:jc w:val="both"/>
        <w:rPr>
          <w:rFonts w:ascii="Arial" w:hAnsi="Arial" w:cs="Arial"/>
          <w:color w:val="222222"/>
          <w:sz w:val="24"/>
          <w:szCs w:val="24"/>
        </w:rPr>
      </w:pPr>
      <w:r>
        <w:rPr>
          <w:rFonts w:ascii="Arial" w:hAnsi="Arial" w:cs="Arial"/>
        </w:rPr>
        <w:t xml:space="preserve">V nadväznosti na údaje v strategickom rámci je priemerný počet návštev pacientov u lekára za rok na Slovensku skoro dvojnásobný (11,3) v porovnaní s priemerom krajín OECD (6,4). </w:t>
      </w:r>
      <w:r>
        <w:rPr>
          <w:rFonts w:ascii="Arial" w:hAnsi="Arial" w:cs="Arial"/>
        </w:rPr>
        <w:lastRenderedPageBreak/>
        <w:t xml:space="preserve">Vysoký počet návštev pacientov u lekára manifestuje nedostatočný manažment pacienta primárnym lekárom, keď viac ako 80% pacientov s chronickými chorobami je odoslaných od lekára prvého kontaktu k špecialistom. Jedna z príčin tejto skutočnosti je nízka integrácia poskytovateľov zdravotnej starostlivosti, ktorú dokazuje vysoká rozdrobenosť poskytovateľov primárnej zdravotnej starostlivosti v rámci územia Slovenska, kde v 623 územných jednotkách (obciach) je 1774 kontaktných miest </w:t>
      </w:r>
      <w:r>
        <w:rPr>
          <w:rStyle w:val="hps"/>
          <w:rFonts w:ascii="Arial" w:hAnsi="Arial" w:cs="Arial"/>
        </w:rPr>
        <w:t xml:space="preserve">(adresa zdravotníckeho zariadenia) </w:t>
      </w:r>
      <w:r>
        <w:rPr>
          <w:rFonts w:ascii="Arial" w:hAnsi="Arial" w:cs="Arial"/>
        </w:rPr>
        <w:t xml:space="preserve">s celkovým počtom 2893 lekárov primárneho kontaktu (všeobecní lekári pre dospelých a všeobecní lekári pre deti a dorast). </w:t>
      </w:r>
      <w:r>
        <w:rPr>
          <w:rStyle w:val="hps"/>
          <w:rFonts w:ascii="Arial" w:hAnsi="Arial" w:cs="Arial"/>
        </w:rPr>
        <w:t xml:space="preserve">V súčasnosti pripadá na jedno kontaktné miesto  iba 1,63 plného úväzku všeobecného lekára primárneho kontaktu pre dospelých. </w:t>
      </w:r>
      <w:r>
        <w:rPr>
          <w:rFonts w:ascii="Arial" w:hAnsi="Arial" w:cs="Arial"/>
        </w:rPr>
        <w:t xml:space="preserve">Zo skúseností z iných krajín je evidentné, že systémy zdravotnej starostlivosti, kde funguje skupinová spolupráca lekárov primárnej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 </w:t>
      </w:r>
    </w:p>
    <w:p>
      <w:pPr>
        <w:jc w:val="both"/>
        <w:rPr>
          <w:rFonts w:ascii="Arial" w:hAnsi="Arial" w:cs="Arial"/>
          <w:color w:val="222222"/>
          <w:sz w:val="24"/>
          <w:szCs w:val="24"/>
        </w:rPr>
      </w:pPr>
      <w:r>
        <w:rPr>
          <w:rStyle w:val="hps"/>
          <w:rFonts w:ascii="Arial" w:hAnsi="Arial" w:cs="Arial"/>
        </w:rPr>
        <w:t>Primárna</w:t>
      </w:r>
      <w:r>
        <w:rPr>
          <w:rFonts w:ascii="Arial" w:hAnsi="Arial" w:cs="Arial"/>
        </w:rPr>
        <w:t xml:space="preserve"> </w:t>
      </w:r>
      <w:r>
        <w:rPr>
          <w:rStyle w:val="hps"/>
          <w:rFonts w:ascii="Arial" w:hAnsi="Arial" w:cs="Arial"/>
        </w:rPr>
        <w:t>zdravotná starostlivosť</w:t>
      </w:r>
      <w:r>
        <w:rPr>
          <w:rFonts w:ascii="Arial" w:hAnsi="Arial" w:cs="Arial"/>
        </w:rPr>
        <w:t xml:space="preserve"> je základným pilierom zdravotnej starostlivosti a je dôležité ju prispôsobiť súčasným a budúcim požiadavkám a trendom ako sú </w:t>
      </w:r>
      <w:r>
        <w:rPr>
          <w:rStyle w:val="hps"/>
          <w:rFonts w:ascii="Arial" w:hAnsi="Arial" w:cs="Arial"/>
        </w:rPr>
        <w:t>zvyšujúca</w:t>
      </w:r>
      <w:r>
        <w:rPr>
          <w:rFonts w:ascii="Arial" w:hAnsi="Arial" w:cs="Arial"/>
        </w:rPr>
        <w:t xml:space="preserve"> </w:t>
      </w:r>
      <w:r>
        <w:rPr>
          <w:rStyle w:val="hps"/>
          <w:rFonts w:ascii="Arial" w:hAnsi="Arial" w:cs="Arial"/>
        </w:rPr>
        <w:t>sa</w:t>
      </w:r>
      <w:r>
        <w:rPr>
          <w:rFonts w:ascii="Arial" w:hAnsi="Arial" w:cs="Arial"/>
        </w:rPr>
        <w:t xml:space="preserve"> prevalencia </w:t>
      </w:r>
      <w:r>
        <w:rPr>
          <w:rStyle w:val="hps"/>
          <w:rFonts w:ascii="Arial" w:hAnsi="Arial" w:cs="Arial"/>
        </w:rPr>
        <w:t xml:space="preserve">chronických ochorení, </w:t>
      </w:r>
      <w:r>
        <w:rPr>
          <w:rFonts w:ascii="Arial" w:hAnsi="Arial" w:cs="Arial"/>
        </w:rPr>
        <w:t>znižovanie počtu hospitalizácií,</w:t>
      </w:r>
      <w:r>
        <w:rPr>
          <w:rStyle w:val="hps"/>
          <w:rFonts w:ascii="Arial" w:hAnsi="Arial" w:cs="Arial"/>
        </w:rPr>
        <w:t xml:space="preserve"> dopyt po</w:t>
      </w:r>
      <w:r>
        <w:rPr>
          <w:rFonts w:ascii="Arial" w:hAnsi="Arial" w:cs="Arial"/>
        </w:rPr>
        <w:t xml:space="preserve"> </w:t>
      </w:r>
      <w:r>
        <w:rPr>
          <w:rStyle w:val="hps"/>
          <w:rFonts w:ascii="Arial" w:hAnsi="Arial" w:cs="Arial"/>
        </w:rPr>
        <w:t>klinickej</w:t>
      </w:r>
      <w:r>
        <w:rPr>
          <w:rFonts w:ascii="Arial" w:hAnsi="Arial" w:cs="Arial"/>
        </w:rPr>
        <w:t xml:space="preserve"> </w:t>
      </w:r>
      <w:r>
        <w:rPr>
          <w:rStyle w:val="hps"/>
          <w:rFonts w:ascii="Arial" w:hAnsi="Arial" w:cs="Arial"/>
        </w:rPr>
        <w:t>praxi</w:t>
      </w:r>
      <w:r>
        <w:rPr>
          <w:rFonts w:ascii="Arial" w:hAnsi="Arial" w:cs="Arial"/>
        </w:rPr>
        <w:t xml:space="preserve"> </w:t>
      </w:r>
      <w:r>
        <w:rPr>
          <w:rStyle w:val="hps"/>
          <w:rFonts w:ascii="Arial" w:hAnsi="Arial" w:cs="Arial"/>
        </w:rPr>
        <w:t>a</w:t>
      </w:r>
      <w:r>
        <w:rPr>
          <w:rFonts w:ascii="Arial" w:hAnsi="Arial" w:cs="Arial"/>
        </w:rPr>
        <w:t xml:space="preserve"> </w:t>
      </w:r>
      <w:r>
        <w:rPr>
          <w:rStyle w:val="hps"/>
          <w:rFonts w:ascii="Arial" w:hAnsi="Arial" w:cs="Arial"/>
        </w:rPr>
        <w:t>školiacich</w:t>
      </w:r>
      <w:r>
        <w:rPr>
          <w:rFonts w:ascii="Arial" w:hAnsi="Arial" w:cs="Arial"/>
        </w:rPr>
        <w:t xml:space="preserve"> </w:t>
      </w:r>
      <w:r>
        <w:rPr>
          <w:rStyle w:val="hps"/>
          <w:rFonts w:ascii="Arial" w:hAnsi="Arial" w:cs="Arial"/>
        </w:rPr>
        <w:t>zariadeniach</w:t>
      </w:r>
      <w:r>
        <w:rPr>
          <w:rFonts w:ascii="Arial" w:hAnsi="Arial" w:cs="Arial"/>
        </w:rPr>
        <w:t xml:space="preserve"> </w:t>
      </w:r>
      <w:r>
        <w:rPr>
          <w:rStyle w:val="hps"/>
          <w:rFonts w:ascii="Arial" w:hAnsi="Arial" w:cs="Arial"/>
        </w:rPr>
        <w:t>pre</w:t>
      </w:r>
      <w:r>
        <w:rPr>
          <w:rFonts w:ascii="Arial" w:hAnsi="Arial" w:cs="Arial"/>
        </w:rPr>
        <w:t xml:space="preserve"> </w:t>
      </w:r>
      <w:r>
        <w:rPr>
          <w:rStyle w:val="hps"/>
          <w:rFonts w:ascii="Arial" w:hAnsi="Arial" w:cs="Arial"/>
        </w:rPr>
        <w:t>primárnu</w:t>
      </w:r>
      <w:r>
        <w:rPr>
          <w:rFonts w:ascii="Arial" w:hAnsi="Arial" w:cs="Arial"/>
        </w:rPr>
        <w:t xml:space="preserve"> </w:t>
      </w:r>
      <w:r>
        <w:rPr>
          <w:rStyle w:val="hps"/>
          <w:rFonts w:ascii="Arial" w:hAnsi="Arial" w:cs="Arial"/>
        </w:rPr>
        <w:t>zdravotnú starostlivosť, ako aj starnutie obyvateľstva.</w:t>
      </w:r>
    </w:p>
    <w:p>
      <w:pPr>
        <w:jc w:val="both"/>
        <w:rPr>
          <w:rFonts w:ascii="Arial" w:hAnsi="Arial" w:cs="Arial"/>
        </w:rPr>
      </w:pPr>
      <w:r>
        <w:rPr>
          <w:rFonts w:ascii="Arial" w:hAnsi="Arial" w:cs="Arial"/>
        </w:rPr>
        <w:t xml:space="preserve">Intervencie IROP v oblasti primárnej ambulantnej zdravotnej starostlivosti budú realizované koordinovaným spôsobom s intervenciami v oblasti akútnej ústavnej zdravotnej starostlivosti (realizovanými v rámci špecifického cieľa 2.1.3) so zámerom prispieť k integrácii služieb,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následne 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 k zdravotnej starostlivosti. </w:t>
      </w:r>
    </w:p>
    <w:p>
      <w:pPr>
        <w:jc w:val="both"/>
        <w:rPr>
          <w:rFonts w:ascii="Arial" w:hAnsi="Arial" w:cs="Arial"/>
        </w:rPr>
      </w:pPr>
      <w:r>
        <w:rPr>
          <w:rFonts w:ascii="Arial" w:hAnsi="Arial" w:cs="Arial"/>
          <w:b/>
        </w:rPr>
        <w:t>Výsledok podpory IROP:</w:t>
      </w:r>
    </w:p>
    <w:p>
      <w:pPr>
        <w:jc w:val="both"/>
        <w:rPr>
          <w:rFonts w:ascii="Arial" w:hAnsi="Arial" w:cs="Arial"/>
          <w:lang w:eastAsia="sk-SK"/>
        </w:rPr>
      </w:pPr>
      <w:r>
        <w:rPr>
          <w:rFonts w:ascii="Arial" w:hAnsi="Arial" w:cs="Arial"/>
        </w:rPr>
        <w:t>Cieľom investičnej podpory z prostriedkov IROP je zlepšenie dostupnosti ku kvalitnejšie</w:t>
      </w:r>
      <w:r>
        <w:rPr>
          <w:rFonts w:ascii="Arial" w:hAnsi="Arial" w:cs="Arial"/>
          <w:lang w:eastAsia="sk-SK"/>
        </w:rPr>
        <w:t xml:space="preserve"> poskytovanej zdravotnej starostlivosti a integrácia zdravotných služieb. Investičná podpora bude synergicky prepojená s tzv. „mäkkými“ aktivitami OP Ľudské zdroje.</w:t>
      </w:r>
      <w:r>
        <w:rPr>
          <w:rFonts w:ascii="Arial" w:hAnsi="Arial" w:cs="Arial"/>
        </w:rPr>
        <w:t xml:space="preserve"> V oblasti primárnej ambulantnej starostlivosti budú prostredníctvom koordinovaných multifondových štrukturálnych intervencií do infraštruktúry a kapacít poskytovateľov zdravotnej starostlivosti dosiahnuté reformné zmeny v štruktúre služieb v prospech zvýšenia podielu primárnej ambulantnej starostlivosti oproti akútnej ústavnej starostlivosti a zvýšenia úrovne jej regionálnej integrácie s ústavnou a sociálnou starostlivosťou. </w:t>
      </w:r>
    </w:p>
    <w:p>
      <w:pPr>
        <w:jc w:val="both"/>
        <w:rPr>
          <w:rFonts w:ascii="Arial" w:hAnsi="Arial" w:cs="Arial"/>
          <w:lang w:eastAsia="sk-SK"/>
        </w:rPr>
      </w:pPr>
      <w:r>
        <w:rPr>
          <w:rFonts w:ascii="Arial" w:hAnsi="Arial" w:cs="Arial"/>
          <w:lang w:eastAsia="sk-SK"/>
        </w:rPr>
        <w:t xml:space="preserve">Na úrovni integrácie primárnej ambulantnej zdravotnej starostlivosti sa reformné intervencie IROP prejavia zvýšením počtu lekárov primárneho kontaktu na jedno kontaktné miesto, lepším manažovaním pacienta (zlepšením servisu poskytovaných služieb pre klientov na jednotnom kontaktnom mieste), posilnením významu poskytovateľov primárnej zdravotnej starostlivosti ako hlavných manažérov pacienta („gate keeper“) a účinnejšou prevenciou a liečbou chronických ochorení (znížením priemerného počtu návštev u lekára, väčšie </w:t>
      </w:r>
      <w:r>
        <w:rPr>
          <w:rFonts w:ascii="Arial" w:hAnsi="Arial" w:cs="Arial"/>
          <w:lang w:eastAsia="sk-SK"/>
        </w:rPr>
        <w:lastRenderedPageBreak/>
        <w:t>percento diagnostiky a liečby v primárnej starostlivosti a menšie percento v špecializovanej ambulantnej a ústavnej zdravotnej starostlivosti – synergia s aktivitami tvorby a zavedenia nových a inovovaných klinických postupov a postupov pre výkon prevencie financovaných z OP Ľudské zdroje), znížením prevádzkových nákladov (koncentrácia poskytovateľov na jednom mieste, administratíva, zdieľanie prístrojového vybavenia, atď.), zefektívnením komunikácie a spolupráce lekárov prvého kontaktu („sharing best practices“) za možnej účasti konziliárnej starostlivosti poskytovateľov špecializovanej ambulantnej zdravotnej starostlivosti. Správna organizácia primárnej zdravotnej starostlivosti prináša významné šetrenie verejných zdrojov. Zároveň sa vytvoria podmienky pre zatraktívnenie a udržanie mladých lekárov v oblasti primárnej zdravotnej starostlivosti. V novej infraštruktúre integrovanej zdravotnej starostlivosti budú vytvorené fyzické priestory pre skupinovú zdravotno-výchovnú osvetu a poradenskú činnosť v oblasti verejného zdravia týkajúcu sa najmä najzraniteľnejších skupín obyvateľstva (marginalizované skupiny, chronickí pacienti a pod.), čím sa vytvára ďalšie synergické prepojenie s aktivitami programov zdravotno-výchovnej  osvety  obyvateľov segregovaných a separovaných rómskych osídlení financovaných z OP Ľudské zdroje.</w:t>
      </w:r>
    </w:p>
    <w:p>
      <w:pPr>
        <w:jc w:val="both"/>
        <w:rPr>
          <w:rFonts w:ascii="Arial" w:hAnsi="Arial" w:cs="Arial"/>
          <w:lang w:eastAsia="sk-SK"/>
        </w:rPr>
      </w:pPr>
      <w:r>
        <w:rPr>
          <w:rFonts w:ascii="Arial" w:hAnsi="Arial" w:cs="Arial"/>
        </w:rPr>
        <w:t>Štrukturálne zmeny budú podporované optimalizáciou regulačného prostredia a platobných mechanizmov založených na metodike DRG.</w:t>
      </w:r>
    </w:p>
    <w:p>
      <w:pPr>
        <w:jc w:val="both"/>
        <w:rPr>
          <w:rFonts w:ascii="Arial" w:hAnsi="Arial" w:cs="Arial"/>
          <w:lang w:eastAsia="sk-SK"/>
        </w:rPr>
      </w:pPr>
      <w:r>
        <w:rPr>
          <w:rFonts w:ascii="Arial" w:hAnsi="Arial" w:cs="Arial"/>
          <w:lang w:eastAsia="sk-SK"/>
        </w:rPr>
        <w:t>Sumarizácia hlavných očakávaných výsledkov:</w:t>
      </w:r>
    </w:p>
    <w:p>
      <w:pPr>
        <w:pStyle w:val="Odsekzoznamu"/>
        <w:numPr>
          <w:ilvl w:val="0"/>
          <w:numId w:val="51"/>
        </w:numPr>
        <w:jc w:val="both"/>
        <w:rPr>
          <w:rFonts w:ascii="Arial" w:hAnsi="Arial" w:cs="Arial"/>
          <w:lang w:eastAsia="sk-SK"/>
        </w:rPr>
      </w:pPr>
      <w:r>
        <w:rPr>
          <w:rFonts w:ascii="Arial" w:hAnsi="Arial" w:cs="Arial"/>
          <w:lang w:eastAsia="sk-SK"/>
        </w:rPr>
        <w:t>zvýšenie počtu lekárov primárneho kontaktu na jedno kontaktné miesto</w:t>
      </w:r>
    </w:p>
    <w:p>
      <w:pPr>
        <w:pStyle w:val="Odsekzoznamu"/>
        <w:numPr>
          <w:ilvl w:val="0"/>
          <w:numId w:val="51"/>
        </w:numPr>
        <w:jc w:val="both"/>
        <w:rPr>
          <w:rFonts w:ascii="Arial" w:hAnsi="Arial" w:cs="Arial"/>
          <w:lang w:eastAsia="sk-SK"/>
        </w:rPr>
      </w:pPr>
      <w:r>
        <w:rPr>
          <w:rFonts w:ascii="Arial" w:hAnsi="Arial" w:cs="Arial"/>
          <w:lang w:eastAsia="sk-SK"/>
        </w:rPr>
        <w:t>zníženie priemerného počtu návštev u lekára (na pacienta)</w:t>
      </w:r>
    </w:p>
    <w:p>
      <w:pPr>
        <w:pStyle w:val="Odsekzoznamu"/>
        <w:numPr>
          <w:ilvl w:val="0"/>
          <w:numId w:val="51"/>
        </w:numPr>
        <w:jc w:val="both"/>
        <w:rPr>
          <w:rFonts w:ascii="Arial" w:hAnsi="Arial" w:cs="Arial"/>
          <w:lang w:eastAsia="sk-SK"/>
        </w:rPr>
      </w:pPr>
      <w:r>
        <w:rPr>
          <w:rFonts w:ascii="Arial" w:hAnsi="Arial" w:cs="Arial"/>
          <w:lang w:eastAsia="sk-SK"/>
        </w:rPr>
        <w:t>zlepšenie dostupnosti ku kvalitnej primárnej ambulantnej zdravotnej starostlivosti</w:t>
      </w:r>
    </w:p>
    <w:p>
      <w:pPr>
        <w:ind w:left="360"/>
        <w:jc w:val="both"/>
        <w:rPr>
          <w:rFonts w:ascii="Arial" w:hAnsi="Arial" w:cs="Arial"/>
          <w:lang w:eastAsia="sk-SK"/>
        </w:rPr>
      </w:pPr>
    </w:p>
    <w:p>
      <w:pPr>
        <w:rPr>
          <w:rStyle w:val="Zvraznenie"/>
          <w:rFonts w:ascii="Arial" w:hAnsi="Arial" w:cs="Arial"/>
        </w:rPr>
      </w:pPr>
      <w:r>
        <w:rPr>
          <w:rStyle w:val="Siln"/>
          <w:rFonts w:ascii="Arial" w:hAnsi="Arial" w:cs="Arial"/>
        </w:rPr>
        <w:t>Tabuľka č. 18</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tc>
          <w:tcPr>
            <w:tcW w:w="5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Lekár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1,63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jc w:val="both"/>
        <w:rPr>
          <w:rFonts w:ascii="Arial" w:hAnsi="Arial" w:cs="Arial"/>
          <w:b/>
        </w:rPr>
      </w:pPr>
      <w:r>
        <w:rPr>
          <w:rFonts w:ascii="Arial" w:hAnsi="Arial" w:cs="Arial"/>
          <w:b/>
        </w:rPr>
        <w:t xml:space="preserve">Špecifický cieľ 2.1.3: </w:t>
      </w:r>
    </w:p>
    <w:p>
      <w:pPr>
        <w:shd w:val="clear" w:color="auto" w:fill="D9D9D9"/>
        <w:jc w:val="both"/>
        <w:rPr>
          <w:rFonts w:ascii="Arial" w:hAnsi="Arial" w:cs="Arial"/>
        </w:rPr>
      </w:pPr>
      <w:r>
        <w:rPr>
          <w:rStyle w:val="Zvraznenie"/>
          <w:rFonts w:ascii="Arial" w:hAnsi="Arial" w:cs="Arial"/>
        </w:rPr>
        <w:t>Modernizovať infraštruktúru ústavných zariadení poskytujúcich akútnu zdravotnú starostlivosť, za účelom zvýšenia produktivity a zlepšenia dostupnosti ku kvalitným zdravotníckym službám</w:t>
      </w:r>
    </w:p>
    <w:p>
      <w:pPr>
        <w:spacing w:before="120"/>
        <w:jc w:val="both"/>
        <w:rPr>
          <w:rFonts w:ascii="Arial" w:eastAsiaTheme="minorHAnsi" w:hAnsi="Arial" w:cs="Arial"/>
        </w:rPr>
      </w:pPr>
      <w:r>
        <w:rPr>
          <w:rFonts w:ascii="Arial" w:eastAsiaTheme="minorHAnsi" w:hAnsi="Arial" w:cs="Arial"/>
        </w:rPr>
        <w:t>Slovensko v súčasnosti v porovnaní s ostatnými krajinami EÚ dosahuje nízku úroveň efektivity zdravotníctva. Jedným z hlavných dôsledkov je kratší počet rokov života v zdraví (Healthy life years) obyvateľov Slovenska oproti priemeru krajín EÚ. Kým obyvatelia Slovenska žijú v zdraví priemerne 52,2 roka, u obyvateľov EÚ je to takmer o 10 rokov viac (62 rokov)</w:t>
      </w:r>
      <w:r>
        <w:rPr>
          <w:rStyle w:val="Odkaznapoznmkupodiarou"/>
          <w:rFonts w:ascii="Arial" w:eastAsiaTheme="minorHAnsi" w:hAnsi="Arial" w:cs="Arial"/>
        </w:rPr>
        <w:footnoteReference w:id="49"/>
      </w:r>
      <w:r>
        <w:rPr>
          <w:rFonts w:ascii="Arial" w:eastAsiaTheme="minorHAnsi" w:hAnsi="Arial" w:cs="Arial"/>
        </w:rPr>
        <w:t xml:space="preserve">. Prehlbuje sa tým pravdepodobnosť sociálnej exklúzie obyvateľstva hlavne </w:t>
      </w:r>
      <w:r>
        <w:rPr>
          <w:rFonts w:ascii="Arial" w:eastAsiaTheme="minorHAnsi" w:hAnsi="Arial" w:cs="Arial"/>
        </w:rPr>
        <w:lastRenderedPageBreak/>
        <w:t>v preddôchodkovom veku z dôvodu zhoršovania sa ich zdravotného stavu – najmä chronické ochorenia a polymorbídne stavy</w:t>
      </w:r>
      <w:r>
        <w:rPr>
          <w:rStyle w:val="Odkaznapoznmkupodiarou"/>
          <w:rFonts w:ascii="Arial" w:eastAsiaTheme="minorHAnsi" w:hAnsi="Arial" w:cs="Arial"/>
        </w:rPr>
        <w:footnoteReference w:id="50"/>
      </w:r>
      <w:r>
        <w:rPr>
          <w:rFonts w:ascii="Arial" w:eastAsiaTheme="minorHAnsi" w:hAnsi="Arial" w:cs="Arial"/>
        </w:rPr>
        <w:t>.</w:t>
      </w:r>
    </w:p>
    <w:p>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Pr>
          <w:rStyle w:val="Odkaznapoznmkupodiarou"/>
          <w:rFonts w:ascii="Arial" w:eastAsiaTheme="minorHAnsi" w:hAnsi="Arial" w:cs="Arial"/>
        </w:rPr>
        <w:footnoteReference w:id="51"/>
      </w:r>
      <w:r>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Služby akútnej ústavnej zdravotnej starostlivosti v aktuálnej štruktúre jej poskytovateľov neprispievajú k zlepšovaniu zlého zdravotného stavu obyvateľstva SR, ktorý hlavne starších obyvateľov v produktívnom veku znevýhodňuje na trhu práce a prispieva k sociálnemu vylúčeniu.</w:t>
      </w:r>
    </w:p>
    <w:p>
      <w:pPr>
        <w:jc w:val="both"/>
        <w:rPr>
          <w:rFonts w:ascii="Arial" w:hAnsi="Arial" w:cs="Arial"/>
        </w:rPr>
      </w:pPr>
      <w:r>
        <w:rPr>
          <w:rFonts w:ascii="Arial" w:hAnsi="Arial" w:cs="Arial"/>
        </w:rPr>
        <w:t xml:space="preserve">Východiskovým strategickým dokumentom, ktorý popisuje problémy slovenského zdravotníctva, v strednodobom horizonte určuje smerovanie štátnej politiky zdravia, stanovuje prioritné oblasti a kvantifikuje očakávaný cieľový stav v roku 2030 je „Strategický rámec starostlivosti o zdravie pre roky 2014 – 2030“ (ďalej len „strategický rámec“). </w:t>
      </w:r>
    </w:p>
    <w:p>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w:t>
      </w:r>
    </w:p>
    <w:p>
      <w:pPr>
        <w:jc w:val="both"/>
        <w:rPr>
          <w:rFonts w:ascii="Arial" w:hAnsi="Arial" w:cs="Arial"/>
        </w:rPr>
      </w:pPr>
      <w:r>
        <w:rPr>
          <w:rFonts w:ascii="Arial" w:hAnsi="Arial" w:cs="Arial"/>
        </w:rPr>
        <w:t xml:space="preserve">Intervencie IROP v oblasti akútnej ústavnej zdravotnej starostlivosti budú realizované koordinovaným spôsobom s intervenciami v oblasti primárnej ambulantnej zdravotnej starostlivosti (realizovanými v rámci špecifického cieľa 2.1.2) so zámerom prispieť k integrácii služieb,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následne aj k zlepšeniu prevádzkovej a ekonomickej udržateľnosti systému zdravotnej starostlivosti. Toto sa sekundárne odrazí aj na nižšom tlaku na nemocničný sektor, čím sa zabezpečia požadované reformy </w:t>
      </w:r>
      <w:r>
        <w:rPr>
          <w:rFonts w:ascii="Arial" w:hAnsi="Arial" w:cs="Arial"/>
        </w:rPr>
        <w:lastRenderedPageBreak/>
        <w:t xml:space="preserve">v nemocniciach, ktoré v sebe budú obsahovať reštrukturalizáciu nemocníc s novou štruktúrou nemocničných služieb, t.j. multidimenzionálny prístup k zdravotnej starostlivosti. </w:t>
      </w:r>
    </w:p>
    <w:p>
      <w:pPr>
        <w:jc w:val="both"/>
        <w:rPr>
          <w:rFonts w:ascii="Arial" w:hAnsi="Arial" w:cs="Arial"/>
        </w:rPr>
      </w:pPr>
      <w:r>
        <w:rPr>
          <w:rFonts w:ascii="Arial" w:hAnsi="Arial" w:cs="Arial"/>
          <w:b/>
        </w:rPr>
        <w:t>Výsledok podpory IROP:</w:t>
      </w:r>
    </w:p>
    <w:p>
      <w:pPr>
        <w:jc w:val="both"/>
        <w:rPr>
          <w:rFonts w:ascii="Arial" w:hAnsi="Arial" w:cs="Arial"/>
          <w:lang w:eastAsia="sk-SK"/>
        </w:rPr>
      </w:pPr>
      <w:r>
        <w:rPr>
          <w:rFonts w:ascii="Arial" w:hAnsi="Arial" w:cs="Arial"/>
        </w:rPr>
        <w:t>Cieľom investičnej podpory z prostriedkov IROP je zlepšenie dostupnosti ku kvalitnejšie</w:t>
      </w:r>
      <w:r>
        <w:rPr>
          <w:rFonts w:ascii="Arial" w:hAnsi="Arial" w:cs="Arial"/>
          <w:lang w:eastAsia="sk-SK"/>
        </w:rPr>
        <w:t xml:space="preserve"> poskytovanej zdravotnej starostlivosti a integrácia zdravotných služieb. </w:t>
      </w:r>
    </w:p>
    <w:p>
      <w:pPr>
        <w:jc w:val="both"/>
        <w:rPr>
          <w:rFonts w:ascii="Arial" w:hAnsi="Arial" w:cs="Arial"/>
          <w:lang w:eastAsia="sk-SK"/>
        </w:rPr>
      </w:pPr>
      <w:r>
        <w:rPr>
          <w:rFonts w:ascii="Arial" w:hAnsi="Arial" w:cs="Arial"/>
          <w:lang w:eastAsia="sk-SK"/>
        </w:rPr>
        <w:t>Na úrovni akútnej ústavnej zdravotnej starostlivosti sa reformné intervencie IROP do zredukovanej siete akútnych všeobecných nemocníc (</w:t>
      </w:r>
      <w:r>
        <w:rPr>
          <w:rFonts w:ascii="Arial" w:hAnsi="Arial" w:cs="Arial"/>
        </w:rPr>
        <w:t xml:space="preserve">prostredníctvom štrukturálnej optimalizácie kapacít poskytovateľov) </w:t>
      </w:r>
      <w:r>
        <w:rPr>
          <w:rFonts w:ascii="Arial" w:hAnsi="Arial" w:cs="Arial"/>
          <w:lang w:eastAsia="sk-SK"/>
        </w:rPr>
        <w:t xml:space="preserve">prejavia zmenami </w:t>
      </w:r>
      <w:r>
        <w:rPr>
          <w:rFonts w:ascii="Arial" w:hAnsi="Arial" w:cs="Arial"/>
        </w:rPr>
        <w:t>v štruktúre služieb, stratifikáciou, špecializáciou a koncentráciou kapacít u menšieho množstva poskytovateľov akútnej ústavnej zdravotnej starostlivosti s dosiahnutím efektov economy of scale a excelentnosti a následných úspor z reprofilácie nízko produktívnych kapacít. Prostredníctvom umožnenia (enabling)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V podporených všeobecných nemocniciach dôjde následkom týchto štrukturálnych zmien k zlepšeniu parametrov ako objem hospitalitzácií, miera obložnosti, k celkovému zvýšeniu produktivity a zníženiu zadlžovania.</w:t>
      </w:r>
      <w:r>
        <w:rPr>
          <w:rFonts w:ascii="Arial" w:hAnsi="Arial" w:cs="Arial"/>
          <w:lang w:eastAsia="sk-SK"/>
        </w:rPr>
        <w:t xml:space="preserve"> </w:t>
      </w:r>
      <w:r>
        <w:rPr>
          <w:rFonts w:ascii="Arial" w:hAnsi="Arial" w:cs="Arial"/>
        </w:rPr>
        <w:t>Štrukturálne zmeny budú podporované optimalizáciou regulačného prostredia a platobných mechanizmov založených na metodike DRG.</w:t>
      </w:r>
    </w:p>
    <w:p>
      <w:pPr>
        <w:jc w:val="both"/>
        <w:rPr>
          <w:rFonts w:ascii="Arial" w:hAnsi="Arial" w:cs="Arial"/>
          <w:lang w:eastAsia="sk-SK"/>
        </w:rPr>
      </w:pPr>
      <w:r>
        <w:rPr>
          <w:rFonts w:ascii="Arial" w:hAnsi="Arial" w:cs="Arial"/>
          <w:lang w:eastAsia="sk-SK"/>
        </w:rPr>
        <w:t>Sumarizácia hlavných očakávaných výsledkov:</w:t>
      </w:r>
    </w:p>
    <w:p>
      <w:pPr>
        <w:pStyle w:val="Odsekzoznamu"/>
        <w:numPr>
          <w:ilvl w:val="0"/>
          <w:numId w:val="51"/>
        </w:numPr>
        <w:jc w:val="both"/>
        <w:rPr>
          <w:rFonts w:ascii="Arial" w:hAnsi="Arial" w:cs="Arial"/>
          <w:lang w:eastAsia="sk-SK"/>
        </w:rPr>
      </w:pPr>
      <w:r>
        <w:rPr>
          <w:rFonts w:ascii="Arial" w:hAnsi="Arial" w:cs="Arial"/>
          <w:lang w:eastAsia="sk-SK"/>
        </w:rPr>
        <w:t>zvýšenie obložnosti akútnych lôžok</w:t>
      </w:r>
    </w:p>
    <w:p>
      <w:pPr>
        <w:pStyle w:val="Odsekzoznamu"/>
        <w:numPr>
          <w:ilvl w:val="0"/>
          <w:numId w:val="51"/>
        </w:numPr>
        <w:jc w:val="both"/>
        <w:rPr>
          <w:rFonts w:ascii="Arial" w:hAnsi="Arial" w:cs="Arial"/>
          <w:lang w:eastAsia="sk-SK"/>
        </w:rPr>
      </w:pPr>
      <w:r>
        <w:rPr>
          <w:rFonts w:ascii="Arial" w:hAnsi="Arial" w:cs="Arial"/>
          <w:lang w:eastAsia="sk-SK"/>
        </w:rPr>
        <w:t>skrátenie doby hospitalizácie</w:t>
      </w:r>
    </w:p>
    <w:p>
      <w:pPr>
        <w:pStyle w:val="Odsekzoznamu"/>
        <w:numPr>
          <w:ilvl w:val="0"/>
          <w:numId w:val="51"/>
        </w:numPr>
        <w:jc w:val="both"/>
        <w:rPr>
          <w:rFonts w:ascii="Arial" w:hAnsi="Arial" w:cs="Arial"/>
          <w:lang w:eastAsia="sk-SK"/>
        </w:rPr>
      </w:pPr>
      <w:r>
        <w:rPr>
          <w:rFonts w:ascii="Arial" w:hAnsi="Arial" w:cs="Arial"/>
          <w:lang w:eastAsia="sk-SK"/>
        </w:rPr>
        <w:t>zníženie počtu nemocníc s akútnymi lôžkami</w:t>
      </w:r>
    </w:p>
    <w:p>
      <w:pPr>
        <w:pStyle w:val="Odsekzoznamu"/>
        <w:numPr>
          <w:ilvl w:val="0"/>
          <w:numId w:val="51"/>
        </w:numPr>
        <w:jc w:val="both"/>
        <w:rPr>
          <w:rFonts w:ascii="Arial" w:hAnsi="Arial" w:cs="Arial"/>
          <w:lang w:eastAsia="sk-SK"/>
        </w:rPr>
      </w:pPr>
      <w:r>
        <w:rPr>
          <w:rFonts w:ascii="Arial" w:hAnsi="Arial" w:cs="Arial"/>
          <w:lang w:eastAsia="sk-SK"/>
        </w:rPr>
        <w:t>zvýšenie počtu akútnych výkonov v zostávajúcich akútnych nemocniciach</w:t>
      </w:r>
    </w:p>
    <w:p>
      <w:pPr>
        <w:rPr>
          <w:rStyle w:val="Zvraznenie"/>
          <w:rFonts w:ascii="Arial" w:hAnsi="Arial" w:cs="Arial"/>
        </w:rPr>
      </w:pPr>
      <w:r>
        <w:rPr>
          <w:rStyle w:val="Siln"/>
          <w:rFonts w:ascii="Arial" w:hAnsi="Arial" w:cs="Arial"/>
        </w:rPr>
        <w:t>Tabuľka č. 18</w:t>
      </w:r>
      <w:r>
        <w:rPr>
          <w:rStyle w:val="Zvraznenie"/>
          <w:rFonts w:ascii="Arial" w:hAnsi="Arial" w:cs="Arial"/>
        </w:rPr>
        <w:t xml:space="preserve"> Špecifické ukazovatele výsledkov pre EFRR (podľa špecifického cieľa)</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177"/>
        <w:gridCol w:w="1123"/>
        <w:gridCol w:w="1053"/>
        <w:gridCol w:w="1293"/>
        <w:gridCol w:w="1293"/>
        <w:gridCol w:w="959"/>
        <w:gridCol w:w="961"/>
        <w:gridCol w:w="1053"/>
      </w:tblGrid>
      <w:tr>
        <w:tc>
          <w:tcPr>
            <w:tcW w:w="37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w:t>
            </w:r>
            <w:r>
              <w:rPr>
                <w:rStyle w:val="Odkaznapoznmkupodiarou"/>
                <w:rFonts w:ascii="Arial" w:eastAsia="Times New Roman" w:hAnsi="Arial" w:cs="Arial"/>
                <w:b/>
                <w:bCs/>
                <w:sz w:val="16"/>
                <w:szCs w:val="16"/>
              </w:rPr>
              <w:footnoteReference w:id="52"/>
            </w:r>
            <w:r>
              <w:rPr>
                <w:rFonts w:ascii="Arial" w:eastAsia="Times New Roman" w:hAnsi="Arial" w:cs="Arial"/>
                <w:b/>
                <w:bCs/>
                <w:sz w:val="16"/>
                <w:szCs w:val="16"/>
              </w:rPr>
              <w:t xml:space="preserve">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5"/>
        <w:shd w:val="clear" w:color="auto" w:fill="B8C1E9"/>
        <w:rPr>
          <w:rFonts w:ascii="Arial" w:hAnsi="Arial" w:cs="Arial"/>
        </w:rPr>
      </w:pPr>
      <w:bookmarkStart w:id="30" w:name="_Toc387153913"/>
      <w:r>
        <w:rPr>
          <w:rFonts w:ascii="Arial" w:hAnsi="Arial" w:cs="Arial"/>
        </w:rPr>
        <w:t>Akcia, ktorá sa má podporiť v rámci investičnej priority</w:t>
      </w:r>
      <w:bookmarkEnd w:id="30"/>
    </w:p>
    <w:p>
      <w:pPr>
        <w:rPr>
          <w:rFonts w:ascii="Arial" w:hAnsi="Arial" w:cs="Arial"/>
        </w:rPr>
      </w:pPr>
    </w:p>
    <w:p>
      <w:pPr>
        <w:pStyle w:val="Nadpis6"/>
        <w:rPr>
          <w:rFonts w:ascii="Arial" w:hAnsi="Arial" w:cs="Arial"/>
        </w:rPr>
      </w:pPr>
      <w:bookmarkStart w:id="31" w:name="_Toc387153914"/>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31"/>
    </w:p>
    <w:p>
      <w:pPr>
        <w:spacing w:before="120"/>
        <w:jc w:val="both"/>
        <w:rPr>
          <w:rFonts w:ascii="Arial" w:hAnsi="Arial" w:cs="Arial"/>
          <w:color w:val="FF0000"/>
        </w:rPr>
      </w:pPr>
      <w:r>
        <w:rPr>
          <w:rFonts w:ascii="Arial" w:hAnsi="Arial" w:cs="Arial"/>
          <w:b/>
        </w:rPr>
        <w:t>Špecifický cieľ 2.1.1</w:t>
      </w:r>
      <w:r>
        <w:rPr>
          <w:rFonts w:ascii="Arial" w:hAnsi="Arial" w:cs="Arial"/>
        </w:rPr>
        <w:t xml:space="preserve"> je dosahovaný realizáciou nasledovných aktivít:</w:t>
      </w:r>
    </w:p>
    <w:p>
      <w:pPr>
        <w:pStyle w:val="Odsekzoznamu"/>
        <w:numPr>
          <w:ilvl w:val="0"/>
          <w:numId w:val="2"/>
        </w:numPr>
        <w:jc w:val="both"/>
        <w:rPr>
          <w:rFonts w:ascii="Arial" w:hAnsi="Arial" w:cs="Arial"/>
        </w:rPr>
      </w:pPr>
      <w:r>
        <w:rPr>
          <w:rFonts w:ascii="Arial" w:hAnsi="Arial" w:cs="Arial"/>
        </w:rPr>
        <w:t>príprava projektovej dokumentácie;</w:t>
      </w:r>
    </w:p>
    <w:p>
      <w:pPr>
        <w:pStyle w:val="Odsekzoznamu"/>
        <w:numPr>
          <w:ilvl w:val="0"/>
          <w:numId w:val="2"/>
        </w:numPr>
        <w:jc w:val="both"/>
        <w:rPr>
          <w:rFonts w:ascii="Arial" w:hAnsi="Arial" w:cs="Arial"/>
        </w:rPr>
      </w:pPr>
      <w:r>
        <w:rPr>
          <w:rFonts w:ascii="Arial" w:hAnsi="Arial" w:cs="Arial"/>
        </w:rPr>
        <w:lastRenderedPageBreak/>
        <w:t>rekonštrukcia (vrátane rozširovania) a modernizácia vhodných stavebných objektov tak, aby sa vytvorili priestorové podmienky pre poskytovanie a zabezpečenie komunitnej starostlivosti v súlade s princípmi deinštitucionalizácie;</w:t>
      </w:r>
    </w:p>
    <w:p>
      <w:pPr>
        <w:pStyle w:val="Odsekzoznamu"/>
        <w:numPr>
          <w:ilvl w:val="0"/>
          <w:numId w:val="2"/>
        </w:numPr>
        <w:jc w:val="both"/>
        <w:rPr>
          <w:rFonts w:ascii="Arial" w:hAnsi="Arial" w:cs="Arial"/>
        </w:rPr>
      </w:pPr>
      <w:r>
        <w:rPr>
          <w:rFonts w:ascii="Arial" w:hAnsi="Arial" w:cs="Arial"/>
        </w:rPr>
        <w:t>rekonštrukcia (vrátane rozširovania) a modernizácia stavebných objektov existujúcich zariadení, ktoré už poskytujú a zabezpečujú služby na komunitnej báze;</w:t>
      </w:r>
    </w:p>
    <w:p>
      <w:pPr>
        <w:pStyle w:val="Odsekzoznamu"/>
        <w:numPr>
          <w:ilvl w:val="0"/>
          <w:numId w:val="2"/>
        </w:numPr>
        <w:jc w:val="both"/>
        <w:rPr>
          <w:rFonts w:ascii="Arial" w:hAnsi="Arial" w:cs="Arial"/>
        </w:rPr>
      </w:pPr>
      <w:r>
        <w:rPr>
          <w:rFonts w:ascii="Arial" w:hAnsi="Arial" w:cs="Arial"/>
        </w:rPr>
        <w:t>zriaďovanie a výstavba nových stavebných objektov zariadení sociálnych služieb a sociálnoprávnej ochrany detí a sociálnej kurately (ďalej aj „SPOaSK“) vrátane tých, ktoré poskytujú inovatívne formy komunitnej starostlivosti a opatrení na podporu zotrvania/návratu detí v prirodzenom rodinnom prostredí, resp. podporu náhradného rodinného prostredia;</w:t>
      </w:r>
    </w:p>
    <w:p>
      <w:pPr>
        <w:pStyle w:val="Odsekzoznamu"/>
        <w:numPr>
          <w:ilvl w:val="0"/>
          <w:numId w:val="2"/>
        </w:numPr>
        <w:jc w:val="both"/>
        <w:rPr>
          <w:rFonts w:ascii="Arial" w:hAnsi="Arial" w:cs="Arial"/>
        </w:rPr>
      </w:pPr>
      <w:r>
        <w:rPr>
          <w:rFonts w:ascii="Arial" w:hAnsi="Arial" w:cs="Arial"/>
        </w:rPr>
        <w:t>výstavba, rekonštrukcia a modernizácia zariadení na zosúladenie pracovného a súkromného života (jasle pre deti od 0 – 3 rokov);</w:t>
      </w:r>
    </w:p>
    <w:p>
      <w:pPr>
        <w:pStyle w:val="Odsekzoznamu"/>
        <w:numPr>
          <w:ilvl w:val="0"/>
          <w:numId w:val="2"/>
        </w:numPr>
        <w:jc w:val="both"/>
        <w:rPr>
          <w:rFonts w:ascii="Arial" w:hAnsi="Arial" w:cs="Arial"/>
        </w:rPr>
      </w:pPr>
      <w:r>
        <w:rPr>
          <w:rFonts w:ascii="Arial" w:hAnsi="Arial" w:cs="Arial"/>
        </w:rPr>
        <w:t>investovanie do materiálno-technického vybavenia zariadení vrátane motorových vozidiel pri zriaďovaní zázemia pre terénne služby a výkonu opatrení SPOaSK v prirodzenom rodinnom, náhradnom rodinnom prostredí a otvorenom prostredí.</w:t>
      </w:r>
    </w:p>
    <w:p>
      <w:pPr>
        <w:jc w:val="both"/>
        <w:rPr>
          <w:rFonts w:ascii="Arial" w:hAnsi="Arial" w:cs="Arial"/>
        </w:rPr>
      </w:pPr>
      <w:r>
        <w:rPr>
          <w:rFonts w:ascii="Arial" w:hAnsi="Arial" w:cs="Arial"/>
        </w:rPr>
        <w:t>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SPOaSK budú paralelne sprevádzané opatreniami smerujúcimi k zmene spôsobu poskytovania sociálnych služieb a SPOaSK ako sú napr. rozvoj vybraných sociálnych služieb a vybraných opatrení; príprava a podpora vzdelávania zamestnancov a odborného personálu zabezpečujúceho poskytovanie sociálnych služieb a vykonávanie opatrení SPOaSK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opatrenía SPOaSK v zariadení s cieľom eliminácie „syndrómu odporu“; príprava prijímateľov sociálnych služieb a osôb, pre ktoré sú  vykonávané opatrenia SPOaSK v zariadení, na podmienky nezávislého života v komunite. Zmena fyzického prostredia poskytovania sociálnych služieb alebo výkonu opatrení SPOaSK v zariadení predstavuje presun poskytovania sociálnych služieb alebo výkonu opatrení SPOaSK v zariadení z veľkokapacitného objektu do viacerých menších objektov s nižšou kapacitou prijímateľov alebo osôb (v súlade s platnou legislatívnou úpravou pre daný druh sociálnej služby a opatrenie SPOaSK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Pr>
          <w:rFonts w:ascii="Arial" w:hAnsi="Arial" w:cs="Arial"/>
          <w:i/>
        </w:rPr>
        <w:t>built environment</w:t>
      </w:r>
      <w:r>
        <w:rPr>
          <w:rFonts w:ascii="Arial" w:hAnsi="Arial" w:cs="Arial"/>
        </w:rPr>
        <w:t>“),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SPOaSK spočívajúce vo fakte, že jej podstatou je výkon súdneho rozhodnutia.</w:t>
      </w:r>
    </w:p>
    <w:p>
      <w:pPr>
        <w:jc w:val="both"/>
        <w:rPr>
          <w:rFonts w:ascii="Arial" w:hAnsi="Arial" w:cs="Arial"/>
        </w:rPr>
      </w:pPr>
      <w:r>
        <w:rPr>
          <w:rFonts w:ascii="Arial" w:hAnsi="Arial" w:cs="Arial"/>
        </w:rPr>
        <w:lastRenderedPageBreak/>
        <w:t>Keďže existujúce veľkokapacitné objekty zariadení nie sú vhodné pre poskytovanie sociálnych služieb a výkon opatrení SPOaSK v zariadení na komunitnej báze, je potrebné zabezpečiť vhodné priestorové podmienky. Z toho dôvodu bude predmetom podpory z IROP aj obstaranie nehnuteľnosti (budovy – rodinný dom alebo bytovej jednotky v bytovom dome alebo pozemku</w:t>
      </w:r>
      <w:r>
        <w:rPr>
          <w:rStyle w:val="Odkaznapoznmkupodiarou"/>
          <w:rFonts w:ascii="Arial" w:hAnsi="Arial" w:cs="Arial"/>
        </w:rPr>
        <w:footnoteReference w:id="53"/>
      </w:r>
      <w:r>
        <w:rPr>
          <w:rFonts w:ascii="Arial" w:hAnsi="Arial" w:cs="Arial"/>
        </w:rPr>
        <w:t>) na účely výstavby alebo rekonštrukcie objektu, ktorý bude slúžiť pre poskytovanie komunitnej starostlivosti, resp. starostlivosť na komunitnej úrovni.</w:t>
      </w:r>
    </w:p>
    <w:p>
      <w:pPr>
        <w:jc w:val="both"/>
        <w:rPr>
          <w:rFonts w:ascii="Arial" w:hAnsi="Arial" w:cs="Arial"/>
          <w:i/>
        </w:rPr>
      </w:pPr>
      <w:r>
        <w:rPr>
          <w:rFonts w:ascii="Arial" w:hAnsi="Arial" w:cs="Arial"/>
          <w:i/>
        </w:rPr>
        <w:t>Sociálne služby</w:t>
      </w:r>
    </w:p>
    <w:p>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Podpora z IROP je zameraná najmä na transformáciu veľkokapacitných zariadení s celoročným pobytom a rozvoj alternatívnych sociálnych služieb komunitného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r>
        <w:rPr>
          <w:rFonts w:ascii="Arial" w:hAnsi="Arial" w:cs="Arial"/>
          <w:b/>
        </w:rPr>
        <w:t>denné centrá, rehabilitačné centrá, služby včasnej intervencie, 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pPr>
        <w:jc w:val="both"/>
        <w:rPr>
          <w:rFonts w:ascii="Arial" w:hAnsi="Arial" w:cs="Arial"/>
        </w:rPr>
      </w:pPr>
      <w:r>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pPr>
        <w:jc w:val="both"/>
        <w:rPr>
          <w:rFonts w:ascii="Arial" w:hAnsi="Arial" w:cs="Arial"/>
          <w:i/>
        </w:rPr>
      </w:pPr>
      <w:r>
        <w:rPr>
          <w:rFonts w:ascii="Arial" w:hAnsi="Arial" w:cs="Arial"/>
          <w:i/>
        </w:rPr>
        <w:t>Sociálnoprávna ochrana detí a sociálna kuratela</w:t>
      </w:r>
    </w:p>
    <w:p>
      <w:pPr>
        <w:jc w:val="both"/>
        <w:rPr>
          <w:rFonts w:ascii="Arial" w:hAnsi="Arial" w:cs="Arial"/>
        </w:rPr>
      </w:pPr>
      <w:r>
        <w:rPr>
          <w:rFonts w:ascii="Arial" w:hAnsi="Arial" w:cs="Arial"/>
        </w:rPr>
        <w:t xml:space="preserve">Vo vzťahu k zariadeniam na výkon opatrení </w:t>
      </w:r>
      <w:r>
        <w:rPr>
          <w:rFonts w:ascii="Arial" w:hAnsi="Arial" w:cs="Arial"/>
          <w:i/>
        </w:rPr>
        <w:t>SPOaSK</w:t>
      </w:r>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w:t>
      </w:r>
      <w:r>
        <w:rPr>
          <w:rFonts w:ascii="Arial" w:hAnsi="Arial" w:cs="Arial"/>
        </w:rPr>
        <w:lastRenderedPageBreak/>
        <w:t xml:space="preserve">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pPr>
        <w:jc w:val="both"/>
        <w:rPr>
          <w:rFonts w:ascii="Arial" w:hAnsi="Arial" w:cs="Arial"/>
        </w:rPr>
      </w:pPr>
      <w:r>
        <w:rPr>
          <w:rFonts w:ascii="Arial" w:hAnsi="Arial" w:cs="Arial"/>
        </w:rPr>
        <w:t xml:space="preserve">Podporované aktivity predstavujú najmä: </w:t>
      </w:r>
    </w:p>
    <w:p>
      <w:pPr>
        <w:pStyle w:val="Odsekzoznamu"/>
        <w:numPr>
          <w:ilvl w:val="0"/>
          <w:numId w:val="4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pPr>
        <w:pStyle w:val="Odsekzoznamu"/>
        <w:numPr>
          <w:ilvl w:val="0"/>
          <w:numId w:val="4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pPr>
        <w:pStyle w:val="Odsekzoznamu"/>
        <w:numPr>
          <w:ilvl w:val="0"/>
          <w:numId w:val="4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pPr>
        <w:pStyle w:val="Odsekzoznamu"/>
        <w:numPr>
          <w:ilvl w:val="0"/>
          <w:numId w:val="4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v sociálnych službách:</w:t>
      </w:r>
    </w:p>
    <w:p>
      <w:pPr>
        <w:pStyle w:val="Odsekzoznamu"/>
        <w:numPr>
          <w:ilvl w:val="1"/>
          <w:numId w:val="2"/>
        </w:numPr>
        <w:jc w:val="both"/>
        <w:rPr>
          <w:rFonts w:ascii="Arial" w:hAnsi="Arial" w:cs="Arial"/>
        </w:rPr>
      </w:pPr>
      <w:r>
        <w:rPr>
          <w:rFonts w:ascii="Arial" w:hAnsi="Arial" w:cs="Arial"/>
        </w:rPr>
        <w:t>obec,</w:t>
      </w:r>
    </w:p>
    <w:p>
      <w:pPr>
        <w:pStyle w:val="Odsekzoznamu"/>
        <w:numPr>
          <w:ilvl w:val="1"/>
          <w:numId w:val="2"/>
        </w:numPr>
        <w:jc w:val="both"/>
        <w:rPr>
          <w:rFonts w:ascii="Arial" w:hAnsi="Arial" w:cs="Arial"/>
        </w:rPr>
      </w:pPr>
      <w:r>
        <w:rPr>
          <w:rFonts w:ascii="Arial" w:hAnsi="Arial" w:cs="Arial"/>
        </w:rPr>
        <w:t>vyšší územný celok,</w:t>
      </w:r>
    </w:p>
    <w:p>
      <w:pPr>
        <w:pStyle w:val="Odsekzoznamu"/>
        <w:numPr>
          <w:ilvl w:val="1"/>
          <w:numId w:val="2"/>
        </w:numPr>
        <w:jc w:val="both"/>
        <w:rPr>
          <w:rFonts w:ascii="Arial" w:hAnsi="Arial" w:cs="Arial"/>
        </w:rPr>
      </w:pPr>
      <w:r>
        <w:rPr>
          <w:rFonts w:ascii="Arial" w:hAnsi="Arial" w:cs="Arial"/>
        </w:rPr>
        <w:t>právnická osoba zriadená obcou alebo založená obcou,</w:t>
      </w:r>
    </w:p>
    <w:p>
      <w:pPr>
        <w:pStyle w:val="Odsekzoznamu"/>
        <w:numPr>
          <w:ilvl w:val="1"/>
          <w:numId w:val="2"/>
        </w:numPr>
        <w:jc w:val="both"/>
        <w:rPr>
          <w:rFonts w:ascii="Arial" w:hAnsi="Arial" w:cs="Arial"/>
        </w:rPr>
      </w:pPr>
      <w:r>
        <w:rPr>
          <w:rFonts w:ascii="Arial" w:hAnsi="Arial" w:cs="Arial"/>
        </w:rPr>
        <w:t>právnická osoba zriadená vyšším územným celkom alebo založená vyšším územným celkom a</w:t>
      </w:r>
    </w:p>
    <w:p>
      <w:pPr>
        <w:pStyle w:val="Odsekzoznamu"/>
        <w:numPr>
          <w:ilvl w:val="1"/>
          <w:numId w:val="2"/>
        </w:numPr>
        <w:jc w:val="both"/>
        <w:rPr>
          <w:rFonts w:ascii="Arial" w:hAnsi="Arial" w:cs="Arial"/>
        </w:rPr>
      </w:pPr>
      <w:r>
        <w:rPr>
          <w:rFonts w:ascii="Arial" w:hAnsi="Arial" w:cs="Arial"/>
        </w:rPr>
        <w:t>iná osoba (neverejný poskytovateľ sociálnej služby, neverejný zriaďovateľ sociálnej služby),</w:t>
      </w:r>
    </w:p>
    <w:p>
      <w:pPr>
        <w:pStyle w:val="Odsekzoznamu"/>
        <w:numPr>
          <w:ilvl w:val="0"/>
          <w:numId w:val="2"/>
        </w:numPr>
        <w:jc w:val="both"/>
        <w:rPr>
          <w:rFonts w:ascii="Arial" w:hAnsi="Arial" w:cs="Arial"/>
        </w:rPr>
      </w:pPr>
      <w:r>
        <w:rPr>
          <w:rFonts w:ascii="Arial" w:hAnsi="Arial" w:cs="Arial"/>
        </w:rPr>
        <w:t>v sociálnoprávnej ochrane detí a sociálnej kuratele:</w:t>
      </w:r>
    </w:p>
    <w:p>
      <w:pPr>
        <w:pStyle w:val="Odsekzoznamu"/>
        <w:numPr>
          <w:ilvl w:val="1"/>
          <w:numId w:val="2"/>
        </w:numPr>
        <w:jc w:val="both"/>
        <w:rPr>
          <w:rFonts w:ascii="Arial" w:hAnsi="Arial" w:cs="Arial"/>
        </w:rPr>
      </w:pPr>
      <w:r>
        <w:rPr>
          <w:rFonts w:ascii="Arial" w:hAnsi="Arial" w:cs="Arial"/>
        </w:rPr>
        <w:t>zriaďovatelia zariadení na výkon opatrení sociálnoprávnej ochrany detí a sociálnej kurately:</w:t>
      </w:r>
    </w:p>
    <w:p>
      <w:pPr>
        <w:pStyle w:val="Odsekzoznamu"/>
        <w:numPr>
          <w:ilvl w:val="2"/>
          <w:numId w:val="2"/>
        </w:numPr>
        <w:jc w:val="both"/>
        <w:rPr>
          <w:rFonts w:ascii="Arial" w:hAnsi="Arial" w:cs="Arial"/>
        </w:rPr>
      </w:pPr>
      <w:r>
        <w:rPr>
          <w:rFonts w:ascii="Arial" w:hAnsi="Arial" w:cs="Arial"/>
        </w:rPr>
        <w:t>obec,</w:t>
      </w:r>
      <w:r>
        <w:rPr>
          <w:rFonts w:ascii="Arial" w:hAnsi="Arial" w:cs="Arial"/>
        </w:rPr>
        <w:tab/>
      </w:r>
    </w:p>
    <w:p>
      <w:pPr>
        <w:pStyle w:val="Odsekzoznamu"/>
        <w:numPr>
          <w:ilvl w:val="2"/>
          <w:numId w:val="2"/>
        </w:numPr>
        <w:jc w:val="both"/>
        <w:rPr>
          <w:rFonts w:ascii="Arial" w:hAnsi="Arial" w:cs="Arial"/>
        </w:rPr>
      </w:pPr>
      <w:r>
        <w:rPr>
          <w:rFonts w:ascii="Arial" w:hAnsi="Arial" w:cs="Arial"/>
        </w:rPr>
        <w:t>vyšší územný celok,</w:t>
      </w:r>
    </w:p>
    <w:p>
      <w:pPr>
        <w:pStyle w:val="Odsekzoznamu"/>
        <w:numPr>
          <w:ilvl w:val="2"/>
          <w:numId w:val="2"/>
        </w:numPr>
        <w:jc w:val="both"/>
        <w:rPr>
          <w:rFonts w:ascii="Arial" w:hAnsi="Arial" w:cs="Arial"/>
        </w:rPr>
      </w:pPr>
      <w:r>
        <w:rPr>
          <w:rFonts w:ascii="Arial" w:hAnsi="Arial" w:cs="Arial"/>
        </w:rPr>
        <w:t>Ústredie práce, sociálnych vecí a rodiny SR,</w:t>
      </w:r>
    </w:p>
    <w:p>
      <w:pPr>
        <w:pStyle w:val="Odsekzoznamu"/>
        <w:numPr>
          <w:ilvl w:val="2"/>
          <w:numId w:val="2"/>
        </w:numPr>
        <w:jc w:val="both"/>
        <w:rPr>
          <w:rFonts w:ascii="Arial" w:hAnsi="Arial" w:cs="Arial"/>
        </w:rPr>
      </w:pPr>
      <w:r>
        <w:rPr>
          <w:rFonts w:ascii="Arial" w:hAnsi="Arial" w:cs="Arial"/>
        </w:rPr>
        <w:t>akreditované fyzické a právnické osoby.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pPr>
        <w:pStyle w:val="Odsekzoznamu"/>
        <w:numPr>
          <w:ilvl w:val="0"/>
          <w:numId w:val="2"/>
        </w:numPr>
        <w:jc w:val="both"/>
        <w:rPr>
          <w:rFonts w:ascii="Arial" w:hAnsi="Arial" w:cs="Arial"/>
        </w:rPr>
      </w:pPr>
      <w:r>
        <w:rPr>
          <w:rFonts w:ascii="Arial" w:hAnsi="Arial" w:cs="Arial"/>
        </w:rPr>
        <w:lastRenderedPageBreak/>
        <w:t>deti, plnoleté fyzické osoby a rodiny, pre ktoré sa vykonávajú opatrenia sociálnoprávnej ochrany detí a sociálnej kurately,</w:t>
      </w:r>
    </w:p>
    <w:p>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pPr>
        <w:pStyle w:val="Odsekzoznamu"/>
        <w:numPr>
          <w:ilvl w:val="0"/>
          <w:numId w:val="2"/>
        </w:numPr>
        <w:jc w:val="both"/>
        <w:rPr>
          <w:rFonts w:ascii="Arial" w:hAnsi="Arial" w:cs="Arial"/>
        </w:rPr>
      </w:pPr>
      <w:r>
        <w:rPr>
          <w:rFonts w:ascii="Arial" w:hAnsi="Arial" w:cs="Arial"/>
        </w:rPr>
        <w:t>zriaďovatelia poskytovateľov sociálnych služieb a subjektov vykonávajúcich opatrenia sociálnoprávnej ochrany detí a sociálnej kurately a ich zamestnanci,</w:t>
      </w:r>
    </w:p>
    <w:p>
      <w:pPr>
        <w:pStyle w:val="Odsekzoznamu"/>
        <w:numPr>
          <w:ilvl w:val="0"/>
          <w:numId w:val="2"/>
        </w:numPr>
        <w:tabs>
          <w:tab w:val="left" w:pos="8789"/>
        </w:tabs>
        <w:jc w:val="both"/>
        <w:rPr>
          <w:rFonts w:ascii="Arial" w:hAnsi="Arial" w:cs="Arial"/>
        </w:rPr>
      </w:pPr>
      <w:r>
        <w:rPr>
          <w:rFonts w:ascii="Arial" w:hAnsi="Arial" w:cs="Arial"/>
        </w:rPr>
        <w:t>subjekty vykonávajúce opatrenia sociálnoprávnej ochrany detí a sociálnej kurately a ich zamestnanci,</w:t>
      </w:r>
    </w:p>
    <w:p>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sz w:val="24"/>
          <w:szCs w:val="24"/>
        </w:rPr>
      </w:pPr>
      <w:r>
        <w:rPr>
          <w:rFonts w:ascii="Arial" w:hAnsi="Arial" w:cs="Arial"/>
        </w:rPr>
        <w:t>celé územie SR</w:t>
      </w:r>
    </w:p>
    <w:p>
      <w:pPr>
        <w:jc w:val="both"/>
        <w:rPr>
          <w:rFonts w:ascii="Arial" w:hAnsi="Arial" w:cs="Arial"/>
        </w:rPr>
      </w:pPr>
      <w:r>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pPr>
        <w:tabs>
          <w:tab w:val="left" w:pos="1425"/>
        </w:tabs>
        <w:jc w:val="both"/>
        <w:rPr>
          <w:rFonts w:ascii="Arial" w:hAnsi="Arial" w:cs="Arial"/>
          <w:b/>
        </w:rPr>
      </w:pPr>
    </w:p>
    <w:p>
      <w:pPr>
        <w:tabs>
          <w:tab w:val="left" w:pos="1425"/>
        </w:tabs>
        <w:jc w:val="both"/>
        <w:rPr>
          <w:rFonts w:ascii="Arial" w:hAnsi="Arial" w:cs="Arial"/>
        </w:rPr>
      </w:pPr>
      <w:r>
        <w:rPr>
          <w:rFonts w:ascii="Arial" w:hAnsi="Arial" w:cs="Arial"/>
          <w:b/>
        </w:rPr>
        <w:t>Špecifický cieľ č. 2.1.2</w:t>
      </w:r>
      <w:r>
        <w:rPr>
          <w:rFonts w:ascii="Arial" w:hAnsi="Arial" w:cs="Arial"/>
        </w:rPr>
        <w:t xml:space="preserve"> je dosahovaný realizáciou nasledovných aktivít.</w:t>
      </w:r>
    </w:p>
    <w:p>
      <w:pPr>
        <w:tabs>
          <w:tab w:val="left" w:pos="1425"/>
        </w:tabs>
        <w:jc w:val="both"/>
        <w:rPr>
          <w:rFonts w:ascii="Arial" w:hAnsi="Arial" w:cs="Arial"/>
        </w:rPr>
      </w:pPr>
      <w:r>
        <w:rPr>
          <w:rFonts w:ascii="Arial" w:hAnsi="Arial" w:cs="Arial"/>
        </w:rPr>
        <w:t>Budovanie infraštruktúry centier integrovanej zdravotnej starostlivosti:</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príprava projektovej dokumentácie,</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 modernizácia a rekonštrukcia budov,</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 centier integrovanej zdravotnej starostlivosti,</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zvýšenie energetickej hospodárnosti budov centier integrovanej zdravotnej starostlivosti – realizácia opatrení na zlepšenie tepelno-izolačných vlastností konštrukcií najmä obnova obvodového plášťa, oprava a výmena strešného plášťa vrátane strešnej krytiny a povrchu plochých striech, oprava a výmena výplňových otvorových konštrukcií, opravy technického, energetického alebo technologického vybavenia a zariadení objektu, ako aj výmena jeho súčastí (najmä výmena vykurovacích kotlov a telies a vnútorných inštalačných rozvodov, klimatizačného zariadenia, inštalovanie technologických zariadení podporujúcich využívanie obnoviteľných zdrojov tam, kde je to vhodné a pod.)</w:t>
      </w:r>
    </w:p>
    <w:p>
      <w:pPr>
        <w:jc w:val="both"/>
        <w:rPr>
          <w:rFonts w:ascii="Arial" w:hAnsi="Arial" w:cs="Arial"/>
        </w:rPr>
      </w:pPr>
      <w:r>
        <w:rPr>
          <w:rFonts w:ascii="Arial" w:hAnsi="Arial" w:cs="Arial"/>
        </w:rPr>
        <w:t xml:space="preserve">Podporované budú aktivity zamerané na reformné a inovatívne budovanie a modernizáciu zdravotníckej infraštruktúry za účelom zlepšenia dostupnosti ku kvalitnej zdravotnej </w:t>
      </w:r>
      <w:r>
        <w:rPr>
          <w:rFonts w:ascii="Arial" w:hAnsi="Arial" w:cs="Arial"/>
        </w:rPr>
        <w:lastRenderedPageBreak/>
        <w:t xml:space="preserve">starostlivosti a zvýšenia produktivity práce. Aktivity budú priamo prispievať k procesu transformácie aktuálneho nemocnične orientovaného systému poskytovania zdravotnej starostlivosti na integrovaný model, ktorý presúva ťažisko z ústavnej starostlivosti do komunitnej ambulantnej primárnej a následnej zdravotnej starostlivosti s orientáciou na klienta a funkčne prepája exitujúce služby. </w:t>
      </w:r>
    </w:p>
    <w:p>
      <w:pPr>
        <w:jc w:val="both"/>
        <w:rPr>
          <w:rStyle w:val="hps"/>
          <w:rFonts w:ascii="Arial" w:hAnsi="Arial" w:cs="Arial"/>
        </w:rPr>
      </w:pPr>
      <w:r>
        <w:rPr>
          <w:rStyle w:val="hps"/>
          <w:rFonts w:ascii="Arial" w:hAnsi="Arial" w:cs="Arial"/>
        </w:rPr>
        <w:t xml:space="preserve">V rámci špecifického cieľa bude </w:t>
      </w:r>
      <w:r>
        <w:rPr>
          <w:rFonts w:ascii="Arial" w:hAnsi="Arial" w:cs="Arial"/>
        </w:rPr>
        <w:t xml:space="preserve">vybudovaná infraštruktúra centier integrovanej zdravotnej starostlivosti, pričom počet a lokalizácia centier integrovanej zdravotnej starostlivosti bude daný MZ SR vo forme pevnej siete. Pevná sieť bude definovaná v rámci „implementačnej stratégie systému integrovanej zdravotnej starostlivosti“ v nadväznosti na schválený strategický rámec, ktorá bude vypracovaná MZ SR v spolupráci so všetkými samosprávnymi krajmi. </w:t>
      </w:r>
      <w:r>
        <w:rPr>
          <w:rStyle w:val="hps"/>
          <w:rFonts w:ascii="Arial" w:hAnsi="Arial" w:cs="Arial"/>
        </w:rPr>
        <w:t>Geografické rozmiestnenie a počet centier integrovanej zdravotnej starostlivosti bude prihliadať na analýzu súčasného stavu rozdrobenej primárnej ambulantnej zdravotnej starostlivosti vo všetkých regiónoch SR a geografické rozloženie primárnej ambulantnej zdravotnej starostlivosti v jednotlivých regiónoch. Súčasťou pevnej siete budú dva typy centier integrovanej zdravotnej starostlivosti – väčšie centrá s kapacitou 20-25 lekárskych miest a menšie regionálne centrá s kapacitou 12-15 lekárskych miest. Väčšie centrá budú alokované v regiónoch s počtom obyvateľov 50,000 v okruhu 25 km a menšie centrá v regiónoch s počtom obyvateľov 20,000 v okruhu 25 km. Pri každom kontaktom bode pevnej siete bude na projektovej úrovni posúdené, či v lokalite existuje vhodná infraštruktúra, ktorá by sa rekonštrukciou mohla prebudovať na centrum integrovanej zdravotnej starostlivosti, alebo na zriadenie centra bude vhodnejšie vybudovanie novej infraštruktúry. Vo všetkých centrách budú pôsobiť všeobecný lekár pre dospelých, všeobecný lekár pre deti a dorast, gynekológ, fakultatívne stomatológ a budú vytvorené priestory pre konziliárne vyšetrenia ambulantných špecialistov. Všetky zariadenia budú vybavené modernou IT infraštruktúrou, ktorá umožní ľahší manažment pacienta a odbúra zbytočnú byrokraciu lekárom (viac času na vyšetrenia pacientov). Každé zariadenie bude vybavené spoločnými vyšetrovacími zariadeniami (EKG, Rtg,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centier budú posilnené aktivity domácej ošetrovateľskej starostlivosti. </w:t>
      </w:r>
      <w:r>
        <w:rPr>
          <w:rStyle w:val="hps"/>
          <w:rFonts w:ascii="Arial" w:hAnsi="Arial" w:cs="Arial"/>
        </w:rPr>
        <w:t>Vybudované centrum získa povolenie na poskytovanie integrovanej ambulantnej zdravotnej starostlivosti pri podmienke personálneho obsadenia kapacity centra na minimálne 50%. V centrách integrovanej zdravotnej starostlivosti budú poskytované služby hradené z verejného zdravotného poistenia, resp. iných verejných zdrojov.</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neziskové organizácie</w:t>
      </w:r>
      <w:r>
        <w:rPr>
          <w:rStyle w:val="Odkaznapoznmkupodiarou"/>
          <w:rFonts w:ascii="Arial" w:hAnsi="Arial" w:cs="Arial"/>
        </w:rPr>
        <w:footnoteReference w:id="54"/>
      </w:r>
      <w:r>
        <w:rPr>
          <w:rFonts w:ascii="Arial" w:hAnsi="Arial" w:cs="Arial"/>
        </w:rPr>
        <w:t xml:space="preserve"> zriadené Ministerstvom zdravotníctva SR v spolupráci so samosprávnymi krajmi a obcami, ktoré sú vlastníkmi alebo dlhodobými nájomcami pozemkov (v prípade výstavby novej infraštruktúry), resp. vlastníkmi alebo dlhodobými nájomcami existujúcej infraštruktúry zdravotníckych zariadení (v prípade modernizácie existujúcej infraštruktúry).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obyvatelia SR.</w:t>
      </w:r>
    </w:p>
    <w:p>
      <w:pPr>
        <w:jc w:val="both"/>
        <w:rPr>
          <w:rFonts w:ascii="Arial" w:hAnsi="Arial" w:cs="Arial"/>
        </w:rPr>
      </w:pPr>
      <w:r>
        <w:rPr>
          <w:rFonts w:ascii="Arial" w:hAnsi="Arial" w:cs="Arial"/>
        </w:rPr>
        <w:lastRenderedPageBreak/>
        <w:t>Cieľové územie:</w:t>
      </w:r>
    </w:p>
    <w:p>
      <w:pPr>
        <w:pStyle w:val="Odsekzoznamu"/>
        <w:numPr>
          <w:ilvl w:val="0"/>
          <w:numId w:val="2"/>
        </w:numPr>
        <w:jc w:val="both"/>
        <w:rPr>
          <w:rFonts w:ascii="Arial" w:hAnsi="Arial" w:cs="Arial"/>
          <w:sz w:val="24"/>
          <w:szCs w:val="24"/>
        </w:rPr>
      </w:pPr>
      <w:r>
        <w:rPr>
          <w:rFonts w:ascii="Arial" w:hAnsi="Arial" w:cs="Arial"/>
        </w:rPr>
        <w:t>celé územie SR, okrem Bratislavského kraja.</w:t>
      </w:r>
    </w:p>
    <w:p>
      <w:pPr>
        <w:jc w:val="both"/>
        <w:rPr>
          <w:rFonts w:ascii="Arial" w:hAnsi="Arial" w:cs="Arial"/>
        </w:rPr>
      </w:pPr>
      <w:r>
        <w:rPr>
          <w:rFonts w:ascii="Arial" w:hAnsi="Arial" w:cs="Arial"/>
        </w:rPr>
        <w:t>Na plnenie špecifického cieľa č. 2.1.2 bude využitá schéma štátnej pomoci, resp. schéma pomoci de minimis v zmysle príslušných ustanovených pravidiel plne zodpovedajúcich legislatíve Európskej únie, ako aj ďalším dokumentom Európskej komisie v oblasti štátnej pomoci.</w:t>
      </w:r>
    </w:p>
    <w:p>
      <w:pPr>
        <w:tabs>
          <w:tab w:val="left" w:pos="1425"/>
        </w:tabs>
        <w:jc w:val="both"/>
        <w:rPr>
          <w:rFonts w:ascii="Arial" w:hAnsi="Arial" w:cs="Arial"/>
        </w:rPr>
      </w:pPr>
      <w:r>
        <w:rPr>
          <w:rFonts w:ascii="Arial" w:hAnsi="Arial" w:cs="Arial"/>
          <w:b/>
        </w:rPr>
        <w:t>Špecifický cieľ č. 2.1.3</w:t>
      </w:r>
      <w:r>
        <w:rPr>
          <w:rFonts w:ascii="Arial" w:hAnsi="Arial" w:cs="Arial"/>
        </w:rPr>
        <w:t xml:space="preserve"> bude dosahovaný realizáciou nasledovných aktivít:</w:t>
      </w:r>
    </w:p>
    <w:p>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vypracovanie transformačného plánu zdravotníckeho zariadenia,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príprava projektovej dokumentácie,</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 modernizácia a rekonštrukcia budov</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 nemocníc poskytujúcich akútnu zdravotnú starostlivosť,</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zvýšenie energetickej hospodárnosti nemocníc poskytujúcich akútnu zdravotnú starostlivosť – realizácia opatrení na zlepšenie tepelno-izolačných vlastností konštrukcií najmä obnova obvodového plášťa, oprava a výmena strešného plášťa vrátane strešnej krytiny a povrchu plochých striech, oprava a výmena výplňových otvorových konštrukcií, opravy technického, energetického alebo technologického vybavenia a zariadení objektu, ako aj výmena jeho súčastí (najmä výmena vykurovacích kotlov a telies a vnútorných inštalačných rozvodov, klimatizačného zariadenia, inštalovanie technologických zariadení podporujúcich využívanie obnoviteľných zdrojov tam, kde je to vhodné a pod.)</w:t>
      </w:r>
    </w:p>
    <w:p>
      <w:pPr>
        <w:jc w:val="both"/>
        <w:rPr>
          <w:rFonts w:ascii="Arial" w:hAnsi="Arial" w:cs="Arial"/>
        </w:rPr>
      </w:pPr>
      <w:r>
        <w:rPr>
          <w:rFonts w:ascii="Arial" w:hAnsi="Arial" w:cs="Arial"/>
        </w:rPr>
        <w:t xml:space="preserve">Podporované budú aktivity zamerané na reformné a inovatívne budovanie a modernizáciu zdravotníckej infraštruktúry za účelom zlepšenia dostupnosti ku kvalitnej zdravotnej starostlivosti a zvýšenia produktivity práce. Aktivity budú priamo prispievať k procesu transformácie aktuálneho nemocnične orientovaného systému poskytovania zdravotnej starostlivosti na integrovaný model, ktorý presúva ťažisko z ústavnej starostlivosti do komunitnej ambulantnej primárnej a následnej zdravotnej starostlivosti s orientáciou na klienta a funkčne prepája exitujúce služby. </w:t>
      </w:r>
    </w:p>
    <w:p>
      <w:pPr>
        <w:jc w:val="both"/>
        <w:rPr>
          <w:rStyle w:val="hps"/>
          <w:rFonts w:ascii="Arial" w:hAnsi="Arial" w:cs="Arial"/>
        </w:rPr>
      </w:pPr>
      <w:r>
        <w:rPr>
          <w:rStyle w:val="hps"/>
          <w:rFonts w:ascii="Arial" w:hAnsi="Arial" w:cs="Arial"/>
        </w:rPr>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Ministerstvom zdravotníctva SR v spolupráci so všetkými samosprávnymi krajmi.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w:t>
      </w:r>
      <w:r>
        <w:rPr>
          <w:rStyle w:val="hps"/>
          <w:rFonts w:ascii="Arial" w:hAnsi="Arial" w:cs="Arial"/>
        </w:rPr>
        <w:lastRenderedPageBreak/>
        <w:t xml:space="preserve">rozloženie akútnej ústavnej zdravotnej starostlivosti v jednotlivých regiónoch pri rešpektovaní optimálnej spádovosti.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pPr>
        <w:pStyle w:val="Zoznamsodrkami1"/>
        <w:numPr>
          <w:ilvl w:val="0"/>
          <w:numId w:val="0"/>
        </w:numPr>
        <w:spacing w:before="120"/>
        <w:jc w:val="both"/>
        <w:rPr>
          <w:rFonts w:ascii="Arial" w:hAnsi="Arial" w:cs="Arial"/>
          <w:sz w:val="22"/>
          <w:szCs w:val="22"/>
        </w:rPr>
      </w:pPr>
    </w:p>
    <w:p>
      <w:pPr>
        <w:jc w:val="both"/>
        <w:rPr>
          <w:rFonts w:ascii="Arial" w:hAnsi="Arial" w:cs="Arial"/>
          <w:u w:val="single"/>
        </w:rPr>
      </w:pPr>
      <w:r>
        <w:rPr>
          <w:rFonts w:ascii="Arial" w:hAnsi="Arial" w:cs="Arial"/>
        </w:rPr>
        <w:t>Prijímatelia</w:t>
      </w:r>
      <w:r>
        <w:rPr>
          <w:rFonts w:ascii="Arial" w:hAnsi="Arial" w:cs="Arial"/>
          <w:u w:val="single"/>
        </w:rPr>
        <w:t xml:space="preserve">: </w:t>
      </w:r>
    </w:p>
    <w:p>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Pr>
          <w:rStyle w:val="Odkaznapoznmkupodiarou"/>
          <w:rFonts w:ascii="Arial" w:hAnsi="Arial" w:cs="Arial"/>
        </w:rPr>
        <w:footnoteReference w:id="55"/>
      </w:r>
      <w:r>
        <w:rPr>
          <w:rFonts w:ascii="Arial" w:hAnsi="Arial" w:cs="Arial"/>
        </w:rPr>
        <w:t xml:space="preserve"> – iba v rámci zracionalizovanej siete poskytovateľov akútnej ústavnej zdravotnej starostlivosti,</w:t>
      </w:r>
    </w:p>
    <w:p>
      <w:pPr>
        <w:jc w:val="both"/>
        <w:rPr>
          <w:rFonts w:ascii="Arial" w:hAnsi="Arial" w:cs="Arial"/>
          <w:u w:val="single"/>
        </w:rPr>
      </w:pPr>
      <w:r>
        <w:rPr>
          <w:rFonts w:ascii="Arial" w:hAnsi="Arial" w:cs="Arial"/>
        </w:rPr>
        <w:t>Cieľové skupiny</w:t>
      </w:r>
      <w:r>
        <w:rPr>
          <w:rFonts w:ascii="Arial" w:hAnsi="Arial" w:cs="Arial"/>
          <w:u w:val="single"/>
        </w:rPr>
        <w:t>:</w:t>
      </w:r>
    </w:p>
    <w:p>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pPr>
        <w:jc w:val="both"/>
        <w:rPr>
          <w:rFonts w:ascii="Arial" w:hAnsi="Arial" w:cs="Arial"/>
        </w:rPr>
      </w:pPr>
      <w:r>
        <w:rPr>
          <w:rFonts w:ascii="Arial" w:hAnsi="Arial" w:cs="Arial"/>
        </w:rPr>
        <w:t>Cieľové územie:</w:t>
      </w:r>
    </w:p>
    <w:p>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pPr>
        <w:pStyle w:val="Nadpis6"/>
        <w:rPr>
          <w:rFonts w:ascii="Arial" w:hAnsi="Arial" w:cs="Arial"/>
        </w:rPr>
      </w:pPr>
      <w:bookmarkStart w:id="32" w:name="_Toc387153915"/>
      <w:r>
        <w:rPr>
          <w:rFonts w:ascii="Arial" w:hAnsi="Arial" w:cs="Arial"/>
        </w:rPr>
        <w:t>2.2.1.2.  Hlavné zásady výberu operácií</w:t>
      </w:r>
      <w:bookmarkEnd w:id="32"/>
    </w:p>
    <w:p>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2.1.1</w:t>
      </w:r>
      <w:r>
        <w:rPr>
          <w:rFonts w:ascii="Arial" w:hAnsi="Arial" w:cs="Arial"/>
        </w:rPr>
        <w:t xml:space="preserve"> a dosiahnutie stanovených výsledkov navrhované operácie/projekty rešpektujú nasledovné princípy:</w:t>
      </w:r>
    </w:p>
    <w:p>
      <w:pPr>
        <w:pStyle w:val="Odsekzoznamu"/>
        <w:numPr>
          <w:ilvl w:val="0"/>
          <w:numId w:val="2"/>
        </w:numPr>
        <w:jc w:val="both"/>
        <w:rPr>
          <w:rFonts w:ascii="Arial" w:hAnsi="Arial" w:cs="Arial"/>
        </w:rPr>
      </w:pPr>
      <w:r>
        <w:rPr>
          <w:rFonts w:ascii="Arial" w:hAnsi="Arial" w:cs="Arial"/>
        </w:rPr>
        <w:t xml:space="preserve">projekt musí byť v súlade 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pPr>
        <w:pStyle w:val="Odsekzoznamu"/>
        <w:numPr>
          <w:ilvl w:val="0"/>
          <w:numId w:val="2"/>
        </w:numPr>
        <w:jc w:val="both"/>
        <w:rPr>
          <w:rFonts w:ascii="Arial" w:hAnsi="Arial" w:cs="Arial"/>
        </w:rPr>
      </w:pPr>
      <w:r>
        <w:rPr>
          <w:rFonts w:ascii="Arial" w:hAnsi="Arial" w:cs="Arial"/>
        </w:rPr>
        <w:t xml:space="preserve">projekt musí byť v súlade s </w:t>
      </w:r>
      <w:r>
        <w:rPr>
          <w:rFonts w:ascii="Arial" w:hAnsi="Arial" w:cs="Arial"/>
          <w:i/>
        </w:rPr>
        <w:t xml:space="preserve">Národným akčným plánom prechodu z inštitucionálnej na komunitnú starostlivosť v systéme sociálnych služieb na roky 2012 – 2015 </w:t>
      </w:r>
      <w:r>
        <w:rPr>
          <w:rFonts w:ascii="Arial" w:hAnsi="Arial" w:cs="Arial"/>
        </w:rPr>
        <w:t>(súlad overený a potvrdený stanoviskom vecne príslušného orgánu),</w:t>
      </w:r>
    </w:p>
    <w:p>
      <w:pPr>
        <w:pStyle w:val="Odsekzoznamu"/>
        <w:numPr>
          <w:ilvl w:val="0"/>
          <w:numId w:val="2"/>
        </w:numPr>
        <w:jc w:val="both"/>
        <w:rPr>
          <w:rFonts w:ascii="Arial" w:hAnsi="Arial" w:cs="Arial"/>
        </w:rPr>
      </w:pPr>
      <w:r>
        <w:rPr>
          <w:rFonts w:ascii="Arial" w:hAnsi="Arial" w:cs="Arial"/>
        </w:rPr>
        <w:t>projekt musí byť v súlade s </w:t>
      </w:r>
      <w:r>
        <w:rPr>
          <w:rFonts w:ascii="Arial" w:hAnsi="Arial" w:cs="Arial"/>
          <w:i/>
        </w:rPr>
        <w:t xml:space="preserve">Koncepciou zabezpečovania výkonu súdnych rozhodnutí v detských domovoch na roky 2012 – 2015 s výhľadom do roku 2020 - Plán transformácie a deinštitucionalizácie náhradnej starostlivosti </w:t>
      </w:r>
      <w:r>
        <w:rPr>
          <w:rFonts w:ascii="Arial" w:hAnsi="Arial" w:cs="Arial"/>
        </w:rPr>
        <w:t>(súlad overený a potvrdený stanoviskom vecne príslušného orgánu),</w:t>
      </w:r>
    </w:p>
    <w:p>
      <w:pPr>
        <w:pStyle w:val="Odsekzoznamu"/>
        <w:numPr>
          <w:ilvl w:val="0"/>
          <w:numId w:val="2"/>
        </w:numPr>
        <w:jc w:val="both"/>
        <w:rPr>
          <w:rFonts w:ascii="Arial" w:hAnsi="Arial" w:cs="Arial"/>
        </w:rPr>
      </w:pPr>
      <w:r>
        <w:rPr>
          <w:rFonts w:ascii="Arial" w:hAnsi="Arial" w:cs="Arial"/>
        </w:rPr>
        <w:t>projekt z oblasti sociálnych služieb musí byť v súlade so zákonom č. 448/2008 Z. z. o sociálnych službách a o zmene a doplnení zákona č. 455/1991 Zb. o živnostenskom podnikaní (živnostenský zákon) v znení neskorších predpisov (súlad overený a potvrdený stanoviskom vecne príslušného orgánu),</w:t>
      </w:r>
    </w:p>
    <w:p>
      <w:pPr>
        <w:pStyle w:val="Odsekzoznamu"/>
        <w:numPr>
          <w:ilvl w:val="0"/>
          <w:numId w:val="2"/>
        </w:numPr>
        <w:jc w:val="both"/>
        <w:rPr>
          <w:rFonts w:ascii="Arial" w:hAnsi="Arial" w:cs="Arial"/>
        </w:rPr>
      </w:pPr>
      <w:r>
        <w:rPr>
          <w:rFonts w:ascii="Arial" w:hAnsi="Arial" w:cs="Arial"/>
        </w:rPr>
        <w:lastRenderedPageBreak/>
        <w:t>projekt z oblasti sociálnoprávnej ochrany detí a sociálnej kurately musí byť v súlade so zákonom č. 305/2005 Z. z. o sociálnoprávnej ochrane detí a o sociálnej kuratele a o zmene a doplnení niektorých zákonov v znení neskorších predpisov (súlad overený a potvrdený stanoviskom vecne príslušného orgánu),</w:t>
      </w:r>
    </w:p>
    <w:p>
      <w:pPr>
        <w:pStyle w:val="Odsekzoznamu"/>
        <w:numPr>
          <w:ilvl w:val="0"/>
          <w:numId w:val="2"/>
        </w:numPr>
        <w:jc w:val="both"/>
        <w:rPr>
          <w:rFonts w:ascii="Arial" w:hAnsi="Arial" w:cs="Arial"/>
        </w:rPr>
      </w:pPr>
      <w:r>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pPr>
        <w:pStyle w:val="Odsekzoznamu"/>
        <w:numPr>
          <w:ilvl w:val="0"/>
          <w:numId w:val="2"/>
        </w:numPr>
        <w:jc w:val="both"/>
        <w:rPr>
          <w:rFonts w:ascii="Arial" w:hAnsi="Arial" w:cs="Arial"/>
        </w:rPr>
      </w:pPr>
      <w:r>
        <w:rPr>
          <w:rFonts w:ascii="Arial" w:hAnsi="Arial" w:cs="Arial"/>
        </w:rPr>
        <w:t>podporené stavebné objekty v sociálnych službách spojené s bývaním môžu mať maximálne kapacitu 6 miest v 1 bytovej jednotke a maximálne 2 bytové jednotky v 1 objekte,</w:t>
      </w:r>
    </w:p>
    <w:p>
      <w:pPr>
        <w:pStyle w:val="Odsekzoznamu"/>
        <w:numPr>
          <w:ilvl w:val="0"/>
          <w:numId w:val="2"/>
        </w:numPr>
        <w:jc w:val="both"/>
        <w:rPr>
          <w:rFonts w:ascii="Arial" w:hAnsi="Arial" w:cs="Arial"/>
        </w:rPr>
      </w:pPr>
      <w:r>
        <w:rPr>
          <w:rFonts w:ascii="Arial" w:hAnsi="Arial" w:cs="Arial"/>
        </w:rPr>
        <w:t xml:space="preserve">podporené stavebné objekty v sociálnych službách zamerané na poskytovanie služieb starostlivosti o deti do 3 rokov veku môžu mať maximálne kapacitu 20 miest v jednom objekte, </w:t>
      </w:r>
    </w:p>
    <w:p>
      <w:pPr>
        <w:pStyle w:val="Odsekzoznamu"/>
        <w:numPr>
          <w:ilvl w:val="0"/>
          <w:numId w:val="2"/>
        </w:numPr>
        <w:jc w:val="both"/>
        <w:rPr>
          <w:rFonts w:ascii="Arial" w:hAnsi="Arial" w:cs="Arial"/>
        </w:rPr>
      </w:pPr>
      <w:r>
        <w:rPr>
          <w:rFonts w:ascii="Arial" w:hAnsi="Arial" w:cs="Arial"/>
        </w:rPr>
        <w:t>podporené stavebné objekty v sociálnoprávnej ochrane detí a sociálnej kurately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pPr>
        <w:pStyle w:val="Odsekzoznamu"/>
        <w:numPr>
          <w:ilvl w:val="0"/>
          <w:numId w:val="2"/>
        </w:numPr>
        <w:jc w:val="both"/>
        <w:rPr>
          <w:rFonts w:ascii="Arial" w:hAnsi="Arial" w:cs="Arial"/>
        </w:rPr>
      </w:pPr>
      <w:r>
        <w:rPr>
          <w:rFonts w:ascii="Arial" w:hAnsi="Arial" w:cs="Arial"/>
        </w:rPr>
        <w:t>stavebné objekty uvoľnené v priebehu transformácie deinštitucionalizovaných zariadení s celoročným pobytom môžu byť ďalej využívané pre pobytové  sociálne služby len pre seniorov a chronicky chorých danej lokality maximálne v kapacite ustanovenej zákonom o sociálnych službách  s podmienkou, že štúdia o vybavenosti územia preukáže dostatočnú vybavenosť danej lokality komunitnými službami pre relevantné cieľové skupiny; v odôvodnených prípadoch nedostatkovosti týchto služieb v danej lokalite sa môžu uchádzať o podporu z IROP,</w:t>
      </w:r>
    </w:p>
    <w:p>
      <w:pPr>
        <w:pStyle w:val="Odsekzoznamu"/>
        <w:numPr>
          <w:ilvl w:val="0"/>
          <w:numId w:val="2"/>
        </w:numPr>
        <w:jc w:val="both"/>
        <w:rPr>
          <w:rFonts w:ascii="Arial" w:hAnsi="Arial" w:cs="Arial"/>
        </w:rPr>
      </w:pPr>
      <w:r>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pPr>
        <w:pStyle w:val="Odsekzoznamu"/>
        <w:numPr>
          <w:ilvl w:val="0"/>
          <w:numId w:val="2"/>
        </w:numPr>
        <w:jc w:val="both"/>
        <w:rPr>
          <w:rFonts w:ascii="Arial" w:hAnsi="Arial" w:cs="Arial"/>
        </w:rPr>
      </w:pPr>
      <w:r>
        <w:rPr>
          <w:rFonts w:ascii="Arial" w:hAnsi="Arial" w:cs="Arial"/>
        </w:rPr>
        <w:t>podporený stavebný objekt musí byť včlenený do bežnej zástavby obce a primerane vzdialený od iného stavebného objektu, v ktorom sa poskytuje sociálna služba a zabezpečuje výkon opatrení sociálnoprávnej ochrany detí a sociálnej kurately v zariadení,</w:t>
      </w:r>
    </w:p>
    <w:p>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pPr>
        <w:pStyle w:val="Odsekzoznamu"/>
        <w:numPr>
          <w:ilvl w:val="0"/>
          <w:numId w:val="2"/>
        </w:numPr>
        <w:jc w:val="both"/>
        <w:rPr>
          <w:rFonts w:ascii="Arial" w:hAnsi="Arial" w:cs="Arial"/>
        </w:rPr>
      </w:pPr>
      <w:r>
        <w:rPr>
          <w:rFonts w:ascii="Arial" w:hAnsi="Arial" w:cs="Arial"/>
        </w:rPr>
        <w:t>projekt a nové komunitné služby musia spĺňa podmienky kvality poskytovanej sociálnej služby určenej v zákone č. 448/2008 Z. z. o sociálnych službách, Príloha č. 2.</w:t>
      </w:r>
    </w:p>
    <w:p>
      <w:pPr>
        <w:jc w:val="both"/>
        <w:rPr>
          <w:rFonts w:ascii="Arial" w:hAnsi="Arial" w:cs="Arial"/>
        </w:rPr>
      </w:pPr>
      <w:r>
        <w:rPr>
          <w:rFonts w:ascii="Arial" w:hAnsi="Arial" w:cs="Arial"/>
        </w:rPr>
        <w:t>Na podporu nebudú oprávnené tie operácie/projekty, ktorých zámerom je výstavba, rekonštrukcia, rozširovanie alebo modernizácia veľkokapacitných objektov zariadení s celoročným pobytom.</w:t>
      </w:r>
    </w:p>
    <w:p>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2.1.2</w:t>
      </w:r>
      <w:r>
        <w:rPr>
          <w:rFonts w:ascii="Arial" w:hAnsi="Arial" w:cs="Arial"/>
        </w:rPr>
        <w:t xml:space="preserve"> a dosiahnutie stanovených výsledkov navrhované operácie/projekty rešpektujú nasledovné princípy:</w:t>
      </w:r>
    </w:p>
    <w:p>
      <w:pPr>
        <w:pStyle w:val="Odsekzoznamu"/>
        <w:numPr>
          <w:ilvl w:val="0"/>
          <w:numId w:val="2"/>
        </w:numPr>
        <w:spacing w:before="120"/>
        <w:jc w:val="both"/>
        <w:rPr>
          <w:rFonts w:ascii="Arial" w:hAnsi="Arial" w:cs="Arial"/>
        </w:rPr>
      </w:pPr>
      <w:r>
        <w:rPr>
          <w:rFonts w:ascii="Arial" w:hAnsi="Arial" w:cs="Arial"/>
        </w:rPr>
        <w:lastRenderedPageBreak/>
        <w:t>projekt musí byť  v súlade so Strategickým rámcom starostlivosti o zdravie pre roky 2014 – 2030 a jeho relevantnými čiastkovými stratégiami/nástrojmi zmien,</w:t>
      </w:r>
    </w:p>
    <w:p>
      <w:pPr>
        <w:pStyle w:val="Odsekzoznamu"/>
        <w:numPr>
          <w:ilvl w:val="0"/>
          <w:numId w:val="2"/>
        </w:numPr>
        <w:spacing w:before="120"/>
        <w:jc w:val="both"/>
        <w:rPr>
          <w:rFonts w:ascii="Arial" w:hAnsi="Arial" w:cs="Arial"/>
        </w:rPr>
      </w:pPr>
      <w:r>
        <w:rPr>
          <w:rFonts w:ascii="Arial" w:hAnsi="Arial" w:cs="Arial"/>
        </w:rPr>
        <w:t>projekt musí reflektovať regionálne špecifiká (geografia, dopravná dostupnosť, demografia, epidemiológia, ...) a integračné trendy,</w:t>
      </w:r>
    </w:p>
    <w:p>
      <w:pPr>
        <w:pStyle w:val="Odsekzoznamu"/>
        <w:numPr>
          <w:ilvl w:val="0"/>
          <w:numId w:val="2"/>
        </w:numPr>
        <w:spacing w:before="120"/>
        <w:jc w:val="both"/>
        <w:rPr>
          <w:rFonts w:ascii="Arial" w:hAnsi="Arial" w:cs="Arial"/>
        </w:rPr>
      </w:pPr>
      <w:r>
        <w:rPr>
          <w:rFonts w:ascii="Arial" w:hAnsi="Arial" w:cs="Arial"/>
        </w:rPr>
        <w:t>projekt vybudovania centra integrovanej zdravotnej starostlivosti vo forme výstavby novej infraštruktúry, resp. vo forme modernizácie existujúcej infraštruktúry je z hľadiska nákladovej efektívnosti najvhodnejším stavebným riešením v príslušnej lokalite,</w:t>
      </w:r>
    </w:p>
    <w:p>
      <w:pPr>
        <w:pStyle w:val="Odsekzoznamu"/>
        <w:numPr>
          <w:ilvl w:val="0"/>
          <w:numId w:val="2"/>
        </w:numPr>
        <w:spacing w:before="120"/>
        <w:jc w:val="both"/>
        <w:rPr>
          <w:rFonts w:ascii="Arial" w:hAnsi="Arial" w:cs="Arial"/>
        </w:rPr>
      </w:pPr>
      <w:r>
        <w:rPr>
          <w:rFonts w:ascii="Arial" w:hAnsi="Arial" w:cs="Arial"/>
        </w:rPr>
        <w:t xml:space="preserve">projekt modernizácie infraštruktúry nemocníc poskytujúcich akútnu zdravotnú starostlivosť musí preukázateľne zlepšiť produktivitu práce podporeného zdravotníckeho zariadenia, </w:t>
      </w:r>
    </w:p>
    <w:p>
      <w:pPr>
        <w:pStyle w:val="Odsekzoznamu"/>
        <w:numPr>
          <w:ilvl w:val="0"/>
          <w:numId w:val="2"/>
        </w:numPr>
        <w:spacing w:before="120"/>
        <w:jc w:val="both"/>
        <w:rPr>
          <w:rFonts w:ascii="Arial" w:hAnsi="Arial" w:cs="Arial"/>
        </w:rPr>
      </w:pPr>
      <w:r>
        <w:rPr>
          <w:rFonts w:ascii="Arial" w:hAnsi="Arial" w:cs="Arial"/>
        </w:rPr>
        <w:t>projekt spĺňa požiadavky v súlade s vyhláškou MŽP SR č. 532/2002 Z. z. ktorou sa ustanovujú podrobnosti o všeobecných technických požiadavkách na výstavbu a o všeobecných technických požiadavkách na stavby užívané osobami s obmedzenou schopnosťou pohybu a orientácie,</w:t>
      </w:r>
    </w:p>
    <w:p>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2.1.3</w:t>
      </w:r>
      <w:r>
        <w:rPr>
          <w:rFonts w:ascii="Arial" w:hAnsi="Arial" w:cs="Arial"/>
        </w:rPr>
        <w:t xml:space="preserve"> a dosiahnutie stanovených výsledkov by navrhované operácie/projekty mali rešpektovať nasledovné princípy:</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projekt musí byť  v súlade so Strategickým rámcom starostlivosti o zdravie pre roky 2014 – 2030 a jeho relevantnými čiastkovými stratégiami/nástrojmi zmien,</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projekt musí reflektovať regionálne špecifiká (geografia, dopravná dostupnosť, demografia, epidemiológia, ...) a integračné trendy,</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podporené stavebné objekty musia byť plne bezbariérové v súlade s princípmi univerzálneho navrhovania - projekt spĺňa požiadavky v súlade s vyhláškou MŽP SR č. 532/2002 Z. z. ktorou sa ustanovujú podrobnosti o všeobecných technických požiadavkách na výstavbu a o všeobecných technických požiadavkách na stavby užívané osobami s obmedzenou schopnosťou pohybu a orientácie,</w:t>
      </w:r>
    </w:p>
    <w:p>
      <w:pPr>
        <w:pStyle w:val="Odsekzoznamu"/>
        <w:numPr>
          <w:ilvl w:val="0"/>
          <w:numId w:val="2"/>
        </w:numPr>
        <w:tabs>
          <w:tab w:val="clear" w:pos="360"/>
          <w:tab w:val="num" w:pos="720"/>
        </w:tabs>
        <w:ind w:left="720"/>
        <w:jc w:val="both"/>
        <w:rPr>
          <w:rFonts w:ascii="Arial" w:hAnsi="Arial" w:cs="Arial"/>
        </w:rPr>
      </w:pPr>
      <w:r>
        <w:rPr>
          <w:rFonts w:ascii="Arial" w:hAnsi="Arial" w:cs="Arial"/>
        </w:rPr>
        <w:t>pre projekt bude platiť efektívna bonifikácia, pokiaľ pri obnove/výstavbe budov alebo ich častí budú tepelnotechnické vlastnosti stavebných konštrukcií a budov spĺňať parametre nad rámec aktuálne požadovanej úrovne energetickej hospodárnosti podľa STN 73 0540-2: 2012,</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2"/>
        </w:numPr>
        <w:tabs>
          <w:tab w:val="clear" w:pos="360"/>
          <w:tab w:val="num" w:pos="720"/>
        </w:tabs>
        <w:spacing w:before="120"/>
        <w:ind w:left="72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spacing w:before="120"/>
        <w:jc w:val="both"/>
        <w:rPr>
          <w:rFonts w:ascii="Arial" w:hAnsi="Arial" w:cs="Arial"/>
        </w:rPr>
      </w:pPr>
    </w:p>
    <w:p>
      <w:pPr>
        <w:spacing w:before="120"/>
        <w:jc w:val="both"/>
        <w:rPr>
          <w:rFonts w:ascii="Arial" w:hAnsi="Arial" w:cs="Arial"/>
        </w:rPr>
      </w:pPr>
      <w:r>
        <w:rPr>
          <w:rFonts w:ascii="Arial" w:hAnsi="Arial" w:cs="Arial"/>
        </w:rPr>
        <w:t>Princípy spoločne uplatňované pre všetky tri špecifické ciele:</w:t>
      </w:r>
    </w:p>
    <w:p>
      <w:pPr>
        <w:pStyle w:val="Odsekzoznamu"/>
        <w:numPr>
          <w:ilvl w:val="0"/>
          <w:numId w:val="2"/>
        </w:numPr>
        <w:spacing w:before="120"/>
        <w:jc w:val="both"/>
        <w:rPr>
          <w:rFonts w:ascii="Arial" w:hAnsi="Arial" w:cs="Arial"/>
        </w:rPr>
      </w:pPr>
      <w:r>
        <w:rPr>
          <w:rFonts w:ascii="Arial" w:hAnsi="Arial" w:cs="Arial"/>
        </w:rPr>
        <w:t>podporené stavebné objekty musia byť plne bezbariérové v súlade s princípmi univerzálneho navrhovania,</w:t>
      </w:r>
    </w:p>
    <w:p>
      <w:pPr>
        <w:pStyle w:val="Odsekzoznamu"/>
        <w:numPr>
          <w:ilvl w:val="0"/>
          <w:numId w:val="2"/>
        </w:numPr>
        <w:jc w:val="both"/>
        <w:rPr>
          <w:rFonts w:ascii="Arial" w:hAnsi="Arial" w:cs="Arial"/>
        </w:rPr>
      </w:pPr>
      <w:r>
        <w:rPr>
          <w:rFonts w:ascii="Arial" w:hAnsi="Arial" w:cs="Arial"/>
        </w:rPr>
        <w:lastRenderedPageBreak/>
        <w:t>pre projekt bude platiť efektívna bonifikácia, pokiaľ pri obnove/výstavbe budov alebo ich častí budú tepelnotechnické vlastnosti stavebných konštrukcií a budov spĺňať parametre nad rámec aktuálne požadovanej úrovne energetickej hospodárnosti podľa STN 73 0540-2: 2012,</w:t>
      </w:r>
    </w:p>
    <w:p>
      <w:pPr>
        <w:pStyle w:val="Odsekzoznamu"/>
        <w:numPr>
          <w:ilvl w:val="0"/>
          <w:numId w:val="2"/>
        </w:numPr>
        <w:spacing w:before="12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2"/>
        </w:numPr>
        <w:spacing w:before="12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2"/>
        </w:numPr>
        <w:spacing w:before="120"/>
        <w:jc w:val="both"/>
        <w:rPr>
          <w:rFonts w:ascii="Arial" w:hAnsi="Arial" w:cs="Arial"/>
        </w:rPr>
      </w:pPr>
      <w:r>
        <w:rPr>
          <w:rFonts w:ascii="Arial" w:hAnsi="Arial" w:cs="Arial"/>
        </w:rPr>
        <w:t>projekt uplatňuje zásadu „znečisťovateľ platí“ ako podmienku výberu projektov.</w:t>
      </w:r>
    </w:p>
    <w:p>
      <w:pPr>
        <w:spacing w:before="120"/>
        <w:jc w:val="both"/>
        <w:rPr>
          <w:rFonts w:ascii="Arial" w:hAnsi="Arial" w:cs="Arial"/>
        </w:rPr>
      </w:pPr>
      <w:r>
        <w:rPr>
          <w:rFonts w:ascii="Arial" w:hAnsi="Arial" w:cs="Arial"/>
        </w:rPr>
        <w:t>Všetky uvedené princípy sa uplatnia v závislosti od  typu a charakteru projektu.</w:t>
      </w:r>
    </w:p>
    <w:p>
      <w:pPr>
        <w:spacing w:before="120"/>
        <w:jc w:val="both"/>
        <w:rPr>
          <w:rFonts w:ascii="Arial" w:hAnsi="Arial" w:cs="Arial"/>
        </w:rPr>
      </w:pPr>
    </w:p>
    <w:p>
      <w:pPr>
        <w:pStyle w:val="Nadpis6"/>
        <w:rPr>
          <w:rFonts w:ascii="Arial" w:hAnsi="Arial" w:cs="Arial"/>
        </w:rPr>
      </w:pPr>
      <w:bookmarkStart w:id="33" w:name="_Toc387153916"/>
      <w:r>
        <w:rPr>
          <w:rFonts w:ascii="Arial" w:hAnsi="Arial" w:cs="Arial"/>
        </w:rPr>
        <w:t>2.2.1.3. Plánované využitie finančných nástrojov</w:t>
      </w:r>
      <w:bookmarkEnd w:id="33"/>
    </w:p>
    <w:p>
      <w:pPr>
        <w:rPr>
          <w:rFonts w:ascii="Arial" w:hAnsi="Arial" w:cs="Arial"/>
        </w:rPr>
      </w:pPr>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34" w:name="_Toc387153917"/>
      <w:r>
        <w:rPr>
          <w:rFonts w:ascii="Arial" w:hAnsi="Arial" w:cs="Arial"/>
        </w:rPr>
        <w:lastRenderedPageBreak/>
        <w:t>2.2.1.4. Plánované využitie veľkých projektov</w:t>
      </w:r>
      <w:bookmarkEnd w:id="34"/>
    </w:p>
    <w:p>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35" w:name="_Toc387153918"/>
      <w:r>
        <w:rPr>
          <w:rFonts w:ascii="Arial" w:hAnsi="Arial" w:cs="Arial"/>
        </w:rPr>
        <w:t>2.2.1.5. Ukazovatele výstupov podľa investičnej priority a ak je to vhodné, podľa kategórie regiónu</w:t>
      </w:r>
      <w:bookmarkEnd w:id="35"/>
    </w:p>
    <w:p>
      <w:pPr>
        <w:spacing w:before="120"/>
        <w:rPr>
          <w:rFonts w:ascii="Arial" w:hAnsi="Arial" w:cs="Arial"/>
        </w:rPr>
      </w:pPr>
      <w:r>
        <w:rPr>
          <w:rStyle w:val="Siln"/>
          <w:rFonts w:ascii="Arial" w:hAnsi="Arial" w:cs="Arial"/>
        </w:rPr>
        <w:t>Tabuľka č. 19</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Osoba v náhradnej starostlivosti</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Osoba v náhradnej starostlivosti</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Sociálna služba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110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Sociálna služba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 xml:space="preserve">Kapacita novovzniknutých </w:t>
            </w:r>
            <w:r>
              <w:rPr>
                <w:rFonts w:ascii="Arial" w:hAnsi="Arial" w:cs="Arial"/>
                <w:sz w:val="16"/>
                <w:szCs w:val="16"/>
              </w:rPr>
              <w:lastRenderedPageBreak/>
              <w:t>komunitných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lastRenderedPageBreak/>
              <w:t xml:space="preserve">Prijímateľ sociálnych </w:t>
            </w:r>
            <w:r>
              <w:rPr>
                <w:rFonts w:ascii="Arial" w:hAnsi="Arial" w:cs="Arial"/>
                <w:sz w:val="16"/>
                <w:szCs w:val="16"/>
              </w:rPr>
              <w:lastRenderedPageBreak/>
              <w:t>služieb</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lastRenderedPageBreak/>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Kapacita novovzniknutých komunitných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Počet zariadení sociálnych služieb, čiastočne alebo plne transformovaných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Počet zariadení sociálnych služieb, čiastočne alebo plne transformovaných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Predpokladaný počet obyvateľov, ktorí využijú kvalitnejšie zdravotné služby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Obyvateľ</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4 775 000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p>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Plocha zmodernizovaných  alebo novopostavených stavebných objektov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Plocha zmodernizovaných  alebo novopostavených stavebných objektov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heme="minorHAnsi" w:hAnsi="Arial" w:cs="Arial"/>
                <w:sz w:val="16"/>
                <w:szCs w:val="16"/>
              </w:rPr>
              <w:t xml:space="preserve">Počet </w:t>
            </w:r>
            <w:r>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 xml:space="preserve">Centrum </w:t>
            </w:r>
            <w:r>
              <w:rPr>
                <w:rFonts w:ascii="Arial" w:hAnsi="Arial" w:cs="Arial"/>
                <w:bCs/>
                <w:sz w:val="16"/>
                <w:szCs w:val="16"/>
              </w:rPr>
              <w:t>integrovanej zdravotnej starostlivosti</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heme="minorHAnsi" w:hAnsi="Arial" w:cs="Arial"/>
                <w:sz w:val="16"/>
                <w:szCs w:val="16"/>
              </w:rPr>
              <w:t xml:space="preserve">Počet </w:t>
            </w:r>
            <w:r>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Akútne všeobecné nemocnice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eastAsia="Times New Roman" w:hAnsi="Arial" w:cs="Arial"/>
                <w:bCs/>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eastAsia="Times New Roman" w:hAnsi="Arial" w:cs="Arial"/>
                <w:bCs/>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eastAsia="Times New Roman" w:hAnsi="Arial" w:cs="Arial"/>
                <w:bCs/>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eastAsia="Times New Roman" w:hAnsi="Arial" w:cs="Arial"/>
                <w:bCs/>
                <w:sz w:val="16"/>
                <w:szCs w:val="16"/>
              </w:rPr>
              <w:t>ročne</w:t>
            </w:r>
          </w:p>
        </w:tc>
      </w:tr>
    </w:tbl>
    <w:p>
      <w:pPr>
        <w:pBdr>
          <w:bottom w:val="single" w:sz="12" w:space="1" w:color="auto"/>
        </w:pBdr>
        <w:rPr>
          <w:rFonts w:ascii="Arial" w:hAnsi="Arial" w:cs="Arial"/>
        </w:rPr>
      </w:pPr>
    </w:p>
    <w:p>
      <w:pPr>
        <w:spacing w:after="0" w:line="240" w:lineRule="auto"/>
        <w:jc w:val="both"/>
        <w:rPr>
          <w:rFonts w:ascii="Arial" w:hAnsi="Arial" w:cs="Arial"/>
          <w:color w:val="000000"/>
          <w:lang w:eastAsia="sk-SK"/>
        </w:rPr>
      </w:pPr>
    </w:p>
    <w:p>
      <w:pPr>
        <w:pStyle w:val="Nadpis4"/>
        <w:shd w:val="clear" w:color="auto" w:fill="21306A"/>
        <w:jc w:val="both"/>
        <w:rPr>
          <w:rFonts w:ascii="Arial" w:hAnsi="Arial" w:cs="Arial"/>
          <w:color w:val="FFFFFF"/>
        </w:rPr>
      </w:pPr>
      <w:bookmarkStart w:id="36" w:name="_Toc387153919"/>
      <w:r>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36"/>
    </w:p>
    <w:p>
      <w:pPr>
        <w:spacing w:after="0" w:line="240" w:lineRule="auto"/>
        <w:jc w:val="both"/>
        <w:rPr>
          <w:rFonts w:ascii="Arial" w:hAnsi="Arial" w:cs="Arial"/>
          <w:color w:val="000000"/>
          <w:lang w:eastAsia="sk-SK"/>
        </w:rPr>
      </w:pPr>
    </w:p>
    <w:p>
      <w:pPr>
        <w:jc w:val="both"/>
        <w:rPr>
          <w:rFonts w:ascii="Arial" w:hAnsi="Arial" w:cs="Arial"/>
          <w:b/>
        </w:rPr>
      </w:pPr>
      <w:r>
        <w:rPr>
          <w:rFonts w:ascii="Arial" w:hAnsi="Arial" w:cs="Arial"/>
          <w:b/>
        </w:rPr>
        <w:t>Špecifický cieľ č. 2.2.1:</w:t>
      </w:r>
    </w:p>
    <w:p>
      <w:pPr>
        <w:shd w:val="clear" w:color="auto" w:fill="D9D9D9"/>
        <w:jc w:val="both"/>
        <w:rPr>
          <w:rFonts w:ascii="Arial" w:hAnsi="Arial" w:cs="Arial"/>
        </w:rPr>
      </w:pPr>
      <w:r>
        <w:rPr>
          <w:rStyle w:val="Zvraznenie"/>
          <w:rFonts w:ascii="Arial" w:hAnsi="Arial" w:cs="Arial"/>
        </w:rPr>
        <w:t xml:space="preserve">Zvýšenie hrubej zaškolenosti detí </w:t>
      </w:r>
    </w:p>
    <w:p>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 - vzdelávacími potrebami.</w:t>
      </w:r>
    </w:p>
    <w:p>
      <w:pPr>
        <w:jc w:val="both"/>
        <w:rPr>
          <w:rFonts w:ascii="Arial" w:hAnsi="Arial" w:cs="Arial"/>
          <w:b/>
        </w:rPr>
      </w:pPr>
      <w:r>
        <w:rPr>
          <w:rFonts w:ascii="Arial" w:hAnsi="Arial" w:cs="Arial"/>
          <w:b/>
        </w:rPr>
        <w:t xml:space="preserve">Výsledky: </w:t>
      </w:r>
    </w:p>
    <w:p>
      <w:pPr>
        <w:pStyle w:val="Odsekzoznamu"/>
        <w:numPr>
          <w:ilvl w:val="0"/>
          <w:numId w:val="28"/>
        </w:numPr>
        <w:jc w:val="both"/>
        <w:rPr>
          <w:rFonts w:ascii="Arial" w:hAnsi="Arial" w:cs="Arial"/>
        </w:rPr>
      </w:pPr>
      <w:r>
        <w:rPr>
          <w:rFonts w:ascii="Arial" w:hAnsi="Arial" w:cs="Arial"/>
        </w:rPr>
        <w:t>vytvorené podmienky na zvýšenie hrubej zaškolenosti detí od 3 – 5 roku veku,</w:t>
      </w:r>
    </w:p>
    <w:p>
      <w:pPr>
        <w:pStyle w:val="Odsekzoznamu"/>
        <w:numPr>
          <w:ilvl w:val="0"/>
          <w:numId w:val="28"/>
        </w:numPr>
        <w:jc w:val="both"/>
        <w:rPr>
          <w:rFonts w:ascii="Arial" w:hAnsi="Arial" w:cs="Arial"/>
        </w:rPr>
      </w:pPr>
      <w:r>
        <w:rPr>
          <w:rFonts w:ascii="Arial" w:hAnsi="Arial" w:cs="Arial"/>
        </w:rPr>
        <w:t>vytvorené podmienky na začlenenie detí v rámci inkluzívneho predprimárneho vzdelávania v materských školách,</w:t>
      </w:r>
    </w:p>
    <w:p>
      <w:pPr>
        <w:pStyle w:val="Odsekzoznamu"/>
        <w:numPr>
          <w:ilvl w:val="0"/>
          <w:numId w:val="28"/>
        </w:numPr>
        <w:jc w:val="both"/>
        <w:rPr>
          <w:rFonts w:ascii="Arial" w:hAnsi="Arial" w:cs="Arial"/>
        </w:rPr>
      </w:pPr>
      <w:r>
        <w:rPr>
          <w:rFonts w:ascii="Arial" w:hAnsi="Arial" w:cs="Arial"/>
        </w:rPr>
        <w:t>zlepšené podmienky na zosúladenie súkromného a pracovného života rodičov,</w:t>
      </w:r>
    </w:p>
    <w:p>
      <w:pPr>
        <w:pStyle w:val="Odsekzoznamu"/>
        <w:numPr>
          <w:ilvl w:val="0"/>
          <w:numId w:val="28"/>
        </w:numPr>
        <w:jc w:val="both"/>
        <w:rPr>
          <w:rFonts w:ascii="Arial" w:hAnsi="Arial" w:cs="Arial"/>
        </w:rPr>
      </w:pPr>
      <w:r>
        <w:rPr>
          <w:rFonts w:ascii="Arial" w:hAnsi="Arial" w:cs="Arial"/>
        </w:rPr>
        <w:t>zvýšenie dostupnosti predprimárneho vzdelávania pre všetky detí vo veku od 3 do 5 rokov, ktorých rodičia o predprimárne vzdelávanie prejavia záujem,</w:t>
      </w:r>
    </w:p>
    <w:p>
      <w:pPr>
        <w:pStyle w:val="Odsekzoznamu"/>
        <w:numPr>
          <w:ilvl w:val="0"/>
          <w:numId w:val="28"/>
        </w:numPr>
        <w:jc w:val="both"/>
        <w:rPr>
          <w:rFonts w:ascii="Arial" w:hAnsi="Arial" w:cs="Arial"/>
        </w:rPr>
      </w:pPr>
      <w:r>
        <w:rPr>
          <w:rFonts w:ascii="Arial" w:hAnsi="Arial" w:cs="Arial"/>
        </w:rPr>
        <w:t>rozširovanie predškolskej výchovy vo veku od 3 do 5 rokov.</w:t>
      </w:r>
    </w:p>
    <w:p>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1"/>
        <w:gridCol w:w="1271"/>
        <w:gridCol w:w="918"/>
        <w:gridCol w:w="954"/>
        <w:gridCol w:w="1293"/>
        <w:gridCol w:w="1368"/>
        <w:gridCol w:w="988"/>
        <w:gridCol w:w="1052"/>
        <w:gridCol w:w="1053"/>
      </w:tblGrid>
      <w:tr>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color w:val="FF0000"/>
        </w:rPr>
      </w:pPr>
    </w:p>
    <w:p>
      <w:pPr>
        <w:rPr>
          <w:rFonts w:ascii="Arial" w:hAnsi="Arial" w:cs="Arial"/>
          <w:b/>
        </w:rPr>
      </w:pPr>
      <w:r>
        <w:rPr>
          <w:rFonts w:ascii="Arial" w:hAnsi="Arial" w:cs="Arial"/>
          <w:b/>
        </w:rPr>
        <w:t xml:space="preserve">Špecifický cieľ č. 2.2.2 </w:t>
      </w:r>
    </w:p>
    <w:p>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Pr>
          <w:rFonts w:ascii="Arial" w:eastAsia="Calibri" w:hAnsi="Arial" w:cs="Arial"/>
        </w:rPr>
        <w:lastRenderedPageBreak/>
        <w:t xml:space="preserve">výsledkoch národných, resp. medzinárodných meraní. (Monitor 9, PISA), alebo v ich úspešnosti na trhu práce, či ďalšom štúdiu a vzdelávaní. </w:t>
      </w:r>
    </w:p>
    <w:p>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technické a prírodovedné zamerania žiakov a jazykových učební pre rozvoj jazykových zručností žiakov základných škôl. Nevyhnutnou súčasťou je zabezpečenie materiálno-technického vybavenia podporených objektov vrátane prvkov inklúzie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pPr>
        <w:jc w:val="both"/>
        <w:rPr>
          <w:rFonts w:ascii="Arial" w:hAnsi="Arial" w:cs="Arial"/>
          <w:b/>
        </w:rPr>
      </w:pPr>
      <w:r>
        <w:rPr>
          <w:rFonts w:ascii="Arial" w:eastAsia="Calibri" w:hAnsi="Arial" w:cs="Arial"/>
          <w:b/>
        </w:rPr>
        <w:t>Výsledky</w:t>
      </w:r>
      <w:r>
        <w:rPr>
          <w:rFonts w:ascii="Arial" w:hAnsi="Arial" w:cs="Arial"/>
          <w:b/>
        </w:rPr>
        <w:t xml:space="preserve">: </w:t>
      </w:r>
    </w:p>
    <w:p>
      <w:pPr>
        <w:pStyle w:val="Odsekzoznamu"/>
        <w:numPr>
          <w:ilvl w:val="0"/>
          <w:numId w:val="29"/>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pPr>
        <w:pStyle w:val="Odsekzoznamu"/>
        <w:numPr>
          <w:ilvl w:val="0"/>
          <w:numId w:val="29"/>
        </w:numPr>
        <w:jc w:val="both"/>
        <w:rPr>
          <w:rFonts w:ascii="Arial" w:eastAsia="Calibri" w:hAnsi="Arial" w:cs="Arial"/>
        </w:rPr>
      </w:pPr>
      <w:r>
        <w:rPr>
          <w:rFonts w:ascii="Arial" w:eastAsia="Calibri" w:hAnsi="Arial" w:cs="Arial"/>
        </w:rPr>
        <w:t>zlepšenie technického vybavenia jazykových učební, IKT učební,</w:t>
      </w:r>
    </w:p>
    <w:p>
      <w:pPr>
        <w:pStyle w:val="Odsekzoznamu"/>
        <w:numPr>
          <w:ilvl w:val="0"/>
          <w:numId w:val="29"/>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pPr>
        <w:pStyle w:val="Odsekzoznamu"/>
        <w:numPr>
          <w:ilvl w:val="0"/>
          <w:numId w:val="29"/>
        </w:numPr>
        <w:jc w:val="both"/>
        <w:rPr>
          <w:rFonts w:ascii="Arial" w:eastAsia="Calibri" w:hAnsi="Arial" w:cs="Arial"/>
        </w:rPr>
      </w:pPr>
      <w:r>
        <w:rPr>
          <w:rFonts w:ascii="Arial" w:eastAsia="Calibri" w:hAnsi="Arial" w:cs="Arial"/>
        </w:rPr>
        <w:t>zlepšenie technického vybavenia školských knižníc,</w:t>
      </w:r>
    </w:p>
    <w:p>
      <w:pPr>
        <w:pStyle w:val="Odsekzoznamu"/>
        <w:numPr>
          <w:ilvl w:val="0"/>
          <w:numId w:val="29"/>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pPr>
        <w:pStyle w:val="Odsekzoznamu"/>
        <w:numPr>
          <w:ilvl w:val="0"/>
          <w:numId w:val="29"/>
        </w:numPr>
        <w:jc w:val="both"/>
        <w:rPr>
          <w:rFonts w:ascii="Arial" w:eastAsia="Calibri" w:hAnsi="Arial" w:cs="Arial"/>
        </w:rPr>
      </w:pPr>
      <w:r>
        <w:rPr>
          <w:rFonts w:ascii="Arial" w:eastAsia="Calibri" w:hAnsi="Arial" w:cs="Arial"/>
        </w:rPr>
        <w:t>vytvorenie podmienok pre zavádzanie inkluzívnej výchovy a vzdelávania na základných školách,</w:t>
      </w:r>
    </w:p>
    <w:p>
      <w:pPr>
        <w:pStyle w:val="Odsekzoznamu"/>
        <w:numPr>
          <w:ilvl w:val="0"/>
          <w:numId w:val="29"/>
        </w:numPr>
        <w:jc w:val="both"/>
        <w:rPr>
          <w:rFonts w:ascii="Arial" w:eastAsia="Calibri" w:hAnsi="Arial" w:cs="Arial"/>
        </w:rPr>
      </w:pPr>
      <w:r>
        <w:rPr>
          <w:rFonts w:ascii="Arial" w:eastAsia="Calibri" w:hAnsi="Arial" w:cs="Arial"/>
        </w:rPr>
        <w:t>vytvorenie podmienok na celoživotné vzdelávania.</w:t>
      </w:r>
    </w:p>
    <w:p>
      <w:pPr>
        <w:rPr>
          <w:rStyle w:val="Zvraznenie"/>
          <w:rFonts w:ascii="Arial" w:hAnsi="Arial" w:cs="Arial"/>
        </w:rPr>
      </w:pPr>
      <w:r>
        <w:rPr>
          <w:rStyle w:val="Siln"/>
          <w:rFonts w:ascii="Arial" w:hAnsi="Arial" w:cs="Arial"/>
        </w:rPr>
        <w:t>Tabuľka č. 21</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452"/>
        <w:gridCol w:w="1115"/>
        <w:gridCol w:w="932"/>
        <w:gridCol w:w="973"/>
        <w:gridCol w:w="1293"/>
        <w:gridCol w:w="1293"/>
        <w:gridCol w:w="902"/>
        <w:gridCol w:w="1275"/>
        <w:gridCol w:w="1053"/>
      </w:tblGrid>
      <w:tr>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68,10</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70,37</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*Hodnoty ukazovateľa budú doplnené v nadväznosti na výsledky rokovania s Národným ústavom certifikovaných meraní vzdelávania</w:t>
      </w:r>
    </w:p>
    <w:p>
      <w:pPr>
        <w:rPr>
          <w:rFonts w:ascii="Arial" w:hAnsi="Arial" w:cs="Arial"/>
          <w:b/>
          <w:color w:val="4EACF3"/>
        </w:rPr>
      </w:pPr>
      <w:r>
        <w:rPr>
          <w:rFonts w:ascii="Arial" w:hAnsi="Arial" w:cs="Arial"/>
          <w:b/>
        </w:rPr>
        <w:t xml:space="preserve">Špecifický cieľ č. 2.2.3: </w:t>
      </w:r>
    </w:p>
    <w:p>
      <w:pPr>
        <w:shd w:val="clear" w:color="auto" w:fill="D9D9D9"/>
        <w:jc w:val="both"/>
        <w:rPr>
          <w:rStyle w:val="Zvraznenie"/>
          <w:rFonts w:ascii="Arial" w:hAnsi="Arial" w:cs="Arial"/>
        </w:rPr>
      </w:pPr>
      <w:r>
        <w:rPr>
          <w:rStyle w:val="Zvraznenie"/>
          <w:rFonts w:ascii="Arial" w:hAnsi="Arial" w:cs="Arial"/>
        </w:rPr>
        <w:t xml:space="preserve">Zvýšenie počtu žiakov na odbornom výcviku </w:t>
      </w:r>
    </w:p>
    <w:p>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w:t>
      </w:r>
      <w:r>
        <w:rPr>
          <w:rFonts w:ascii="Arial" w:hAnsi="Arial" w:cs="Arial"/>
          <w:lang w:eastAsia="sk-SK"/>
        </w:rPr>
        <w:lastRenderedPageBreak/>
        <w:t xml:space="preserve">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centier odborného vzdelávania a prípravy, stredísk praktického vyučovania, školských hospodárstiev a stredísk odbornej praxe s cieľom zvýšenia kvality odborného vzdelávania a prípravy, praktických zručností žiakov a zvýšenia kvality poskytovaného celoživotného vzdelávania pre potreby trhu práce. Realizované aktivity budú uplatňovať prvky inkluzívneho vzdelávania.</w:t>
      </w:r>
    </w:p>
    <w:p>
      <w:pPr>
        <w:jc w:val="both"/>
        <w:rPr>
          <w:rFonts w:ascii="Arial" w:hAnsi="Arial" w:cs="Arial"/>
        </w:rPr>
      </w:pPr>
      <w:r>
        <w:rPr>
          <w:rFonts w:ascii="Arial" w:hAnsi="Arial" w:cs="Arial"/>
        </w:rPr>
        <w:t>Prioritné oblasti podpory stredného odborného vzdelávania zohľadnením regionálnych potrieb budú smerované do oblasti strojárenstva, hutníctva, stavebníctva, nábytkárstva a drevárstva, elektrotechniky a automatizácie, IKT technológií (informačné, sieťové technológie, informatika), chemického, automobilového priemyslu, poľnohospodárstva, potravinárstvo, obchodu a služieb. Tieto oblasti budú postupne dopĺňané/upravované v nadväznosti na potreby trhu práce v jednotlivých krajoch definovaných v regionálnych stratégiách odborného vzdelávania a prípravy.</w:t>
      </w:r>
    </w:p>
    <w:p>
      <w:pPr>
        <w:jc w:val="both"/>
        <w:rPr>
          <w:rFonts w:ascii="Arial" w:hAnsi="Arial" w:cs="Arial"/>
        </w:rPr>
      </w:pPr>
      <w:r>
        <w:rPr>
          <w:rFonts w:ascii="Arial" w:eastAsia="Calibri" w:hAnsi="Arial" w:cs="Arial"/>
          <w:b/>
          <w:bCs/>
        </w:rPr>
        <w:t xml:space="preserve">Výsledky: </w:t>
      </w:r>
    </w:p>
    <w:p>
      <w:pPr>
        <w:pStyle w:val="Odsekzoznamu"/>
        <w:numPr>
          <w:ilvl w:val="0"/>
          <w:numId w:val="30"/>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pPr>
        <w:pStyle w:val="Odsekzoznamu"/>
        <w:numPr>
          <w:ilvl w:val="0"/>
          <w:numId w:val="30"/>
        </w:numPr>
        <w:jc w:val="both"/>
        <w:rPr>
          <w:rFonts w:ascii="Arial" w:eastAsia="Calibri" w:hAnsi="Arial" w:cs="Arial"/>
          <w:bCs/>
        </w:rPr>
      </w:pPr>
      <w:r>
        <w:rPr>
          <w:rFonts w:ascii="Arial" w:eastAsia="Calibri" w:hAnsi="Arial" w:cs="Arial"/>
          <w:bCs/>
        </w:rPr>
        <w:t>zlepšenie odborného vzdelávania  a prípravy pre potreby trhu práce,</w:t>
      </w:r>
    </w:p>
    <w:p>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stredných odborných škôl, stredísk praktického vyučovania, školských hospodárstiev, stredísk odbornej praxe,</w:t>
      </w:r>
    </w:p>
    <w:p>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centier odborného vzdelávania a prípravy,</w:t>
      </w:r>
    </w:p>
    <w:p>
      <w:pPr>
        <w:pStyle w:val="Odsekzoznamu"/>
        <w:numPr>
          <w:ilvl w:val="0"/>
          <w:numId w:val="30"/>
        </w:numPr>
        <w:jc w:val="both"/>
        <w:rPr>
          <w:rFonts w:ascii="Arial" w:eastAsia="Calibri" w:hAnsi="Arial" w:cs="Arial"/>
          <w:bCs/>
        </w:rPr>
      </w:pPr>
      <w:r>
        <w:rPr>
          <w:rFonts w:ascii="Arial" w:eastAsia="Calibri" w:hAnsi="Arial" w:cs="Arial"/>
          <w:bCs/>
        </w:rPr>
        <w:t>vytvorené technické podmienky pre inkluzíve vzdelávanie a tým rozšírenie ponuky vzdelávania pre znevýhodnené skupiny obyvateľstva,</w:t>
      </w:r>
    </w:p>
    <w:p>
      <w:pPr>
        <w:pStyle w:val="Odsekzoznamu"/>
        <w:numPr>
          <w:ilvl w:val="0"/>
          <w:numId w:val="30"/>
        </w:numPr>
        <w:jc w:val="both"/>
        <w:rPr>
          <w:rFonts w:ascii="Arial" w:eastAsia="Calibri" w:hAnsi="Arial" w:cs="Arial"/>
        </w:rPr>
      </w:pPr>
      <w:r>
        <w:rPr>
          <w:rFonts w:ascii="Arial" w:eastAsia="Calibri" w:hAnsi="Arial" w:cs="Arial"/>
          <w:bCs/>
        </w:rPr>
        <w:t>vytvorené podmienky na zvýšenie počtu žiakov zúčastňujúcich sa praktického vyučovania priamo u zamestnávateľa a spoločných modelov ďalšieho vzdelávania,</w:t>
      </w:r>
      <w:r>
        <w:rPr>
          <w:rFonts w:ascii="Arial" w:eastAsia="Calibri" w:hAnsi="Arial" w:cs="Arial"/>
        </w:rPr>
        <w:t xml:space="preserve"> </w:t>
      </w:r>
    </w:p>
    <w:p>
      <w:pPr>
        <w:pStyle w:val="Odsekzoznamu"/>
        <w:numPr>
          <w:ilvl w:val="0"/>
          <w:numId w:val="30"/>
        </w:numPr>
        <w:jc w:val="both"/>
        <w:rPr>
          <w:rFonts w:ascii="Arial" w:eastAsia="Calibri" w:hAnsi="Arial" w:cs="Arial"/>
        </w:rPr>
      </w:pPr>
      <w:r>
        <w:rPr>
          <w:rFonts w:ascii="Arial" w:eastAsia="Calibri" w:hAnsi="Arial" w:cs="Arial"/>
        </w:rPr>
        <w:t>vytvorené podmienky pre poskytovanie celoživotného vzdelávania prostredníctvom prepojenia siete centier odborného vzdelávania a prípravy so zamestnávateľmi a terciárnym sektorom.</w:t>
      </w:r>
    </w:p>
    <w:p>
      <w:pPr>
        <w:pStyle w:val="Odsekzoznamu"/>
        <w:numPr>
          <w:ilvl w:val="0"/>
          <w:numId w:val="30"/>
        </w:numPr>
        <w:jc w:val="both"/>
        <w:rPr>
          <w:rFonts w:ascii="Arial" w:eastAsia="Calibri" w:hAnsi="Arial" w:cs="Arial"/>
        </w:rPr>
      </w:pPr>
      <w:r>
        <w:rPr>
          <w:rFonts w:ascii="Arial" w:eastAsia="Calibri" w:hAnsi="Arial" w:cs="Arial"/>
        </w:rPr>
        <w:t>zlepšenie podmienok pre uplatnenie sa absolventov stredných odborných škôl, centier odborného vzdelávania a prípravy na trhu práce.</w:t>
      </w:r>
    </w:p>
    <w:p>
      <w:pPr>
        <w:rPr>
          <w:rStyle w:val="Siln"/>
          <w:rFonts w:ascii="Arial" w:hAnsi="Arial" w:cs="Arial"/>
        </w:rPr>
      </w:pPr>
    </w:p>
    <w:p>
      <w:pPr>
        <w:rPr>
          <w:rStyle w:val="Zvraznenie"/>
          <w:rFonts w:ascii="Arial" w:hAnsi="Arial" w:cs="Arial"/>
        </w:rPr>
      </w:pPr>
      <w:r>
        <w:rPr>
          <w:rStyle w:val="Siln"/>
          <w:rFonts w:ascii="Arial" w:hAnsi="Arial" w:cs="Arial"/>
        </w:rPr>
        <w:lastRenderedPageBreak/>
        <w:t>Tabuľka č. 22</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stredných odborných školách, pri ktorých sú zriadené centrá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stredných odborných školách, pri ktorých sú zriadené centrá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strediskách praktického vyučovania, strediskách odbornej praxe, alebo v školských hospodárstvach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yellow"/>
              </w:rPr>
            </w:pPr>
            <w:r>
              <w:rPr>
                <w:rFonts w:ascii="Arial" w:hAnsi="Arial" w:cs="Arial"/>
                <w:sz w:val="16"/>
                <w:szCs w:val="16"/>
              </w:rPr>
              <w:t>Podiel žiakov s odborným výcvikom a súvislou praxou v strediskách praktického vyučovania, strediskách odbornej praxe, alebo v školských hospodárstvach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výsledkových ukazovateľov budú nadefinované v spoluprácu s orgánom pre koordináciu RIÚS</w:t>
      </w:r>
    </w:p>
    <w:p>
      <w:pPr>
        <w:pStyle w:val="Nadpis5"/>
        <w:shd w:val="clear" w:color="auto" w:fill="B8C1E9"/>
        <w:rPr>
          <w:rFonts w:ascii="Arial" w:hAnsi="Arial" w:cs="Arial"/>
        </w:rPr>
      </w:pPr>
      <w:bookmarkStart w:id="37" w:name="_Toc387153920"/>
      <w:r>
        <w:rPr>
          <w:rFonts w:ascii="Arial" w:hAnsi="Arial" w:cs="Arial"/>
        </w:rPr>
        <w:t>Akcia, ktorá sa má podporiť v rámci investičnej priority</w:t>
      </w:r>
      <w:bookmarkEnd w:id="37"/>
    </w:p>
    <w:p>
      <w:pPr>
        <w:pStyle w:val="Nadpis6"/>
        <w:jc w:val="both"/>
        <w:rPr>
          <w:rFonts w:ascii="Arial" w:hAnsi="Arial" w:cs="Arial"/>
        </w:rPr>
      </w:pPr>
      <w:bookmarkStart w:id="38" w:name="_Toc387153921"/>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38"/>
    </w:p>
    <w:p>
      <w:pPr>
        <w:spacing w:before="120"/>
        <w:jc w:val="both"/>
        <w:rPr>
          <w:rFonts w:ascii="Arial" w:hAnsi="Arial" w:cs="Arial"/>
          <w:color w:val="FF0000"/>
        </w:rPr>
      </w:pPr>
      <w:r>
        <w:rPr>
          <w:rFonts w:ascii="Arial" w:hAnsi="Arial" w:cs="Arial"/>
          <w:b/>
        </w:rPr>
        <w:t xml:space="preserve">Špecifický cieľ č. 2.2.1 </w:t>
      </w:r>
      <w:r>
        <w:rPr>
          <w:rFonts w:ascii="Arial" w:hAnsi="Arial" w:cs="Arial"/>
        </w:rPr>
        <w:t>je dosahovaný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rozširovanie kapacít existujúcich objektov materských škôl prístavbou, nadstavbou, rekonštrukciou, zmenou dispozície objektov (možnosť využitie kontajnerových stavieb);</w:t>
      </w:r>
    </w:p>
    <w:p>
      <w:pPr>
        <w:pStyle w:val="Odsekzoznamu"/>
        <w:numPr>
          <w:ilvl w:val="0"/>
          <w:numId w:val="30"/>
        </w:numPr>
        <w:jc w:val="both"/>
        <w:rPr>
          <w:rFonts w:ascii="Arial" w:eastAsia="Calibri" w:hAnsi="Arial" w:cs="Arial"/>
          <w:bCs/>
        </w:rPr>
      </w:pPr>
      <w:r>
        <w:rPr>
          <w:rFonts w:ascii="Arial" w:eastAsia="Calibri" w:hAnsi="Arial" w:cs="Arial"/>
          <w:bCs/>
        </w:rPr>
        <w:t>v odôvodnených prípadoch výstavba nových objektov (možnosť využitie kontajnerových stavieb);</w:t>
      </w:r>
    </w:p>
    <w:p>
      <w:pPr>
        <w:pStyle w:val="Odsekzoznamu"/>
        <w:numPr>
          <w:ilvl w:val="0"/>
          <w:numId w:val="30"/>
        </w:numPr>
        <w:jc w:val="both"/>
        <w:rPr>
          <w:rFonts w:ascii="Arial" w:eastAsia="Calibri" w:hAnsi="Arial" w:cs="Arial"/>
          <w:bCs/>
        </w:rPr>
      </w:pPr>
      <w:r>
        <w:rPr>
          <w:rFonts w:ascii="Arial" w:eastAsia="Calibri" w:hAnsi="Arial" w:cs="Arial"/>
          <w:bCs/>
        </w:rPr>
        <w:t>stavebno-technické úpravy existujúcich objektov a ich adaptácia pre potreby materskej školy (napr. nevyužité priestory ZŠ);</w:t>
      </w:r>
    </w:p>
    <w:p>
      <w:pPr>
        <w:pStyle w:val="Odsekzoznamu"/>
        <w:numPr>
          <w:ilvl w:val="0"/>
          <w:numId w:val="30"/>
        </w:numPr>
        <w:jc w:val="both"/>
        <w:rPr>
          <w:rFonts w:ascii="Arial" w:eastAsia="Calibri" w:hAnsi="Arial" w:cs="Arial"/>
          <w:bCs/>
        </w:rPr>
      </w:pPr>
      <w:r>
        <w:rPr>
          <w:rFonts w:ascii="Arial" w:eastAsia="Calibri" w:hAnsi="Arial" w:cs="Arial"/>
          <w:bCs/>
        </w:rPr>
        <w:t xml:space="preserve">stavebno-technické úpravy areálu materskej školy vrátane detských ihrísk, športových zariadení pre deti – uzavretých aj otvorených s možnosťou celoročnej prevádzky, záhrad a prvkov inkluzívneho vzdelávania; </w:t>
      </w:r>
    </w:p>
    <w:p>
      <w:pPr>
        <w:pStyle w:val="Odsekzoznamu"/>
        <w:numPr>
          <w:ilvl w:val="0"/>
          <w:numId w:val="30"/>
        </w:numPr>
        <w:jc w:val="both"/>
        <w:rPr>
          <w:rFonts w:ascii="Arial" w:eastAsia="Calibri" w:hAnsi="Arial" w:cs="Arial"/>
          <w:bCs/>
        </w:rPr>
      </w:pPr>
      <w:r>
        <w:rPr>
          <w:rFonts w:ascii="Arial" w:eastAsia="Calibri" w:hAnsi="Arial" w:cs="Arial"/>
          <w:bCs/>
        </w:rPr>
        <w:lastRenderedPageBreak/>
        <w:t>modernizácia a revitalizácia priestranstva v okolí materskej školy;</w:t>
      </w:r>
    </w:p>
    <w:p>
      <w:pPr>
        <w:pStyle w:val="Odsekzoznamu"/>
        <w:numPr>
          <w:ilvl w:val="0"/>
          <w:numId w:val="30"/>
        </w:numPr>
        <w:jc w:val="both"/>
        <w:rPr>
          <w:rFonts w:ascii="Arial" w:eastAsia="Calibri" w:hAnsi="Arial" w:cs="Arial"/>
          <w:bCs/>
        </w:rPr>
      </w:pPr>
      <w:r>
        <w:rPr>
          <w:rFonts w:ascii="Arial" w:eastAsia="Calibri" w:hAnsi="Arial" w:cs="Arial"/>
          <w:bCs/>
        </w:rPr>
        <w:t xml:space="preserve">modernizácia a obstaranie materiálno-technického vybavenia materských škôl;  </w:t>
      </w:r>
    </w:p>
    <w:p>
      <w:pPr>
        <w:pStyle w:val="Odsekzoznamu"/>
        <w:numPr>
          <w:ilvl w:val="0"/>
          <w:numId w:val="30"/>
        </w:numPr>
        <w:jc w:val="both"/>
        <w:rPr>
          <w:rFonts w:ascii="Arial" w:eastAsia="Calibri" w:hAnsi="Arial" w:cs="Arial"/>
          <w:bCs/>
        </w:rPr>
      </w:pPr>
      <w:r>
        <w:rPr>
          <w:rFonts w:ascii="Arial" w:eastAsia="Calibri" w:hAnsi="Arial" w:cs="Arial"/>
          <w:bCs/>
        </w:rPr>
        <w:t>zvyšovanie energetickej hospodárnosti budov materských škôl;</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 xml:space="preserve">obec ako zriaďovateľ školy, </w:t>
      </w:r>
    </w:p>
    <w:p>
      <w:pPr>
        <w:pStyle w:val="Odsekzoznamu"/>
        <w:numPr>
          <w:ilvl w:val="0"/>
          <w:numId w:val="2"/>
        </w:numPr>
        <w:jc w:val="both"/>
        <w:rPr>
          <w:rFonts w:ascii="Arial" w:hAnsi="Arial" w:cs="Arial"/>
        </w:rPr>
      </w:pPr>
      <w:r>
        <w:rPr>
          <w:rFonts w:ascii="Arial" w:hAnsi="Arial" w:cs="Arial"/>
        </w:rPr>
        <w:t>cirkvi a náboženské spoločnosti ako zriaďovatelia/zakladatelia škôl,</w:t>
      </w:r>
    </w:p>
    <w:p>
      <w:pPr>
        <w:pStyle w:val="Odsekzoznamu"/>
        <w:numPr>
          <w:ilvl w:val="0"/>
          <w:numId w:val="2"/>
        </w:numPr>
        <w:jc w:val="both"/>
        <w:rPr>
          <w:rFonts w:ascii="Arial" w:hAnsi="Arial" w:cs="Arial"/>
        </w:rPr>
      </w:pPr>
      <w:r>
        <w:rPr>
          <w:rFonts w:ascii="Arial" w:hAnsi="Arial" w:cs="Arial"/>
        </w:rPr>
        <w:t>združenia ako zriaďovatelia/zakladatelia škôl,</w:t>
      </w:r>
    </w:p>
    <w:p>
      <w:pPr>
        <w:pStyle w:val="Odsekzoznamu"/>
        <w:numPr>
          <w:ilvl w:val="0"/>
          <w:numId w:val="2"/>
        </w:numPr>
        <w:jc w:val="both"/>
        <w:rPr>
          <w:rFonts w:ascii="Arial" w:hAnsi="Arial" w:cs="Arial"/>
        </w:rPr>
      </w:pPr>
      <w:r>
        <w:rPr>
          <w:rFonts w:ascii="Arial" w:hAnsi="Arial" w:cs="Arial"/>
        </w:rPr>
        <w:t>právnická a fyzická osoba,</w:t>
      </w:r>
    </w:p>
    <w:p>
      <w:pPr>
        <w:pStyle w:val="Odsekzoznamu"/>
        <w:numPr>
          <w:ilvl w:val="0"/>
          <w:numId w:val="2"/>
        </w:numPr>
        <w:jc w:val="both"/>
        <w:rPr>
          <w:rFonts w:ascii="Arial" w:hAnsi="Arial" w:cs="Arial"/>
        </w:rPr>
      </w:pPr>
      <w:r>
        <w:rPr>
          <w:rFonts w:ascii="Arial" w:hAnsi="Arial" w:cs="Arial"/>
        </w:rPr>
        <w:t xml:space="preserve">mestská časť mesta Košice ako zriaďovateľ školy, </w:t>
      </w:r>
    </w:p>
    <w:p>
      <w:pPr>
        <w:pStyle w:val="Odsekzoznamu"/>
        <w:numPr>
          <w:ilvl w:val="0"/>
          <w:numId w:val="2"/>
        </w:numPr>
        <w:jc w:val="both"/>
        <w:rPr>
          <w:rFonts w:ascii="Arial" w:hAnsi="Arial" w:cs="Arial"/>
        </w:rPr>
      </w:pPr>
      <w:r>
        <w:rPr>
          <w:rFonts w:ascii="Arial" w:hAnsi="Arial" w:cs="Arial"/>
        </w:rPr>
        <w:t>okresné úrady.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deti materských škôl, deti špeciálnych materských škôl, pedagogickí a odborní zamestnanci, rodičia, rodinní príslušníci, zamestnanci štátnej správy a samosprávy, tútori, lektori.</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sz w:val="24"/>
          <w:szCs w:val="24"/>
        </w:rPr>
      </w:pPr>
      <w:r>
        <w:rPr>
          <w:rFonts w:ascii="Arial" w:hAnsi="Arial" w:cs="Arial"/>
        </w:rPr>
        <w:t>celé územie SR.</w:t>
      </w:r>
    </w:p>
    <w:p>
      <w:pPr>
        <w:spacing w:after="0" w:line="240" w:lineRule="auto"/>
        <w:jc w:val="both"/>
        <w:rPr>
          <w:rFonts w:ascii="Arial" w:hAnsi="Arial" w:cs="Arial"/>
          <w:b/>
          <w:bCs/>
        </w:rPr>
      </w:pPr>
    </w:p>
    <w:p>
      <w:pPr>
        <w:jc w:val="both"/>
        <w:rPr>
          <w:rFonts w:ascii="Arial" w:hAnsi="Arial" w:cs="Arial"/>
          <w:color w:val="FF0000"/>
        </w:rPr>
      </w:pPr>
      <w:r>
        <w:rPr>
          <w:rFonts w:ascii="Arial" w:hAnsi="Arial" w:cs="Arial"/>
          <w:b/>
        </w:rPr>
        <w:t>Špecifický cieľ č. 2.2.2</w:t>
      </w:r>
      <w:r>
        <w:rPr>
          <w:rFonts w:ascii="Arial" w:hAnsi="Arial" w:cs="Arial"/>
        </w:rPr>
        <w:t xml:space="preserve"> je dosahovaný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obstaranie a modernizácia jazykových učební na výučbu slovenského jazyka a cudzích jazykov, vrátane slovenského jazyka  pre osoby vyrastajúce v inom jazykovom prostredí,</w:t>
      </w:r>
    </w:p>
    <w:p>
      <w:pPr>
        <w:pStyle w:val="Odsekzoznamu"/>
        <w:numPr>
          <w:ilvl w:val="0"/>
          <w:numId w:val="30"/>
        </w:numPr>
        <w:jc w:val="both"/>
        <w:rPr>
          <w:rFonts w:ascii="Arial" w:eastAsia="Calibri" w:hAnsi="Arial" w:cs="Arial"/>
          <w:bCs/>
        </w:rPr>
      </w:pPr>
      <w:r>
        <w:rPr>
          <w:rFonts w:ascii="Arial" w:eastAsia="Calibri" w:hAnsi="Arial" w:cs="Arial"/>
          <w:bCs/>
        </w:rPr>
        <w:t xml:space="preserve">obstaranie a modernizácia školských knižníc vrátane priestorov pre ďalší rozvoj kľúčových kompetencií žiakov, </w:t>
      </w:r>
    </w:p>
    <w:p>
      <w:pPr>
        <w:pStyle w:val="Odsekzoznamu"/>
        <w:numPr>
          <w:ilvl w:val="0"/>
          <w:numId w:val="30"/>
        </w:numPr>
        <w:jc w:val="both"/>
        <w:rPr>
          <w:rFonts w:ascii="Arial" w:eastAsia="Calibri" w:hAnsi="Arial" w:cs="Arial"/>
          <w:bCs/>
        </w:rPr>
      </w:pPr>
      <w:r>
        <w:rPr>
          <w:rFonts w:ascii="Arial" w:eastAsia="Calibri" w:hAnsi="Arial" w:cs="Arial"/>
          <w:bCs/>
        </w:rPr>
        <w:t>obstaranie a modernizácia prírodovedných učební,</w:t>
      </w:r>
    </w:p>
    <w:p>
      <w:pPr>
        <w:pStyle w:val="Odsekzoznamu"/>
        <w:numPr>
          <w:ilvl w:val="0"/>
          <w:numId w:val="30"/>
        </w:numPr>
        <w:jc w:val="both"/>
        <w:rPr>
          <w:rFonts w:ascii="Arial" w:eastAsia="Calibri" w:hAnsi="Arial" w:cs="Arial"/>
          <w:bCs/>
        </w:rPr>
      </w:pPr>
      <w:r>
        <w:rPr>
          <w:rFonts w:ascii="Arial" w:eastAsia="Calibri" w:hAnsi="Arial" w:cs="Arial"/>
          <w:bCs/>
        </w:rPr>
        <w:t>obstaranie a modernizácia technických učební,</w:t>
      </w:r>
    </w:p>
    <w:p>
      <w:pPr>
        <w:pStyle w:val="Odsekzoznamu"/>
        <w:numPr>
          <w:ilvl w:val="0"/>
          <w:numId w:val="30"/>
        </w:numPr>
        <w:jc w:val="both"/>
        <w:rPr>
          <w:rFonts w:ascii="Arial" w:eastAsia="Calibri" w:hAnsi="Arial" w:cs="Arial"/>
          <w:bCs/>
        </w:rPr>
      </w:pPr>
      <w:r>
        <w:rPr>
          <w:rFonts w:ascii="Arial" w:eastAsia="Calibri" w:hAnsi="Arial" w:cs="Arial"/>
          <w:bCs/>
        </w:rPr>
        <w:t>obstaranie a modernizácia IKT učební,</w:t>
      </w:r>
    </w:p>
    <w:p>
      <w:pPr>
        <w:pStyle w:val="Odsekzoznamu"/>
        <w:numPr>
          <w:ilvl w:val="0"/>
          <w:numId w:val="30"/>
        </w:numPr>
        <w:jc w:val="both"/>
        <w:rPr>
          <w:rFonts w:ascii="Arial" w:eastAsia="Calibri" w:hAnsi="Arial" w:cs="Arial"/>
          <w:bCs/>
        </w:rPr>
      </w:pPr>
      <w:r>
        <w:rPr>
          <w:rFonts w:ascii="Arial" w:eastAsia="Calibri" w:hAnsi="Arial" w:cs="Arial"/>
          <w:bCs/>
        </w:rPr>
        <w:t>stavebno-technické úpravy pre potreby modernizácie učební,</w:t>
      </w:r>
    </w:p>
    <w:p>
      <w:pPr>
        <w:pStyle w:val="Odsekzoznamu"/>
        <w:numPr>
          <w:ilvl w:val="0"/>
          <w:numId w:val="30"/>
        </w:numPr>
        <w:jc w:val="both"/>
        <w:rPr>
          <w:rFonts w:ascii="Arial" w:eastAsia="Calibri" w:hAnsi="Arial" w:cs="Arial"/>
          <w:bCs/>
        </w:rPr>
      </w:pPr>
      <w:r>
        <w:rPr>
          <w:rFonts w:ascii="Arial" w:eastAsia="Calibri" w:hAnsi="Arial" w:cs="Arial"/>
          <w:bCs/>
        </w:rPr>
        <w:t>stavebno-technické úpravy a obstaranie vybavenia základných škôl pre inkluzívne vzdelávanie.</w:t>
      </w:r>
    </w:p>
    <w:p>
      <w:pPr>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vyšší územní celok ako zriaďovateľ základnej školy,</w:t>
      </w:r>
    </w:p>
    <w:p>
      <w:pPr>
        <w:pStyle w:val="Odsekzoznamu"/>
        <w:numPr>
          <w:ilvl w:val="0"/>
          <w:numId w:val="2"/>
        </w:numPr>
        <w:jc w:val="both"/>
        <w:rPr>
          <w:rFonts w:ascii="Arial" w:hAnsi="Arial" w:cs="Arial"/>
        </w:rPr>
      </w:pPr>
      <w:r>
        <w:rPr>
          <w:rFonts w:ascii="Arial" w:hAnsi="Arial" w:cs="Arial"/>
        </w:rPr>
        <w:t>obec ako zriaďovateľ základnej školy,</w:t>
      </w:r>
    </w:p>
    <w:p>
      <w:pPr>
        <w:pStyle w:val="Odsekzoznamu"/>
        <w:numPr>
          <w:ilvl w:val="0"/>
          <w:numId w:val="2"/>
        </w:numPr>
        <w:jc w:val="both"/>
        <w:rPr>
          <w:rFonts w:ascii="Arial" w:hAnsi="Arial" w:cs="Arial"/>
        </w:rPr>
      </w:pPr>
      <w:r>
        <w:rPr>
          <w:rFonts w:ascii="Arial" w:hAnsi="Arial" w:cs="Arial"/>
        </w:rPr>
        <w:t>mestská časť hlavného mesta SR Bratislava ako zriaďovateľ základnej školy,</w:t>
      </w:r>
    </w:p>
    <w:p>
      <w:pPr>
        <w:pStyle w:val="Odsekzoznamu"/>
        <w:numPr>
          <w:ilvl w:val="0"/>
          <w:numId w:val="2"/>
        </w:numPr>
        <w:jc w:val="both"/>
        <w:rPr>
          <w:rFonts w:ascii="Arial" w:hAnsi="Arial" w:cs="Arial"/>
        </w:rPr>
      </w:pPr>
      <w:r>
        <w:rPr>
          <w:rFonts w:ascii="Arial" w:hAnsi="Arial" w:cs="Arial"/>
        </w:rPr>
        <w:t xml:space="preserve">mestská časť mesta Košice ako zriaďovateľ školy, </w:t>
      </w:r>
    </w:p>
    <w:p>
      <w:pPr>
        <w:pStyle w:val="Odsekzoznamu"/>
        <w:numPr>
          <w:ilvl w:val="0"/>
          <w:numId w:val="2"/>
        </w:numPr>
        <w:jc w:val="both"/>
        <w:rPr>
          <w:rFonts w:ascii="Arial" w:hAnsi="Arial" w:cs="Arial"/>
        </w:rPr>
      </w:pPr>
      <w:r>
        <w:rPr>
          <w:rFonts w:ascii="Arial" w:hAnsi="Arial" w:cs="Arial"/>
        </w:rPr>
        <w:t>okresné úrady ako zriaďovateľ školy,</w:t>
      </w:r>
    </w:p>
    <w:p>
      <w:pPr>
        <w:pStyle w:val="Odsekzoznamu"/>
        <w:numPr>
          <w:ilvl w:val="0"/>
          <w:numId w:val="2"/>
        </w:numPr>
        <w:jc w:val="both"/>
        <w:rPr>
          <w:rFonts w:ascii="Arial" w:hAnsi="Arial" w:cs="Arial"/>
        </w:rPr>
      </w:pPr>
      <w:r>
        <w:rPr>
          <w:rFonts w:ascii="Arial" w:hAnsi="Arial" w:cs="Arial"/>
        </w:rPr>
        <w:t>ústredný orgán štátnej správy ako zriaďovateľ subjektov  výchovy  a vzdelávania,</w:t>
      </w:r>
    </w:p>
    <w:p>
      <w:pPr>
        <w:pStyle w:val="Odsekzoznamu"/>
        <w:numPr>
          <w:ilvl w:val="0"/>
          <w:numId w:val="2"/>
        </w:numPr>
        <w:jc w:val="both"/>
        <w:rPr>
          <w:rFonts w:ascii="Arial" w:hAnsi="Arial" w:cs="Arial"/>
        </w:rPr>
      </w:pPr>
      <w:r>
        <w:rPr>
          <w:rFonts w:ascii="Arial" w:hAnsi="Arial" w:cs="Arial"/>
        </w:rPr>
        <w:t>neziskové organizácie ako zriaďovatelia/zakladatelia škôl,</w:t>
      </w:r>
    </w:p>
    <w:p>
      <w:pPr>
        <w:pStyle w:val="Odsekzoznamu"/>
        <w:numPr>
          <w:ilvl w:val="0"/>
          <w:numId w:val="2"/>
        </w:numPr>
        <w:jc w:val="both"/>
        <w:rPr>
          <w:rFonts w:ascii="Arial" w:hAnsi="Arial" w:cs="Arial"/>
        </w:rPr>
      </w:pPr>
      <w:r>
        <w:rPr>
          <w:rFonts w:ascii="Arial" w:hAnsi="Arial" w:cs="Arial"/>
        </w:rPr>
        <w:t>neziskové organizácie založené ako poskytovatelia všeobecne prospešných služieb v oblasti vzdelávania,</w:t>
      </w:r>
    </w:p>
    <w:p>
      <w:pPr>
        <w:pStyle w:val="Odsekzoznamu"/>
        <w:numPr>
          <w:ilvl w:val="0"/>
          <w:numId w:val="2"/>
        </w:numPr>
        <w:jc w:val="both"/>
        <w:rPr>
          <w:rFonts w:ascii="Arial" w:hAnsi="Arial" w:cs="Arial"/>
        </w:rPr>
      </w:pPr>
      <w:r>
        <w:rPr>
          <w:rFonts w:ascii="Arial" w:hAnsi="Arial" w:cs="Arial"/>
        </w:rPr>
        <w:t>cirkvi a náboženské spoločnosti ako zriaďovatelia/zakladatelia škôl,</w:t>
      </w:r>
    </w:p>
    <w:p>
      <w:pPr>
        <w:pStyle w:val="Odsekzoznamu"/>
        <w:numPr>
          <w:ilvl w:val="0"/>
          <w:numId w:val="2"/>
        </w:numPr>
        <w:jc w:val="both"/>
        <w:rPr>
          <w:rFonts w:ascii="Arial" w:hAnsi="Arial" w:cs="Arial"/>
        </w:rPr>
      </w:pPr>
      <w:r>
        <w:rPr>
          <w:rFonts w:ascii="Arial" w:hAnsi="Arial" w:cs="Arial"/>
        </w:rPr>
        <w:t>združenia ako zriaďovatelia/zakladatelia škôl,</w:t>
      </w:r>
    </w:p>
    <w:p>
      <w:pPr>
        <w:pStyle w:val="Odsekzoznamu"/>
        <w:numPr>
          <w:ilvl w:val="0"/>
          <w:numId w:val="2"/>
        </w:numPr>
        <w:jc w:val="both"/>
        <w:rPr>
          <w:rFonts w:ascii="Arial" w:hAnsi="Arial" w:cs="Arial"/>
        </w:rPr>
      </w:pPr>
      <w:r>
        <w:rPr>
          <w:rFonts w:ascii="Arial" w:hAnsi="Arial" w:cs="Arial"/>
        </w:rPr>
        <w:lastRenderedPageBreak/>
        <w:t>združenia ako poskytovatelia všeobecne prospešných služieb v oblasti vzdelávania,</w:t>
      </w:r>
    </w:p>
    <w:p>
      <w:pPr>
        <w:pStyle w:val="Odsekzoznamu"/>
        <w:numPr>
          <w:ilvl w:val="0"/>
          <w:numId w:val="2"/>
        </w:numPr>
        <w:jc w:val="both"/>
        <w:rPr>
          <w:rFonts w:ascii="Arial" w:hAnsi="Arial" w:cs="Arial"/>
        </w:rPr>
      </w:pPr>
      <w:r>
        <w:rPr>
          <w:rFonts w:ascii="Arial" w:hAnsi="Arial" w:cs="Arial"/>
        </w:rPr>
        <w:t>špeciálne základné školy.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žiaci, žiaci špeciálnych základných škôl, pedagogickí zamestnanci, rodičia, odborní zamestnanci, zamestnanci štátnej správy a samosprávy, tútori, lektori, obyvatelia obce, účastníci celoživotného vzdelávania.</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b/>
          <w:bCs/>
        </w:rPr>
      </w:pPr>
      <w:r>
        <w:rPr>
          <w:rFonts w:ascii="Arial" w:hAnsi="Arial" w:cs="Arial"/>
        </w:rPr>
        <w:t>celé územie SR.</w:t>
      </w:r>
    </w:p>
    <w:p>
      <w:pPr>
        <w:spacing w:after="0" w:line="240" w:lineRule="auto"/>
        <w:jc w:val="both"/>
        <w:rPr>
          <w:rFonts w:ascii="Arial" w:hAnsi="Arial" w:cs="Arial"/>
          <w:b/>
          <w:bCs/>
        </w:rPr>
      </w:pPr>
    </w:p>
    <w:p>
      <w:pPr>
        <w:jc w:val="both"/>
        <w:rPr>
          <w:rFonts w:ascii="Arial" w:hAnsi="Arial" w:cs="Arial"/>
          <w:color w:val="FF0000"/>
        </w:rPr>
      </w:pPr>
      <w:r>
        <w:rPr>
          <w:rFonts w:ascii="Arial" w:hAnsi="Arial" w:cs="Arial"/>
          <w:b/>
        </w:rPr>
        <w:t>Špecifický cieľ č. 2.2.3</w:t>
      </w:r>
      <w:r>
        <w:rPr>
          <w:rFonts w:ascii="Arial" w:hAnsi="Arial" w:cs="Arial"/>
        </w:rPr>
        <w:t xml:space="preserve"> je dosahovaný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obstaranie a modernizácia  materiálno- technického vybavenia odborných pracovísk pre praktické vyučovanie, odborný výcvik, odbornú prax, celoživotné vzdelávanie,</w:t>
      </w:r>
      <w:r>
        <w:rPr>
          <w:rFonts w:ascii="Times New Roman" w:hAnsi="Times New Roman" w:cs="Calibri"/>
          <w:sz w:val="20"/>
          <w:szCs w:val="20"/>
        </w:rPr>
        <w:t xml:space="preserve"> </w:t>
      </w:r>
      <w:r>
        <w:rPr>
          <w:rFonts w:ascii="Arial" w:eastAsia="Calibri" w:hAnsi="Arial" w:cs="Arial"/>
          <w:bCs/>
        </w:rPr>
        <w:t>, jazykových učební, dielní, knižníc, prednáškových a vyučovacích miestností na stredných odborných školách, centrách odborného vzdelávania a prípravy, strediskách odbornej praxe, strediskách praktického vyučovania a školských hospodárstvach a s tým súvisiace stavebné úpravy,</w:t>
      </w:r>
    </w:p>
    <w:p>
      <w:pPr>
        <w:pStyle w:val="Odsekzoznamu"/>
        <w:numPr>
          <w:ilvl w:val="0"/>
          <w:numId w:val="30"/>
        </w:numPr>
        <w:jc w:val="both"/>
        <w:rPr>
          <w:rFonts w:ascii="Arial" w:eastAsia="Calibri" w:hAnsi="Arial" w:cs="Arial"/>
          <w:bCs/>
        </w:rPr>
      </w:pPr>
      <w:r>
        <w:rPr>
          <w:rFonts w:ascii="Arial" w:eastAsia="Calibri" w:hAnsi="Arial" w:cs="Arial"/>
          <w:bCs/>
        </w:rPr>
        <w:t>obstaranie a modernizácia  materiálno- technického vybavenia internátov a s tým súvisiace stavebné úpravy vrátane prvkov inkluzívneho vzdelávania,</w:t>
      </w:r>
    </w:p>
    <w:p>
      <w:pPr>
        <w:pStyle w:val="Odsekzoznamu"/>
        <w:numPr>
          <w:ilvl w:val="0"/>
          <w:numId w:val="30"/>
        </w:numPr>
        <w:jc w:val="both"/>
        <w:rPr>
          <w:rFonts w:ascii="Arial" w:eastAsia="Calibri" w:hAnsi="Arial" w:cs="Arial"/>
          <w:bCs/>
        </w:rPr>
      </w:pPr>
      <w:r>
        <w:rPr>
          <w:rFonts w:ascii="Arial" w:eastAsia="Calibri" w:hAnsi="Arial" w:cs="Arial"/>
          <w:bCs/>
        </w:rPr>
        <w:t>prístavba, nadstavba, stavebné úpravy a rekonštrukcia vonkajších a vnútorných priestorov a areálov stredných odborných škôl, centier odborného vzdelávania a prípravy, stredísk odbornej praxe, stredísk praktického vyučovania a školského hospodárstva, súvisiacich okrem iného aj so zabezpečením prvkov inkluzívneho vzdelávania a vybavenosťou pre širšiu komunitu centier odborného vzdelávania a prípravy,</w:t>
      </w:r>
    </w:p>
    <w:p>
      <w:pPr>
        <w:pStyle w:val="Odsekzoznamu"/>
        <w:numPr>
          <w:ilvl w:val="0"/>
          <w:numId w:val="30"/>
        </w:numPr>
        <w:jc w:val="both"/>
        <w:rPr>
          <w:rFonts w:ascii="Arial" w:eastAsia="Calibri" w:hAnsi="Arial" w:cs="Arial"/>
          <w:bCs/>
        </w:rPr>
      </w:pPr>
      <w:r>
        <w:rPr>
          <w:rFonts w:ascii="Arial" w:eastAsia="Calibri" w:hAnsi="Arial" w:cs="Arial"/>
          <w:bCs/>
        </w:rPr>
        <w:t>vytvorenie podnikateľského inkubátora</w:t>
      </w:r>
      <w:r>
        <w:rPr>
          <w:rStyle w:val="Odkaznapoznmkupodiarou"/>
          <w:rFonts w:ascii="Arial" w:eastAsia="Calibri" w:hAnsi="Arial" w:cs="Arial"/>
          <w:bCs/>
        </w:rPr>
        <w:footnoteReference w:id="56"/>
      </w:r>
      <w:r>
        <w:rPr>
          <w:rFonts w:ascii="Arial" w:eastAsia="Calibri" w:hAnsi="Arial" w:cs="Arial"/>
          <w:bCs/>
        </w:rPr>
        <w:t xml:space="preserve"> -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pPr>
        <w:pStyle w:val="Odsekzoznamu"/>
        <w:numPr>
          <w:ilvl w:val="0"/>
          <w:numId w:val="30"/>
        </w:numPr>
        <w:jc w:val="both"/>
        <w:rPr>
          <w:rFonts w:ascii="Arial" w:eastAsia="Calibri" w:hAnsi="Arial" w:cs="Arial"/>
          <w:bCs/>
        </w:rPr>
      </w:pPr>
      <w:r>
        <w:rPr>
          <w:rFonts w:ascii="Arial" w:hAnsi="Arial" w:cs="Arial"/>
        </w:rPr>
        <w:t>zvýšenie energetickej hospodárnosti budov stredných odborných škôl, centier odborného vzdelávania a prípravy, stredísk odbornej praxe, stredísk praktického vyučovania, školských hospodárstiev vrátane internátov.</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vyšší územný celok,</w:t>
      </w:r>
    </w:p>
    <w:p>
      <w:pPr>
        <w:pStyle w:val="Odsekzoznamu"/>
        <w:numPr>
          <w:ilvl w:val="0"/>
          <w:numId w:val="2"/>
        </w:numPr>
        <w:jc w:val="both"/>
        <w:rPr>
          <w:rFonts w:ascii="Arial" w:hAnsi="Arial" w:cs="Arial"/>
        </w:rPr>
      </w:pPr>
      <w:r>
        <w:rPr>
          <w:rFonts w:ascii="Arial" w:hAnsi="Arial" w:cs="Arial"/>
        </w:rPr>
        <w:t>ústredný orgán štátnej správy,</w:t>
      </w:r>
    </w:p>
    <w:p>
      <w:pPr>
        <w:pStyle w:val="Odsekzoznamu"/>
        <w:numPr>
          <w:ilvl w:val="0"/>
          <w:numId w:val="2"/>
        </w:numPr>
        <w:jc w:val="both"/>
        <w:rPr>
          <w:rFonts w:ascii="Arial" w:hAnsi="Arial" w:cs="Arial"/>
        </w:rPr>
      </w:pPr>
      <w:r>
        <w:rPr>
          <w:rFonts w:ascii="Arial" w:hAnsi="Arial" w:cs="Arial"/>
        </w:rPr>
        <w:t>neziskové organizácie ako zriaďovatelia/zakladatelia škôl,</w:t>
      </w:r>
    </w:p>
    <w:p>
      <w:pPr>
        <w:pStyle w:val="Odsekzoznamu"/>
        <w:numPr>
          <w:ilvl w:val="0"/>
          <w:numId w:val="2"/>
        </w:numPr>
        <w:jc w:val="both"/>
        <w:rPr>
          <w:rFonts w:ascii="Arial" w:hAnsi="Arial" w:cs="Arial"/>
        </w:rPr>
      </w:pPr>
      <w:r>
        <w:rPr>
          <w:rFonts w:ascii="Arial" w:hAnsi="Arial" w:cs="Arial"/>
        </w:rPr>
        <w:t>neziskové organizácie ako poskytovatelia všeobecne prospešných služieb v oblasti vzdelávania,</w:t>
      </w:r>
    </w:p>
    <w:p>
      <w:pPr>
        <w:pStyle w:val="Odsekzoznamu"/>
        <w:numPr>
          <w:ilvl w:val="0"/>
          <w:numId w:val="2"/>
        </w:numPr>
        <w:jc w:val="both"/>
        <w:rPr>
          <w:rFonts w:ascii="Arial" w:hAnsi="Arial" w:cs="Arial"/>
        </w:rPr>
      </w:pPr>
      <w:r>
        <w:rPr>
          <w:rFonts w:ascii="Arial" w:hAnsi="Arial" w:cs="Arial"/>
        </w:rPr>
        <w:t>cirkvi a náboženské spoločnosti ako zriaďovatelia/zakladatelia škôl,</w:t>
      </w:r>
    </w:p>
    <w:p>
      <w:pPr>
        <w:pStyle w:val="Odsekzoznamu"/>
        <w:numPr>
          <w:ilvl w:val="0"/>
          <w:numId w:val="2"/>
        </w:numPr>
        <w:jc w:val="both"/>
        <w:rPr>
          <w:rFonts w:ascii="Arial" w:hAnsi="Arial" w:cs="Arial"/>
        </w:rPr>
      </w:pPr>
      <w:r>
        <w:rPr>
          <w:rFonts w:ascii="Arial" w:hAnsi="Arial" w:cs="Arial"/>
        </w:rPr>
        <w:t>združenia ako zriaďovatelia/zakladatelia škôl,</w:t>
      </w:r>
    </w:p>
    <w:p>
      <w:pPr>
        <w:pStyle w:val="Odsekzoznamu"/>
        <w:numPr>
          <w:ilvl w:val="0"/>
          <w:numId w:val="2"/>
        </w:numPr>
        <w:jc w:val="both"/>
        <w:rPr>
          <w:rFonts w:ascii="Arial" w:hAnsi="Arial" w:cs="Arial"/>
        </w:rPr>
      </w:pPr>
      <w:r>
        <w:rPr>
          <w:rFonts w:ascii="Arial" w:hAnsi="Arial" w:cs="Arial"/>
        </w:rPr>
        <w:lastRenderedPageBreak/>
        <w:t>združenia ako poskytovatelia všeobecne prospešných služieb v oblasti vzdelávania,</w:t>
      </w:r>
    </w:p>
    <w:p>
      <w:pPr>
        <w:pStyle w:val="Odsekzoznamu"/>
        <w:numPr>
          <w:ilvl w:val="0"/>
          <w:numId w:val="2"/>
        </w:numPr>
        <w:jc w:val="both"/>
        <w:rPr>
          <w:rFonts w:ascii="Arial" w:hAnsi="Arial" w:cs="Arial"/>
        </w:rPr>
      </w:pPr>
      <w:r>
        <w:rPr>
          <w:rFonts w:ascii="Arial" w:hAnsi="Arial" w:cs="Arial"/>
        </w:rPr>
        <w:t>stredné odborné školy v zriaďovateľskej pôsobnosti vyšších územných celkov,</w:t>
      </w:r>
    </w:p>
    <w:p>
      <w:pPr>
        <w:pStyle w:val="Odsekzoznamu"/>
        <w:numPr>
          <w:ilvl w:val="0"/>
          <w:numId w:val="2"/>
        </w:numPr>
        <w:jc w:val="both"/>
        <w:rPr>
          <w:rFonts w:ascii="Arial" w:hAnsi="Arial" w:cs="Arial"/>
        </w:rPr>
      </w:pPr>
      <w:r>
        <w:rPr>
          <w:rFonts w:ascii="Arial" w:hAnsi="Arial" w:cs="Arial"/>
        </w:rPr>
        <w:t xml:space="preserve">stredné odborné školy v zriaďovateľskej pôsobnosti právnických osôb </w:t>
      </w:r>
    </w:p>
    <w:p>
      <w:pPr>
        <w:pStyle w:val="Odsekzoznamu"/>
        <w:numPr>
          <w:ilvl w:val="0"/>
          <w:numId w:val="2"/>
        </w:numPr>
        <w:jc w:val="both"/>
        <w:rPr>
          <w:rFonts w:ascii="Arial" w:hAnsi="Arial" w:cs="Arial"/>
        </w:rPr>
      </w:pPr>
      <w:r>
        <w:rPr>
          <w:rFonts w:ascii="Arial" w:hAnsi="Arial" w:cs="Arial"/>
        </w:rPr>
        <w:t>špeciálne stredné odborné školy.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žiaci, žiaci špeciálnych stredných škôl, pedagogickí zamestnanci, odborní zamestnanci, zamestnanci štátnej správy a samosprávy riešiaci problematiku odborného vzdelávania a prípravy, tútori, lektori, účastníci celoživotného vzdelávania.</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b/>
          <w:bCs/>
        </w:rPr>
      </w:pPr>
      <w:r>
        <w:rPr>
          <w:rFonts w:ascii="Arial" w:hAnsi="Arial" w:cs="Arial"/>
        </w:rPr>
        <w:t>celé územie SR.</w:t>
      </w:r>
    </w:p>
    <w:p>
      <w:pPr>
        <w:jc w:val="both"/>
        <w:rPr>
          <w:rFonts w:ascii="Arial" w:hAnsi="Arial" w:cs="Arial"/>
        </w:rPr>
      </w:pPr>
      <w:r>
        <w:rPr>
          <w:rFonts w:ascii="Arial" w:hAnsi="Arial" w:cs="Arial"/>
        </w:rPr>
        <w:t>Na plnenie špecifického cieľa č. 2.2.3 bude v prípade oprávnených prijímateľov vykonávajúcich hospodárske činnosti využitá schéma štátnej pomoci, resp. schéma pomoci de minimis v zmysle príslušných ustanovených pravidiel plne zodpovedajúcich legislatíve Európskej únie, ako aj ďalším dokumentom Európskej komisie v oblasti štátnej pomoci.</w:t>
      </w:r>
    </w:p>
    <w:p>
      <w:pPr>
        <w:jc w:val="both"/>
        <w:rPr>
          <w:rFonts w:ascii="Arial" w:hAnsi="Arial" w:cs="Arial"/>
          <w:b/>
          <w:bCs/>
        </w:rPr>
      </w:pPr>
    </w:p>
    <w:p>
      <w:pPr>
        <w:pStyle w:val="Nadpis6"/>
        <w:rPr>
          <w:rFonts w:ascii="Arial" w:hAnsi="Arial" w:cs="Arial"/>
        </w:rPr>
      </w:pPr>
      <w:bookmarkStart w:id="39" w:name="_Toc387153922"/>
      <w:r>
        <w:rPr>
          <w:rFonts w:ascii="Arial" w:hAnsi="Arial" w:cs="Arial"/>
        </w:rPr>
        <w:t>2.2.2.2.Hlavné zásady výberu operácií</w:t>
      </w:r>
      <w:bookmarkEnd w:id="39"/>
    </w:p>
    <w:p>
      <w:pPr>
        <w:spacing w:before="240"/>
        <w:jc w:val="both"/>
        <w:rPr>
          <w:rFonts w:ascii="Arial" w:hAnsi="Arial" w:cs="Arial"/>
        </w:rPr>
      </w:pPr>
      <w:r>
        <w:rPr>
          <w:rFonts w:ascii="Arial" w:hAnsi="Arial" w:cs="Arial"/>
        </w:rPr>
        <w:t>Pre efektívne dosiahnutie čo najväčšieho príspevku operácií/projektov k naplneniu špecifických cieľov a dosiahnutie stanovených výsledkov navrhované operácie/projekty rešpektujú nasledovné princípy.</w:t>
      </w:r>
    </w:p>
    <w:p>
      <w:pPr>
        <w:jc w:val="both"/>
        <w:rPr>
          <w:rFonts w:ascii="Arial" w:hAnsi="Arial" w:cs="Arial"/>
          <w:b/>
        </w:rPr>
      </w:pPr>
    </w:p>
    <w:p>
      <w:pPr>
        <w:jc w:val="both"/>
        <w:rPr>
          <w:rFonts w:ascii="Arial" w:hAnsi="Arial" w:cs="Arial"/>
        </w:rPr>
      </w:pPr>
      <w:r>
        <w:rPr>
          <w:rFonts w:ascii="Arial" w:hAnsi="Arial" w:cs="Arial"/>
          <w:b/>
        </w:rPr>
        <w:t>Pre špecifický cieľ č. 2.2.1</w:t>
      </w:r>
      <w:r>
        <w:rPr>
          <w:rFonts w:ascii="Arial" w:hAnsi="Arial" w:cs="Arial"/>
        </w:rPr>
        <w:t>:</w:t>
      </w:r>
    </w:p>
    <w:p>
      <w:pPr>
        <w:pStyle w:val="Odsekzoznamu"/>
        <w:numPr>
          <w:ilvl w:val="0"/>
          <w:numId w:val="31"/>
        </w:numPr>
        <w:spacing w:after="0"/>
        <w:jc w:val="both"/>
        <w:rPr>
          <w:rFonts w:ascii="Arial" w:hAnsi="Arial" w:cs="Arial"/>
        </w:rPr>
      </w:pPr>
      <w:r>
        <w:rPr>
          <w:rFonts w:ascii="Arial" w:hAnsi="Arial" w:cs="Arial"/>
        </w:rPr>
        <w:t xml:space="preserve">Projekt podporuje integrovaný prístup znamenajúci komplementárnu podporu aktivít z IROP a OP ĽZ, prípadné iných operačných programov, </w:t>
      </w:r>
    </w:p>
    <w:p>
      <w:pPr>
        <w:pStyle w:val="Odsekzoznamu"/>
        <w:numPr>
          <w:ilvl w:val="0"/>
          <w:numId w:val="31"/>
        </w:numPr>
        <w:spacing w:after="0"/>
        <w:jc w:val="both"/>
        <w:rPr>
          <w:rFonts w:ascii="Arial" w:hAnsi="Arial" w:cs="Arial"/>
        </w:rPr>
      </w:pPr>
      <w:r>
        <w:rPr>
          <w:rFonts w:ascii="Arial" w:hAnsi="Arial" w:cs="Arial"/>
        </w:rPr>
        <w:t>Projekt podporuje prvky inkluzívneho vzdelávania,</w:t>
      </w:r>
    </w:p>
    <w:p>
      <w:pPr>
        <w:pStyle w:val="Odsekzoznamu"/>
        <w:numPr>
          <w:ilvl w:val="0"/>
          <w:numId w:val="31"/>
        </w:numPr>
        <w:spacing w:after="0"/>
        <w:jc w:val="both"/>
        <w:rPr>
          <w:rFonts w:ascii="Arial" w:hAnsi="Arial" w:cs="Arial"/>
        </w:rPr>
      </w:pPr>
      <w:r>
        <w:rPr>
          <w:rFonts w:ascii="Arial" w:hAnsi="Arial" w:cs="Arial"/>
        </w:rPr>
        <w:t xml:space="preserve">Projekt sa realizuje v škole a školskom zariadení, ktoré sú zaradené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a o zmene a doplnení niektorých zákonov v znení neskorších predpisov,</w:t>
      </w:r>
    </w:p>
    <w:p>
      <w:pPr>
        <w:pStyle w:val="Odsekzoznamu"/>
        <w:numPr>
          <w:ilvl w:val="0"/>
          <w:numId w:val="31"/>
        </w:numPr>
        <w:spacing w:after="0"/>
        <w:jc w:val="both"/>
        <w:rPr>
          <w:rFonts w:ascii="Arial" w:hAnsi="Arial" w:cs="Arial"/>
        </w:rPr>
      </w:pPr>
      <w:r>
        <w:rPr>
          <w:rFonts w:ascii="Arial" w:hAnsi="Arial" w:cs="Arial"/>
        </w:rPr>
        <w:t>Projekt sa realizuje v súlade so zákonom 245/2008 Z. z. o výchove a vzdelávaní (školský zákon) a o zmene a doplnení niektorých zákonov v znení neskorších predpisov,</w:t>
      </w:r>
    </w:p>
    <w:p>
      <w:pPr>
        <w:pStyle w:val="Odsekzoznamu"/>
        <w:numPr>
          <w:ilvl w:val="0"/>
          <w:numId w:val="31"/>
        </w:numPr>
        <w:spacing w:after="0"/>
        <w:jc w:val="both"/>
        <w:rPr>
          <w:rFonts w:ascii="Arial" w:hAnsi="Arial" w:cs="Arial"/>
        </w:rPr>
      </w:pPr>
      <w:r>
        <w:rPr>
          <w:rFonts w:ascii="Arial" w:hAnsi="Arial" w:cs="Arial"/>
        </w:rPr>
        <w:t xml:space="preserve">Projekt spĺňa požiadavky v súlade so Štátnym vzdelávacím programov ISCED 0 – predprimárne vzdelávanie, </w:t>
      </w:r>
    </w:p>
    <w:p>
      <w:pPr>
        <w:pStyle w:val="Odsekzoznamu"/>
        <w:numPr>
          <w:ilvl w:val="0"/>
          <w:numId w:val="31"/>
        </w:numPr>
        <w:spacing w:after="0"/>
        <w:jc w:val="both"/>
        <w:rPr>
          <w:rFonts w:ascii="Arial" w:hAnsi="Arial" w:cs="Arial"/>
        </w:rPr>
      </w:pPr>
      <w:r>
        <w:rPr>
          <w:rFonts w:ascii="Arial" w:hAnsi="Arial" w:cs="Arial"/>
        </w:rPr>
        <w:t>Projekt spĺňa požiadavky v súlade s vyhláškou MŽP SR č. 532/2002 Z. z. ktorou sa ustanovujú podrobnosti o všeobecných technických požiadavkách na výstavbu a o všeobecných technických požiadavkách na stavby užívané osobami s obmedzenou schopnosťou pohybu a orientácie,</w:t>
      </w:r>
    </w:p>
    <w:p>
      <w:pPr>
        <w:pStyle w:val="Odsekzoznamu"/>
        <w:numPr>
          <w:ilvl w:val="0"/>
          <w:numId w:val="31"/>
        </w:numPr>
        <w:spacing w:after="0"/>
        <w:jc w:val="both"/>
        <w:rPr>
          <w:rFonts w:ascii="Arial" w:hAnsi="Arial" w:cs="Arial"/>
        </w:rPr>
      </w:pPr>
      <w:r>
        <w:rPr>
          <w:rFonts w:ascii="Arial" w:hAnsi="Arial" w:cs="Arial"/>
        </w:rPr>
        <w:t>Projekt je v súlade s Národným plánom zameraným na zvyšovanie počtu budov s takmer nulovou potrebou energie,</w:t>
      </w:r>
    </w:p>
    <w:p>
      <w:pPr>
        <w:pStyle w:val="Odsekzoznamu"/>
        <w:numPr>
          <w:ilvl w:val="0"/>
          <w:numId w:val="31"/>
        </w:numPr>
        <w:spacing w:after="0"/>
        <w:jc w:val="both"/>
        <w:rPr>
          <w:rFonts w:ascii="Arial" w:hAnsi="Arial" w:cs="Arial"/>
        </w:rPr>
      </w:pPr>
      <w:r>
        <w:rPr>
          <w:rFonts w:ascii="Arial" w:hAnsi="Arial" w:cs="Arial"/>
        </w:rPr>
        <w:lastRenderedPageBreak/>
        <w:t>Pre projekt bude platiť efektívna bonifikácia, pokiaľ pri obnove/výstavbe budú tepelnotechnické vlastnosti stavebných konštrukcií a budov spĺňať parametre nad rámec aktuálne požadovanej úrovne energetickej hospodárnosti podľa STN 73 0540-2: 2012,</w:t>
      </w:r>
    </w:p>
    <w:p>
      <w:pPr>
        <w:pStyle w:val="Odsekzoznamu"/>
        <w:numPr>
          <w:ilvl w:val="0"/>
          <w:numId w:val="31"/>
        </w:numPr>
        <w:spacing w:before="12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31"/>
        </w:numPr>
        <w:spacing w:after="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31"/>
        </w:numPr>
        <w:spacing w:after="0"/>
        <w:jc w:val="both"/>
        <w:rPr>
          <w:rFonts w:ascii="Arial" w:hAnsi="Arial" w:cs="Arial"/>
        </w:rPr>
      </w:pPr>
      <w:r>
        <w:rPr>
          <w:rFonts w:ascii="Arial" w:hAnsi="Arial" w:cs="Arial"/>
        </w:rPr>
        <w:t>Projekt uplatňuje zásadu „znečisťovateľ platí“ ako podmienku výberu projektov.</w:t>
      </w:r>
    </w:p>
    <w:p>
      <w:pPr>
        <w:jc w:val="both"/>
        <w:rPr>
          <w:rFonts w:ascii="Arial" w:hAnsi="Arial" w:cs="Arial"/>
        </w:rPr>
      </w:pPr>
      <w:r>
        <w:rPr>
          <w:rFonts w:ascii="Arial" w:hAnsi="Arial" w:cs="Arial"/>
        </w:rPr>
        <w:t>Uvedené princípy sa uplatnia v závislosti od  typu a charakteru projektu.</w:t>
      </w:r>
    </w:p>
    <w:p>
      <w:pPr>
        <w:spacing w:after="0" w:line="240" w:lineRule="auto"/>
        <w:rPr>
          <w:rFonts w:ascii="Arial" w:hAnsi="Arial" w:cs="Arial"/>
          <w:b/>
        </w:rPr>
      </w:pPr>
    </w:p>
    <w:p>
      <w:pPr>
        <w:spacing w:after="0" w:line="240" w:lineRule="auto"/>
        <w:rPr>
          <w:rFonts w:ascii="Arial" w:hAnsi="Arial" w:cs="Arial"/>
        </w:rPr>
      </w:pPr>
      <w:r>
        <w:rPr>
          <w:rFonts w:ascii="Arial" w:hAnsi="Arial" w:cs="Arial"/>
          <w:b/>
        </w:rPr>
        <w:t>Pre špecifický cieľ č. 2.2.2</w:t>
      </w:r>
      <w:r>
        <w:rPr>
          <w:rFonts w:ascii="Arial" w:hAnsi="Arial" w:cs="Arial"/>
        </w:rPr>
        <w:t>:</w:t>
      </w:r>
    </w:p>
    <w:p>
      <w:pPr>
        <w:spacing w:after="0" w:line="240" w:lineRule="auto"/>
        <w:rPr>
          <w:rFonts w:ascii="Arial" w:hAnsi="Arial" w:cs="Arial"/>
        </w:rPr>
      </w:pPr>
    </w:p>
    <w:p>
      <w:pPr>
        <w:pStyle w:val="Odsekzoznamu"/>
        <w:numPr>
          <w:ilvl w:val="0"/>
          <w:numId w:val="31"/>
        </w:numPr>
        <w:spacing w:after="0"/>
        <w:jc w:val="both"/>
        <w:rPr>
          <w:rFonts w:ascii="Arial" w:hAnsi="Arial" w:cs="Arial"/>
        </w:rPr>
      </w:pPr>
      <w:r>
        <w:rPr>
          <w:rFonts w:ascii="Arial" w:hAnsi="Arial" w:cs="Arial"/>
        </w:rPr>
        <w:t>Projekt sa realizuje v plno-organizovaných základných školách so všetkými ročníkmi 1. – 9.,</w:t>
      </w:r>
    </w:p>
    <w:p>
      <w:pPr>
        <w:pStyle w:val="Odsekzoznamu"/>
        <w:numPr>
          <w:ilvl w:val="0"/>
          <w:numId w:val="31"/>
        </w:numPr>
        <w:spacing w:after="0"/>
        <w:jc w:val="both"/>
        <w:rPr>
          <w:rFonts w:ascii="Arial" w:hAnsi="Arial" w:cs="Arial"/>
        </w:rPr>
      </w:pPr>
      <w:r>
        <w:rPr>
          <w:rFonts w:ascii="Arial" w:hAnsi="Arial" w:cs="Arial"/>
        </w:rPr>
        <w:t xml:space="preserve">Projekt podporuje integrovaný prístup znamenajúci komplementárnu podporu aktivít z IROP a OP ĽZ, prípadné iných operačných programov, </w:t>
      </w:r>
    </w:p>
    <w:p>
      <w:pPr>
        <w:pStyle w:val="Odsekzoznamu"/>
        <w:numPr>
          <w:ilvl w:val="0"/>
          <w:numId w:val="31"/>
        </w:numPr>
        <w:spacing w:after="0"/>
        <w:jc w:val="both"/>
        <w:rPr>
          <w:rFonts w:ascii="Arial" w:hAnsi="Arial" w:cs="Arial"/>
        </w:rPr>
      </w:pPr>
      <w:r>
        <w:rPr>
          <w:rFonts w:ascii="Arial" w:hAnsi="Arial" w:cs="Arial"/>
        </w:rPr>
        <w:t>Projekt cielene podporuje prvky  inkluzívneho vzdelávania,</w:t>
      </w:r>
    </w:p>
    <w:p>
      <w:pPr>
        <w:pStyle w:val="Odsekzoznamu"/>
        <w:numPr>
          <w:ilvl w:val="0"/>
          <w:numId w:val="31"/>
        </w:numPr>
        <w:spacing w:after="0"/>
        <w:jc w:val="both"/>
        <w:rPr>
          <w:rFonts w:ascii="Arial" w:hAnsi="Arial" w:cs="Arial"/>
        </w:rPr>
      </w:pPr>
      <w:r>
        <w:rPr>
          <w:rFonts w:ascii="Arial" w:hAnsi="Arial" w:cs="Arial"/>
        </w:rPr>
        <w:t>Projekt podporuje celoživotné vzdelávanie v súlade so zákonom č. 568/2009 o celoživotnom vzdelávaní,</w:t>
      </w:r>
    </w:p>
    <w:p>
      <w:pPr>
        <w:pStyle w:val="Odsekzoznamu"/>
        <w:numPr>
          <w:ilvl w:val="0"/>
          <w:numId w:val="31"/>
        </w:numPr>
        <w:spacing w:after="0"/>
        <w:jc w:val="both"/>
        <w:rPr>
          <w:rFonts w:ascii="Arial" w:hAnsi="Arial" w:cs="Arial"/>
        </w:rPr>
      </w:pPr>
      <w:r>
        <w:rPr>
          <w:rFonts w:ascii="Arial" w:hAnsi="Arial" w:cs="Arial"/>
        </w:rPr>
        <w:t xml:space="preserve">Projekt 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a o zmene a doplnení niektorých zákonov v znení neskorších predpisov,</w:t>
      </w:r>
    </w:p>
    <w:p>
      <w:pPr>
        <w:pStyle w:val="Odsekzoznamu"/>
        <w:numPr>
          <w:ilvl w:val="0"/>
          <w:numId w:val="31"/>
        </w:numPr>
        <w:spacing w:after="0"/>
        <w:jc w:val="both"/>
        <w:rPr>
          <w:rFonts w:ascii="Arial" w:hAnsi="Arial" w:cs="Arial"/>
        </w:rPr>
      </w:pPr>
      <w:r>
        <w:rPr>
          <w:rFonts w:ascii="Arial" w:hAnsi="Arial" w:cs="Arial"/>
        </w:rPr>
        <w:t>Projekt sa realizuje v škole, ktorá je v súlade so zásadami optimalizácie siete škôl a školských zariadení resp. pasportizáciou.</w:t>
      </w:r>
    </w:p>
    <w:p>
      <w:pPr>
        <w:pStyle w:val="Odsekzoznamu"/>
        <w:numPr>
          <w:ilvl w:val="0"/>
          <w:numId w:val="31"/>
        </w:numPr>
        <w:spacing w:after="0"/>
        <w:jc w:val="both"/>
        <w:rPr>
          <w:rFonts w:ascii="Arial" w:hAnsi="Arial" w:cs="Arial"/>
        </w:rPr>
      </w:pPr>
      <w:r>
        <w:rPr>
          <w:rFonts w:ascii="Arial" w:hAnsi="Arial" w:cs="Arial"/>
        </w:rPr>
        <w:t>Projekt sa realizuje v súlade so zákonom 245/2008 Z. z. o výchove a vzdelávaní (školský zákon) a o zmene a doplnení niektorých zákonov v znení neskorších predpisov,</w:t>
      </w:r>
    </w:p>
    <w:p>
      <w:pPr>
        <w:pStyle w:val="Odsekzoznamu"/>
        <w:numPr>
          <w:ilvl w:val="0"/>
          <w:numId w:val="31"/>
        </w:numPr>
        <w:spacing w:after="0"/>
        <w:jc w:val="both"/>
        <w:rPr>
          <w:rFonts w:ascii="Arial" w:hAnsi="Arial" w:cs="Arial"/>
        </w:rPr>
      </w:pPr>
      <w:r>
        <w:rPr>
          <w:rFonts w:ascii="Arial" w:hAnsi="Arial" w:cs="Arial"/>
        </w:rPr>
        <w:t>Projekt je v súlade s normatívmi MŠVVŠ SR pre materiálno-technické a priestorové zabezpečenie učebných priestorov pre prvý a druhý stupeň základných škôl,</w:t>
      </w:r>
    </w:p>
    <w:p>
      <w:pPr>
        <w:pStyle w:val="Odsekzoznamu"/>
        <w:numPr>
          <w:ilvl w:val="0"/>
          <w:numId w:val="31"/>
        </w:numPr>
        <w:spacing w:after="0"/>
        <w:jc w:val="both"/>
        <w:rPr>
          <w:rFonts w:ascii="Arial" w:hAnsi="Arial" w:cs="Arial"/>
        </w:rPr>
      </w:pPr>
      <w:r>
        <w:rPr>
          <w:rFonts w:ascii="Arial" w:hAnsi="Arial" w:cs="Arial"/>
        </w:rPr>
        <w:t>Projekt je v súlade so štátnym vzdelávacím programom vrátane prvkov inkluzívneho vzdelávania pre prvý a druhý stupeň základných škôl,</w:t>
      </w:r>
    </w:p>
    <w:p>
      <w:pPr>
        <w:pStyle w:val="Odsekzoznamu"/>
        <w:numPr>
          <w:ilvl w:val="0"/>
          <w:numId w:val="31"/>
        </w:numPr>
        <w:spacing w:after="0"/>
        <w:jc w:val="both"/>
        <w:rPr>
          <w:rFonts w:ascii="Arial" w:hAnsi="Arial" w:cs="Arial"/>
        </w:rPr>
      </w:pPr>
      <w:r>
        <w:rPr>
          <w:rFonts w:ascii="Arial" w:hAnsi="Arial" w:cs="Arial"/>
        </w:rPr>
        <w:t>Projekt je v súlade so štandardami vypracovanými MŠVVŠ SR v národných projektoch</w:t>
      </w:r>
      <w:r>
        <w:rPr>
          <w:rStyle w:val="Odkaznapoznmkupodiarou"/>
          <w:rFonts w:ascii="Arial" w:hAnsi="Arial" w:cs="Arial"/>
        </w:rPr>
        <w:footnoteReference w:id="57"/>
      </w:r>
      <w:r>
        <w:rPr>
          <w:rFonts w:ascii="Arial" w:hAnsi="Arial" w:cs="Arial"/>
        </w:rPr>
        <w:t xml:space="preserve"> v rámci OP Vzdelávanie,</w:t>
      </w:r>
    </w:p>
    <w:p>
      <w:pPr>
        <w:pStyle w:val="Odsekzoznamu"/>
        <w:numPr>
          <w:ilvl w:val="0"/>
          <w:numId w:val="31"/>
        </w:numPr>
        <w:spacing w:after="0"/>
        <w:jc w:val="both"/>
        <w:rPr>
          <w:rFonts w:ascii="Arial" w:hAnsi="Arial" w:cs="Arial"/>
        </w:rPr>
      </w:pPr>
      <w:r>
        <w:rPr>
          <w:rFonts w:ascii="Arial" w:hAnsi="Arial" w:cs="Arial"/>
        </w:rPr>
        <w:t xml:space="preserve">Projekt je v súlade s Národným plánom zameraným na zvyšovanie počtu budov s takmer nulovou potrebou energie, </w:t>
      </w:r>
    </w:p>
    <w:p>
      <w:pPr>
        <w:pStyle w:val="Odsekzoznamu"/>
        <w:numPr>
          <w:ilvl w:val="0"/>
          <w:numId w:val="31"/>
        </w:numPr>
        <w:spacing w:after="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jc w:val="both"/>
        <w:rPr>
          <w:rFonts w:ascii="Arial" w:hAnsi="Arial" w:cs="Arial"/>
        </w:rPr>
      </w:pPr>
      <w:r>
        <w:rPr>
          <w:rFonts w:ascii="Arial" w:hAnsi="Arial" w:cs="Arial"/>
        </w:rPr>
        <w:t>Uvedené princípy sa uplatnia v závislosti od  typu a charakteru projektu.</w:t>
      </w:r>
    </w:p>
    <w:p>
      <w:pPr>
        <w:rPr>
          <w:rFonts w:ascii="Arial" w:hAnsi="Arial" w:cs="Arial"/>
          <w:color w:val="548DD4" w:themeColor="text2" w:themeTint="99"/>
        </w:rPr>
      </w:pPr>
      <w:r>
        <w:rPr>
          <w:rFonts w:ascii="Arial" w:hAnsi="Arial" w:cs="Arial"/>
          <w:b/>
        </w:rPr>
        <w:lastRenderedPageBreak/>
        <w:t>Pre špecifický cieľ č. 2.2.3</w:t>
      </w:r>
      <w:r>
        <w:rPr>
          <w:rFonts w:ascii="Arial" w:hAnsi="Arial" w:cs="Arial"/>
        </w:rPr>
        <w:t>:</w:t>
      </w:r>
    </w:p>
    <w:p>
      <w:pPr>
        <w:pStyle w:val="Odsekzoznamu"/>
        <w:numPr>
          <w:ilvl w:val="0"/>
          <w:numId w:val="31"/>
        </w:numPr>
        <w:spacing w:after="0"/>
        <w:jc w:val="both"/>
        <w:rPr>
          <w:rFonts w:ascii="Arial" w:hAnsi="Arial" w:cs="Arial"/>
        </w:rPr>
      </w:pPr>
      <w:r>
        <w:rPr>
          <w:rFonts w:ascii="Arial" w:hAnsi="Arial" w:cs="Arial"/>
        </w:rPr>
        <w:t>Projekt je v súlade s regionálnymi stratégiami odborného vzdelávania a prípravy,</w:t>
      </w:r>
    </w:p>
    <w:p>
      <w:pPr>
        <w:pStyle w:val="Odsekzoznamu"/>
        <w:numPr>
          <w:ilvl w:val="0"/>
          <w:numId w:val="31"/>
        </w:numPr>
        <w:spacing w:after="0"/>
        <w:jc w:val="both"/>
        <w:rPr>
          <w:rFonts w:ascii="Arial" w:hAnsi="Arial" w:cs="Arial"/>
        </w:rPr>
      </w:pPr>
      <w:r>
        <w:rPr>
          <w:rFonts w:ascii="Arial" w:hAnsi="Arial" w:cs="Arial"/>
        </w:rPr>
        <w:t>Projekt podporuje celoživotné vzdelávanie v súlade so zákonom č. 568/2009 o celoživotnom vzdelávaní,</w:t>
      </w:r>
    </w:p>
    <w:p>
      <w:pPr>
        <w:pStyle w:val="Odsekzoznamu"/>
        <w:numPr>
          <w:ilvl w:val="0"/>
          <w:numId w:val="31"/>
        </w:numPr>
        <w:spacing w:after="0"/>
        <w:jc w:val="both"/>
        <w:rPr>
          <w:rFonts w:ascii="Arial" w:hAnsi="Arial" w:cs="Arial"/>
        </w:rPr>
      </w:pPr>
      <w:r>
        <w:rPr>
          <w:rFonts w:ascii="Arial" w:hAnsi="Arial" w:cs="Arial"/>
        </w:rPr>
        <w:t xml:space="preserve">Projekt podporuje integrovaný prístup znamenajúci komplementárnu podporu aktivít z IROP a OP ĽZ, prípadné iných operačných programov, </w:t>
      </w:r>
    </w:p>
    <w:p>
      <w:pPr>
        <w:pStyle w:val="Odsekzoznamu"/>
        <w:numPr>
          <w:ilvl w:val="0"/>
          <w:numId w:val="31"/>
        </w:numPr>
        <w:spacing w:after="0"/>
        <w:jc w:val="both"/>
        <w:rPr>
          <w:rFonts w:ascii="Arial" w:hAnsi="Arial" w:cs="Arial"/>
        </w:rPr>
      </w:pPr>
      <w:r>
        <w:rPr>
          <w:rFonts w:ascii="Arial" w:hAnsi="Arial" w:cs="Arial"/>
        </w:rPr>
        <w:t>Projekt cielene podporuje prvky inkluzívneho vzdelávania,</w:t>
      </w:r>
    </w:p>
    <w:p>
      <w:pPr>
        <w:pStyle w:val="Odsekzoznamu"/>
        <w:numPr>
          <w:ilvl w:val="0"/>
          <w:numId w:val="31"/>
        </w:numPr>
        <w:spacing w:after="0"/>
        <w:jc w:val="both"/>
        <w:rPr>
          <w:rFonts w:ascii="Arial" w:hAnsi="Arial" w:cs="Arial"/>
        </w:rPr>
      </w:pPr>
      <w:r>
        <w:rPr>
          <w:rFonts w:ascii="Arial" w:hAnsi="Arial" w:cs="Arial"/>
        </w:rPr>
        <w:t>Projekt zabezpečuje väzbu: škola – zamestnávateľ – kraj.  Musí byť deklarovaný zmluvný vzťah so zamestnávateľom v prospech ktorého sa učebné odbory učia,</w:t>
      </w:r>
    </w:p>
    <w:p>
      <w:pPr>
        <w:pStyle w:val="Odsekzoznamu"/>
        <w:numPr>
          <w:ilvl w:val="0"/>
          <w:numId w:val="31"/>
        </w:numPr>
        <w:spacing w:after="0"/>
        <w:jc w:val="both"/>
        <w:rPr>
          <w:rFonts w:ascii="Arial" w:hAnsi="Arial" w:cs="Arial"/>
        </w:rPr>
      </w:pPr>
      <w:r>
        <w:rPr>
          <w:rFonts w:ascii="Arial" w:hAnsi="Arial" w:cs="Arial"/>
        </w:rPr>
        <w:t>Projekt je podporovaný príslušným zamestnávateľským zväzom, stavovskou a profesijnou organizáciou a aktérmi na trhu práce,</w:t>
      </w:r>
    </w:p>
    <w:p>
      <w:pPr>
        <w:pStyle w:val="Odsekzoznamu"/>
        <w:numPr>
          <w:ilvl w:val="0"/>
          <w:numId w:val="31"/>
        </w:numPr>
        <w:spacing w:after="0"/>
        <w:jc w:val="both"/>
        <w:rPr>
          <w:rFonts w:ascii="Arial" w:hAnsi="Arial" w:cs="Arial"/>
        </w:rPr>
      </w:pPr>
      <w:r>
        <w:rPr>
          <w:rFonts w:ascii="Arial" w:hAnsi="Arial" w:cs="Arial"/>
        </w:rPr>
        <w:t>Projekt podporuje vznik nových Centier odborného vzdelávania a prípravy,</w:t>
      </w:r>
    </w:p>
    <w:p>
      <w:pPr>
        <w:pStyle w:val="Odsekzoznamu"/>
        <w:numPr>
          <w:ilvl w:val="0"/>
          <w:numId w:val="31"/>
        </w:numPr>
        <w:spacing w:after="0"/>
        <w:jc w:val="both"/>
        <w:rPr>
          <w:rFonts w:ascii="Arial" w:hAnsi="Arial" w:cs="Arial"/>
        </w:rPr>
      </w:pPr>
      <w:r>
        <w:rPr>
          <w:rFonts w:ascii="Arial" w:hAnsi="Arial" w:cs="Arial"/>
        </w:rPr>
        <w:t>Projekt podporuje existujúce Centra odborného vzdelávania a prípravy,</w:t>
      </w:r>
    </w:p>
    <w:p>
      <w:pPr>
        <w:pStyle w:val="Odsekzoznamu"/>
        <w:numPr>
          <w:ilvl w:val="0"/>
          <w:numId w:val="31"/>
        </w:numPr>
        <w:spacing w:after="0"/>
        <w:jc w:val="both"/>
        <w:rPr>
          <w:rFonts w:ascii="Arial" w:hAnsi="Arial" w:cs="Arial"/>
        </w:rPr>
      </w:pPr>
      <w:r>
        <w:rPr>
          <w:rFonts w:ascii="Arial" w:hAnsi="Arial" w:cs="Arial"/>
        </w:rPr>
        <w:t>Projekt musí byť v súlade so zákonom č. 184/2009 o odbornom vzdelávaní a príprave a o zmene a doplnení niektorých zákonov,</w:t>
      </w:r>
    </w:p>
    <w:p>
      <w:pPr>
        <w:pStyle w:val="Odsekzoznamu"/>
        <w:numPr>
          <w:ilvl w:val="0"/>
          <w:numId w:val="31"/>
        </w:numPr>
        <w:spacing w:after="0"/>
        <w:jc w:val="both"/>
        <w:rPr>
          <w:rFonts w:ascii="Arial" w:hAnsi="Arial" w:cs="Arial"/>
        </w:rPr>
      </w:pPr>
      <w:r>
        <w:rPr>
          <w:rFonts w:ascii="Arial" w:hAnsi="Arial" w:cs="Arial"/>
        </w:rPr>
        <w:t>Projekt musí byť v súlade s požiadavkami regionálneho trhu práce a konkurencieschopnosti regiónu,</w:t>
      </w:r>
    </w:p>
    <w:p>
      <w:pPr>
        <w:pStyle w:val="Odsekzoznamu"/>
        <w:numPr>
          <w:ilvl w:val="0"/>
          <w:numId w:val="31"/>
        </w:numPr>
        <w:spacing w:after="0"/>
        <w:jc w:val="both"/>
        <w:rPr>
          <w:rFonts w:ascii="Arial" w:eastAsia="Calibri" w:hAnsi="Arial" w:cs="Arial"/>
          <w:bCs/>
        </w:rPr>
      </w:pPr>
      <w:r>
        <w:rPr>
          <w:rFonts w:ascii="Arial" w:hAnsi="Arial" w:cs="Arial"/>
        </w:rPr>
        <w:t>Projekt je v súlade so štátnym vzdelávacím programom pre odborné vzdelávanie a prípravu pre danú skupinu študijných a učebných odborov,</w:t>
      </w:r>
    </w:p>
    <w:p>
      <w:pPr>
        <w:pStyle w:val="Odsekzoznamu"/>
        <w:numPr>
          <w:ilvl w:val="0"/>
          <w:numId w:val="31"/>
        </w:numPr>
        <w:spacing w:after="0"/>
        <w:jc w:val="both"/>
        <w:rPr>
          <w:rFonts w:ascii="Arial" w:eastAsia="Calibri" w:hAnsi="Arial" w:cs="Arial"/>
          <w:bCs/>
        </w:rPr>
      </w:pPr>
      <w:r>
        <w:rPr>
          <w:rFonts w:ascii="Arial" w:hAnsi="Arial" w:cs="Arial"/>
        </w:rPr>
        <w:t xml:space="preserve">Projekt je v </w:t>
      </w:r>
      <w:r>
        <w:rPr>
          <w:rFonts w:ascii="Arial" w:eastAsia="Calibri" w:hAnsi="Arial" w:cs="Arial"/>
          <w:bCs/>
        </w:rPr>
        <w:t>súlade so zákonom č. 596/2003 Z. z. o štátnej správe v školstve a školskej samospráve a o zmene a doplnení niektorých zákonov v znení neskorších predpisov,</w:t>
      </w:r>
    </w:p>
    <w:p>
      <w:pPr>
        <w:pStyle w:val="Odsekzoznamu"/>
        <w:numPr>
          <w:ilvl w:val="0"/>
          <w:numId w:val="31"/>
        </w:numPr>
        <w:spacing w:after="0"/>
        <w:jc w:val="both"/>
        <w:rPr>
          <w:rFonts w:ascii="Arial" w:hAnsi="Arial" w:cs="Arial"/>
        </w:rPr>
      </w:pPr>
      <w:r>
        <w:rPr>
          <w:rFonts w:ascii="Arial" w:hAnsi="Arial" w:cs="Arial"/>
        </w:rPr>
        <w:t>Projekt sa realizuje v škole, ktorá je v súlade so zásadami optimalizácie siete škôl a školských zariadení resp. pasportizáciou.</w:t>
      </w:r>
    </w:p>
    <w:p>
      <w:pPr>
        <w:pStyle w:val="Odsekzoznamu"/>
        <w:numPr>
          <w:ilvl w:val="0"/>
          <w:numId w:val="31"/>
        </w:numPr>
        <w:spacing w:after="0"/>
        <w:jc w:val="both"/>
        <w:rPr>
          <w:rFonts w:ascii="Arial" w:hAnsi="Arial" w:cs="Arial"/>
        </w:rPr>
      </w:pPr>
      <w:r>
        <w:rPr>
          <w:rFonts w:ascii="Arial" w:hAnsi="Arial" w:cs="Arial"/>
        </w:rPr>
        <w:t>Projekt musí byť previazaný na stratégiu RIS3 najmä v oblasti hospodárskej špecializácie a perspektívnych oblastiach špecializácie s potrebami zabezpečenia kvalifikovaných ľudských zdrojov,</w:t>
      </w:r>
    </w:p>
    <w:p>
      <w:pPr>
        <w:pStyle w:val="Odsekzoznamu"/>
        <w:numPr>
          <w:ilvl w:val="0"/>
          <w:numId w:val="31"/>
        </w:numPr>
        <w:spacing w:after="0"/>
        <w:jc w:val="both"/>
        <w:rPr>
          <w:rFonts w:ascii="Arial" w:hAnsi="Arial" w:cs="Arial"/>
        </w:rPr>
      </w:pPr>
      <w:r>
        <w:rPr>
          <w:rFonts w:ascii="Arial" w:hAnsi="Arial" w:cs="Arial"/>
        </w:rPr>
        <w:t>Projekt je v súlade s Národným plánom zameraným na zvyšovanie počtu budov s takmer nulovou potrebou energie,</w:t>
      </w:r>
    </w:p>
    <w:p>
      <w:pPr>
        <w:pStyle w:val="Odsekzoznamu"/>
        <w:numPr>
          <w:ilvl w:val="0"/>
          <w:numId w:val="31"/>
        </w:numPr>
        <w:spacing w:after="0"/>
        <w:jc w:val="both"/>
        <w:rPr>
          <w:rFonts w:ascii="Arial" w:hAnsi="Arial" w:cs="Arial"/>
        </w:rPr>
      </w:pPr>
      <w:r>
        <w:rPr>
          <w:rFonts w:ascii="Arial" w:hAnsi="Arial" w:cs="Arial"/>
        </w:rPr>
        <w:t>Pre projekt bude platiť efektívna bonifikácia, pokiaľ pri obnove/výstavbe budú tepelnotechnické vlastnosti stavebných konštrukcií a budov spĺňať parametre nad rámec aktuálne požadovanej úrovne energetickej hospodárnosti podľa STN 73 0540-2: 2012,</w:t>
      </w:r>
    </w:p>
    <w:p>
      <w:pPr>
        <w:pStyle w:val="Odsekzoznamu"/>
        <w:numPr>
          <w:ilvl w:val="0"/>
          <w:numId w:val="31"/>
        </w:numPr>
        <w:spacing w:before="12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31"/>
        </w:numPr>
        <w:spacing w:after="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31"/>
        </w:numPr>
        <w:spacing w:after="0"/>
        <w:jc w:val="both"/>
        <w:rPr>
          <w:rFonts w:ascii="Arial" w:hAnsi="Arial" w:cs="Arial"/>
        </w:rPr>
      </w:pPr>
      <w:r>
        <w:rPr>
          <w:rFonts w:ascii="Arial" w:hAnsi="Arial" w:cs="Arial"/>
        </w:rPr>
        <w:t>Projekt uplatňuje zásadu „znečisťovateľ platí“ ako podmienku výberu projektov.</w:t>
      </w:r>
    </w:p>
    <w:p>
      <w:pPr>
        <w:jc w:val="both"/>
        <w:rPr>
          <w:rFonts w:ascii="Arial" w:hAnsi="Arial" w:cs="Arial"/>
        </w:rPr>
      </w:pPr>
      <w:r>
        <w:rPr>
          <w:rFonts w:ascii="Arial" w:hAnsi="Arial" w:cs="Arial"/>
        </w:rPr>
        <w:t>Uvedené princípy sa uplatnia v závislosti od  typu a charakteru projektu.</w:t>
      </w:r>
    </w:p>
    <w:p>
      <w:pPr>
        <w:pStyle w:val="Nadpis6"/>
        <w:rPr>
          <w:rFonts w:ascii="Arial" w:hAnsi="Arial" w:cs="Arial"/>
        </w:rPr>
      </w:pPr>
      <w:bookmarkStart w:id="40" w:name="_Toc387153923"/>
      <w:r>
        <w:rPr>
          <w:rFonts w:ascii="Arial" w:hAnsi="Arial" w:cs="Arial"/>
        </w:rPr>
        <w:lastRenderedPageBreak/>
        <w:t>2.2.2.3. Plánované využitie finančných nástrojov</w:t>
      </w:r>
      <w:bookmarkEnd w:id="40"/>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41" w:name="_Toc387153924"/>
      <w:r>
        <w:rPr>
          <w:rFonts w:ascii="Arial" w:hAnsi="Arial" w:cs="Arial"/>
        </w:rPr>
        <w:t>2.2.2.4.Plánované využitie veľkých projektov</w:t>
      </w:r>
      <w:bookmarkEnd w:id="41"/>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42" w:name="_Toc387153925"/>
      <w:r>
        <w:rPr>
          <w:rFonts w:ascii="Arial" w:hAnsi="Arial" w:cs="Arial"/>
        </w:rPr>
        <w:t>2.2.2.5. Ukazovatele výstupov podľa investičnej priority a ak je to vhodné, podľa kategórie regiónu</w:t>
      </w:r>
      <w:bookmarkEnd w:id="42"/>
    </w:p>
    <w:p>
      <w:pPr>
        <w:spacing w:before="240"/>
        <w:rPr>
          <w:rFonts w:ascii="Arial" w:hAnsi="Arial" w:cs="Arial"/>
        </w:rPr>
      </w:pPr>
      <w:r>
        <w:rPr>
          <w:rStyle w:val="Siln"/>
          <w:rFonts w:ascii="Arial" w:hAnsi="Arial" w:cs="Arial"/>
        </w:rPr>
        <w:t>Tabuľka č. 23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Dieťa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4 929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Dieťa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5 575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jc w:val="cente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knižníc</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Knižnica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knižníc</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Knižnica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podporených jazykových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Jazyková 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podporených jazykových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Jazyková 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technických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technických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prírodných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prírodných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IKT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IKT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Kapacita podporených centier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Kapacita podporených centier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COVP</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COVP</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Inkubátor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Inkubátor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 xml:space="preserve">Počet účastníkov </w:t>
            </w:r>
            <w:r>
              <w:rPr>
                <w:rFonts w:ascii="Arial" w:hAnsi="Arial" w:cs="Arial"/>
                <w:sz w:val="16"/>
                <w:szCs w:val="16"/>
              </w:rPr>
              <w:lastRenderedPageBreak/>
              <w:t>celoživotného vzdelávania</w:t>
            </w:r>
            <w:r>
              <w:rPr>
                <w:rStyle w:val="Odkaznapoznmkupodiarou"/>
                <w:rFonts w:ascii="Arial" w:hAnsi="Arial" w:cs="Arial"/>
                <w:sz w:val="16"/>
                <w:szCs w:val="16"/>
              </w:rPr>
              <w:footnoteReference w:id="58"/>
            </w:r>
            <w:r>
              <w:rPr>
                <w:rFonts w:ascii="Arial" w:hAnsi="Arial" w:cs="Arial"/>
                <w:sz w:val="16"/>
                <w:szCs w:val="16"/>
              </w:rPr>
              <w:t xml:space="preserve"> v podporených subjektoch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lastRenderedPageBreak/>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lastRenderedPageBreak/>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účastníkov celoživotného vzdelávania</w:t>
            </w:r>
            <w:r>
              <w:rPr>
                <w:rStyle w:val="Odkaznapoznmkupodiarou"/>
                <w:rFonts w:ascii="Arial" w:hAnsi="Arial" w:cs="Arial"/>
                <w:sz w:val="16"/>
                <w:szCs w:val="16"/>
              </w:rPr>
              <w:footnoteReference w:id="59"/>
            </w:r>
            <w:r>
              <w:rPr>
                <w:rFonts w:ascii="Arial" w:hAnsi="Arial" w:cs="Arial"/>
                <w:sz w:val="16"/>
                <w:szCs w:val="16"/>
              </w:rPr>
              <w:t xml:space="preserve"> v podporených subjektoch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Bdr>
          <w:bottom w:val="single" w:sz="12" w:space="1" w:color="auto"/>
        </w:pBdr>
        <w:rPr>
          <w:rFonts w:ascii="Arial" w:hAnsi="Arial" w:cs="Arial"/>
          <w:sz w:val="20"/>
        </w:rPr>
      </w:pPr>
    </w:p>
    <w:p>
      <w:bookmarkStart w:id="43" w:name="_Toc383369296"/>
    </w:p>
    <w:p>
      <w:pPr>
        <w:pStyle w:val="Nadpis5"/>
        <w:shd w:val="clear" w:color="auto" w:fill="B8C1E9"/>
        <w:rPr>
          <w:rFonts w:ascii="Arial" w:hAnsi="Arial" w:cs="Arial"/>
        </w:rPr>
      </w:pPr>
      <w:bookmarkStart w:id="44" w:name="_Toc387153926"/>
      <w:r>
        <w:rPr>
          <w:rFonts w:ascii="Arial" w:hAnsi="Arial" w:cs="Arial"/>
        </w:rPr>
        <w:t>Výkonnostný rámec</w:t>
      </w:r>
      <w:bookmarkEnd w:id="43"/>
      <w:bookmarkEnd w:id="44"/>
    </w:p>
    <w:p>
      <w:pPr>
        <w:rPr>
          <w:rFonts w:ascii="Arial" w:hAnsi="Arial" w:cs="Arial"/>
        </w:rPr>
      </w:pPr>
    </w:p>
    <w:p>
      <w:pPr>
        <w:rPr>
          <w:rStyle w:val="Zvraznenie"/>
          <w:rFonts w:ascii="Arial" w:hAnsi="Arial" w:cs="Arial"/>
        </w:rPr>
      </w:pPr>
      <w:r>
        <w:rPr>
          <w:rStyle w:val="Siln"/>
          <w:rFonts w:ascii="Arial" w:hAnsi="Arial" w:cs="Arial"/>
        </w:rPr>
        <w:t>Tabuľka č. 24</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708"/>
        <w:gridCol w:w="426"/>
        <w:gridCol w:w="425"/>
        <w:gridCol w:w="629"/>
        <w:gridCol w:w="930"/>
        <w:gridCol w:w="992"/>
      </w:tblGrid>
      <w:tr>
        <w:trPr>
          <w:trHeight w:val="646"/>
        </w:trPr>
        <w:tc>
          <w:tcPr>
            <w:tcW w:w="6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80"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93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6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62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93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Prijímateľ sociálnych služieb</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1 200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3 200</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Prijímateľ sociálnych služieb</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40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180</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výkonu opatrení sociálnoprávnej ochrany detí a sociálnej kurately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Osoba v náhradnej starostlivosti</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675</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výkonu opatrení sociálnoprávnej ochrany detí a sociálnej kurately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Osoba v náhradnej starostlivosti</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135</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materských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Dieťa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3521</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4 929</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Kapacita </w:t>
            </w:r>
            <w:r>
              <w:rPr>
                <w:rFonts w:ascii="Arial" w:hAnsi="Arial" w:cs="Arial"/>
                <w:sz w:val="14"/>
                <w:szCs w:val="14"/>
              </w:rPr>
              <w:lastRenderedPageBreak/>
              <w:t>podporených materských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lastRenderedPageBreak/>
              <w:t>Dieťa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 xml:space="preserve">Viac </w:t>
            </w:r>
            <w:r>
              <w:rPr>
                <w:rFonts w:ascii="Arial" w:hAnsi="Arial" w:cs="Arial"/>
                <w:sz w:val="14"/>
                <w:szCs w:val="14"/>
              </w:rPr>
              <w:lastRenderedPageBreak/>
              <w:t>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lastRenderedPageBreak/>
              <w:t>3980</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5 575</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základných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základných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centier odborného vzdelávania a prípravy</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centier odborného vzdelávania a prípravy</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vytvorených centier integrovanej zdravotnej starostlivosti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Centrum integrovanej zdravotnej starostlivosti</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50</w:t>
            </w:r>
          </w:p>
        </w:tc>
        <w:tc>
          <w:tcPr>
            <w:tcW w:w="426" w:type="dxa"/>
            <w:tcBorders>
              <w:left w:val="single" w:sz="8" w:space="0" w:color="4E67C8"/>
              <w:right w:val="single" w:sz="8" w:space="0" w:color="4E67C8"/>
            </w:tcBorders>
            <w:shd w:val="clear" w:color="auto" w:fill="auto"/>
          </w:tcPr>
          <w:p>
            <w:pPr>
              <w:spacing w:after="0" w:line="240" w:lineRule="auto"/>
              <w:jc w:val="center"/>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jc w:val="center"/>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134</w:t>
            </w:r>
          </w:p>
        </w:tc>
        <w:tc>
          <w:tcPr>
            <w:tcW w:w="930" w:type="dxa"/>
            <w:tcBorders>
              <w:left w:val="single" w:sz="8" w:space="0" w:color="4E67C8"/>
              <w:right w:val="single" w:sz="8" w:space="0" w:color="4E67C8"/>
            </w:tcBorders>
            <w:shd w:val="clear" w:color="auto" w:fill="auto"/>
          </w:tcPr>
          <w:p>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Style w:val="Nadpis5"/>
        <w:shd w:val="clear" w:color="auto" w:fill="B8C1E9"/>
        <w:rPr>
          <w:rFonts w:ascii="Arial" w:hAnsi="Arial" w:cs="Arial"/>
        </w:rPr>
      </w:pPr>
      <w:bookmarkStart w:id="45" w:name="_Toc383369297"/>
      <w:bookmarkStart w:id="46" w:name="_Toc387153927"/>
      <w:r>
        <w:rPr>
          <w:rFonts w:ascii="Arial" w:hAnsi="Arial" w:cs="Arial"/>
        </w:rPr>
        <w:t>Kategórie intervencie</w:t>
      </w:r>
      <w:bookmarkEnd w:id="45"/>
      <w:bookmarkEnd w:id="46"/>
    </w:p>
    <w:p>
      <w:pPr>
        <w:spacing w:before="120"/>
        <w:rPr>
          <w:rStyle w:val="Zvraznenie"/>
          <w:rFonts w:ascii="Arial" w:hAnsi="Arial" w:cs="Arial"/>
        </w:rPr>
      </w:pPr>
      <w:r>
        <w:rPr>
          <w:rStyle w:val="Siln"/>
          <w:rFonts w:ascii="Arial" w:hAnsi="Arial" w:cs="Arial"/>
        </w:rPr>
        <w:t>Tabuľka č. 25</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97 000 000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48 000 000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97 000 000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278 000 000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206 000 000</w:t>
            </w:r>
          </w:p>
        </w:tc>
      </w:tr>
    </w:tbl>
    <w:p>
      <w:pPr>
        <w:rPr>
          <w:rStyle w:val="Zvraznenie"/>
          <w:rFonts w:ascii="Arial" w:hAnsi="Arial" w:cs="Arial"/>
        </w:rPr>
      </w:pPr>
    </w:p>
    <w:tbl>
      <w:tblPr>
        <w:tblStyle w:val="Svetlmriekazvraznenie111"/>
        <w:tblpPr w:leftFromText="141" w:rightFromText="141" w:vertAnchor="text" w:tblpY="1"/>
        <w:tblOverlap w:val="never"/>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726 000 000</w:t>
            </w:r>
          </w:p>
        </w:tc>
      </w:tr>
    </w:tbl>
    <w:p>
      <w:pPr>
        <w:rPr>
          <w:rStyle w:val="Zvraznenie"/>
          <w:rFonts w:ascii="Arial" w:hAnsi="Arial" w:cs="Arial"/>
        </w:rPr>
      </w:pPr>
      <w:r>
        <w:rPr>
          <w:rStyle w:val="Zvraznenie"/>
          <w:rFonts w:ascii="Arial" w:hAnsi="Arial" w:cs="Arial"/>
        </w:rPr>
        <w:br w:type="textWrapping" w:clear="all"/>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250 000 000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256 000 000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220 000 000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105 000 000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476 000 000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145 000 000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sz w:val="16"/>
                <w:szCs w:val="16"/>
              </w:rPr>
              <w:t xml:space="preserve"> </w:t>
            </w: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28 000 000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3 913 197</w:t>
            </w:r>
          </w:p>
        </w:tc>
      </w:tr>
    </w:tbl>
    <w:p>
      <w:pPr>
        <w:spacing w:before="120"/>
        <w:rPr>
          <w:rStyle w:val="Zvraznenie"/>
          <w:rFonts w:ascii="Arial" w:hAnsi="Arial" w:cs="Arial"/>
        </w:rPr>
      </w:pPr>
    </w:p>
    <w:p>
      <w:pPr>
        <w:pStyle w:val="Nadpis5"/>
        <w:shd w:val="clear" w:color="auto" w:fill="B8C1E9"/>
        <w:jc w:val="both"/>
        <w:rPr>
          <w:rFonts w:ascii="Arial" w:hAnsi="Arial" w:cs="Arial"/>
        </w:rPr>
      </w:pPr>
      <w:bookmarkStart w:id="47" w:name="_Toc387153928"/>
      <w:r>
        <w:rPr>
          <w:rFonts w:ascii="Arial" w:hAnsi="Arial" w:cs="Arial"/>
        </w:rPr>
        <w:t>Súhrn plánovaného využitia technickej pomoci vrátane, ak je to vhodné, akcií na posilnenie administratívnej spôsobilosti orgánov zapojených do riadenia a kontroly programu a príjemcov</w:t>
      </w:r>
      <w:bookmarkEnd w:id="47"/>
      <w:r>
        <w:rPr>
          <w:rFonts w:ascii="Arial" w:hAnsi="Arial" w:cs="Arial"/>
        </w:rPr>
        <w:t xml:space="preserve"> </w:t>
      </w:r>
    </w:p>
    <w:p>
      <w:pPr>
        <w:spacing w:after="0" w:line="240" w:lineRule="auto"/>
        <w:jc w:val="both"/>
        <w:rPr>
          <w:rFonts w:ascii="Arial" w:hAnsi="Arial" w:cs="Arial"/>
          <w:color w:val="000000"/>
          <w:lang w:eastAsia="sk-SK"/>
        </w:rPr>
      </w:pPr>
    </w:p>
    <w:p>
      <w:pPr>
        <w:spacing w:after="0" w:line="240" w:lineRule="auto"/>
        <w:jc w:val="both"/>
        <w:rPr>
          <w:rFonts w:ascii="Arial" w:hAnsi="Arial" w:cs="Arial"/>
          <w:color w:val="000000"/>
          <w:lang w:eastAsia="sk-SK"/>
        </w:rPr>
        <w:sectPr>
          <w:pgSz w:w="11906" w:h="16838"/>
          <w:pgMar w:top="1417" w:right="1417" w:bottom="1417" w:left="1417" w:header="708" w:footer="708" w:gutter="0"/>
          <w:cols w:space="708"/>
          <w:docGrid w:linePitch="360"/>
        </w:sectPr>
      </w:pPr>
      <w:r>
        <w:rPr>
          <w:rFonts w:ascii="Arial" w:hAnsi="Arial" w:cs="Arial"/>
          <w:color w:val="000000"/>
          <w:lang w:eastAsia="sk-SK"/>
        </w:rPr>
        <w:t>N/A</w:t>
      </w:r>
    </w:p>
    <w:p>
      <w:pPr>
        <w:pStyle w:val="Nadpis3"/>
        <w:shd w:val="clear" w:color="auto" w:fill="21306A"/>
        <w:rPr>
          <w:rFonts w:ascii="Arial" w:hAnsi="Arial" w:cs="Arial"/>
          <w:color w:val="FFFFFF"/>
          <w:sz w:val="28"/>
          <w:szCs w:val="28"/>
        </w:rPr>
      </w:pPr>
      <w:bookmarkStart w:id="48" w:name="_Toc387153929"/>
      <w:r>
        <w:rPr>
          <w:rFonts w:ascii="Arial" w:hAnsi="Arial" w:cs="Arial"/>
          <w:color w:val="FFFFFF"/>
          <w:sz w:val="28"/>
          <w:szCs w:val="28"/>
        </w:rPr>
        <w:lastRenderedPageBreak/>
        <w:t>2.3. Prioritná os č. 3: Mobilizácia kreatívneho potenciálu v regiónoch</w:t>
      </w:r>
      <w:bookmarkEnd w:id="48"/>
    </w:p>
    <w:p>
      <w:pPr>
        <w:tabs>
          <w:tab w:val="left" w:pos="1410"/>
        </w:tabs>
        <w:jc w:val="both"/>
        <w:rPr>
          <w:rFonts w:ascii="Arial" w:hAnsi="Arial" w:cs="Arial"/>
          <w:i/>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301 012 410</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40 000 000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
      <w:pPr>
        <w:pStyle w:val="Nadpis4"/>
        <w:shd w:val="clear" w:color="auto" w:fill="21306A"/>
        <w:jc w:val="both"/>
        <w:rPr>
          <w:rFonts w:ascii="Arial" w:hAnsi="Arial" w:cs="Arial"/>
          <w:color w:val="FFFFFF"/>
        </w:rPr>
      </w:pPr>
      <w:bookmarkStart w:id="49" w:name="_Toc387153930"/>
      <w:r>
        <w:rPr>
          <w:rFonts w:ascii="Arial" w:hAnsi="Arial" w:cs="Arial"/>
          <w:color w:val="FFFFF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49"/>
    </w:p>
    <w:p>
      <w:pPr>
        <w:spacing w:before="120"/>
        <w:jc w:val="both"/>
        <w:rPr>
          <w:rStyle w:val="Zvraznenie"/>
          <w:rFonts w:ascii="Arial" w:hAnsi="Arial" w:cs="Arial"/>
          <w:b/>
          <w:i w:val="0"/>
        </w:rPr>
      </w:pPr>
      <w:r>
        <w:rPr>
          <w:rStyle w:val="Zvraznenie"/>
          <w:rFonts w:ascii="Arial" w:hAnsi="Arial" w:cs="Arial"/>
          <w:b/>
          <w:i w:val="0"/>
        </w:rPr>
        <w:t>Špecifický cieľ č. 3.1:</w:t>
      </w:r>
    </w:p>
    <w:p>
      <w:pPr>
        <w:shd w:val="clear" w:color="auto" w:fill="D9D9D9"/>
        <w:jc w:val="both"/>
        <w:rPr>
          <w:rStyle w:val="Zvraznenie"/>
          <w:rFonts w:ascii="Arial" w:hAnsi="Arial" w:cs="Arial"/>
        </w:rPr>
      </w:pPr>
      <w:r>
        <w:rPr>
          <w:rStyle w:val="Zvraznenie"/>
          <w:rFonts w:ascii="Arial" w:hAnsi="Arial" w:cs="Arial"/>
        </w:rPr>
        <w:t xml:space="preserve">Stimulovanie podpory udržateľnej zamestnanosti a tvorby pracovných miest v kultúrnom a kreatívnom sektore prostredníctvom vytvorenia priaznivého prostredia pre rozvoj kreatívneho talentu a netechnologických inovácií </w:t>
      </w:r>
    </w:p>
    <w:p>
      <w:pPr>
        <w:jc w:val="both"/>
        <w:rPr>
          <w:rFonts w:ascii="Arial" w:hAnsi="Arial" w:cs="Arial"/>
        </w:rPr>
      </w:pPr>
      <w:r>
        <w:rPr>
          <w:rFonts w:ascii="Arial" w:hAnsi="Arial" w:cs="Arial"/>
        </w:rPr>
        <w:t xml:space="preserve">Výsledkom tohto špecifického cieľa bude </w:t>
      </w:r>
      <w:r>
        <w:rPr>
          <w:rFonts w:ascii="Arial" w:hAnsi="Arial" w:cs="Arial"/>
          <w:b/>
        </w:rPr>
        <w:t>vytvorenie priaznivého prostredia pre rozvoj kreatívneho talentu a netechnologických inovácií ako stimulovanie  podpory zamestnanosti a tvorby pracovných miest v kultúrnom a kreatívnom sektore</w:t>
      </w:r>
      <w:r>
        <w:rPr>
          <w:rStyle w:val="Odkaznapoznmkupodiarou"/>
          <w:rFonts w:ascii="Arial" w:hAnsi="Arial" w:cs="Arial"/>
          <w:b/>
        </w:rPr>
        <w:footnoteReference w:id="60"/>
      </w:r>
      <w:r>
        <w:rPr>
          <w:rFonts w:ascii="Arial" w:hAnsi="Arial" w:cs="Arial"/>
          <w:b/>
        </w:rPr>
        <w:t xml:space="preserve">. </w:t>
      </w:r>
      <w:r>
        <w:rPr>
          <w:rFonts w:ascii="Arial" w:hAnsi="Arial" w:cs="Arial"/>
        </w:rPr>
        <w:t xml:space="preserve">Takéto </w:t>
      </w:r>
      <w:r>
        <w:rPr>
          <w:rFonts w:ascii="Arial" w:hAnsi="Arial" w:cs="Arial"/>
        </w:rPr>
        <w:lastRenderedPageBreak/>
        <w:t>priaznivé prostredie bude založené na rozvojovom potenciáli kultúrneho a kreatívneho priemyslu regiónov SR</w:t>
      </w:r>
      <w:r>
        <w:rPr>
          <w:rStyle w:val="Odkaznapoznmkupodiarou"/>
          <w:rFonts w:ascii="Arial" w:hAnsi="Arial" w:cs="Arial"/>
        </w:rPr>
        <w:footnoteReference w:id="61"/>
      </w:r>
      <w:r>
        <w:rPr>
          <w:rFonts w:ascii="Arial" w:hAnsi="Arial" w:cs="Arial"/>
        </w:rPr>
        <w:t xml:space="preserve"> a z toho vyplývajúcich nevyhnutných opatrení ako súčasti integrovaných územných stratégií jednotlivých regiónov SR.</w:t>
      </w:r>
    </w:p>
    <w:p>
      <w:pPr>
        <w:jc w:val="both"/>
        <w:rPr>
          <w:rFonts w:ascii="Arial" w:hAnsi="Arial" w:cs="Arial"/>
        </w:rPr>
      </w:pPr>
      <w:r>
        <w:rPr>
          <w:rFonts w:ascii="Arial" w:hAnsi="Arial" w:cs="Arial"/>
        </w:rPr>
        <w:t xml:space="preserve">Dnešní a budúci absolventi kreatívnych študijných odborov ,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rozvíjať vlastné portfólio produktov a služieb spolu s  podnikateľskými zručnosťami,.</w:t>
      </w:r>
    </w:p>
    <w:p>
      <w:pPr>
        <w:jc w:val="both"/>
        <w:rPr>
          <w:rFonts w:ascii="Arial" w:hAnsi="Arial" w:cs="Arial"/>
        </w:rPr>
      </w:pPr>
      <w:r>
        <w:rPr>
          <w:rFonts w:ascii="Arial" w:hAnsi="Arial" w:cs="Arial"/>
        </w:rPr>
        <w:t>Reflektujúc tieto potreby navrhované opatrenia budú zahŕňať1</w:t>
      </w:r>
      <w:r>
        <w:rPr>
          <w:rFonts w:ascii="Arial" w:hAnsi="Arial" w:cs="Arial"/>
          <w:b/>
        </w:rPr>
        <w:t xml:space="preserve">)  </w:t>
      </w:r>
      <w:r>
        <w:rPr>
          <w:rFonts w:ascii="Arial" w:hAnsi="Arial" w:cs="Arial"/>
        </w:rPr>
        <w:t xml:space="preserve">Rozvoj kreatívneho talentu, jeho podnikateľského ducha a profesionalizácia jeho tvorby formou </w:t>
      </w:r>
      <w:r>
        <w:rPr>
          <w:rFonts w:ascii="Arial" w:hAnsi="Arial" w:cs="Arial"/>
          <w:b/>
        </w:rPr>
        <w:t>služieb kreatívneho inkubátora</w:t>
      </w:r>
      <w:r>
        <w:rPr>
          <w:rFonts w:ascii="Arial" w:hAnsi="Arial" w:cs="Arial"/>
        </w:rPr>
        <w:t xml:space="preserve">  ako podpora budúcim kreatívnym podnikateľom, umelcom, tretiemu sektoru, absolventom SŠ a VŠ s cieľom vstupu na trh. Odborné poradenstvo a podnikateľské zručnosti (vrátane špecifických pre určité odvetvia), budovanie kapacít pre  tvorbu inovatívnych konceptov s ekonomickou hodnotou), prenos poznatkov, odborné poradenstvo v rámci </w:t>
      </w:r>
      <w:r>
        <w:rPr>
          <w:rFonts w:ascii="Arial" w:hAnsi="Arial" w:cs="Arial"/>
          <w:b/>
        </w:rPr>
        <w:t>otvorených ateliérov</w:t>
      </w:r>
      <w:r>
        <w:rPr>
          <w:rFonts w:ascii="Arial" w:hAnsi="Arial" w:cs="Arial"/>
        </w:rPr>
        <w:t xml:space="preserve">  a workshopy zamerané na netechnologické inovácie, sieťovanie a vytváranie synergií medzi rôznymi kultúrnymi trendmi a organizáciami, tvorivými talentami a tiež kreatívnymi  MSP, podpora  organizačnej kultúry v prostredí kreatívnych centier a najmä efektívnu spoluprácu verejného a súkromného sektora, poskytovanie grantov resp. nenávratnej pomoci, kde sa uplatní schéma de minimis </w:t>
      </w:r>
      <w:r>
        <w:rPr>
          <w:rFonts w:ascii="Arial" w:hAnsi="Arial" w:cs="Arial"/>
          <w:b/>
        </w:rPr>
        <w:t xml:space="preserve">2) rozvoj dopytu - </w:t>
      </w:r>
      <w:r>
        <w:rPr>
          <w:rFonts w:ascii="Arial" w:hAnsi="Arial" w:cs="Arial"/>
        </w:rPr>
        <w:t xml:space="preserve">zvyšovanie povedomia o kultúrnych a kreatívnych produktoch a službách (eventy, propagácia, služby zákazníkom, konferencie,  prehliadky, veľtrhy, kampane) na úrovni osôb a subjektov podporeného kreatívneho centra 3) </w:t>
      </w:r>
      <w:r>
        <w:rPr>
          <w:rFonts w:ascii="Arial" w:hAnsi="Arial" w:cs="Arial"/>
          <w:b/>
        </w:rPr>
        <w:t>prístup k iniciačnému kapitálu</w:t>
      </w:r>
      <w:r>
        <w:rPr>
          <w:rFonts w:ascii="Arial" w:hAnsi="Arial" w:cs="Arial"/>
        </w:rPr>
        <w:t xml:space="preserve"> formou mikropôžičiek subjektom kultúrneho priemyslu</w:t>
      </w:r>
      <w:r>
        <w:rPr>
          <w:rStyle w:val="Odkaznapoznmkupodiarou"/>
          <w:rFonts w:ascii="Arial" w:hAnsi="Arial" w:cs="Arial"/>
        </w:rPr>
        <w:footnoteReference w:id="62"/>
      </w:r>
      <w:r>
        <w:rPr>
          <w:rFonts w:ascii="Arial" w:hAnsi="Arial" w:cs="Arial"/>
        </w:rPr>
        <w:t xml:space="preserve"> resp. návratnou formou pomoci, kde sa uplatní schéma de minimis. </w:t>
      </w:r>
    </w:p>
    <w:p>
      <w:pPr>
        <w:jc w:val="both"/>
        <w:rPr>
          <w:rFonts w:ascii="Arial" w:hAnsi="Arial" w:cs="Arial"/>
        </w:rPr>
      </w:pPr>
      <w:r>
        <w:rPr>
          <w:rFonts w:ascii="Arial" w:hAnsi="Arial" w:cs="Arial"/>
        </w:rPr>
        <w:t xml:space="preserve">Realizácia týchto opatrení si vyžaduje aj </w:t>
      </w:r>
      <w:r>
        <w:rPr>
          <w:rFonts w:ascii="Arial" w:hAnsi="Arial" w:cs="Arial"/>
          <w:b/>
        </w:rPr>
        <w:t>vybudovanie rozvojovej infraštruktúry</w:t>
      </w:r>
      <w:r>
        <w:rPr>
          <w:rFonts w:ascii="Arial" w:hAnsi="Arial" w:cs="Arial"/>
        </w:rPr>
        <w:t xml:space="preserve"> na podporu experimentovania, kreativity a profesionalizácie kreatívnych činností. Z tohto dôvodu sa bude na hore uvedené opatrenia viazať možnosť zakladania miest nového typu – </w:t>
      </w:r>
      <w:r>
        <w:rPr>
          <w:rFonts w:ascii="Arial" w:hAnsi="Arial" w:cs="Arial"/>
          <w:b/>
        </w:rPr>
        <w:t>kreatívne centrá</w:t>
      </w:r>
      <w:r>
        <w:rPr>
          <w:rFonts w:ascii="Arial" w:hAnsi="Arial" w:cs="Arial"/>
        </w:rPr>
        <w:t>, inkubátory, huby, co-workingy vrátane technologického vybavenia formou transformácie existujúcej kultúrnej infraštruktúry, či konverzie nevyužívaných, či nevhodne využívaných historických objektov. Táto infraštruktúra môže pokrývať vybudovanie priestorov – kreatívnych centier, či hubov- pre všetkých 6 funkcií, ktoré sa týkajú kreatívneho priemyslu podľa EssnetCulture Report</w:t>
      </w:r>
      <w:r>
        <w:rPr>
          <w:rStyle w:val="Odkaznapoznmkupodiarou"/>
          <w:rFonts w:ascii="Arial" w:hAnsi="Arial" w:cs="Arial"/>
        </w:rPr>
        <w:footnoteReference w:id="63"/>
      </w:r>
      <w:r>
        <w:rPr>
          <w:rFonts w:ascii="Arial" w:hAnsi="Arial" w:cs="Arial"/>
        </w:rPr>
        <w:t xml:space="preserve">: kreatívna tvorba, produkcia, diseminácia /distribúcia, preservácia, vzdelávanie a management. Z pohľadu udržateľnosti je dôležité umožniť v týchto centrách krátkodobý a dlhodobý prenájom jednotlivých priestorov a ich technologického vybavenia rôznym subjektom KKS. </w:t>
      </w:r>
    </w:p>
    <w:p>
      <w:pPr>
        <w:jc w:val="both"/>
        <w:rPr>
          <w:rFonts w:ascii="Arial" w:hAnsi="Arial" w:cs="Arial"/>
        </w:rPr>
      </w:pPr>
      <w:r>
        <w:rPr>
          <w:rFonts w:ascii="Arial" w:hAnsi="Arial" w:cs="Arial"/>
        </w:rPr>
        <w:lastRenderedPageBreak/>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Pr>
          <w:rStyle w:val="Odkaznapoznmkupodiarou"/>
          <w:rFonts w:ascii="Arial" w:hAnsi="Arial" w:cs="Arial"/>
        </w:rPr>
        <w:footnoteReference w:id="64"/>
      </w:r>
      <w:r>
        <w:rPr>
          <w:rFonts w:ascii="Arial" w:hAnsi="Arial" w:cs="Arial"/>
        </w:rPr>
        <w:t xml:space="preserve">, či neziskovým organizáciám  v oblasti KKS, organizáciám verejného a akademického sektora s najväčším kultúrnym a kreatívnym potenciálom v danom regióne. Opatrenia im umožnia získať </w:t>
      </w:r>
      <w:r>
        <w:rPr>
          <w:rFonts w:ascii="Arial" w:hAnsi="Arial" w:cs="Arial"/>
          <w:b/>
        </w:rPr>
        <w:t>zvýhodnené pracovné priestory vrátane technologickej bázy, nové zručnosti a know-how, nové kontakty, podnikateľskú podporu</w:t>
      </w:r>
      <w:r>
        <w:rPr>
          <w:rFonts w:ascii="Arial" w:hAnsi="Arial" w:cs="Arial"/>
        </w:rPr>
        <w:t xml:space="preserve"> </w:t>
      </w:r>
      <w:r>
        <w:rPr>
          <w:rFonts w:ascii="Arial" w:hAnsi="Arial" w:cs="Arial"/>
          <w:b/>
        </w:rPr>
        <w:t>a prístup k iniciačnému kapitálu</w:t>
      </w:r>
      <w:r>
        <w:rPr>
          <w:rFonts w:ascii="Arial" w:hAnsi="Arial" w:cs="Arial"/>
        </w:rPr>
        <w:t xml:space="preserve">. Takáto podpora, ktorá pripraví začínajúce talenty, či už na trh práce, alebo založenie vlastného podniku je v synergii s komunitárnym programom Creative Europe, ktorý je určený subjektom s minimálne 2 ročnou históriou a stavia na existencii základných podmienok pre fungovanie subjektov KKS a zameriava sa na podporu najmä samotnej kreatívnej produkcie a spoluprácu na európskej úrovni. Subjekty vzniknuté a podporené v rozvojom programe IROP sa budú ďalej môcť uchádzať o podporu v Creative Europe. Zároveň je tento program v synergii s OP V a I, ktorý sa zameriava na podporu start upov, podnikov kreatívneho priemyslu vo vyšších vývojových štádiách, na budovanie trhu,  internacionalizáciu a budovanie klastrov. Začínajúce podniky sa tu môžu neskôr uchádzať o podporu s cieľom budovať nové biznis modely a rozširovať svoju pôsobnosť na medzinárodné trhy.  </w:t>
      </w:r>
    </w:p>
    <w:p>
      <w:pPr>
        <w:jc w:val="both"/>
        <w:rPr>
          <w:rFonts w:ascii="Times New Roman" w:hAnsi="Times New Roman"/>
          <w:sz w:val="24"/>
          <w:szCs w:val="24"/>
          <w:lang w:eastAsia="sk-SK"/>
        </w:rPr>
      </w:pPr>
      <w:r>
        <w:rPr>
          <w:rFonts w:ascii="Arial" w:hAnsi="Arial" w:cs="Arial"/>
        </w:rPr>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efektívne spolupracovať, vytvárať nové koncepty produktov a služieb. Celkovo sa umožní </w:t>
      </w:r>
      <w:r>
        <w:rPr>
          <w:rFonts w:ascii="Arial" w:hAnsi="Arial" w:cs="Arial"/>
          <w:b/>
        </w:rPr>
        <w:t>profesionalizácia pracovného prostredia fyzických osôb a subjektov v KKS.</w:t>
      </w:r>
      <w:r>
        <w:rPr>
          <w:rFonts w:ascii="Times New Roman" w:hAnsi="Times New Roman"/>
          <w:sz w:val="24"/>
          <w:szCs w:val="24"/>
          <w:lang w:eastAsia="sk-SK"/>
        </w:rPr>
        <w:t xml:space="preserve"> </w:t>
      </w:r>
    </w:p>
    <w:p>
      <w:pPr>
        <w:rPr>
          <w:rStyle w:val="Zvraznenie"/>
          <w:rFonts w:ascii="Arial" w:hAnsi="Arial" w:cs="Arial"/>
        </w:rPr>
      </w:pPr>
      <w:r>
        <w:rPr>
          <w:rStyle w:val="Siln"/>
          <w:rFonts w:ascii="Arial" w:hAnsi="Arial" w:cs="Arial"/>
        </w:rPr>
        <w:t>Tabuľka č. 26</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red"/>
              </w:rPr>
            </w:pPr>
            <w:r>
              <w:rPr>
                <w:rFonts w:ascii="Arial" w:hAnsi="Arial" w:cs="Arial"/>
                <w:sz w:val="16"/>
                <w:szCs w:val="16"/>
              </w:rPr>
              <w:t>Počet pracovných miest</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140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420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pracovných miest</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5"/>
        <w:shd w:val="clear" w:color="auto" w:fill="B8C1E9"/>
        <w:rPr>
          <w:rFonts w:ascii="Arial" w:hAnsi="Arial" w:cs="Arial"/>
          <w:color w:val="auto"/>
        </w:rPr>
      </w:pPr>
      <w:bookmarkStart w:id="50" w:name="_Toc387153931"/>
      <w:r>
        <w:rPr>
          <w:rFonts w:ascii="Arial" w:hAnsi="Arial" w:cs="Arial"/>
          <w:color w:val="auto"/>
        </w:rPr>
        <w:t>Akcia, ktorá sa má podporiť  v rámci investičnej priority</w:t>
      </w:r>
      <w:bookmarkEnd w:id="50"/>
    </w:p>
    <w:p>
      <w:pPr>
        <w:pStyle w:val="Nadpis6"/>
        <w:rPr>
          <w:rFonts w:ascii="Arial" w:hAnsi="Arial" w:cs="Arial"/>
          <w:color w:val="auto"/>
        </w:rPr>
      </w:pPr>
      <w:bookmarkStart w:id="51" w:name="_Toc387153932"/>
      <w:r>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51"/>
    </w:p>
    <w:p>
      <w:pPr>
        <w:spacing w:before="120"/>
        <w:jc w:val="both"/>
        <w:rPr>
          <w:rFonts w:ascii="Arial" w:hAnsi="Arial" w:cs="Arial"/>
        </w:rPr>
      </w:pPr>
      <w:r>
        <w:rPr>
          <w:rFonts w:ascii="Arial" w:hAnsi="Arial" w:cs="Arial"/>
          <w:b/>
        </w:rPr>
        <w:t xml:space="preserve">Špecifický cieľ č. 3.1 </w:t>
      </w:r>
      <w:r>
        <w:rPr>
          <w:rFonts w:ascii="Arial" w:hAnsi="Arial" w:cs="Arial"/>
        </w:rPr>
        <w:t>je dosahovaný realizáciou nasledovných aktivít:</w:t>
      </w:r>
    </w:p>
    <w:p>
      <w:pPr>
        <w:jc w:val="both"/>
      </w:pPr>
      <w:r>
        <w:rPr>
          <w:rFonts w:ascii="Arial" w:hAnsi="Arial" w:cs="Arial"/>
          <w:u w:val="single"/>
        </w:rPr>
        <w:t xml:space="preserve">1) Rozvoj kreatívneho talentu, jeho podnikateľského ducha a profesionalizácia jeho tvorby </w:t>
      </w:r>
    </w:p>
    <w:p>
      <w:pPr>
        <w:pStyle w:val="Odsekzoznamu"/>
        <w:numPr>
          <w:ilvl w:val="0"/>
          <w:numId w:val="61"/>
        </w:numPr>
        <w:ind w:left="567" w:hanging="338"/>
        <w:jc w:val="both"/>
        <w:rPr>
          <w:rFonts w:ascii="Arial" w:hAnsi="Arial" w:cs="Arial"/>
        </w:rPr>
      </w:pPr>
      <w:r>
        <w:rPr>
          <w:rFonts w:ascii="Arial" w:hAnsi="Arial" w:cs="Arial"/>
          <w:b/>
        </w:rPr>
        <w:t>Podpora tvorby  inovatívnych kreatívnych konceptov s ekonomickou hodnotou</w:t>
      </w:r>
      <w:r>
        <w:rPr>
          <w:rFonts w:ascii="Arial" w:hAnsi="Arial" w:cs="Arial"/>
        </w:rPr>
        <w:t xml:space="preserve"> s využitím IKT technológií</w:t>
      </w:r>
      <w:r>
        <w:rPr>
          <w:rFonts w:ascii="Arial" w:hAnsi="Arial" w:cs="Arial"/>
          <w:b/>
        </w:rPr>
        <w:t xml:space="preserve"> </w:t>
      </w:r>
      <w:r>
        <w:rPr>
          <w:rFonts w:ascii="Arial" w:hAnsi="Arial" w:cs="Arial"/>
        </w:rPr>
        <w:t>bude zabezpečená</w:t>
      </w:r>
      <w:r>
        <w:rPr>
          <w:rFonts w:ascii="Arial" w:hAnsi="Arial" w:cs="Arial"/>
          <w:b/>
        </w:rPr>
        <w:t xml:space="preserve"> </w:t>
      </w:r>
      <w:r>
        <w:rPr>
          <w:rFonts w:ascii="Arial" w:hAnsi="Arial" w:cs="Arial"/>
        </w:rPr>
        <w:t>prostredníctvom</w:t>
      </w:r>
      <w:r>
        <w:rPr>
          <w:rFonts w:ascii="Arial" w:hAnsi="Arial" w:cs="Arial"/>
          <w:b/>
        </w:rPr>
        <w:t xml:space="preserve"> zakladania </w:t>
      </w:r>
      <w:r>
        <w:rPr>
          <w:rFonts w:ascii="Arial" w:hAnsi="Arial" w:cs="Arial"/>
          <w:b/>
        </w:rPr>
        <w:lastRenderedPageBreak/>
        <w:t xml:space="preserve">kreatívnych centier. </w:t>
      </w:r>
      <w:r>
        <w:rPr>
          <w:rFonts w:ascii="Arial" w:hAnsi="Arial" w:cs="Arial"/>
        </w:rPr>
        <w:t>Centrum bude podporovať spoluprácu naprieč sektormi, budovanie kapacít formou špecifických workshopov na nové zručnosti a znalosti (odborné, digitálne, podnikateľské), výmenu skúseností a prenos poznatkov vrátane medzinárodnej spolupráce,   organizačnú kultúru a manažment, zvyšovanie atraktivity  regiónov pre príchod medzinárodného kreatívneho talentu. Súčasťou kreatívneho centra bude</w:t>
      </w:r>
      <w:r>
        <w:rPr>
          <w:rFonts w:ascii="Arial" w:hAnsi="Arial" w:cs="Arial"/>
          <w:b/>
        </w:rPr>
        <w:t xml:space="preserve"> otvorený ateliér</w:t>
      </w:r>
      <w:r>
        <w:rPr>
          <w:rFonts w:ascii="Arial" w:hAnsi="Arial" w:cs="Arial"/>
        </w:rPr>
        <w:t>, čo je odborné poradensko-konzultačné a dokumentačno-informačné stredisko zamerané na inovácie a využívanie IKT technológií z umeleckého a kultúrno-kreatívneho hľadiska.</w:t>
      </w:r>
    </w:p>
    <w:p>
      <w:pPr>
        <w:pStyle w:val="Odsekzoznamu"/>
        <w:numPr>
          <w:ilvl w:val="0"/>
          <w:numId w:val="61"/>
        </w:numPr>
        <w:ind w:left="567"/>
        <w:jc w:val="both"/>
        <w:rPr>
          <w:rFonts w:ascii="Arial" w:hAnsi="Arial" w:cs="Arial"/>
        </w:rPr>
      </w:pPr>
      <w:r>
        <w:rPr>
          <w:rFonts w:ascii="Arial" w:hAnsi="Arial" w:cs="Arial"/>
        </w:rPr>
        <w:t xml:space="preserve">Ďalšou súčasťou je </w:t>
      </w:r>
      <w:r>
        <w:rPr>
          <w:rFonts w:ascii="Arial" w:hAnsi="Arial" w:cs="Arial"/>
          <w:b/>
        </w:rPr>
        <w:t xml:space="preserve">umelecký inkubátor, </w:t>
      </w:r>
      <w:r>
        <w:rPr>
          <w:rFonts w:ascii="Arial" w:hAnsi="Arial" w:cs="Arial"/>
        </w:rPr>
        <w:t>ktorý zabezpečuje</w:t>
      </w:r>
      <w:r>
        <w:rPr>
          <w:rFonts w:ascii="Arial" w:hAnsi="Arial" w:cs="Arial"/>
          <w:b/>
        </w:rPr>
        <w:t xml:space="preserve"> </w:t>
      </w:r>
      <w:r>
        <w:rPr>
          <w:rFonts w:ascii="Arial" w:hAnsi="Arial" w:cs="Arial"/>
        </w:rPr>
        <w:t xml:space="preserve">manažment inkubačných aktivít, špecifické podnikateľské poradenstvo, pilotné projekty. Takáto platforma umožňuje realizáciu biznis a umeleckých nápadov Jedná sa o dlhodobú podporu budúcim kreatívnym podnikateľom, umelcom, tretiemu sektoru, absolventom KKS s cieľom vstupu na trh.. Pre nich bude umelecký inkubátor </w:t>
      </w:r>
      <w:r>
        <w:rPr>
          <w:rFonts w:ascii="Arial" w:hAnsi="Arial" w:cs="Arial"/>
          <w:b/>
        </w:rPr>
        <w:t>poskytovať priestor, technologické vybavenie a manažment vrátane odborného a podnikateľského poradenstva</w:t>
      </w:r>
      <w:r>
        <w:rPr>
          <w:rFonts w:ascii="Arial" w:hAnsi="Arial" w:cs="Arial"/>
        </w:rPr>
        <w:t xml:space="preserve"> </w:t>
      </w:r>
      <w:r>
        <w:rPr>
          <w:rFonts w:ascii="Arial" w:hAnsi="Arial" w:cs="Arial"/>
          <w:b/>
        </w:rPr>
        <w:t>a poskytovanie inštitucionálnych grantov</w:t>
      </w:r>
      <w:r>
        <w:rPr>
          <w:rFonts w:ascii="Arial" w:hAnsi="Arial" w:cs="Arial"/>
        </w:rPr>
        <w:t xml:space="preserve"> v rámci pilotných mikroprojektov</w:t>
      </w:r>
      <w:r>
        <w:rPr>
          <w:rFonts w:ascii="Arial" w:hAnsi="Arial" w:cs="Arial"/>
          <w:b/>
        </w:rPr>
        <w:t xml:space="preserve">. </w:t>
      </w:r>
      <w:r>
        <w:rPr>
          <w:rFonts w:ascii="Arial" w:hAnsi="Arial" w:cs="Arial"/>
        </w:rPr>
        <w:t xml:space="preserve">Špecificky sa bude inkubátor zameriavať na počiatočnú fázu budúceho podniku, bude podporovať inovatívne myšlienky od počiatku až po fázu „dospievania“ a opustenia inkubátora. Umelecký inkubátor bude inštitúciou, ktorá bude vytvárať organizačnú a podnikateľskú kultúru, podporovať rozvoj konceptov nielen z umeleckého hľadiska ale aj z hľadiska biznisu. </w:t>
      </w:r>
      <w:r>
        <w:rPr>
          <w:rFonts w:ascii="Arial" w:hAnsi="Arial" w:cs="Arial"/>
          <w:b/>
        </w:rPr>
        <w:t xml:space="preserve"> Budúci podnikatelia sa tu budú učiť princípom rozpočtovania projektov, prípravy biznis plánov, profesionálny prístup v podnikaní, marketingu, ale aj veľmi špecifickým podnikateľským princípom v určitých kreatívnych odvetviach apod. </w:t>
      </w:r>
      <w:r>
        <w:rPr>
          <w:rFonts w:ascii="Arial" w:hAnsi="Arial" w:cs="Arial"/>
        </w:rPr>
        <w:t xml:space="preserve">Umelecký inkubátor bude slúžiť ako integratívne prostredie pre ľudí z oblasti kultúry, umenia a biznisu. </w:t>
      </w:r>
    </w:p>
    <w:p>
      <w:pPr>
        <w:pStyle w:val="Odsekzoznamu"/>
        <w:numPr>
          <w:ilvl w:val="0"/>
          <w:numId w:val="61"/>
        </w:numPr>
        <w:ind w:left="567"/>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ktorá bude zahŕňať priestory ako experimentálna umelecká a kreatívna zóna, konzultačné priestory, co-working kancelárie a umelecké a produkčné štúdiá, dielne, ateliéry s technologickým vybavením (IKT, zriadenie dielní ako fablab– (2D, 3D roboti), laser-cut-scénické vybavenie ,  diy vybavenie, digitallab – multimediálne, vybavenie, soundlab – zvukové vybavenie, foodlab, vybavenie pre prácu s textilom a pod), seminárne a konferenčné priestory</w:t>
      </w:r>
      <w:r>
        <w:rPr>
          <w:rFonts w:ascii="Arial" w:hAnsi="Arial" w:cs="Arial"/>
          <w:b/>
        </w:rPr>
        <w:t xml:space="preserve">. </w:t>
      </w:r>
      <w:r>
        <w:rPr>
          <w:rFonts w:ascii="Arial" w:hAnsi="Arial" w:cs="Arial"/>
        </w:rPr>
        <w:t>Táto infraštruktúra bude k dispozícii jednak</w:t>
      </w:r>
      <w:r>
        <w:rPr>
          <w:rFonts w:ascii="Arial" w:hAnsi="Arial" w:cs="Arial"/>
          <w:b/>
        </w:rPr>
        <w:t xml:space="preserve"> </w:t>
      </w:r>
      <w:r>
        <w:rPr>
          <w:rFonts w:ascii="Arial" w:hAnsi="Arial" w:cs="Arial"/>
        </w:rPr>
        <w:t xml:space="preserve">účastníkom inkubačných aktivít počas doby „inkubovania“, ďalej „jednorázovým“ užívateľom ale aj etablovaným subjektom KKS s cieľom poskytnutia priestoru pre dlhodobé užívanie . </w:t>
      </w:r>
    </w:p>
    <w:p>
      <w:pPr>
        <w:jc w:val="both"/>
        <w:rPr>
          <w:rFonts w:ascii="Arial" w:hAnsi="Arial" w:cs="Arial"/>
          <w:u w:val="single"/>
        </w:rPr>
      </w:pPr>
      <w:r>
        <w:rPr>
          <w:rFonts w:ascii="Arial" w:hAnsi="Arial" w:cs="Arial"/>
          <w:u w:val="single"/>
        </w:rPr>
        <w:t>2) Podpora dopytu po kreatívnej tvorbe tzv. nových talentov (emerging talents) v podporených kreatívnych centrách</w:t>
      </w:r>
    </w:p>
    <w:p>
      <w:pPr>
        <w:pStyle w:val="Odsekzoznamu"/>
        <w:numPr>
          <w:ilvl w:val="0"/>
          <w:numId w:val="61"/>
        </w:numPr>
        <w:ind w:left="567"/>
        <w:jc w:val="both"/>
        <w:rPr>
          <w:rFonts w:ascii="Arial" w:hAnsi="Arial" w:cs="Arial"/>
        </w:rPr>
      </w:pPr>
      <w:r>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Pr>
          <w:rFonts w:ascii="Arial" w:hAnsi="Arial" w:cs="Arial"/>
          <w:b/>
        </w:rPr>
        <w:t>špecifický druh propagačných aktivít</w:t>
      </w:r>
      <w:r>
        <w:rPr>
          <w:rFonts w:ascii="Arial" w:hAnsi="Arial" w:cs="Arial"/>
        </w:rPr>
        <w:t xml:space="preserve"> od výstavno-prezentačnej činnosti nekomerčného charakteru, osvetovú činnosť, služby zákazníkom,   zvyšovanie povedomia o kultúrnom a kreatívnom priemysle (konferencie, workshopy),  cielená podpora výkonu koordinovanej a kontinuálnej</w:t>
      </w:r>
      <w:r>
        <w:rPr>
          <w:rFonts w:ascii="Arial" w:hAnsi="Arial" w:cs="Arial"/>
          <w:b/>
        </w:rPr>
        <w:t xml:space="preserve"> </w:t>
      </w:r>
      <w:r>
        <w:rPr>
          <w:rFonts w:ascii="Arial" w:hAnsi="Arial" w:cs="Arial"/>
        </w:rPr>
        <w:t xml:space="preserve">promotion výsledkov činností kks so zameraním na slovenský trh aj na medzinárodný kontext v synergii a komplementarite s OP V&amp;I. Súčasťou bude aj vybudovanie výstavných, prezentačných a distribučných priestorov. </w:t>
      </w:r>
    </w:p>
    <w:p>
      <w:pPr>
        <w:ind w:left="207"/>
        <w:jc w:val="both"/>
        <w:rPr>
          <w:rFonts w:ascii="Arial" w:hAnsi="Arial" w:cs="Arial"/>
        </w:rPr>
      </w:pPr>
    </w:p>
    <w:p>
      <w:pPr>
        <w:jc w:val="both"/>
        <w:rPr>
          <w:rFonts w:ascii="Arial" w:hAnsi="Arial" w:cs="Arial"/>
          <w:u w:val="single"/>
        </w:rPr>
      </w:pPr>
      <w:r>
        <w:rPr>
          <w:rFonts w:ascii="Arial" w:hAnsi="Arial" w:cs="Arial"/>
          <w:u w:val="single"/>
        </w:rPr>
        <w:t>3) Finančné nástroje</w:t>
      </w:r>
    </w:p>
    <w:p>
      <w:pPr>
        <w:pStyle w:val="Odsekzoznamu"/>
        <w:numPr>
          <w:ilvl w:val="0"/>
          <w:numId w:val="61"/>
        </w:numPr>
        <w:ind w:left="567" w:hanging="425"/>
        <w:jc w:val="both"/>
        <w:rPr>
          <w:rFonts w:ascii="Arial" w:hAnsi="Arial" w:cs="Arial"/>
        </w:rPr>
      </w:pPr>
      <w:r>
        <w:rPr>
          <w:rFonts w:ascii="Arial" w:hAnsi="Arial" w:cs="Arial"/>
        </w:rPr>
        <w:t xml:space="preserve">Poskytovanie </w:t>
      </w:r>
      <w:r>
        <w:rPr>
          <w:rFonts w:ascii="Arial" w:hAnsi="Arial" w:cs="Arial"/>
          <w:b/>
        </w:rPr>
        <w:t>mikropôžičiek</w:t>
      </w:r>
      <w:r>
        <w:rPr>
          <w:rFonts w:ascii="Arial" w:hAnsi="Arial" w:cs="Arial"/>
        </w:rPr>
        <w:t xml:space="preserve"> na rozvoj existujúcich MSP v kultúrnom priemysle</w:t>
      </w:r>
      <w:r>
        <w:rPr>
          <w:rStyle w:val="Odkaznapoznmkupodiarou"/>
          <w:rFonts w:ascii="Arial" w:hAnsi="Arial" w:cs="Arial"/>
        </w:rPr>
        <w:footnoteReference w:id="65"/>
      </w:r>
      <w:r>
        <w:rPr>
          <w:rFonts w:ascii="Arial" w:hAnsi="Arial" w:cs="Arial"/>
        </w:rPr>
        <w:t>, uplatní sa schéma pomoci de minimis.</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Štátna a verejná správa, samospráva</w:t>
      </w:r>
    </w:p>
    <w:p>
      <w:pPr>
        <w:pStyle w:val="Odsekzoznamu"/>
        <w:numPr>
          <w:ilvl w:val="0"/>
          <w:numId w:val="2"/>
        </w:numPr>
        <w:jc w:val="both"/>
        <w:rPr>
          <w:rFonts w:ascii="Arial" w:hAnsi="Arial" w:cs="Arial"/>
        </w:rPr>
      </w:pPr>
      <w:r>
        <w:rPr>
          <w:rFonts w:ascii="Arial" w:hAnsi="Arial" w:cs="Arial"/>
        </w:rPr>
        <w:t>Neziskové organizácie.</w:t>
      </w:r>
    </w:p>
    <w:p>
      <w:pPr>
        <w:jc w:val="both"/>
        <w:rPr>
          <w:rFonts w:ascii="Arial" w:hAnsi="Arial" w:cs="Arial"/>
        </w:rPr>
      </w:pPr>
      <w:r>
        <w:rPr>
          <w:rFonts w:ascii="Arial" w:hAnsi="Arial" w:cs="Arial"/>
        </w:rPr>
        <w:t>Cieľové skupiny:</w:t>
      </w:r>
    </w:p>
    <w:p>
      <w:pPr>
        <w:pStyle w:val="Odsekzoznamu"/>
        <w:numPr>
          <w:ilvl w:val="0"/>
          <w:numId w:val="69"/>
        </w:numPr>
        <w:tabs>
          <w:tab w:val="clear" w:pos="360"/>
          <w:tab w:val="num" w:pos="720"/>
        </w:tabs>
        <w:ind w:left="720"/>
        <w:jc w:val="both"/>
        <w:rPr>
          <w:rFonts w:ascii="Arial" w:hAnsi="Arial" w:cs="Arial"/>
        </w:rPr>
      </w:pPr>
      <w:r>
        <w:rPr>
          <w:rFonts w:ascii="Arial" w:hAnsi="Arial" w:cs="Arial"/>
        </w:rPr>
        <w:t>Fyzické osoby nepodnikatelia</w:t>
      </w:r>
    </w:p>
    <w:p>
      <w:pPr>
        <w:pStyle w:val="Odsekzoznamu"/>
        <w:numPr>
          <w:ilvl w:val="0"/>
          <w:numId w:val="69"/>
        </w:numPr>
        <w:tabs>
          <w:tab w:val="clear" w:pos="360"/>
          <w:tab w:val="num" w:pos="720"/>
        </w:tabs>
        <w:ind w:left="720"/>
        <w:jc w:val="both"/>
        <w:rPr>
          <w:rFonts w:ascii="Arial" w:hAnsi="Arial" w:cs="Arial"/>
        </w:rPr>
      </w:pPr>
      <w:r>
        <w:rPr>
          <w:rFonts w:ascii="Arial" w:hAnsi="Arial" w:cs="Arial"/>
        </w:rPr>
        <w:t>Fyzické osoby podnikatelia podľa osobitných právnych predpisov</w:t>
      </w:r>
      <w:r>
        <w:rPr>
          <w:rFonts w:ascii="Helvetica" w:hAnsi="Helvetica"/>
          <w:color w:val="767E91"/>
        </w:rPr>
        <w:t xml:space="preserve"> - </w:t>
      </w:r>
      <w:r>
        <w:rPr>
          <w:rFonts w:ascii="Arial" w:hAnsi="Arial" w:cs="Arial"/>
        </w:rPr>
        <w:t xml:space="preserve">Slobodné povolania </w:t>
      </w:r>
    </w:p>
    <w:p>
      <w:pPr>
        <w:pStyle w:val="Odsekzoznamu"/>
        <w:numPr>
          <w:ilvl w:val="0"/>
          <w:numId w:val="69"/>
        </w:numPr>
        <w:tabs>
          <w:tab w:val="clear" w:pos="360"/>
          <w:tab w:val="num" w:pos="720"/>
        </w:tabs>
        <w:ind w:left="720"/>
        <w:jc w:val="both"/>
        <w:rPr>
          <w:rFonts w:ascii="Arial" w:hAnsi="Arial" w:cs="Arial"/>
        </w:rPr>
      </w:pPr>
      <w:r>
        <w:rPr>
          <w:rFonts w:ascii="Arial" w:hAnsi="Arial" w:cs="Arial"/>
        </w:rPr>
        <w:t>MSP v kultúrnom priemysle</w:t>
      </w:r>
      <w:r>
        <w:rPr>
          <w:rStyle w:val="Odkaznapoznmkupodiarou"/>
          <w:rFonts w:ascii="Arial" w:hAnsi="Arial" w:cs="Arial"/>
        </w:rPr>
        <w:footnoteReference w:id="66"/>
      </w:r>
      <w:r>
        <w:rPr>
          <w:rFonts w:ascii="Arial" w:hAnsi="Arial" w:cs="Arial"/>
        </w:rPr>
        <w:t xml:space="preserve"> </w:t>
      </w:r>
    </w:p>
    <w:p>
      <w:pPr>
        <w:pStyle w:val="Odsekzoznamu"/>
        <w:numPr>
          <w:ilvl w:val="0"/>
          <w:numId w:val="69"/>
        </w:numPr>
        <w:tabs>
          <w:tab w:val="clear" w:pos="360"/>
          <w:tab w:val="num" w:pos="720"/>
        </w:tabs>
        <w:ind w:left="720"/>
        <w:jc w:val="both"/>
        <w:rPr>
          <w:rFonts w:ascii="Arial" w:hAnsi="Arial" w:cs="Arial"/>
        </w:rPr>
      </w:pPr>
      <w:r>
        <w:rPr>
          <w:rFonts w:ascii="Arial" w:hAnsi="Arial" w:cs="Arial"/>
        </w:rPr>
        <w:t>Študenti a absolventi SUŠ, VŠ</w:t>
      </w:r>
    </w:p>
    <w:p>
      <w:pPr>
        <w:pStyle w:val="Odsekzoznamu"/>
        <w:numPr>
          <w:ilvl w:val="0"/>
          <w:numId w:val="69"/>
        </w:numPr>
        <w:tabs>
          <w:tab w:val="clear" w:pos="360"/>
          <w:tab w:val="num" w:pos="720"/>
        </w:tabs>
        <w:ind w:left="720"/>
        <w:jc w:val="both"/>
        <w:rPr>
          <w:rFonts w:ascii="Arial" w:hAnsi="Arial" w:cs="Arial"/>
        </w:rPr>
      </w:pPr>
      <w:r>
        <w:rPr>
          <w:rFonts w:ascii="Arial" w:hAnsi="Arial" w:cs="Arial"/>
        </w:rPr>
        <w:t>Neziskové organizácie</w:t>
      </w:r>
    </w:p>
    <w:p>
      <w:pPr>
        <w:pStyle w:val="Odsekzoznamu"/>
        <w:numPr>
          <w:ilvl w:val="0"/>
          <w:numId w:val="69"/>
        </w:numPr>
        <w:tabs>
          <w:tab w:val="clear" w:pos="360"/>
          <w:tab w:val="num" w:pos="720"/>
        </w:tabs>
        <w:ind w:left="720"/>
        <w:jc w:val="both"/>
        <w:rPr>
          <w:rFonts w:ascii="Arial" w:hAnsi="Arial" w:cs="Arial"/>
        </w:rPr>
      </w:pPr>
      <w:r>
        <w:rPr>
          <w:rFonts w:ascii="Arial" w:hAnsi="Arial" w:cs="Arial"/>
        </w:rPr>
        <w:t>Štátna a verejná správa a samospráva</w:t>
      </w:r>
    </w:p>
    <w:p>
      <w:pPr>
        <w:pStyle w:val="Odsekzoznamu"/>
      </w:pPr>
      <w:r>
        <w:rPr>
          <w:rFonts w:ascii="Arial" w:hAnsi="Arial" w:cs="Arial"/>
        </w:rPr>
        <w:t>Užívatelia novej kultúrnej infraštruktúry (napr. návštevníci kultúrnych zariadení, znevýhodnené skupiny, hendikepovaní, MRK, pracovníci kultúrnych zariadení)</w:t>
      </w:r>
      <w:r>
        <w:rPr>
          <w:rFonts w:ascii="Times New Roman" w:hAnsi="Times New Roman"/>
          <w:sz w:val="24"/>
          <w:szCs w:val="24"/>
          <w:lang w:eastAsia="sk-SK"/>
        </w:rPr>
        <w:t>.</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jc w:val="both"/>
        <w:rPr>
          <w:rFonts w:ascii="Arial" w:hAnsi="Arial" w:cs="Arial"/>
        </w:rPr>
      </w:pPr>
      <w:r>
        <w:rPr>
          <w:rFonts w:ascii="Arial" w:hAnsi="Arial" w:cs="Arial"/>
        </w:rPr>
        <w:t>Na plnenie špecifického cieľa č. 3.1 bude využitá schéma štátnej pomoci, resp. schéma pomoci de minimis v zmysle príslušných ustanovených pravidiel plne zodpovedajúcich legislatíve Európskej únie, ako aj ďalším dokumentom Európskej komisie v oblasti štátnej pomoci.</w:t>
      </w:r>
    </w:p>
    <w:p>
      <w:pPr>
        <w:jc w:val="both"/>
        <w:rPr>
          <w:rFonts w:ascii="Arial" w:hAnsi="Arial" w:cs="Arial"/>
        </w:rPr>
      </w:pPr>
    </w:p>
    <w:p>
      <w:pPr>
        <w:pStyle w:val="Nadpis6"/>
        <w:rPr>
          <w:rFonts w:ascii="Arial" w:hAnsi="Arial" w:cs="Arial"/>
        </w:rPr>
      </w:pPr>
      <w:bookmarkStart w:id="52" w:name="_Toc387153933"/>
      <w:r>
        <w:rPr>
          <w:rFonts w:ascii="Arial" w:hAnsi="Arial" w:cs="Arial"/>
        </w:rPr>
        <w:t>2.3.1.2. Hlavné zásady výberu operácií</w:t>
      </w:r>
      <w:bookmarkEnd w:id="52"/>
    </w:p>
    <w:p>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pPr>
        <w:jc w:val="both"/>
        <w:rPr>
          <w:rFonts w:ascii="Arial" w:hAnsi="Arial" w:cs="Arial"/>
        </w:rPr>
      </w:pPr>
      <w:r>
        <w:rPr>
          <w:rFonts w:ascii="Arial" w:hAnsi="Arial" w:cs="Arial"/>
        </w:rPr>
        <w:t xml:space="preserve">V prípade podpory smerovanej do oblasti podpory nových a začínajúcich MSP v systéme umeleckého inkubátora budú predmetom výberu projekty, ktoré sú v čase podania žiadosti o poskytnutie pomoci mladšie ako 2 roky </w:t>
      </w:r>
    </w:p>
    <w:p>
      <w:pPr>
        <w:pStyle w:val="Odsekzoznamu"/>
        <w:numPr>
          <w:ilvl w:val="0"/>
          <w:numId w:val="70"/>
        </w:numPr>
        <w:jc w:val="both"/>
        <w:rPr>
          <w:rFonts w:ascii="Arial" w:hAnsi="Arial" w:cs="Arial"/>
        </w:rPr>
      </w:pPr>
      <w:r>
        <w:rPr>
          <w:rFonts w:ascii="Arial" w:hAnsi="Arial" w:cs="Arial"/>
        </w:rPr>
        <w:t xml:space="preserve">pri výbere projektov bude kladený dôraz na kvalitu projektu, t.j. odborné posúdenie stupňa potenciálneho prežitia podniku, stupňa inovácie /produktu/služby a vplyvu realizácie projektu s cieľom dosiahnutia zamestnanosti či samozamestnania, </w:t>
      </w:r>
    </w:p>
    <w:p>
      <w:pPr>
        <w:pStyle w:val="Odsekzoznamu"/>
        <w:numPr>
          <w:ilvl w:val="0"/>
          <w:numId w:val="70"/>
        </w:numPr>
        <w:jc w:val="both"/>
        <w:rPr>
          <w:rFonts w:ascii="Arial" w:hAnsi="Arial" w:cs="Arial"/>
        </w:rPr>
      </w:pPr>
      <w:r>
        <w:rPr>
          <w:rFonts w:ascii="Arial" w:hAnsi="Arial" w:cs="Arial"/>
        </w:rPr>
        <w:lastRenderedPageBreak/>
        <w:t xml:space="preserve">pri vypracovaní odborných posudkov pre posúdenie kvality projektu budú vyberaní odborní hodnotitelia z jednotlivých profesijných oblastí, </w:t>
      </w:r>
    </w:p>
    <w:p>
      <w:pPr>
        <w:pStyle w:val="Odsekzoznamu"/>
        <w:numPr>
          <w:ilvl w:val="0"/>
          <w:numId w:val="70"/>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pPr>
        <w:pStyle w:val="Odsekzoznamu"/>
        <w:numPr>
          <w:ilvl w:val="0"/>
          <w:numId w:val="70"/>
        </w:numPr>
        <w:jc w:val="both"/>
        <w:rPr>
          <w:rFonts w:ascii="Arial" w:hAnsi="Arial" w:cs="Arial"/>
        </w:rPr>
      </w:pPr>
      <w:r>
        <w:rPr>
          <w:rFonts w:ascii="Arial" w:hAnsi="Arial" w:cs="Arial"/>
        </w:rPr>
        <w:t xml:space="preserve">zvýhodnené budú projekty vytvárajúce pracovné miesta a to v závislosti od: </w:t>
      </w:r>
    </w:p>
    <w:p>
      <w:pPr>
        <w:pStyle w:val="Odsekzoznamu"/>
        <w:numPr>
          <w:ilvl w:val="1"/>
          <w:numId w:val="70"/>
        </w:numPr>
        <w:jc w:val="both"/>
        <w:rPr>
          <w:rFonts w:ascii="Arial" w:hAnsi="Arial" w:cs="Arial"/>
        </w:rPr>
      </w:pPr>
      <w:r>
        <w:rPr>
          <w:rFonts w:ascii="Arial" w:hAnsi="Arial" w:cs="Arial"/>
        </w:rPr>
        <w:t xml:space="preserve">ceny vytvoreného pracovného miesta, ktoré bude vytvorené v priamej súvislosti s realizáciou projektu, </w:t>
      </w:r>
    </w:p>
    <w:p>
      <w:pPr>
        <w:pStyle w:val="Odsekzoznamu"/>
        <w:numPr>
          <w:ilvl w:val="1"/>
          <w:numId w:val="70"/>
        </w:numPr>
        <w:jc w:val="both"/>
        <w:rPr>
          <w:rFonts w:ascii="Arial" w:hAnsi="Arial" w:cs="Arial"/>
        </w:rPr>
      </w:pPr>
      <w:r>
        <w:rPr>
          <w:rFonts w:ascii="Arial" w:hAnsi="Arial" w:cs="Arial"/>
        </w:rPr>
        <w:t>ceny vytvoreného pracovného miesta pre skupiny neaktívnych, či nezamestnaných osôb ktoré bude vytvorené v priamej súvislosti s realizáciou projektu.</w:t>
      </w:r>
    </w:p>
    <w:p>
      <w:pPr>
        <w:jc w:val="both"/>
        <w:rPr>
          <w:rFonts w:ascii="Arial" w:hAnsi="Arial" w:cs="Arial"/>
        </w:rPr>
      </w:pPr>
      <w:r>
        <w:rPr>
          <w:rFonts w:ascii="Arial" w:hAnsi="Arial" w:cs="Arial"/>
        </w:rPr>
        <w:t>V prípade podpory smerovanej prijímateľom NFP budú predmetom výberu projekty, ktorých žiadateľ je v čase podania žiadosti majiteľom, alebo dlhodobým správcom objektu, kde sa budú plánované aktivity realizovať a :</w:t>
      </w:r>
    </w:p>
    <w:p>
      <w:pPr>
        <w:pStyle w:val="Odsekzoznamu"/>
        <w:numPr>
          <w:ilvl w:val="0"/>
          <w:numId w:val="2"/>
        </w:numPr>
        <w:jc w:val="both"/>
        <w:rPr>
          <w:rFonts w:ascii="Arial" w:hAnsi="Arial" w:cs="Arial"/>
        </w:rPr>
      </w:pPr>
      <w:r>
        <w:rPr>
          <w:rFonts w:ascii="Arial" w:hAnsi="Arial" w:cs="Arial"/>
        </w:rPr>
        <w:t>v prípade budovania fyzickej infraštruktúry, tá vznikne</w:t>
      </w:r>
      <w:r>
        <w:rPr>
          <w:rFonts w:ascii="Arial" w:hAnsi="Arial" w:cs="Arial"/>
          <w:u w:val="single"/>
        </w:rPr>
        <w:t xml:space="preserve"> </w:t>
      </w:r>
      <w:r>
        <w:rPr>
          <w:rFonts w:ascii="Arial" w:hAnsi="Arial" w:cs="Arial"/>
        </w:rPr>
        <w:t>konverziou objektov nevyužívaného, či nevhodne využívaného kultúrneho dedičstva, či kultúrnej infraštruktúry  s cieľom využívania endogénnych zdrojov,</w:t>
      </w:r>
    </w:p>
    <w:p>
      <w:pPr>
        <w:pStyle w:val="Odsekzoznamu"/>
        <w:numPr>
          <w:ilvl w:val="0"/>
          <w:numId w:val="2"/>
        </w:numPr>
        <w:jc w:val="both"/>
        <w:rPr>
          <w:rFonts w:ascii="Arial" w:hAnsi="Arial" w:cs="Arial"/>
        </w:rPr>
      </w:pPr>
      <w:r>
        <w:rPr>
          <w:rFonts w:ascii="Arial" w:hAnsi="Arial" w:cs="Arial"/>
        </w:rPr>
        <w:t>objekt môže získať v rámci projektu nové funkcie pre účely zatraktívnenia urbánnych a vidieckych sídiel (nekomerčné v zmysle public art objects, mestský mobiliár v okolí objektu a pod),</w:t>
      </w:r>
    </w:p>
    <w:p>
      <w:pPr>
        <w:pStyle w:val="Odsekzoznamu"/>
        <w:numPr>
          <w:ilvl w:val="0"/>
          <w:numId w:val="2"/>
        </w:numPr>
        <w:jc w:val="both"/>
        <w:rPr>
          <w:rFonts w:ascii="Arial" w:hAnsi="Arial" w:cs="Arial"/>
        </w:rPr>
      </w:pPr>
      <w:r>
        <w:rPr>
          <w:rFonts w:ascii="Arial" w:hAnsi="Arial" w:cs="Arial"/>
        </w:rPr>
        <w:t>pre projekt bude platiť efektívna bonifikácia, pokiaľ pri obnove/výstavbe budov alebo ich častí budú tepelnotechnické vlastnosti stavebných konštrukcií a budov spĺňať parametre nad rámec aktuálne požadovanej úrovne energetickej hospodárnosti podľa STN 73 0540-2: 2012,</w:t>
      </w:r>
    </w:p>
    <w:p>
      <w:pPr>
        <w:pStyle w:val="Odsekzoznamu"/>
        <w:numPr>
          <w:ilvl w:val="0"/>
          <w:numId w:val="2"/>
        </w:numPr>
        <w:jc w:val="both"/>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2"/>
        </w:numPr>
        <w:jc w:val="both"/>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2"/>
        </w:numPr>
        <w:jc w:val="both"/>
      </w:pPr>
      <w:r>
        <w:rPr>
          <w:rFonts w:ascii="Arial" w:hAnsi="Arial" w:cs="Arial"/>
        </w:rPr>
        <w:t>projekt uplatňuje zásadu „znečisťovateľ platí“ ako podmienku výberu projektov.</w:t>
      </w:r>
    </w:p>
    <w:p>
      <w:pPr>
        <w:pStyle w:val="Nadpis6"/>
        <w:rPr>
          <w:rFonts w:ascii="Arial" w:hAnsi="Arial" w:cs="Arial"/>
        </w:rPr>
      </w:pPr>
      <w:bookmarkStart w:id="53" w:name="_Toc387153934"/>
      <w:r>
        <w:rPr>
          <w:rFonts w:ascii="Arial" w:hAnsi="Arial" w:cs="Arial"/>
        </w:rPr>
        <w:t>2.3.2.3. Plánované využitie finančných nástrojov</w:t>
      </w:r>
      <w:bookmarkEnd w:id="53"/>
    </w:p>
    <w:p>
      <w:pPr>
        <w:spacing w:before="240"/>
        <w:jc w:val="both"/>
        <w:rPr>
          <w:rFonts w:ascii="Arial" w:hAnsi="Arial" w:cs="Arial"/>
          <w:color w:val="000000" w:themeColor="text1"/>
        </w:rPr>
      </w:pPr>
      <w:bookmarkStart w:id="54" w:name="_Toc378169908"/>
      <w:r>
        <w:rPr>
          <w:rFonts w:ascii="Arial" w:hAnsi="Arial" w:cs="Arial"/>
        </w:rPr>
        <w:t>Finančné nástroje môžu byť použité na podporu implementácie tých aktivít, pri ktorých bude preukázané efektívnejšie využitie finančných prostriedkov z Európskych štrukturálnych a investičných</w:t>
      </w:r>
      <w:r>
        <w:rPr>
          <w:rFonts w:ascii="Arial" w:hAnsi="Arial" w:cs="Arial"/>
          <w:color w:val="000000" w:themeColor="text1"/>
        </w:rPr>
        <w:t xml:space="preserve">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bookmarkEnd w:id="54"/>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w:t>
      </w:r>
      <w:r>
        <w:rPr>
          <w:rFonts w:ascii="Arial" w:hAnsi="Arial" w:cs="Arial"/>
        </w:rPr>
        <w:lastRenderedPageBreak/>
        <w:t xml:space="preserve">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55" w:name="_Toc387153935"/>
      <w:r>
        <w:rPr>
          <w:rFonts w:ascii="Arial" w:hAnsi="Arial" w:cs="Arial"/>
        </w:rPr>
        <w:t>2.3.2.4. Plánované využitie veľkých projektov</w:t>
      </w:r>
      <w:bookmarkEnd w:id="55"/>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56" w:name="_Toc387153936"/>
      <w:r>
        <w:rPr>
          <w:rFonts w:ascii="Arial" w:hAnsi="Arial" w:cs="Arial"/>
        </w:rPr>
        <w:t>2.3.2.5. Ukazovatele výstupu podľa investičnej priority a ak je to vhodné, podľa kategórie regiónu</w:t>
      </w:r>
      <w:bookmarkEnd w:id="56"/>
    </w:p>
    <w:p>
      <w:pPr>
        <w:spacing w:before="120"/>
        <w:rPr>
          <w:rFonts w:ascii="Arial" w:hAnsi="Arial" w:cs="Arial"/>
        </w:rPr>
      </w:pPr>
      <w:r>
        <w:rPr>
          <w:rStyle w:val="Siln"/>
          <w:rFonts w:ascii="Arial" w:hAnsi="Arial" w:cs="Arial"/>
        </w:rPr>
        <w:t>Tabuľka č. 27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0"/>
        <w:gridCol w:w="1766"/>
        <w:gridCol w:w="1337"/>
        <w:gridCol w:w="814"/>
        <w:gridCol w:w="1170"/>
        <w:gridCol w:w="483"/>
        <w:gridCol w:w="483"/>
        <w:gridCol w:w="765"/>
        <w:gridCol w:w="659"/>
        <w:gridCol w:w="1095"/>
      </w:tblGrid>
      <w:tr>
        <w:trPr>
          <w:trHeight w:val="278"/>
        </w:trPr>
        <w:tc>
          <w:tcPr>
            <w:tcW w:w="38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6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3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81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17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73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33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81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7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6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zriadených a fungujúcich kreatívnych centier</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Kreatívne centrum</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vybudovaných kreatívnych centier</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Kreatívne centrum </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účastníkov inkubačnej schémy</w:t>
            </w:r>
            <w:r>
              <w:rPr>
                <w:rFonts w:ascii="Arial" w:hAnsi="Arial" w:cs="Arial"/>
                <w:sz w:val="16"/>
                <w:szCs w:val="16"/>
              </w:rPr>
              <w:tab/>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Účastník</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účastníkov inkubačnej schémy</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Účastník</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aktivít na podporu dopytu </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vertAlign w:val="superscript"/>
              </w:rPr>
            </w:pPr>
            <w:r>
              <w:rPr>
                <w:rFonts w:ascii="Arial" w:hAnsi="Arial" w:cs="Arial"/>
                <w:sz w:val="16"/>
                <w:szCs w:val="16"/>
              </w:rPr>
              <w:t>Aktivita</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aktivít na podporu dopytu</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Aktivita </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poskytnutých mikropôžičiek</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Mikropôžička</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cs="Segoe UI"/>
                <w:sz w:val="16"/>
                <w:szCs w:val="16"/>
                <w:lang w:val="fr-FR"/>
              </w:rPr>
              <w:t>Na základe ex ante analýzy</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poskytnutých mikropôžičiek</w:t>
            </w:r>
          </w:p>
        </w:tc>
        <w:tc>
          <w:tcPr>
            <w:tcW w:w="133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Mikropôžička</w:t>
            </w:r>
          </w:p>
        </w:tc>
        <w:tc>
          <w:tcPr>
            <w:tcW w:w="81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1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4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6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cs="Segoe UI"/>
                <w:sz w:val="16"/>
                <w:szCs w:val="16"/>
                <w:lang w:val="fr-FR"/>
              </w:rPr>
              <w:t>Na základe ex ante analýzy</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Bdr>
          <w:bottom w:val="single" w:sz="12" w:space="1" w:color="auto"/>
        </w:pBdr>
        <w:rPr>
          <w:rFonts w:ascii="Arial" w:hAnsi="Arial" w:cs="Arial"/>
          <w:sz w:val="20"/>
        </w:rPr>
      </w:pPr>
    </w:p>
    <w:p>
      <w:pPr>
        <w:jc w:val="both"/>
        <w:rPr>
          <w:rFonts w:ascii="Arial" w:hAnsi="Arial" w:cs="Arial"/>
        </w:rPr>
      </w:pPr>
      <w:bookmarkStart w:id="57" w:name="_Toc383369306"/>
    </w:p>
    <w:p>
      <w:pPr>
        <w:jc w:val="both"/>
        <w:rPr>
          <w:rFonts w:ascii="Arial" w:hAnsi="Arial" w:cs="Arial"/>
        </w:rPr>
      </w:pPr>
    </w:p>
    <w:p>
      <w:pPr>
        <w:pStyle w:val="Nadpis5"/>
        <w:shd w:val="clear" w:color="auto" w:fill="B8C1E9"/>
        <w:rPr>
          <w:rFonts w:ascii="Arial" w:hAnsi="Arial" w:cs="Arial"/>
        </w:rPr>
      </w:pPr>
      <w:bookmarkStart w:id="58" w:name="_Toc387153937"/>
      <w:r>
        <w:rPr>
          <w:rFonts w:ascii="Arial" w:hAnsi="Arial" w:cs="Arial"/>
        </w:rPr>
        <w:lastRenderedPageBreak/>
        <w:t>Výkonnostný rámec</w:t>
      </w:r>
      <w:bookmarkEnd w:id="57"/>
      <w:bookmarkEnd w:id="58"/>
    </w:p>
    <w:p>
      <w:pPr>
        <w:rPr>
          <w:rFonts w:ascii="Arial" w:hAnsi="Arial" w:cs="Arial"/>
        </w:rPr>
      </w:pPr>
    </w:p>
    <w:p>
      <w:pPr>
        <w:rPr>
          <w:rStyle w:val="Zvraznenie"/>
          <w:rFonts w:ascii="Arial" w:hAnsi="Arial" w:cs="Arial"/>
        </w:rPr>
      </w:pPr>
      <w:r>
        <w:rPr>
          <w:rStyle w:val="Siln"/>
          <w:rFonts w:ascii="Arial" w:hAnsi="Arial" w:cs="Arial"/>
        </w:rPr>
        <w:t>Tabuľka č. 28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708"/>
        <w:gridCol w:w="426"/>
        <w:gridCol w:w="425"/>
        <w:gridCol w:w="930"/>
        <w:gridCol w:w="629"/>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78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26</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26</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zriadených a fungujúcich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Kreatívne centrum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Ukazovateľ predstavuje výraznú časť alokácie PO3 a je podstatnou aktivitou</w:t>
            </w: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Kreatívne centrum </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Ukazovateľ predstavuje výraznú časť alokácie PO3 a je podstatnou aktivitou</w:t>
            </w:r>
          </w:p>
        </w:tc>
      </w:tr>
    </w:tbl>
    <w:p>
      <w:pPr>
        <w:rPr>
          <w:rStyle w:val="Zvraznenie"/>
          <w:rFonts w:ascii="Arial" w:hAnsi="Arial" w:cs="Arial"/>
        </w:rPr>
      </w:pPr>
    </w:p>
    <w:p>
      <w:pPr>
        <w:pStyle w:val="Nadpis5"/>
        <w:shd w:val="clear" w:color="auto" w:fill="B8C1E9"/>
        <w:rPr>
          <w:rFonts w:ascii="Arial" w:hAnsi="Arial" w:cs="Arial"/>
        </w:rPr>
      </w:pPr>
      <w:bookmarkStart w:id="59" w:name="_Toc383369307"/>
      <w:bookmarkStart w:id="60" w:name="_Toc387153938"/>
      <w:r>
        <w:rPr>
          <w:rFonts w:ascii="Arial" w:hAnsi="Arial" w:cs="Arial"/>
        </w:rPr>
        <w:t>Kategórie intervencie</w:t>
      </w:r>
      <w:bookmarkEnd w:id="59"/>
      <w:bookmarkEnd w:id="60"/>
    </w:p>
    <w:p>
      <w:pPr>
        <w:spacing w:before="120"/>
        <w:rPr>
          <w:rStyle w:val="Zvraznenie"/>
          <w:rFonts w:ascii="Arial" w:hAnsi="Arial" w:cs="Arial"/>
        </w:rPr>
      </w:pPr>
      <w:r>
        <w:rPr>
          <w:rStyle w:val="Siln"/>
          <w:rFonts w:ascii="Arial" w:hAnsi="Arial" w:cs="Arial"/>
        </w:rPr>
        <w:t>Tabuľka č. 29</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58</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141 000 000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70 000 000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4 860 548</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205 860 548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102 000 000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90 000 000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63 860 548</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80 000 000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85 360 548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90 500 000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58</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19 000 000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15 000 000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15 000 000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3 000 000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pPr>
        <w:rPr>
          <w:rFonts w:ascii="Arial" w:hAnsi="Arial" w:cs="Arial"/>
          <w:i/>
          <w:color w:val="4EACF3"/>
        </w:rPr>
      </w:pPr>
    </w:p>
    <w:p>
      <w:pPr>
        <w:pStyle w:val="Nadpis5"/>
        <w:shd w:val="clear" w:color="auto" w:fill="B8C1E9"/>
        <w:rPr>
          <w:rFonts w:ascii="Arial" w:hAnsi="Arial" w:cs="Arial"/>
        </w:rPr>
      </w:pPr>
      <w:bookmarkStart w:id="61" w:name="_Toc387153939"/>
      <w:r>
        <w:rPr>
          <w:rFonts w:ascii="Arial" w:hAnsi="Arial" w:cs="Arial"/>
        </w:rPr>
        <w:t>Súhrn plánovaného využitia technickej pomoci vrátane, ak je to vhodné, akcií na posilnenie administratívnej spôsobilosti orgánov zapojených do riadenia a kontroly programu a príjemcov</w:t>
      </w:r>
      <w:bookmarkEnd w:id="61"/>
      <w:r>
        <w:rPr>
          <w:rFonts w:ascii="Arial" w:hAnsi="Arial" w:cs="Arial"/>
        </w:rPr>
        <w:t xml:space="preserve"> </w:t>
      </w:r>
    </w:p>
    <w:p/>
    <w:p>
      <w:pPr>
        <w:spacing w:after="0" w:line="240" w:lineRule="auto"/>
        <w:jc w:val="both"/>
        <w:rPr>
          <w:rFonts w:ascii="Arial" w:hAnsi="Arial" w:cs="Arial"/>
          <w:color w:val="000000"/>
          <w:lang w:eastAsia="sk-SK"/>
        </w:rPr>
        <w:sectPr>
          <w:pgSz w:w="11906" w:h="16838"/>
          <w:pgMar w:top="1417" w:right="1417" w:bottom="1417" w:left="1417" w:header="708" w:footer="708" w:gutter="0"/>
          <w:cols w:space="708"/>
          <w:docGrid w:linePitch="360"/>
        </w:sectPr>
      </w:pPr>
      <w:r>
        <w:rPr>
          <w:rFonts w:ascii="Arial" w:hAnsi="Arial" w:cs="Arial"/>
          <w:color w:val="000000"/>
          <w:lang w:eastAsia="sk-SK"/>
        </w:rPr>
        <w:t>N/A</w:t>
      </w:r>
    </w:p>
    <w:p>
      <w:pPr>
        <w:pStyle w:val="Nadpis3"/>
        <w:shd w:val="clear" w:color="auto" w:fill="21306A"/>
        <w:rPr>
          <w:rFonts w:ascii="Arial" w:hAnsi="Arial" w:cs="Arial"/>
          <w:color w:val="FFFFFF"/>
          <w:sz w:val="28"/>
          <w:szCs w:val="28"/>
        </w:rPr>
      </w:pPr>
      <w:bookmarkStart w:id="62" w:name="_Toc360515268"/>
      <w:bookmarkStart w:id="63" w:name="_Toc387153940"/>
      <w:r>
        <w:rPr>
          <w:rFonts w:ascii="Arial" w:hAnsi="Arial" w:cs="Arial"/>
          <w:color w:val="FFFFFF"/>
          <w:sz w:val="28"/>
          <w:szCs w:val="28"/>
        </w:rPr>
        <w:lastRenderedPageBreak/>
        <w:t xml:space="preserve">2.4. Prioritná os č. 4: </w:t>
      </w:r>
      <w:bookmarkEnd w:id="62"/>
      <w:r>
        <w:rPr>
          <w:rFonts w:ascii="Arial" w:hAnsi="Arial" w:cs="Arial"/>
          <w:color w:val="FFFFFF"/>
          <w:sz w:val="28"/>
          <w:szCs w:val="28"/>
        </w:rPr>
        <w:t>Zlepšenie kvality života v regiónoch s dôrazom na životné prostredie.</w:t>
      </w:r>
      <w:bookmarkEnd w:id="63"/>
      <w:r>
        <w:rPr>
          <w:rFonts w:ascii="Arial" w:hAnsi="Arial" w:cs="Arial"/>
          <w:color w:val="FFFFFF"/>
          <w:sz w:val="28"/>
          <w:szCs w:val="28"/>
        </w:rPr>
        <w:t xml:space="preserve"> </w:t>
      </w:r>
    </w:p>
    <w:p>
      <w:pPr>
        <w:pStyle w:val="Text1"/>
        <w:ind w:left="0"/>
        <w:rPr>
          <w:rFonts w:ascii="Arial" w:eastAsia="Trebuchet MS" w:hAnsi="Arial" w:cs="Arial"/>
          <w:color w:val="4EACF3"/>
          <w:sz w:val="22"/>
          <w:szCs w:val="22"/>
          <w:lang w:val="sk-SK"/>
        </w:rPr>
      </w:pPr>
    </w:p>
    <w:p>
      <w:pPr>
        <w:jc w:val="both"/>
        <w:rPr>
          <w:rFonts w:ascii="Arial" w:hAnsi="Arial" w:cs="Arial"/>
        </w:rPr>
      </w:pPr>
      <w:r>
        <w:rPr>
          <w:rFonts w:ascii="Arial" w:hAnsi="Arial" w:cs="Arial"/>
        </w:rPr>
        <w:t xml:space="preserve">Prioritná os č. 4 v sebe zahŕňa dva tematické ciele, a to tematický cieľ č. 4 - Podpora prechodu na nízkouhlíkové hospodárstvo vo všetkých sektoroch a tematický cieľ 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 a budovaním prvkov zelenej infraštruktúry sa dosiahne zlepšenia environmentálnych aspektov v sídlach,  vhodnými adaptačnými opatreniami sa zvýši odolnosť sídelného prostredia na zmenu klímy a zníži sa zraniteľnosť v rámci jednotlivých sektorov (oblastí). Revitalizáciou „brownfields“ sa efektívne využijú budovy a areály, ktoré budú následne prispievať k zvýšeniu konkurencieschopnosti regiónov z hľadiska podnikania a zamestnanosti. </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b/>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223 241 051</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19 923 564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jc w:val="both"/>
        <w:rPr>
          <w:rFonts w:ascii="Arial" w:hAnsi="Arial" w:cs="Arial"/>
        </w:rPr>
      </w:pPr>
    </w:p>
    <w:p>
      <w:pPr>
        <w:pStyle w:val="Nadpis4"/>
        <w:shd w:val="clear" w:color="auto" w:fill="21306A"/>
        <w:jc w:val="both"/>
        <w:rPr>
          <w:rFonts w:ascii="Arial" w:hAnsi="Arial" w:cs="Arial"/>
          <w:color w:val="FFFFFF"/>
        </w:rPr>
      </w:pPr>
      <w:bookmarkStart w:id="64" w:name="_Toc387153941"/>
      <w:r>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64"/>
    </w:p>
    <w:p>
      <w:pPr>
        <w:outlineLvl w:val="0"/>
        <w:rPr>
          <w:rFonts w:ascii="Arial" w:hAnsi="Arial" w:cs="Arial"/>
          <w:color w:val="4EACF3"/>
        </w:rPr>
      </w:pPr>
      <w:r>
        <w:rPr>
          <w:rFonts w:ascii="Arial" w:hAnsi="Arial" w:cs="Arial"/>
        </w:rPr>
        <w:t xml:space="preserve"> </w:t>
      </w:r>
    </w:p>
    <w:p>
      <w:pPr>
        <w:jc w:val="both"/>
        <w:rPr>
          <w:rFonts w:ascii="Arial" w:hAnsi="Arial" w:cs="Arial"/>
          <w:b/>
        </w:rPr>
      </w:pPr>
      <w:r>
        <w:rPr>
          <w:rFonts w:ascii="Arial" w:hAnsi="Arial" w:cs="Arial"/>
          <w:b/>
        </w:rPr>
        <w:t>Špecifický cieľ č. 4.1:</w:t>
      </w:r>
    </w:p>
    <w:p>
      <w:pPr>
        <w:shd w:val="clear" w:color="auto" w:fill="D9D9D9"/>
        <w:jc w:val="both"/>
        <w:rPr>
          <w:rStyle w:val="Zvraznenie"/>
          <w:rFonts w:ascii="Arial" w:hAnsi="Arial" w:cs="Arial"/>
        </w:rPr>
      </w:pPr>
      <w:r>
        <w:rPr>
          <w:rStyle w:val="Zvraznenie"/>
          <w:rFonts w:ascii="Arial" w:hAnsi="Arial" w:cs="Arial"/>
        </w:rPr>
        <w:t>Zvýšenie energetickej efektívnosti budov na bývanie</w:t>
      </w:r>
    </w:p>
    <w:p>
      <w:pPr>
        <w:jc w:val="both"/>
        <w:rPr>
          <w:rFonts w:ascii="Arial" w:hAnsi="Arial" w:cs="Arial"/>
        </w:rPr>
      </w:pPr>
      <w:r>
        <w:rPr>
          <w:rFonts w:ascii="Arial" w:hAnsi="Arial" w:cs="Arial"/>
        </w:rPr>
        <w:t>V záujme dosiahnutia maximálnej úspory energie v sektore bývania bude potrebné zamerať sa na dosiahnutie komplexnej obnovy existujúcich budov umožnením ich systematickej (nie čiastočnej) obnovy nad rámec nákladovo-optimálnych požiadaviek uvedených v Smernici o energetickej hospodárnosti budov</w:t>
      </w:r>
      <w:r>
        <w:rPr>
          <w:rStyle w:val="Odkaznapoznmkupodiarou"/>
          <w:rFonts w:ascii="Arial" w:hAnsi="Arial" w:cs="Arial"/>
        </w:rPr>
        <w:footnoteReference w:id="67"/>
      </w:r>
      <w:r>
        <w:rPr>
          <w:rFonts w:ascii="Arial" w:hAnsi="Arial" w:cs="Arial"/>
        </w:rPr>
        <w:t>. Zároveň sa očakáva podporovať inovačné nízkouhlíkové technológie a systémový prístup k stavbám znižovaním energetickej náročnosti. Pre dosiahnutie parametrov TNB je potrebné vychádzať z akceptovania a stanovenia troch na seba nadväzujúcich kritérií:</w:t>
      </w:r>
    </w:p>
    <w:p>
      <w:pPr>
        <w:pStyle w:val="Odsekzoznamu"/>
        <w:numPr>
          <w:ilvl w:val="0"/>
          <w:numId w:val="54"/>
        </w:numPr>
        <w:jc w:val="both"/>
        <w:rPr>
          <w:rFonts w:ascii="Arial" w:hAnsi="Arial" w:cs="Arial"/>
        </w:rPr>
      </w:pPr>
      <w:r>
        <w:rPr>
          <w:rFonts w:ascii="Arial" w:hAnsi="Arial" w:cs="Arial"/>
        </w:rPr>
        <w:t>Zníženie mernej potreby tepla na vykurovanie na minimum.</w:t>
      </w:r>
    </w:p>
    <w:p>
      <w:pPr>
        <w:pStyle w:val="Odsekzoznamu"/>
        <w:numPr>
          <w:ilvl w:val="0"/>
          <w:numId w:val="54"/>
        </w:numPr>
        <w:jc w:val="both"/>
        <w:rPr>
          <w:rFonts w:ascii="Arial" w:hAnsi="Arial" w:cs="Arial"/>
        </w:rPr>
      </w:pPr>
      <w:r>
        <w:rPr>
          <w:rFonts w:ascii="Arial" w:hAnsi="Arial" w:cs="Arial"/>
        </w:rPr>
        <w:t>Zníženie spotreby primárnej energie na vykurovanie, chladenie, vetranie, prípravu teplej vody a osvetlenie.</w:t>
      </w:r>
    </w:p>
    <w:p>
      <w:pPr>
        <w:pStyle w:val="Odsekzoznamu"/>
        <w:numPr>
          <w:ilvl w:val="0"/>
          <w:numId w:val="54"/>
        </w:numPr>
        <w:jc w:val="both"/>
        <w:rPr>
          <w:rFonts w:ascii="Arial" w:hAnsi="Arial" w:cs="Arial"/>
        </w:rPr>
      </w:pPr>
      <w:r>
        <w:rPr>
          <w:rFonts w:ascii="Arial" w:hAnsi="Arial" w:cs="Arial"/>
        </w:rPr>
        <w:t>Značné pokrytie celkovej potreby primárnej energie obnoviteľnými zdrojmi energie (ďalej len „OZE“).</w:t>
      </w:r>
      <w:r>
        <w:rPr>
          <w:rStyle w:val="Odkaznapoznmkupodiarou"/>
          <w:rFonts w:ascii="Arial" w:hAnsi="Arial" w:cs="Arial"/>
        </w:rPr>
        <w:t xml:space="preserve"> </w:t>
      </w:r>
      <w:r>
        <w:rPr>
          <w:rStyle w:val="Odkaznapoznmkupodiarou"/>
          <w:rFonts w:ascii="Arial" w:hAnsi="Arial" w:cs="Arial"/>
        </w:rPr>
        <w:footnoteReference w:id="68"/>
      </w:r>
    </w:p>
    <w:p>
      <w:pPr>
        <w:jc w:val="both"/>
        <w:rPr>
          <w:rFonts w:ascii="Arial" w:hAnsi="Arial" w:cs="Arial"/>
          <w:b/>
        </w:rPr>
      </w:pPr>
      <w:r>
        <w:rPr>
          <w:rFonts w:ascii="Arial" w:hAnsi="Arial" w:cs="Arial"/>
          <w:b/>
        </w:rPr>
        <w:t>Výsledok podpory IROP:</w:t>
      </w:r>
    </w:p>
    <w:p>
      <w:pPr>
        <w:pStyle w:val="Odsekzoznamu"/>
        <w:numPr>
          <w:ilvl w:val="0"/>
          <w:numId w:val="62"/>
        </w:numPr>
        <w:jc w:val="both"/>
        <w:rPr>
          <w:rFonts w:ascii="Arial" w:hAnsi="Arial" w:cs="Arial"/>
          <w:szCs w:val="24"/>
        </w:rPr>
      </w:pPr>
      <w:r>
        <w:rPr>
          <w:rFonts w:ascii="Arial" w:hAnsi="Arial" w:cs="Arial"/>
          <w:szCs w:val="24"/>
        </w:rPr>
        <w:t>zníženie energetickej náročnosti budov na bývanie.</w:t>
      </w:r>
    </w:p>
    <w:p>
      <w:pPr>
        <w:jc w:val="both"/>
        <w:rPr>
          <w:rStyle w:val="Zvraznenie"/>
          <w:rFonts w:ascii="Arial" w:hAnsi="Arial" w:cs="Arial"/>
        </w:rPr>
      </w:pPr>
      <w:r>
        <w:rPr>
          <w:rStyle w:val="Siln"/>
          <w:rFonts w:ascii="Arial" w:hAnsi="Arial" w:cs="Arial"/>
        </w:rPr>
        <w:t>Tabuľka č. 30</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4"/>
        <w:gridCol w:w="1316"/>
        <w:gridCol w:w="937"/>
        <w:gridCol w:w="974"/>
        <w:gridCol w:w="1293"/>
        <w:gridCol w:w="1293"/>
        <w:gridCol w:w="906"/>
        <w:gridCol w:w="1132"/>
        <w:gridCol w:w="1053"/>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Energetická hospodárnosť budov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kWh/(m</w:t>
            </w:r>
            <w:r>
              <w:rPr>
                <w:rFonts w:ascii="Arial" w:hAnsi="Arial" w:cs="Arial"/>
                <w:sz w:val="16"/>
                <w:szCs w:val="16"/>
                <w:vertAlign w:val="superscript"/>
              </w:rPr>
              <w:t>2</w:t>
            </w:r>
            <w:r>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3 roky</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Energetická hospodárnosť budov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8"/>
              </w:rPr>
              <w:t>kWh/(m</w:t>
            </w:r>
            <w:r>
              <w:rPr>
                <w:rFonts w:ascii="Arial" w:hAnsi="Arial" w:cs="Arial"/>
                <w:sz w:val="16"/>
                <w:szCs w:val="18"/>
                <w:vertAlign w:val="superscript"/>
              </w:rPr>
              <w:t>2</w:t>
            </w:r>
            <w:r>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3 roky</w:t>
            </w:r>
          </w:p>
        </w:tc>
      </w:tr>
    </w:tbl>
    <w:p>
      <w:pPr>
        <w:rPr>
          <w:rFonts w:ascii="Arial" w:hAnsi="Arial" w:cs="Arial"/>
        </w:rPr>
      </w:pPr>
    </w:p>
    <w:p>
      <w:pPr>
        <w:pStyle w:val="Nadpis5"/>
        <w:shd w:val="clear" w:color="auto" w:fill="B8C1E9"/>
        <w:rPr>
          <w:rFonts w:ascii="Arial" w:hAnsi="Arial" w:cs="Arial"/>
        </w:rPr>
      </w:pPr>
      <w:bookmarkStart w:id="65" w:name="_Toc387153942"/>
      <w:r>
        <w:rPr>
          <w:rFonts w:ascii="Arial" w:hAnsi="Arial" w:cs="Arial"/>
        </w:rPr>
        <w:t>Akcia, ktorá sa má podporiť v rámci investičnej priority</w:t>
      </w:r>
      <w:bookmarkEnd w:id="65"/>
      <w:r>
        <w:rPr>
          <w:rFonts w:ascii="Arial" w:hAnsi="Arial" w:cs="Arial"/>
        </w:rPr>
        <w:t xml:space="preserve"> </w:t>
      </w:r>
    </w:p>
    <w:p>
      <w:pPr>
        <w:pStyle w:val="Nadpis6"/>
        <w:rPr>
          <w:rFonts w:ascii="Arial" w:hAnsi="Arial" w:cs="Arial"/>
        </w:rPr>
      </w:pPr>
      <w:bookmarkStart w:id="66" w:name="_Toc387153943"/>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66"/>
      <w:r>
        <w:rPr>
          <w:rFonts w:ascii="Arial" w:hAnsi="Arial" w:cs="Arial"/>
        </w:rPr>
        <w:t xml:space="preserve"> </w:t>
      </w:r>
    </w:p>
    <w:p>
      <w:pPr>
        <w:tabs>
          <w:tab w:val="left" w:pos="1425"/>
        </w:tabs>
        <w:jc w:val="both"/>
        <w:rPr>
          <w:rFonts w:ascii="Arial" w:hAnsi="Arial" w:cs="Arial"/>
        </w:rPr>
      </w:pPr>
    </w:p>
    <w:p>
      <w:pPr>
        <w:tabs>
          <w:tab w:val="left" w:pos="1425"/>
        </w:tabs>
        <w:jc w:val="both"/>
        <w:rPr>
          <w:rFonts w:ascii="Arial" w:hAnsi="Arial" w:cs="Arial"/>
        </w:rPr>
      </w:pPr>
    </w:p>
    <w:p>
      <w:pPr>
        <w:jc w:val="both"/>
        <w:rPr>
          <w:rFonts w:ascii="Arial" w:hAnsi="Arial" w:cs="Arial"/>
        </w:rPr>
      </w:pPr>
      <w:r>
        <w:rPr>
          <w:rFonts w:ascii="Arial" w:hAnsi="Arial" w:cs="Arial"/>
          <w:b/>
        </w:rPr>
        <w:lastRenderedPageBreak/>
        <w:t>Špecifický cieľ č. 4.1</w:t>
      </w:r>
      <w:r>
        <w:rPr>
          <w:rFonts w:ascii="Arial" w:hAnsi="Arial" w:cs="Arial"/>
        </w:rPr>
        <w:t xml:space="preserve"> je dosahovaný realizáciou nasledovných aktivít: </w:t>
      </w:r>
    </w:p>
    <w:p>
      <w:pPr>
        <w:pStyle w:val="Odsekzoznamu"/>
        <w:numPr>
          <w:ilvl w:val="0"/>
          <w:numId w:val="34"/>
        </w:numPr>
        <w:jc w:val="both"/>
        <w:rPr>
          <w:rFonts w:ascii="Arial" w:hAnsi="Arial" w:cs="Arial"/>
        </w:rPr>
      </w:pPr>
      <w:r>
        <w:rPr>
          <w:rFonts w:ascii="Arial" w:hAnsi="Arial" w:cs="Arial"/>
        </w:rPr>
        <w:t>zlepšovanie tepelno-technických vlastností stavebných konštrukcií bytových domov,</w:t>
      </w:r>
    </w:p>
    <w:p>
      <w:pPr>
        <w:pStyle w:val="Odsekzoznamu"/>
        <w:numPr>
          <w:ilvl w:val="0"/>
          <w:numId w:val="34"/>
        </w:numPr>
        <w:jc w:val="both"/>
        <w:rPr>
          <w:rFonts w:ascii="Arial" w:hAnsi="Arial" w:cs="Arial"/>
        </w:rPr>
      </w:pPr>
      <w:r>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p>
    <w:p>
      <w:pPr>
        <w:pStyle w:val="Odsekzoznamu"/>
        <w:numPr>
          <w:ilvl w:val="0"/>
          <w:numId w:val="34"/>
        </w:numPr>
        <w:jc w:val="both"/>
        <w:rPr>
          <w:rFonts w:ascii="Arial" w:hAnsi="Arial" w:cs="Arial"/>
        </w:rPr>
      </w:pPr>
      <w:r>
        <w:rPr>
          <w:rFonts w:ascii="Arial" w:hAnsi="Arial" w:cs="Arial"/>
        </w:rPr>
        <w:t>modernizácia osvetlenia za účelom zníženia spotreby energie,</w:t>
      </w:r>
    </w:p>
    <w:p>
      <w:pPr>
        <w:pStyle w:val="Odsekzoznamu"/>
        <w:numPr>
          <w:ilvl w:val="0"/>
          <w:numId w:val="34"/>
        </w:numPr>
        <w:jc w:val="both"/>
        <w:rPr>
          <w:rFonts w:ascii="Arial" w:hAnsi="Arial" w:cs="Arial"/>
        </w:rPr>
      </w:pPr>
      <w:r>
        <w:rPr>
          <w:rFonts w:ascii="Arial" w:hAnsi="Arial" w:cs="Arial"/>
        </w:rPr>
        <w:t>modernizácia výťahov  za účelom zníženia spotreby energie,</w:t>
      </w:r>
    </w:p>
    <w:p>
      <w:pPr>
        <w:pStyle w:val="Odsekzoznamu"/>
        <w:numPr>
          <w:ilvl w:val="0"/>
          <w:numId w:val="34"/>
        </w:numPr>
        <w:jc w:val="both"/>
        <w:rPr>
          <w:rFonts w:ascii="Arial" w:hAnsi="Arial" w:cs="Arial"/>
        </w:rPr>
      </w:pPr>
      <w:r>
        <w:rPr>
          <w:rFonts w:ascii="Arial" w:hAnsi="Arial" w:cs="Arial"/>
        </w:rPr>
        <w:t>odstránenie systémových porúch bytových domov zateplením za účelom zníženia spotreby energie.</w:t>
      </w:r>
    </w:p>
    <w:p>
      <w:pPr>
        <w:jc w:val="both"/>
        <w:rPr>
          <w:rFonts w:ascii="Arial" w:hAnsi="Arial" w:cs="Arial"/>
        </w:rPr>
      </w:pPr>
      <w:r>
        <w:rPr>
          <w:rFonts w:ascii="Arial" w:hAnsi="Arial" w:cs="Arial"/>
        </w:rPr>
        <w:t xml:space="preserve">Oprávnení prijímatelia: </w:t>
      </w:r>
    </w:p>
    <w:p>
      <w:pPr>
        <w:pStyle w:val="Odsekzoznamu"/>
        <w:numPr>
          <w:ilvl w:val="0"/>
          <w:numId w:val="64"/>
        </w:numPr>
        <w:tabs>
          <w:tab w:val="clear" w:pos="360"/>
          <w:tab w:val="num" w:pos="720"/>
        </w:tabs>
        <w:ind w:left="720"/>
        <w:jc w:val="both"/>
        <w:rPr>
          <w:rFonts w:ascii="Arial" w:hAnsi="Arial" w:cs="Arial"/>
        </w:rPr>
      </w:pPr>
      <w:r>
        <w:rPr>
          <w:rFonts w:ascii="Arial" w:hAnsi="Arial" w:cs="Arial"/>
        </w:rPr>
        <w:t>rozpočtové a príspevkové organizácie, spoločenstvá vlastníkov bytov a nebytových priestorov.</w:t>
      </w:r>
    </w:p>
    <w:p>
      <w:pPr>
        <w:jc w:val="both"/>
        <w:rPr>
          <w:rFonts w:ascii="Arial" w:hAnsi="Arial" w:cs="Arial"/>
        </w:rPr>
      </w:pPr>
      <w:r>
        <w:rPr>
          <w:rFonts w:ascii="Arial" w:hAnsi="Arial" w:cs="Arial"/>
        </w:rPr>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pPr>
        <w:jc w:val="both"/>
        <w:rPr>
          <w:rFonts w:ascii="Arial" w:hAnsi="Arial" w:cs="Arial"/>
        </w:rPr>
      </w:pPr>
      <w:r>
        <w:rPr>
          <w:rFonts w:ascii="Arial" w:hAnsi="Arial" w:cs="Arial"/>
        </w:rPr>
        <w:t>Cieľové územie:</w:t>
      </w:r>
    </w:p>
    <w:p>
      <w:pPr>
        <w:pStyle w:val="Odsekzoznamu"/>
        <w:numPr>
          <w:ilvl w:val="0"/>
          <w:numId w:val="64"/>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r>
        <w:rPr>
          <w:rFonts w:ascii="Times New Roman" w:eastAsia="Times New Roman" w:hAnsi="Times New Roman"/>
          <w:sz w:val="24"/>
          <w:szCs w:val="24"/>
          <w:lang w:eastAsia="sk-SK"/>
        </w:rPr>
        <w:t xml:space="preserve"> </w:t>
      </w:r>
    </w:p>
    <w:p>
      <w:pPr>
        <w:jc w:val="both"/>
        <w:rPr>
          <w:rFonts w:ascii="Arial" w:hAnsi="Arial" w:cs="Arial"/>
        </w:rPr>
      </w:pPr>
      <w:r>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pPr>
        <w:jc w:val="both"/>
        <w:rPr>
          <w:rFonts w:ascii="Arial" w:hAnsi="Arial" w:cs="Arial"/>
        </w:rPr>
      </w:pPr>
    </w:p>
    <w:p>
      <w:pPr>
        <w:pStyle w:val="Nadpis6"/>
        <w:rPr>
          <w:rFonts w:ascii="Arial" w:hAnsi="Arial" w:cs="Arial"/>
        </w:rPr>
      </w:pPr>
      <w:bookmarkStart w:id="67" w:name="_Toc387153944"/>
      <w:r>
        <w:rPr>
          <w:rFonts w:ascii="Arial" w:hAnsi="Arial" w:cs="Arial"/>
        </w:rPr>
        <w:t>2.4.1.2. Hlavné zásady výberu operácií</w:t>
      </w:r>
      <w:bookmarkEnd w:id="67"/>
    </w:p>
    <w:p>
      <w:pPr>
        <w:spacing w:after="120"/>
        <w:ind w:left="720"/>
        <w:rPr>
          <w:rFonts w:eastAsia="Calibri"/>
          <w:b/>
          <w:bCs/>
          <w:szCs w:val="24"/>
        </w:rPr>
      </w:pPr>
    </w:p>
    <w:p>
      <w:pPr>
        <w:jc w:val="both"/>
        <w:rPr>
          <w:rFonts w:ascii="Arial" w:hAnsi="Arial" w:cs="Arial"/>
        </w:rPr>
      </w:pPr>
      <w:r>
        <w:rPr>
          <w:rFonts w:ascii="Arial" w:hAnsi="Arial" w:cs="Arial"/>
        </w:rPr>
        <w:t>Pre efektívne dosiahnutie čo najväčšieho príspevku operácií/projektov k naplneniu špecifického cieľa 4.1 a dosiahnutie stanovených výsledkov navrhované operácie/projekty rešpektujú nasledovné princípy:</w:t>
      </w:r>
    </w:p>
    <w:p>
      <w:pPr>
        <w:pStyle w:val="Odsekzoznamu"/>
        <w:numPr>
          <w:ilvl w:val="0"/>
          <w:numId w:val="34"/>
        </w:numPr>
        <w:jc w:val="both"/>
        <w:rPr>
          <w:rFonts w:ascii="Arial" w:hAnsi="Arial" w:cs="Arial"/>
        </w:rPr>
      </w:pPr>
      <w:r>
        <w:rPr>
          <w:rFonts w:ascii="Arial" w:hAnsi="Arial" w:cs="Arial"/>
        </w:rPr>
        <w:t>pre operácie / projekty na obnovu bytových budov nad rámec nákladovo-optimálnych požiadaviek uvedených v Smernici o energetickej hospodárnosti budov/ aktuálne požadovanej úrovne energetickej hospodárnosti podľa STN 73 0540-2: 2012 sa zavedie efektívna bonifikácia;</w:t>
      </w:r>
    </w:p>
    <w:p>
      <w:pPr>
        <w:pStyle w:val="Odsekzoznamu"/>
        <w:numPr>
          <w:ilvl w:val="0"/>
          <w:numId w:val="34"/>
        </w:numPr>
        <w:jc w:val="both"/>
        <w:rPr>
          <w:rFonts w:ascii="Arial" w:hAnsi="Arial" w:cs="Arial"/>
        </w:rPr>
      </w:pPr>
      <w:r>
        <w:rPr>
          <w:rFonts w:ascii="Arial" w:hAnsi="Arial" w:cs="Arial"/>
        </w:rPr>
        <w:t>podpora je podmienená existenciou energetického auditu a overenia plánovaných úspor;</w:t>
      </w:r>
    </w:p>
    <w:p>
      <w:pPr>
        <w:pStyle w:val="Odsekzoznamu"/>
        <w:numPr>
          <w:ilvl w:val="0"/>
          <w:numId w:val="34"/>
        </w:numPr>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34"/>
        </w:numPr>
        <w:jc w:val="both"/>
        <w:rPr>
          <w:rFonts w:ascii="Arial" w:hAnsi="Arial" w:cs="Arial"/>
        </w:rPr>
      </w:pPr>
      <w:r>
        <w:rPr>
          <w:rFonts w:ascii="Arial" w:hAnsi="Arial" w:cs="Arial"/>
        </w:rPr>
        <w:lastRenderedPageBreak/>
        <w:t>projekt pri obnove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34"/>
        </w:numPr>
        <w:jc w:val="both"/>
        <w:rPr>
          <w:rFonts w:ascii="Arial" w:hAnsi="Arial" w:cs="Arial"/>
        </w:rPr>
      </w:pPr>
      <w:r>
        <w:rPr>
          <w:rFonts w:ascii="Arial" w:hAnsi="Arial" w:cs="Arial"/>
        </w:rPr>
        <w:t>projekt uplatňuje zásadu „znečisťovateľ platí“ ako podmienku výberu projektov.</w:t>
      </w:r>
    </w:p>
    <w:p>
      <w:pPr>
        <w:pStyle w:val="Nadpis6"/>
        <w:rPr>
          <w:rFonts w:ascii="Arial" w:hAnsi="Arial" w:cs="Arial"/>
        </w:rPr>
      </w:pPr>
      <w:bookmarkStart w:id="68" w:name="_Toc387153945"/>
      <w:r>
        <w:rPr>
          <w:rFonts w:ascii="Arial" w:hAnsi="Arial" w:cs="Arial"/>
        </w:rPr>
        <w:t>2.4.2.3. Plánované využitie finančných nástrojov</w:t>
      </w:r>
      <w:bookmarkEnd w:id="68"/>
    </w:p>
    <w:p>
      <w:pPr>
        <w:spacing w:before="240"/>
        <w:jc w:val="both"/>
        <w:rPr>
          <w:rFonts w:ascii="Arial" w:hAnsi="Arial" w:cs="Arial"/>
        </w:rPr>
      </w:pPr>
      <w:bookmarkStart w:id="69" w:name="_Toc378169920"/>
      <w:bookmarkStart w:id="70" w:name="_Toc383337495"/>
      <w:bookmarkStart w:id="71" w:name="_Toc383369315"/>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72" w:name="_Toc387153946"/>
      <w:bookmarkEnd w:id="69"/>
      <w:bookmarkEnd w:id="70"/>
      <w:bookmarkEnd w:id="71"/>
      <w:r>
        <w:rPr>
          <w:rFonts w:ascii="Arial" w:hAnsi="Arial" w:cs="Arial"/>
        </w:rPr>
        <w:t>2.4.1.4. Plánované využitie veľkých projektov</w:t>
      </w:r>
      <w:bookmarkEnd w:id="72"/>
    </w:p>
    <w:p>
      <w:pPr>
        <w:jc w:val="both"/>
        <w:rPr>
          <w:rFonts w:ascii="Arial" w:hAnsi="Arial" w:cs="Arial"/>
        </w:rPr>
      </w:pPr>
      <w:bookmarkStart w:id="73" w:name="_Toc369530738"/>
      <w:bookmarkStart w:id="74" w:name="_Toc369876850"/>
      <w:bookmarkStart w:id="75" w:name="_Toc377990756"/>
      <w:r>
        <w:rPr>
          <w:rFonts w:ascii="Arial" w:hAnsi="Arial" w:cs="Arial"/>
        </w:rPr>
        <w:t xml:space="preserve">V tejto investičnej priorite nie sú podporované projekty z kategórie veľkých projektov podľa čl. 100 – 103 </w:t>
      </w:r>
      <w:bookmarkEnd w:id="73"/>
      <w:bookmarkEnd w:id="74"/>
      <w:bookmarkEnd w:id="75"/>
      <w:r>
        <w:rPr>
          <w:rFonts w:ascii="Arial" w:hAnsi="Arial" w:cs="Arial"/>
        </w:rPr>
        <w:t>nariadenia EP a Rady (EÚ) č. 1303/2013.</w:t>
      </w:r>
    </w:p>
    <w:p>
      <w:pPr>
        <w:pStyle w:val="Nadpis6"/>
        <w:rPr>
          <w:rFonts w:ascii="Arial" w:hAnsi="Arial" w:cs="Arial"/>
        </w:rPr>
      </w:pPr>
      <w:bookmarkStart w:id="76" w:name="_Toc387153947"/>
      <w:r>
        <w:rPr>
          <w:rFonts w:ascii="Arial" w:hAnsi="Arial" w:cs="Arial"/>
        </w:rPr>
        <w:t>2.4.1.5. Ukazovatele výstupov podľa investičnej priority a ak je to vhodné, podľa kategórie regiónu</w:t>
      </w:r>
      <w:bookmarkEnd w:id="76"/>
    </w:p>
    <w:p>
      <w:pPr>
        <w:spacing w:before="12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1"/>
        <w:gridCol w:w="1400"/>
        <w:gridCol w:w="1041"/>
        <w:gridCol w:w="969"/>
        <w:gridCol w:w="976"/>
        <w:gridCol w:w="657"/>
        <w:gridCol w:w="662"/>
        <w:gridCol w:w="1017"/>
        <w:gridCol w:w="1132"/>
        <w:gridCol w:w="1053"/>
      </w:tblGrid>
      <w:tr>
        <w:trPr>
          <w:trHeight w:val="278"/>
        </w:trPr>
        <w:tc>
          <w:tcPr>
            <w:tcW w:w="38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0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4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336"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3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4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5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66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0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3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domácností zaradených do zlepšenej energetickej triedy</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Domácnosť </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26 229</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color w:val="000000"/>
                <w:sz w:val="16"/>
                <w:szCs w:val="16"/>
              </w:rPr>
            </w:pPr>
            <w:r>
              <w:rPr>
                <w:rFonts w:ascii="Arial" w:hAnsi="Arial" w:cs="Arial"/>
                <w:color w:val="000000"/>
                <w:sz w:val="16"/>
                <w:szCs w:val="16"/>
              </w:rPr>
              <w:t>Štatistický úrad SR a ŠFRB</w:t>
            </w:r>
          </w:p>
          <w:p>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pPr>
            <w:r>
              <w:rPr>
                <w:rFonts w:ascii="Arial" w:hAnsi="Arial" w:cs="Arial"/>
                <w:sz w:val="16"/>
                <w:szCs w:val="16"/>
              </w:rPr>
              <w:t>Počet domácností zaradených do zlepšenej energetickej triedy</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Domácnosť</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11 570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color w:val="000000"/>
                <w:sz w:val="16"/>
                <w:szCs w:val="16"/>
              </w:rPr>
            </w:pPr>
            <w:r>
              <w:rPr>
                <w:rFonts w:ascii="Arial" w:hAnsi="Arial" w:cs="Arial"/>
                <w:color w:val="000000"/>
                <w:sz w:val="16"/>
                <w:szCs w:val="16"/>
              </w:rPr>
              <w:t>Štatistický úrad SR a ŠFRB</w:t>
            </w:r>
          </w:p>
          <w:p>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Spotreba PEZ v budovách na bývanie</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MWh</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425 000,00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Spotreba PEZ v budovách na bývanie</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MWh</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50 000,00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4"/>
        <w:shd w:val="clear" w:color="auto" w:fill="21306A"/>
        <w:rPr>
          <w:rFonts w:ascii="Arial" w:hAnsi="Arial" w:cs="Arial"/>
          <w:color w:val="FFFFFF"/>
        </w:rPr>
      </w:pPr>
      <w:bookmarkStart w:id="77" w:name="_Toc387153948"/>
      <w:r>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77"/>
    </w:p>
    <w:p>
      <w:pPr>
        <w:rPr>
          <w:rFonts w:ascii="Arial" w:hAnsi="Arial" w:cs="Arial"/>
        </w:rPr>
      </w:pPr>
    </w:p>
    <w:p>
      <w:pPr>
        <w:rPr>
          <w:rFonts w:ascii="Arial" w:hAnsi="Arial" w:cs="Arial"/>
          <w:b/>
          <w:color w:val="4EACF3"/>
        </w:rPr>
      </w:pPr>
      <w:bookmarkStart w:id="78" w:name="_Toc369530741"/>
      <w:bookmarkStart w:id="79" w:name="_Toc369876853"/>
      <w:bookmarkStart w:id="80" w:name="_Toc377990759"/>
      <w:bookmarkStart w:id="81" w:name="_Toc378169924"/>
      <w:bookmarkStart w:id="82" w:name="_Toc383369319"/>
      <w:r>
        <w:rPr>
          <w:rFonts w:ascii="Arial" w:hAnsi="Arial" w:cs="Arial"/>
          <w:b/>
        </w:rPr>
        <w:t>Špecifický cieľ č. 4.2.1:</w:t>
      </w:r>
      <w:bookmarkEnd w:id="78"/>
      <w:bookmarkEnd w:id="79"/>
      <w:bookmarkEnd w:id="80"/>
      <w:bookmarkEnd w:id="81"/>
      <w:bookmarkEnd w:id="82"/>
      <w:r>
        <w:rPr>
          <w:rFonts w:ascii="Arial" w:hAnsi="Arial" w:cs="Arial"/>
          <w:b/>
        </w:rPr>
        <w:t xml:space="preserve"> </w:t>
      </w:r>
    </w:p>
    <w:p>
      <w:pPr>
        <w:shd w:val="clear" w:color="auto" w:fill="D9D9D9"/>
        <w:jc w:val="both"/>
        <w:rPr>
          <w:rStyle w:val="Zvraznenie"/>
          <w:rFonts w:ascii="Arial" w:hAnsi="Arial" w:cs="Arial"/>
        </w:rPr>
      </w:pPr>
      <w:r>
        <w:rPr>
          <w:rStyle w:val="Zvraznenie"/>
          <w:rFonts w:ascii="Arial" w:hAnsi="Arial" w:cs="Arial"/>
        </w:rPr>
        <w:t>Zvýšenie dostupnosti zdrojov podzemných vôd pre zásobovanie obyvateľstva pitnou vodou</w:t>
      </w:r>
    </w:p>
    <w:p>
      <w:pPr>
        <w:jc w:val="both"/>
        <w:rPr>
          <w:rStyle w:val="Siln"/>
          <w:rFonts w:ascii="Arial" w:hAnsi="Arial" w:cs="Arial"/>
          <w:b w:val="0"/>
        </w:rPr>
      </w:pPr>
      <w:r>
        <w:rPr>
          <w:rStyle w:val="Siln"/>
          <w:rFonts w:ascii="Arial" w:hAnsi="Arial" w:cs="Arial"/>
          <w:b w:val="0"/>
        </w:rPr>
        <w:t xml:space="preserve">V rámci uvedenej aktivity sa  jedná o zabezpečenie zásobovania pitnou vodou v oblastiach postihnutých dopadmi zmeny klímy, v dôsledku ktorých vzniká potreba nových  zdrojov  podzemných vôd. </w:t>
      </w:r>
      <w:r>
        <w:rPr>
          <w:rStyle w:val="Siln"/>
          <w:rFonts w:ascii="Arial" w:hAnsi="Arial" w:cs="Arial"/>
        </w:rPr>
        <w:t>Na zásobovanie obyvateľstva pitnou vodou sa v SR prednostne v</w:t>
      </w:r>
      <w:r>
        <w:rPr>
          <w:rStyle w:val="Siln"/>
          <w:rFonts w:ascii="Arial" w:hAnsi="Arial" w:cs="Arial"/>
          <w:b w:val="0"/>
        </w:rPr>
        <w:t xml:space="preserve"> </w:t>
      </w:r>
      <w:r>
        <w:rPr>
          <w:rStyle w:val="Siln"/>
          <w:rFonts w:ascii="Arial" w:hAnsi="Arial" w:cs="Arial"/>
        </w:rPr>
        <w:t>podiele viac ako 80% využívajú kvalitné zdroje podzemnej vody.</w:t>
      </w:r>
      <w:r>
        <w:rPr>
          <w:rStyle w:val="Siln"/>
          <w:rFonts w:ascii="Arial" w:hAnsi="Arial" w:cs="Arial"/>
          <w:b w:val="0"/>
        </w:rPr>
        <w:t xml:space="preserve"> Pri riešení tejto problematiky sa bude vychádzať z Národných správ SR o zmene klímy, ktoré sú vypracovávané v rámci plnenia záväzkov podľa článku 4 a 12 Rámcového dohovoru OSN o zmene klímy, Vodného plánu SR 2009 – 2015 a Stratégie adaptácie SR na nepriaznivé dôsledky zmeny klímy.</w:t>
      </w:r>
    </w:p>
    <w:p>
      <w:pPr>
        <w:jc w:val="both"/>
        <w:rPr>
          <w:rStyle w:val="Siln"/>
          <w:rFonts w:ascii="Arial" w:hAnsi="Arial" w:cs="Arial"/>
          <w:b w:val="0"/>
        </w:rPr>
      </w:pPr>
      <w:r>
        <w:rPr>
          <w:rStyle w:val="Siln"/>
          <w:rFonts w:ascii="Arial" w:hAnsi="Arial" w:cs="Arial"/>
          <w:b w:val="0"/>
        </w:rPr>
        <w:t>Uvedené vychádza z dlhodobých pozorovaní vplyvu klimatickej zmeny na jednotlivé regióny Slovenska, výsledkom čoho je rozdelenie hlavných povodí SR do troch základných skupín s ohľadom na dopad klimatickej zmeny na zásoby podzemných vôd, pričom vo všetkých skupinách je dokumentovaný jednoznačný pokles. Do prvej skupiny možno zaradiť povodie Nitry s veľmi miernym dopadom klimatickej zmeny na zásoby podzemných vôd t.j. - 6 254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do druhej skupiny povodí s významným vplyvom klimatickej zmeny na zásoby podzemných vôd sú zaradené povodia Bodrogu – 24 931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Hornádu – 29 971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Váhu – 31 421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Dunaja – 43 602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a Ipľa – 48 860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Do tretej skupiny povodí s veľmi významným vplyvom klimatickej zmeny na zásoby podzemných vôd sú zaradené povodia Popradu – 90 288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Slanej – 101 056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Bodvy –102 270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a Moravy – 105 032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(Správa SR o stave implementácie RSV spracovaná pre EK v súlade s článkom 5, príl. II,III, a čl.6 príl. IV RSV 2000/60/ES. PM Consulting Engineering 2006: Projekt RFP 213/FS/001 Re-assessment of Groundwater Resources in the Republic of Slovakia, IR. </w:t>
      </w:r>
    </w:p>
    <w:p>
      <w:pPr>
        <w:jc w:val="both"/>
        <w:rPr>
          <w:rStyle w:val="Siln"/>
          <w:rFonts w:ascii="Arial" w:hAnsi="Arial" w:cs="Arial"/>
          <w:b w:val="0"/>
        </w:rPr>
      </w:pPr>
      <w:r>
        <w:rPr>
          <w:rStyle w:val="Siln"/>
          <w:rFonts w:ascii="Arial" w:hAnsi="Arial" w:cs="Arial"/>
          <w:b w:val="0"/>
        </w:rPr>
        <w:t xml:space="preserve">Ako príklad z praktického manažmentu dostupnosti vodných zdrojov z úrovne vodárenských spoločností uvádzame výsledky v rámci územnej pôsobnosti Stredoslovenskej vodárenskej prevádzkovej spoločnosti, a.s. kde je potrebné riešiť z hľadiska dlhodobého deficitu vody na </w:t>
      </w:r>
      <w:r>
        <w:rPr>
          <w:rStyle w:val="Siln"/>
          <w:rFonts w:ascii="Arial" w:hAnsi="Arial" w:cs="Arial"/>
          <w:b w:val="0"/>
        </w:rPr>
        <w:lastRenderedPageBreak/>
        <w:t>vodných zdrojoch (výrazný pokles výdatností vodných zdrojov  v období sucha až na minimum, resp. vymŕzanie vodných zdrojov v období silných mrazov) nasledovné problematické oblasti:</w:t>
      </w:r>
    </w:p>
    <w:p>
      <w:pPr>
        <w:pStyle w:val="Odsekzoznamu"/>
        <w:numPr>
          <w:ilvl w:val="0"/>
          <w:numId w:val="62"/>
        </w:numPr>
        <w:jc w:val="both"/>
        <w:rPr>
          <w:rStyle w:val="Siln"/>
          <w:rFonts w:ascii="Arial" w:hAnsi="Arial" w:cs="Arial"/>
          <w:b w:val="0"/>
        </w:rPr>
      </w:pPr>
      <w:r>
        <w:rPr>
          <w:rStyle w:val="Siln"/>
          <w:rFonts w:ascii="Arial" w:hAnsi="Arial" w:cs="Arial"/>
          <w:b w:val="0"/>
        </w:rPr>
        <w:t>oblasť Horehronského podolia,</w:t>
      </w:r>
    </w:p>
    <w:p>
      <w:pPr>
        <w:pStyle w:val="Odsekzoznamu"/>
        <w:numPr>
          <w:ilvl w:val="0"/>
          <w:numId w:val="62"/>
        </w:numPr>
        <w:jc w:val="both"/>
        <w:rPr>
          <w:rStyle w:val="Siln"/>
          <w:rFonts w:ascii="Arial" w:hAnsi="Arial" w:cs="Arial"/>
          <w:b w:val="0"/>
        </w:rPr>
      </w:pPr>
      <w:r>
        <w:rPr>
          <w:rStyle w:val="Siln"/>
          <w:rFonts w:ascii="Arial" w:hAnsi="Arial" w:cs="Arial"/>
          <w:b w:val="0"/>
        </w:rPr>
        <w:t>oblasť širšieho okolia Teplého vrchu,</w:t>
      </w:r>
    </w:p>
    <w:p>
      <w:pPr>
        <w:pStyle w:val="Odsekzoznamu"/>
        <w:numPr>
          <w:ilvl w:val="0"/>
          <w:numId w:val="62"/>
        </w:numPr>
        <w:jc w:val="both"/>
        <w:rPr>
          <w:rStyle w:val="Siln"/>
          <w:rFonts w:ascii="Arial" w:hAnsi="Arial" w:cs="Arial"/>
          <w:b w:val="0"/>
        </w:rPr>
      </w:pPr>
      <w:r>
        <w:rPr>
          <w:rStyle w:val="Siln"/>
          <w:rFonts w:ascii="Arial" w:hAnsi="Arial" w:cs="Arial"/>
          <w:b w:val="0"/>
        </w:rPr>
        <w:t>oblasť Novohradských vrchov,</w:t>
      </w:r>
    </w:p>
    <w:p>
      <w:pPr>
        <w:pStyle w:val="Odsekzoznamu"/>
        <w:numPr>
          <w:ilvl w:val="0"/>
          <w:numId w:val="62"/>
        </w:numPr>
        <w:jc w:val="both"/>
        <w:rPr>
          <w:rStyle w:val="Siln"/>
          <w:rFonts w:ascii="Arial" w:hAnsi="Arial" w:cs="Arial"/>
          <w:b w:val="0"/>
        </w:rPr>
      </w:pPr>
      <w:r>
        <w:rPr>
          <w:rStyle w:val="Siln"/>
          <w:rFonts w:ascii="Arial" w:hAnsi="Arial" w:cs="Arial"/>
          <w:b w:val="0"/>
        </w:rPr>
        <w:t>oblasť Ipeľskej kotliny,</w:t>
      </w:r>
    </w:p>
    <w:p>
      <w:pPr>
        <w:pStyle w:val="Odsekzoznamu"/>
        <w:numPr>
          <w:ilvl w:val="0"/>
          <w:numId w:val="62"/>
        </w:numPr>
        <w:jc w:val="both"/>
        <w:rPr>
          <w:rStyle w:val="Siln"/>
          <w:rFonts w:ascii="Arial" w:hAnsi="Arial" w:cs="Arial"/>
          <w:b w:val="0"/>
        </w:rPr>
      </w:pPr>
      <w:r>
        <w:rPr>
          <w:rStyle w:val="Siln"/>
          <w:rFonts w:ascii="Arial" w:hAnsi="Arial" w:cs="Arial"/>
          <w:b w:val="0"/>
        </w:rPr>
        <w:t>oblasť Štiavnických vrchov,</w:t>
      </w:r>
    </w:p>
    <w:p>
      <w:pPr>
        <w:pStyle w:val="Odsekzoznamu"/>
        <w:numPr>
          <w:ilvl w:val="0"/>
          <w:numId w:val="62"/>
        </w:numPr>
        <w:jc w:val="both"/>
        <w:rPr>
          <w:rStyle w:val="Siln"/>
          <w:rFonts w:ascii="Arial" w:hAnsi="Arial" w:cs="Arial"/>
          <w:b w:val="0"/>
        </w:rPr>
      </w:pPr>
      <w:r>
        <w:rPr>
          <w:rStyle w:val="Siln"/>
          <w:rFonts w:ascii="Arial" w:hAnsi="Arial" w:cs="Arial"/>
          <w:b w:val="0"/>
        </w:rPr>
        <w:t>oblasť Hornonitrianskej kotliny.</w:t>
      </w:r>
    </w:p>
    <w:p>
      <w:pPr>
        <w:jc w:val="both"/>
        <w:rPr>
          <w:rStyle w:val="Siln"/>
          <w:rFonts w:ascii="Arial" w:hAnsi="Arial" w:cs="Arial"/>
        </w:rPr>
      </w:pPr>
      <w:r>
        <w:rPr>
          <w:rStyle w:val="Siln"/>
          <w:rFonts w:ascii="Arial" w:hAnsi="Arial" w:cs="Arial"/>
        </w:rPr>
        <w:t xml:space="preserve">Výsledok podpory IROP: </w:t>
      </w:r>
    </w:p>
    <w:p>
      <w:pPr>
        <w:pStyle w:val="Odsekzoznamu"/>
        <w:numPr>
          <w:ilvl w:val="0"/>
          <w:numId w:val="62"/>
        </w:numPr>
        <w:jc w:val="both"/>
        <w:rPr>
          <w:rStyle w:val="Siln"/>
          <w:rFonts w:ascii="Arial" w:hAnsi="Arial" w:cs="Arial"/>
          <w:b w:val="0"/>
        </w:rPr>
      </w:pPr>
      <w:r>
        <w:rPr>
          <w:rStyle w:val="Siln"/>
          <w:rFonts w:ascii="Arial" w:hAnsi="Arial" w:cs="Arial"/>
          <w:b w:val="0"/>
        </w:rPr>
        <w:t>zlepšenie podmienok a prístupu k pitnej vode pre obyvateľstvo v regiónoch s deficitom pitnej vody,</w:t>
      </w:r>
    </w:p>
    <w:p>
      <w:pPr>
        <w:pStyle w:val="Odsekzoznamu"/>
        <w:numPr>
          <w:ilvl w:val="0"/>
          <w:numId w:val="62"/>
        </w:numPr>
        <w:jc w:val="both"/>
        <w:rPr>
          <w:rStyle w:val="Siln"/>
          <w:rFonts w:ascii="Arial" w:hAnsi="Arial" w:cs="Arial"/>
          <w:b w:val="0"/>
        </w:rPr>
      </w:pPr>
      <w:r>
        <w:rPr>
          <w:rStyle w:val="Siln"/>
          <w:rFonts w:ascii="Arial" w:hAnsi="Arial" w:cs="Arial"/>
          <w:b w:val="0"/>
        </w:rPr>
        <w:t>zvýšenie kvality dodávanej pitnej vody.</w:t>
      </w:r>
    </w:p>
    <w:p>
      <w:pPr>
        <w:jc w:val="both"/>
        <w:rPr>
          <w:rStyle w:val="Zvraznenie"/>
          <w:rFonts w:ascii="Arial" w:hAnsi="Arial" w:cs="Arial"/>
        </w:rPr>
      </w:pPr>
      <w:r>
        <w:rPr>
          <w:rStyle w:val="Siln"/>
          <w:rFonts w:ascii="Arial" w:hAnsi="Arial" w:cs="Arial"/>
        </w:rPr>
        <w:t>Tabuľka č. 32</w:t>
      </w:r>
      <w:r>
        <w:rPr>
          <w:rStyle w:val="Zvraznenie"/>
          <w:rFonts w:ascii="Arial" w:hAnsi="Arial" w:cs="Arial"/>
        </w:rPr>
        <w:t xml:space="preserve"> Výsledkové ukazovatele pre špecifický cieľ č. 4.2.1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2"/>
        <w:gridCol w:w="1586"/>
        <w:gridCol w:w="1124"/>
        <w:gridCol w:w="966"/>
        <w:gridCol w:w="1293"/>
        <w:gridCol w:w="1293"/>
        <w:gridCol w:w="901"/>
        <w:gridCol w:w="690"/>
        <w:gridCol w:w="1053"/>
      </w:tblGrid>
      <w:tr>
        <w:tc>
          <w:tcPr>
            <w:tcW w:w="38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2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novovybudovaných zdrojov podzemných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Zdroj podzemnej vody</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rPr>
              <w:t>*</w:t>
            </w:r>
          </w:p>
        </w:tc>
        <w:tc>
          <w:tcPr>
            <w:tcW w:w="6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AVS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zrekonštruovaných zdrojov podzemných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 xml:space="preserve">Zdroj podzemných vôd </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rPr>
              <w:t>*</w:t>
            </w:r>
          </w:p>
        </w:tc>
        <w:tc>
          <w:tcPr>
            <w:tcW w:w="6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AVS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rPr>
          <w:rFonts w:ascii="Arial" w:hAnsi="Arial" w:cs="Arial"/>
          <w:sz w:val="18"/>
          <w:szCs w:val="18"/>
        </w:rPr>
      </w:pPr>
    </w:p>
    <w:p>
      <w:pPr>
        <w:rPr>
          <w:rFonts w:ascii="Arial" w:hAnsi="Arial" w:cs="Arial"/>
          <w:b/>
          <w:color w:val="4EACF3"/>
        </w:rPr>
      </w:pPr>
      <w:bookmarkStart w:id="83" w:name="_Toc369530742"/>
      <w:bookmarkStart w:id="84" w:name="_Toc369876854"/>
      <w:bookmarkStart w:id="85" w:name="_Toc377990760"/>
      <w:bookmarkStart w:id="86" w:name="_Toc378169925"/>
      <w:bookmarkStart w:id="87" w:name="_Toc383369320"/>
      <w:r>
        <w:rPr>
          <w:rFonts w:ascii="Arial" w:hAnsi="Arial" w:cs="Arial"/>
          <w:b/>
        </w:rPr>
        <w:t>Špecifický cieľ č. 4.2.2:</w:t>
      </w:r>
      <w:bookmarkEnd w:id="83"/>
      <w:bookmarkEnd w:id="84"/>
      <w:bookmarkEnd w:id="85"/>
      <w:bookmarkEnd w:id="86"/>
      <w:bookmarkEnd w:id="87"/>
      <w:r>
        <w:rPr>
          <w:rFonts w:ascii="Arial" w:hAnsi="Arial" w:cs="Arial"/>
          <w:b/>
        </w:rPr>
        <w:t xml:space="preserve"> </w:t>
      </w:r>
    </w:p>
    <w:p>
      <w:pPr>
        <w:shd w:val="clear" w:color="auto" w:fill="D9D9D9"/>
        <w:jc w:val="both"/>
        <w:rPr>
          <w:rStyle w:val="Zvraznenie"/>
          <w:rFonts w:ascii="Arial" w:hAnsi="Arial" w:cs="Arial"/>
        </w:rPr>
      </w:pPr>
      <w:r>
        <w:rPr>
          <w:rStyle w:val="Zvraznenie"/>
          <w:rFonts w:ascii="Arial" w:hAnsi="Arial" w:cs="Arial"/>
        </w:rPr>
        <w:t>Zabezpečenie bezproblémového zásobovania obyvateľstva kvalitnou pitnou vodou a efektívna likvidácia odpadových vôd bez negatívnych dopadov na životné prostredie</w:t>
      </w:r>
    </w:p>
    <w:p>
      <w:pPr>
        <w:jc w:val="both"/>
        <w:rPr>
          <w:rStyle w:val="Siln"/>
          <w:rFonts w:ascii="Arial" w:hAnsi="Arial" w:cs="Arial"/>
          <w:b w:val="0"/>
        </w:rPr>
      </w:pPr>
      <w:r>
        <w:rPr>
          <w:rStyle w:val="Siln"/>
          <w:rFonts w:ascii="Arial" w:hAnsi="Arial" w:cs="Arial"/>
          <w:b w:val="0"/>
        </w:rPr>
        <w:t xml:space="preserve">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 </w:t>
      </w:r>
    </w:p>
    <w:p>
      <w:pPr>
        <w:jc w:val="both"/>
        <w:rPr>
          <w:rStyle w:val="Siln"/>
          <w:rFonts w:ascii="Arial" w:hAnsi="Arial" w:cs="Arial"/>
          <w:b w:val="0"/>
        </w:rPr>
      </w:pPr>
      <w:r>
        <w:rPr>
          <w:rStyle w:val="Siln"/>
          <w:rFonts w:ascii="Arial" w:hAnsi="Arial" w:cs="Arial"/>
          <w:b w:val="0"/>
        </w:rPr>
        <w:t xml:space="preserve">Medzi nedostatky týkajúce sa existujúcich kanalizačných systémov možno zahrnúť napr. časté zaústenie väčších profilov stôk do menších, ako následok dodatočného budovania privádzačov do ČOV, predimenzované profily zberačov, v ktorých sedimentuje znečistenie, vybudované v dôsledku veľkorysých prognóz rozvoja miest a iné.  </w:t>
      </w:r>
    </w:p>
    <w:p>
      <w:pPr>
        <w:jc w:val="both"/>
        <w:rPr>
          <w:rStyle w:val="Siln"/>
          <w:rFonts w:ascii="Arial" w:hAnsi="Arial" w:cs="Arial"/>
          <w:b w:val="0"/>
        </w:rPr>
      </w:pPr>
      <w:r>
        <w:rPr>
          <w:rStyle w:val="Siln"/>
          <w:rFonts w:ascii="Arial" w:hAnsi="Arial" w:cs="Arial"/>
          <w:b w:val="0"/>
        </w:rPr>
        <w:t xml:space="preserve">Základným koncepčným materiálom pre riešení aktivít v oblasti čistenia a likvidácie odpadových vôd je </w:t>
      </w:r>
      <w:r>
        <w:rPr>
          <w:rStyle w:val="Siln"/>
          <w:rFonts w:ascii="Arial" w:hAnsi="Arial" w:cs="Arial"/>
          <w:b w:val="0"/>
          <w:i/>
        </w:rPr>
        <w:t>Plán rozvoja verejných vodovodov a verejných kanalizácií, Vodný plán Slovenska, Nariadenie vlády Slovenskej republiky č. 279/ 2011 Z. z.,</w:t>
      </w:r>
      <w:r>
        <w:rPr>
          <w:rStyle w:val="Siln"/>
          <w:rFonts w:ascii="Arial" w:hAnsi="Arial" w:cs="Arial"/>
          <w:b w:val="0"/>
        </w:rPr>
        <w:t xml:space="preserve"> ktorým sa vyhlasuje záväzná časť Vodného plánu Slovenska obsahujúca program opatrení na dosiahnutie environmentálnych cieľov. </w:t>
      </w:r>
    </w:p>
    <w:p>
      <w:pPr>
        <w:jc w:val="both"/>
        <w:rPr>
          <w:rStyle w:val="Siln"/>
          <w:rFonts w:ascii="Arial" w:hAnsi="Arial" w:cs="Arial"/>
          <w:b w:val="0"/>
        </w:rPr>
      </w:pPr>
      <w:r>
        <w:rPr>
          <w:rStyle w:val="Siln"/>
          <w:rFonts w:ascii="Arial" w:hAnsi="Arial" w:cs="Arial"/>
          <w:b w:val="0"/>
        </w:rPr>
        <w:lastRenderedPageBreak/>
        <w:t>Rekonštrukcia a výstavba kanalizačných sietí a budovanie ČOV v obciach od 1 000 do 2 000 obyvateľov komplementárne prispieva k riešeniu problematiky pre naplnenie Rámcovej smernice o vode (2000/60/ES), ktorá je prioritne napĺňaná prostredníctvom opatrení v rámci OP KŽP (Investičná priorita 2 Prioritnej osi 1) prioritne v aglomeráciách nad 2 000 EO.</w:t>
      </w:r>
    </w:p>
    <w:p>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pPr>
        <w:pStyle w:val="Odsekzoznamu"/>
        <w:numPr>
          <w:ilvl w:val="0"/>
          <w:numId w:val="62"/>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 a zariadení,</w:t>
      </w:r>
    </w:p>
    <w:p>
      <w:pPr>
        <w:pStyle w:val="Odsekzoznamu"/>
        <w:numPr>
          <w:ilvl w:val="0"/>
          <w:numId w:val="62"/>
        </w:numPr>
        <w:jc w:val="both"/>
        <w:rPr>
          <w:rStyle w:val="Siln"/>
          <w:rFonts w:ascii="Arial" w:hAnsi="Arial" w:cs="Arial"/>
          <w:b w:val="0"/>
        </w:rPr>
      </w:pPr>
      <w:r>
        <w:rPr>
          <w:rStyle w:val="Siln"/>
          <w:rFonts w:ascii="Arial" w:hAnsi="Arial" w:cs="Arial"/>
          <w:b w:val="0"/>
        </w:rPr>
        <w:t xml:space="preserve">zamedzenie negatívneho pôsobenia odvádzaných odpadových vôd na životné prostredie a zdravie prostredníctvom oddelenia odvádzania odpadových vôd od dažďovej vody a výstavbou verejnej kanalizácie a ČOV vo vybraných obciach. </w:t>
      </w:r>
    </w:p>
    <w:p>
      <w:pPr>
        <w:jc w:val="both"/>
        <w:rPr>
          <w:rFonts w:ascii="Arial" w:hAnsi="Arial" w:cs="Arial"/>
          <w:i/>
          <w:iCs/>
        </w:rPr>
      </w:pPr>
      <w:r>
        <w:rPr>
          <w:rStyle w:val="Siln"/>
          <w:rFonts w:ascii="Arial" w:hAnsi="Arial" w:cs="Arial"/>
        </w:rPr>
        <w:t>Tabuľka č. 33</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9"/>
        <w:gridCol w:w="1376"/>
        <w:gridCol w:w="1088"/>
        <w:gridCol w:w="986"/>
        <w:gridCol w:w="1293"/>
        <w:gridCol w:w="1293"/>
        <w:gridCol w:w="959"/>
        <w:gridCol w:w="851"/>
        <w:gridCol w:w="1053"/>
      </w:tblGrid>
      <w:tr>
        <w:tc>
          <w:tcPr>
            <w:tcW w:w="38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obyvateľov napojených na verejnú kanalizáciu s čistením komunálnych odpadových vôd</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EO</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obyvateľov napojených na verejný vodovod</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Obyvateľ</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pStyle w:val="Nadpis5"/>
        <w:shd w:val="clear" w:color="auto" w:fill="B8C1E9"/>
        <w:rPr>
          <w:rFonts w:ascii="Arial" w:hAnsi="Arial" w:cs="Arial"/>
        </w:rPr>
      </w:pPr>
      <w:bookmarkStart w:id="88" w:name="_Toc387153949"/>
      <w:r>
        <w:rPr>
          <w:rFonts w:ascii="Arial" w:hAnsi="Arial" w:cs="Arial"/>
        </w:rPr>
        <w:t>Akcia, ktorá sa má podporiť  v rámci investičnej priority</w:t>
      </w:r>
      <w:bookmarkEnd w:id="88"/>
      <w:r>
        <w:rPr>
          <w:rFonts w:ascii="Arial" w:hAnsi="Arial" w:cs="Arial"/>
        </w:rPr>
        <w:t xml:space="preserve"> </w:t>
      </w:r>
    </w:p>
    <w:p>
      <w:pPr>
        <w:rPr>
          <w:rFonts w:ascii="Arial" w:hAnsi="Arial" w:cs="Arial"/>
        </w:rPr>
      </w:pPr>
    </w:p>
    <w:p>
      <w:pPr>
        <w:pStyle w:val="Nadpis6"/>
        <w:rPr>
          <w:rFonts w:ascii="Arial" w:hAnsi="Arial" w:cs="Arial"/>
        </w:rPr>
      </w:pPr>
      <w:bookmarkStart w:id="89" w:name="_Toc387153950"/>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89"/>
      <w:r>
        <w:rPr>
          <w:rFonts w:ascii="Arial" w:hAnsi="Arial" w:cs="Arial"/>
        </w:rPr>
        <w:t xml:space="preserve"> </w:t>
      </w:r>
    </w:p>
    <w:p>
      <w:pPr>
        <w:tabs>
          <w:tab w:val="left" w:pos="1425"/>
        </w:tabs>
        <w:jc w:val="both"/>
        <w:rPr>
          <w:rFonts w:ascii="Arial" w:hAnsi="Arial" w:cs="Arial"/>
        </w:rPr>
      </w:pPr>
    </w:p>
    <w:p>
      <w:pPr>
        <w:tabs>
          <w:tab w:val="left" w:pos="1425"/>
        </w:tabs>
        <w:jc w:val="both"/>
        <w:rPr>
          <w:rFonts w:ascii="Arial" w:hAnsi="Arial" w:cs="Arial"/>
        </w:rPr>
      </w:pPr>
      <w:r>
        <w:rPr>
          <w:rFonts w:ascii="Arial" w:hAnsi="Arial" w:cs="Arial"/>
          <w:b/>
        </w:rPr>
        <w:t>Špecifický cieľ č. 4.2.1</w:t>
      </w:r>
      <w:r>
        <w:rPr>
          <w:rFonts w:ascii="Arial" w:hAnsi="Arial" w:cs="Arial"/>
        </w:rPr>
        <w:t xml:space="preserve"> je dosahovaný realizáciou nasledovných aktivít:</w:t>
      </w:r>
    </w:p>
    <w:p>
      <w:pPr>
        <w:pStyle w:val="Odsekzoznamu"/>
        <w:numPr>
          <w:ilvl w:val="0"/>
          <w:numId w:val="38"/>
        </w:numPr>
        <w:tabs>
          <w:tab w:val="left" w:pos="1425"/>
        </w:tabs>
        <w:jc w:val="both"/>
        <w:rPr>
          <w:rFonts w:ascii="Arial" w:hAnsi="Arial" w:cs="Arial"/>
        </w:rPr>
      </w:pPr>
      <w:r>
        <w:rPr>
          <w:rFonts w:ascii="Arial" w:hAnsi="Arial" w:cs="Arial"/>
        </w:rPr>
        <w:t>budovanie nových zdrojov podzemných vôd,</w:t>
      </w:r>
    </w:p>
    <w:p>
      <w:pPr>
        <w:pStyle w:val="Odsekzoznamu"/>
        <w:numPr>
          <w:ilvl w:val="0"/>
          <w:numId w:val="38"/>
        </w:numPr>
        <w:tabs>
          <w:tab w:val="left" w:pos="1425"/>
        </w:tabs>
        <w:jc w:val="both"/>
        <w:rPr>
          <w:rFonts w:ascii="Arial" w:hAnsi="Arial" w:cs="Arial"/>
        </w:rPr>
      </w:pPr>
      <w:r>
        <w:rPr>
          <w:rFonts w:ascii="Arial" w:hAnsi="Arial" w:cs="Arial"/>
        </w:rPr>
        <w:t>rekonštrukcia existujúcich zdrojov podzemných vôd;</w:t>
      </w:r>
    </w:p>
    <w:p>
      <w:pPr>
        <w:pStyle w:val="Odsekzoznamu"/>
        <w:numPr>
          <w:ilvl w:val="0"/>
          <w:numId w:val="38"/>
        </w:numPr>
        <w:tabs>
          <w:tab w:val="left" w:pos="1425"/>
        </w:tabs>
        <w:jc w:val="both"/>
        <w:rPr>
          <w:rFonts w:ascii="Arial" w:hAnsi="Arial" w:cs="Arial"/>
        </w:rPr>
      </w:pPr>
      <w:r>
        <w:rPr>
          <w:rFonts w:ascii="Arial" w:hAnsi="Arial" w:cs="Arial"/>
        </w:rPr>
        <w:t>podporovať zvýšené využívanie lokálnych vodných zdrojov a dostupnosť záložných vodných zdrojov.</w:t>
      </w:r>
    </w:p>
    <w:p>
      <w:pPr>
        <w:tabs>
          <w:tab w:val="left" w:pos="1425"/>
        </w:tabs>
        <w:jc w:val="both"/>
        <w:rPr>
          <w:rFonts w:ascii="Arial" w:hAnsi="Arial" w:cs="Arial"/>
        </w:rPr>
      </w:pPr>
      <w:r>
        <w:rPr>
          <w:rFonts w:ascii="Arial" w:hAnsi="Arial" w:cs="Arial"/>
          <w:b/>
        </w:rPr>
        <w:t>Špecifický cieľ č. 4.2.2</w:t>
      </w:r>
      <w:r>
        <w:rPr>
          <w:rFonts w:ascii="Arial" w:hAnsi="Arial" w:cs="Arial"/>
        </w:rPr>
        <w:t xml:space="preserve"> je dosahovaný realizáciou nasledovných aktivít:</w:t>
      </w:r>
    </w:p>
    <w:p>
      <w:pPr>
        <w:pStyle w:val="Odsekzoznamu"/>
        <w:numPr>
          <w:ilvl w:val="0"/>
          <w:numId w:val="40"/>
        </w:numPr>
        <w:tabs>
          <w:tab w:val="left" w:pos="1425"/>
        </w:tabs>
        <w:jc w:val="both"/>
        <w:rPr>
          <w:rFonts w:ascii="Arial" w:hAnsi="Arial" w:cs="Arial"/>
        </w:rPr>
      </w:pPr>
      <w:r>
        <w:rPr>
          <w:rFonts w:ascii="Arial" w:hAnsi="Arial" w:cs="Arial"/>
        </w:rPr>
        <w:t>rekonštrukcia prívodov vody, vodovodných sietí a zariadení v obciach,</w:t>
      </w:r>
    </w:p>
    <w:p>
      <w:pPr>
        <w:pStyle w:val="Odsekzoznamu"/>
        <w:numPr>
          <w:ilvl w:val="0"/>
          <w:numId w:val="40"/>
        </w:numPr>
        <w:tabs>
          <w:tab w:val="left" w:pos="1425"/>
        </w:tabs>
        <w:jc w:val="both"/>
        <w:rPr>
          <w:rFonts w:ascii="Arial" w:hAnsi="Arial" w:cs="Arial"/>
        </w:rPr>
      </w:pPr>
      <w:r>
        <w:rPr>
          <w:rFonts w:ascii="Arial" w:hAnsi="Arial" w:cs="Arial"/>
        </w:rPr>
        <w:t>rekonštrukcia stokovej siete a zariadení v obciach,</w:t>
      </w:r>
    </w:p>
    <w:p>
      <w:pPr>
        <w:pStyle w:val="Odsekzoznamu"/>
        <w:numPr>
          <w:ilvl w:val="0"/>
          <w:numId w:val="40"/>
        </w:numPr>
        <w:tabs>
          <w:tab w:val="left" w:pos="1425"/>
        </w:tabs>
        <w:jc w:val="both"/>
        <w:rPr>
          <w:rFonts w:ascii="Arial" w:hAnsi="Arial" w:cs="Arial"/>
        </w:rPr>
      </w:pPr>
      <w:r>
        <w:rPr>
          <w:rFonts w:ascii="Arial" w:hAnsi="Arial" w:cs="Arial"/>
        </w:rPr>
        <w:t>budovanie verejných vodovodov, okrem prípadov ich súbežnej výstavby s výstavbou verejnej kanalizácie podľa aktualizovaného Národného programu SR pre vykonávanie smernice Rady 91/271/EHS,</w:t>
      </w:r>
    </w:p>
    <w:p>
      <w:pPr>
        <w:pStyle w:val="Odsekzoznamu"/>
        <w:numPr>
          <w:ilvl w:val="0"/>
          <w:numId w:val="40"/>
        </w:numPr>
        <w:tabs>
          <w:tab w:val="left" w:pos="1425"/>
        </w:tabs>
        <w:jc w:val="both"/>
        <w:rPr>
          <w:rFonts w:ascii="Arial" w:hAnsi="Arial" w:cs="Arial"/>
        </w:rPr>
      </w:pPr>
      <w:r>
        <w:rPr>
          <w:rFonts w:ascii="Arial" w:hAnsi="Arial" w:cs="Arial"/>
        </w:rPr>
        <w:lastRenderedPageBreak/>
        <w:t>budovanie verejných kanalizácií a čistiarní odpadových vôd pre obce do 2 000 obyvateľov s výnimkou obcí začlenených do aglomerácií nad 2 000 EO v zmysle Národného programu pre vykonávanie smernice 91/271/EHS.</w:t>
      </w:r>
    </w:p>
    <w:p>
      <w:pPr>
        <w:jc w:val="both"/>
        <w:rPr>
          <w:rFonts w:ascii="Arial" w:hAnsi="Arial" w:cs="Arial"/>
        </w:rPr>
      </w:pPr>
      <w:r>
        <w:rPr>
          <w:rFonts w:ascii="Arial" w:hAnsi="Arial" w:cs="Arial"/>
        </w:rPr>
        <w:t xml:space="preserve">Oprávnení prijímatelia pre špecifický cieľ č. </w:t>
      </w:r>
      <w:r>
        <w:rPr>
          <w:rFonts w:ascii="Arial" w:hAnsi="Arial" w:cs="Arial"/>
          <w:b/>
        </w:rPr>
        <w:t>4.2.1 a 4.2.2</w:t>
      </w:r>
      <w:r>
        <w:rPr>
          <w:rFonts w:ascii="Arial" w:hAnsi="Arial" w:cs="Arial"/>
        </w:rPr>
        <w:t xml:space="preserve">: </w:t>
      </w:r>
    </w:p>
    <w:p>
      <w:pPr>
        <w:pStyle w:val="Odsekzoznamu"/>
        <w:numPr>
          <w:ilvl w:val="0"/>
          <w:numId w:val="65"/>
        </w:numPr>
        <w:jc w:val="both"/>
        <w:rPr>
          <w:rFonts w:ascii="Arial" w:hAnsi="Arial" w:cs="Arial"/>
        </w:rPr>
      </w:pPr>
      <w:r>
        <w:rPr>
          <w:rFonts w:ascii="Arial" w:hAnsi="Arial" w:cs="Arial"/>
        </w:rPr>
        <w:t>verejný sektor (obce/mestá, združenia miest a obcí),</w:t>
      </w:r>
    </w:p>
    <w:p>
      <w:pPr>
        <w:pStyle w:val="Odsekzoznamu"/>
        <w:numPr>
          <w:ilvl w:val="0"/>
          <w:numId w:val="65"/>
        </w:numPr>
        <w:jc w:val="both"/>
        <w:rPr>
          <w:rFonts w:ascii="Arial" w:hAnsi="Arial" w:cs="Arial"/>
        </w:rPr>
      </w:pPr>
      <w:r>
        <w:rPr>
          <w:rFonts w:ascii="Arial" w:hAnsi="Arial" w:cs="Arial"/>
        </w:rPr>
        <w:t>vlastníci verejných vodovodov podľa § 3 ods. 2 zákona č. 442/2002 Z. z. o verejných vodovodoch a verejných kanalizáciách  a o zmene a doplnení zákona č. 276/ 2001  Z.z. o regulácii v sieťových odvetviach v znení neskorších predpisov,</w:t>
      </w:r>
    </w:p>
    <w:p>
      <w:pPr>
        <w:pStyle w:val="Odsekzoznamu"/>
        <w:numPr>
          <w:ilvl w:val="0"/>
          <w:numId w:val="65"/>
        </w:numPr>
        <w:jc w:val="both"/>
        <w:rPr>
          <w:rFonts w:ascii="Arial" w:hAnsi="Arial" w:cs="Arial"/>
        </w:rPr>
      </w:pPr>
      <w:r>
        <w:rPr>
          <w:rFonts w:ascii="Arial" w:hAnsi="Arial" w:cs="Arial"/>
        </w:rPr>
        <w:t>právnické osoby oprávnené na podnikanie v oblasti verejných vodovodov vymedzené v § 5 ods. 3 zákona č. 442/2002 Z.z. o verejných vodovodoch a verejných kanalizáciách a o zmene a doplnení zákona č. 276/2001 Z.z. o regulácii v sieťových odvetviach v znení neskorších predpisov.</w:t>
      </w:r>
    </w:p>
    <w:p>
      <w:pPr>
        <w:jc w:val="both"/>
        <w:rPr>
          <w:rFonts w:ascii="Arial" w:hAnsi="Arial" w:cs="Arial"/>
        </w:rPr>
      </w:pPr>
      <w:r>
        <w:rPr>
          <w:rFonts w:ascii="Arial" w:hAnsi="Arial" w:cs="Arial"/>
        </w:rPr>
        <w:t xml:space="preserve">Cieľové skupiny pre špecifický cieľ č. </w:t>
      </w:r>
      <w:r>
        <w:rPr>
          <w:rFonts w:ascii="Arial" w:hAnsi="Arial" w:cs="Arial"/>
          <w:b/>
        </w:rPr>
        <w:t>4.2.1 a 4.2.2</w:t>
      </w:r>
      <w:r>
        <w:rPr>
          <w:rFonts w:ascii="Arial" w:hAnsi="Arial" w:cs="Arial"/>
        </w:rPr>
        <w:t>:</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a ďalšie subjekty (t.j. odberatelia pitnej vody, subjekty napojené na kanalizačnú sieť) pôsobiaci na území daného projektu.</w:t>
      </w:r>
    </w:p>
    <w:p>
      <w:pPr>
        <w:jc w:val="both"/>
        <w:rPr>
          <w:rFonts w:ascii="Arial" w:hAnsi="Arial" w:cs="Arial"/>
        </w:rPr>
      </w:pPr>
      <w:r>
        <w:rPr>
          <w:rFonts w:ascii="Arial" w:hAnsi="Arial" w:cs="Arial"/>
        </w:rPr>
        <w:t xml:space="preserve">Cieľové územie pre špecifický cieľ č. </w:t>
      </w:r>
      <w:r>
        <w:rPr>
          <w:rFonts w:ascii="Arial" w:hAnsi="Arial" w:cs="Arial"/>
          <w:b/>
        </w:rPr>
        <w:t>4.2.1 a 4.2.2</w:t>
      </w:r>
      <w:r>
        <w:rPr>
          <w:rFonts w:ascii="Arial" w:hAnsi="Arial" w:cs="Arial"/>
        </w:rPr>
        <w:t>:</w:t>
      </w:r>
    </w:p>
    <w:p>
      <w:pPr>
        <w:pStyle w:val="Odsekzoznamu"/>
        <w:numPr>
          <w:ilvl w:val="0"/>
          <w:numId w:val="64"/>
        </w:numPr>
        <w:tabs>
          <w:tab w:val="clear" w:pos="360"/>
          <w:tab w:val="num" w:pos="720"/>
        </w:tabs>
        <w:ind w:left="720"/>
        <w:jc w:val="both"/>
        <w:rPr>
          <w:rFonts w:ascii="Arial" w:hAnsi="Arial" w:cs="Arial"/>
        </w:rPr>
      </w:pPr>
      <w:r>
        <w:rPr>
          <w:rFonts w:ascii="Arial" w:hAnsi="Arial" w:cs="Arial"/>
        </w:rPr>
        <w:t>celé územie SR okrem Bratislavského kraja.</w:t>
      </w:r>
    </w:p>
    <w:p>
      <w:pPr>
        <w:pStyle w:val="Nadpis6"/>
        <w:rPr>
          <w:rFonts w:ascii="Arial" w:hAnsi="Arial" w:cs="Arial"/>
        </w:rPr>
      </w:pPr>
      <w:bookmarkStart w:id="90" w:name="_Toc387153951"/>
      <w:r>
        <w:rPr>
          <w:rFonts w:ascii="Arial" w:hAnsi="Arial" w:cs="Arial"/>
        </w:rPr>
        <w:t>2.4.2.2. Hlavné zásady výberu operácií</w:t>
      </w:r>
      <w:bookmarkEnd w:id="90"/>
    </w:p>
    <w:p>
      <w:pPr>
        <w:spacing w:before="120"/>
        <w:rPr>
          <w:rFonts w:ascii="Arial" w:hAnsi="Arial" w:cs="Arial"/>
        </w:rPr>
      </w:pPr>
      <w:r>
        <w:rPr>
          <w:rFonts w:ascii="Arial" w:hAnsi="Arial" w:cs="Arial"/>
        </w:rPr>
        <w:t xml:space="preserve">Rekonštruované stokové siete musia spĺňať nasledovné funkčné požiadavky: </w:t>
      </w:r>
    </w:p>
    <w:p>
      <w:pPr>
        <w:pStyle w:val="Odsekzoznamu"/>
        <w:numPr>
          <w:ilvl w:val="0"/>
          <w:numId w:val="39"/>
        </w:numPr>
        <w:jc w:val="both"/>
        <w:rPr>
          <w:rFonts w:ascii="Arial" w:hAnsi="Arial" w:cs="Arial"/>
        </w:rPr>
      </w:pPr>
      <w:r>
        <w:rPr>
          <w:rFonts w:ascii="Arial" w:hAnsi="Arial" w:cs="Arial"/>
        </w:rPr>
        <w:t>pri prevádzke nesmie dochádzať k upchatiu stôk,</w:t>
      </w:r>
    </w:p>
    <w:p>
      <w:pPr>
        <w:pStyle w:val="Odsekzoznamu"/>
        <w:numPr>
          <w:ilvl w:val="0"/>
          <w:numId w:val="39"/>
        </w:numPr>
        <w:jc w:val="both"/>
        <w:rPr>
          <w:rFonts w:ascii="Arial" w:hAnsi="Arial" w:cs="Arial"/>
        </w:rPr>
      </w:pPr>
      <w:r>
        <w:rPr>
          <w:rFonts w:ascii="Arial" w:hAnsi="Arial" w:cs="Arial"/>
        </w:rPr>
        <w:t>periodicita zaplavenia a preťaženia musí vyhovieť predpísaným limitom,</w:t>
      </w:r>
    </w:p>
    <w:p>
      <w:pPr>
        <w:pStyle w:val="Odsekzoznamu"/>
        <w:numPr>
          <w:ilvl w:val="0"/>
          <w:numId w:val="39"/>
        </w:numPr>
        <w:jc w:val="both"/>
        <w:rPr>
          <w:rFonts w:ascii="Arial" w:hAnsi="Arial" w:cs="Arial"/>
        </w:rPr>
      </w:pPr>
      <w:r>
        <w:rPr>
          <w:rFonts w:ascii="Arial" w:hAnsi="Arial" w:cs="Arial"/>
        </w:rPr>
        <w:t>musí sa zabezpečiť ochrana verejného zdravia a životov,</w:t>
      </w:r>
    </w:p>
    <w:p>
      <w:pPr>
        <w:pStyle w:val="Odsekzoznamu"/>
        <w:numPr>
          <w:ilvl w:val="0"/>
          <w:numId w:val="39"/>
        </w:numPr>
        <w:jc w:val="both"/>
        <w:rPr>
          <w:rFonts w:ascii="Arial" w:hAnsi="Arial" w:cs="Arial"/>
        </w:rPr>
      </w:pPr>
      <w:r>
        <w:rPr>
          <w:rFonts w:ascii="Arial" w:hAnsi="Arial" w:cs="Arial"/>
        </w:rPr>
        <w:t>recipienty musia byť chránené pred znečisteným v rámci predpísaných limitov,</w:t>
      </w:r>
    </w:p>
    <w:p>
      <w:pPr>
        <w:pStyle w:val="Odsekzoznamu"/>
        <w:numPr>
          <w:ilvl w:val="0"/>
          <w:numId w:val="39"/>
        </w:numPr>
        <w:jc w:val="both"/>
        <w:rPr>
          <w:rFonts w:ascii="Arial" w:hAnsi="Arial" w:cs="Arial"/>
        </w:rPr>
      </w:pPr>
      <w:r>
        <w:rPr>
          <w:rFonts w:ascii="Arial" w:hAnsi="Arial" w:cs="Arial"/>
        </w:rPr>
        <w:t>kanalizačné potrubia a stoky nesmú ohrozovať existujúce a susediace stavby a inžinierske siete,</w:t>
      </w:r>
    </w:p>
    <w:p>
      <w:pPr>
        <w:pStyle w:val="Odsekzoznamu"/>
        <w:numPr>
          <w:ilvl w:val="0"/>
          <w:numId w:val="39"/>
        </w:numPr>
        <w:jc w:val="both"/>
        <w:rPr>
          <w:rFonts w:ascii="Arial" w:hAnsi="Arial" w:cs="Arial"/>
        </w:rPr>
      </w:pPr>
      <w:r>
        <w:rPr>
          <w:rFonts w:ascii="Arial" w:hAnsi="Arial" w:cs="Arial"/>
        </w:rPr>
        <w:t>musí sa dosiahnuť požadovaná životnosť a integrita,</w:t>
      </w:r>
    </w:p>
    <w:p>
      <w:pPr>
        <w:pStyle w:val="Odsekzoznamu"/>
        <w:numPr>
          <w:ilvl w:val="0"/>
          <w:numId w:val="39"/>
        </w:numPr>
        <w:jc w:val="both"/>
        <w:rPr>
          <w:rFonts w:ascii="Arial" w:hAnsi="Arial" w:cs="Arial"/>
        </w:rPr>
      </w:pPr>
      <w:r>
        <w:rPr>
          <w:rFonts w:ascii="Arial" w:hAnsi="Arial" w:cs="Arial"/>
        </w:rPr>
        <w:t>vodotesnosť kanalizačných potrubí a stôk musí zodpovedať skúšobným požiadavkám,</w:t>
      </w:r>
    </w:p>
    <w:p>
      <w:pPr>
        <w:pStyle w:val="Odsekzoznamu"/>
        <w:numPr>
          <w:ilvl w:val="0"/>
          <w:numId w:val="39"/>
        </w:numPr>
        <w:jc w:val="both"/>
        <w:rPr>
          <w:rFonts w:ascii="Arial" w:hAnsi="Arial" w:cs="Arial"/>
        </w:rPr>
      </w:pPr>
      <w:r>
        <w:rPr>
          <w:rFonts w:ascii="Arial" w:hAnsi="Arial" w:cs="Arial"/>
        </w:rPr>
        <w:t>musí sa zabrániť výskytu pachov a toxicity,</w:t>
      </w:r>
    </w:p>
    <w:p>
      <w:pPr>
        <w:pStyle w:val="Odsekzoznamu"/>
        <w:numPr>
          <w:ilvl w:val="0"/>
          <w:numId w:val="39"/>
        </w:numPr>
        <w:jc w:val="both"/>
        <w:rPr>
          <w:rFonts w:ascii="Arial" w:hAnsi="Arial" w:cs="Arial"/>
        </w:rPr>
      </w:pPr>
      <w:r>
        <w:rPr>
          <w:rFonts w:ascii="Arial" w:hAnsi="Arial" w:cs="Arial"/>
        </w:rPr>
        <w:t>musí sa zabezpečiť vhodný prístup na údržbu,</w:t>
      </w:r>
    </w:p>
    <w:p>
      <w:pPr>
        <w:pStyle w:val="Odsekzoznamu"/>
        <w:numPr>
          <w:ilvl w:val="0"/>
          <w:numId w:val="39"/>
        </w:numPr>
        <w:jc w:val="both"/>
        <w:rPr>
          <w:rFonts w:ascii="Arial" w:hAnsi="Arial" w:cs="Arial"/>
        </w:rPr>
      </w:pPr>
      <w:r>
        <w:rPr>
          <w:rFonts w:ascii="Arial" w:hAnsi="Arial" w:cs="Arial"/>
        </w:rPr>
        <w:t>projekt uplatňuje zásadu „znečisťovateľ platí“ ako podmienku výberu projektov.</w:t>
      </w:r>
    </w:p>
    <w:p>
      <w:pPr>
        <w:pStyle w:val="Nadpis6"/>
        <w:rPr>
          <w:rFonts w:ascii="Arial" w:hAnsi="Arial" w:cs="Arial"/>
        </w:rPr>
      </w:pPr>
      <w:bookmarkStart w:id="91" w:name="_Toc387153952"/>
      <w:r>
        <w:rPr>
          <w:rFonts w:ascii="Arial" w:hAnsi="Arial" w:cs="Arial"/>
        </w:rPr>
        <w:t>2.4.2.3. Plánované využitie finančných nástrojov</w:t>
      </w:r>
      <w:bookmarkEnd w:id="91"/>
    </w:p>
    <w:p/>
    <w:p>
      <w:pPr>
        <w:spacing w:before="240"/>
        <w:jc w:val="both"/>
        <w:rPr>
          <w:rFonts w:ascii="Arial" w:hAnsi="Arial" w:cs="Arial"/>
        </w:rPr>
      </w:pPr>
      <w:r>
        <w:rPr>
          <w:rFonts w:ascii="Arial" w:hAnsi="Arial" w:cs="Arial"/>
        </w:rPr>
        <w:t xml:space="preserve">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w:t>
      </w:r>
      <w:r>
        <w:rPr>
          <w:rFonts w:ascii="Arial" w:hAnsi="Arial" w:cs="Arial"/>
        </w:rPr>
        <w:lastRenderedPageBreak/>
        <w:t>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92" w:name="_Toc387153953"/>
      <w:r>
        <w:rPr>
          <w:rFonts w:ascii="Arial" w:hAnsi="Arial" w:cs="Arial"/>
        </w:rPr>
        <w:t>2.4.2.4. Plánované využitie veľkých projektov</w:t>
      </w:r>
      <w:bookmarkEnd w:id="92"/>
    </w:p>
    <w:p>
      <w:pPr>
        <w:jc w:val="both"/>
        <w:rPr>
          <w:rFonts w:ascii="Arial" w:hAnsi="Arial" w:cs="Arial"/>
        </w:rPr>
      </w:pPr>
      <w:bookmarkStart w:id="93" w:name="_Toc369530748"/>
      <w:bookmarkStart w:id="94" w:name="_Toc369876860"/>
      <w:bookmarkStart w:id="95" w:name="_Toc377990766"/>
      <w:r>
        <w:rPr>
          <w:rFonts w:ascii="Arial" w:hAnsi="Arial" w:cs="Arial"/>
        </w:rPr>
        <w:t xml:space="preserve">V tejto investičnej priorite nie sú podporované projekty z kategórie veľkých projektov podľa čl. 100 – 103 </w:t>
      </w:r>
      <w:bookmarkEnd w:id="93"/>
      <w:bookmarkEnd w:id="94"/>
      <w:bookmarkEnd w:id="95"/>
      <w:r>
        <w:rPr>
          <w:rFonts w:ascii="Arial" w:hAnsi="Arial" w:cs="Arial"/>
        </w:rPr>
        <w:t>nariadenia EP a Rady (EÚ) č. 1303/2013.</w:t>
      </w:r>
    </w:p>
    <w:p>
      <w:pPr>
        <w:pStyle w:val="Nadpis6"/>
        <w:rPr>
          <w:rFonts w:ascii="Arial" w:hAnsi="Arial" w:cs="Arial"/>
        </w:rPr>
      </w:pPr>
      <w:bookmarkStart w:id="96" w:name="_Toc387153954"/>
      <w:r>
        <w:rPr>
          <w:rFonts w:ascii="Arial" w:hAnsi="Arial" w:cs="Arial"/>
        </w:rPr>
        <w:t>2.4.2.5. Ukazovatele výstupov podľa investičnej priority a ak je to vhodné, podľa kategórie regiónu</w:t>
      </w:r>
      <w:bookmarkEnd w:id="96"/>
    </w:p>
    <w:p>
      <w:pPr>
        <w:spacing w:before="240"/>
        <w:rPr>
          <w:rFonts w:ascii="Arial" w:hAnsi="Arial" w:cs="Arial"/>
        </w:rPr>
      </w:pPr>
      <w:r>
        <w:rPr>
          <w:rStyle w:val="Siln"/>
          <w:rFonts w:ascii="Arial" w:hAnsi="Arial" w:cs="Arial"/>
        </w:rPr>
        <w:t>Tabuľka č. 34</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0"/>
        <w:gridCol w:w="1611"/>
        <w:gridCol w:w="1124"/>
        <w:gridCol w:w="1088"/>
        <w:gridCol w:w="1097"/>
        <w:gridCol w:w="750"/>
        <w:gridCol w:w="750"/>
        <w:gridCol w:w="675"/>
        <w:gridCol w:w="760"/>
        <w:gridCol w:w="1053"/>
      </w:tblGrid>
      <w:tr>
        <w:trPr>
          <w:trHeight w:val="278"/>
        </w:trPr>
        <w:tc>
          <w:tcPr>
            <w:tcW w:w="38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1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2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8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9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75"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6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2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8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9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6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8"/>
              </w:rPr>
            </w:pPr>
            <w:r>
              <w:rPr>
                <w:rFonts w:ascii="Arial" w:hAnsi="Arial" w:cs="Arial"/>
                <w:sz w:val="16"/>
                <w:szCs w:val="18"/>
              </w:rPr>
              <w:t>Počet obyvateľov so zlepšeným čistením komunálnych odpadových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8"/>
              </w:rPr>
            </w:pPr>
            <w:r>
              <w:rPr>
                <w:rFonts w:ascii="Arial" w:hAnsi="Arial" w:cs="Arial"/>
                <w:sz w:val="16"/>
                <w:szCs w:val="18"/>
              </w:rPr>
              <w:t>EO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obyvateľov so zlepšenou dodávkou pitnej vody</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Obyvateľ</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pStyle w:val="Nadpis4"/>
        <w:shd w:val="clear" w:color="auto" w:fill="21306A"/>
        <w:rPr>
          <w:rFonts w:ascii="Arial" w:hAnsi="Arial" w:cs="Arial"/>
          <w:color w:val="FFFFFF"/>
        </w:rPr>
      </w:pPr>
      <w:bookmarkStart w:id="97" w:name="_Toc387153955"/>
      <w:r>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97"/>
    </w:p>
    <w:p>
      <w:pPr>
        <w:rPr>
          <w:rFonts w:ascii="Arial" w:hAnsi="Arial" w:cs="Arial"/>
        </w:rPr>
      </w:pPr>
    </w:p>
    <w:p>
      <w:pPr>
        <w:rPr>
          <w:rFonts w:ascii="Arial" w:hAnsi="Arial" w:cs="Arial"/>
          <w:b/>
          <w:color w:val="4EACF3"/>
        </w:rPr>
      </w:pPr>
      <w:bookmarkStart w:id="98" w:name="_Toc369530752"/>
      <w:bookmarkStart w:id="99" w:name="_Toc369876864"/>
      <w:bookmarkStart w:id="100" w:name="_Toc377990770"/>
      <w:bookmarkStart w:id="101" w:name="_Toc378169934"/>
      <w:r>
        <w:rPr>
          <w:rFonts w:ascii="Arial" w:hAnsi="Arial" w:cs="Arial"/>
          <w:b/>
        </w:rPr>
        <w:t>Špecifický cieľ č. 4.3.1:</w:t>
      </w:r>
      <w:bookmarkEnd w:id="98"/>
      <w:bookmarkEnd w:id="99"/>
      <w:bookmarkEnd w:id="100"/>
      <w:bookmarkEnd w:id="101"/>
      <w:r>
        <w:rPr>
          <w:rFonts w:ascii="Arial" w:hAnsi="Arial" w:cs="Arial"/>
          <w:b/>
        </w:rPr>
        <w:t xml:space="preserve"> </w:t>
      </w:r>
    </w:p>
    <w:p>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zmeny klímy ako aj zavádzaním systémových prvkov znižovania znečistenia ovzdušia a hluku.   </w:t>
      </w:r>
    </w:p>
    <w:p>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 </w:t>
      </w:r>
    </w:p>
    <w:p>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pPr>
        <w:jc w:val="both"/>
        <w:rPr>
          <w:rFonts w:ascii="Arial" w:hAnsi="Arial" w:cs="Arial"/>
        </w:rPr>
      </w:pPr>
      <w:r>
        <w:rPr>
          <w:rFonts w:ascii="Arial" w:hAnsi="Arial" w:cs="Arial"/>
        </w:rPr>
        <w:t>Adaptačné opatrenia</w:t>
      </w:r>
      <w:r>
        <w:rPr>
          <w:rStyle w:val="Odkaznapoznmkupodiarou"/>
          <w:rFonts w:ascii="Arial" w:hAnsi="Arial" w:cs="Arial"/>
        </w:rPr>
        <w:footnoteReference w:id="69"/>
      </w:r>
      <w:r>
        <w:rPr>
          <w:rFonts w:ascii="Arial" w:hAnsi="Arial" w:cs="Arial"/>
        </w:rPr>
        <w:t xml:space="preserve"> v urbanizovanom prostredí sú podmienkou kvality života v meniacej sa klíme. Vhodnými mechanizmami sa dosiahne zvýšenie odolnosti sídelného prostredia na negatívne dopady klímy, zvýšenie odolnosti sídiel na očakávané výzvy ďalšieho rozvoja spoločnosti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Pr>
          <w:rStyle w:val="Odkaznapoznmkupodiarou"/>
          <w:rFonts w:ascii="Arial" w:hAnsi="Arial" w:cs="Arial"/>
        </w:rPr>
        <w:footnoteReference w:id="70"/>
      </w:r>
      <w:r>
        <w:rPr>
          <w:rFonts w:ascii="Arial" w:hAnsi="Arial" w:cs="Arial"/>
        </w:rPr>
        <w:t xml:space="preserve"> a Stratégii adaptácie SR na nepriaznivé dôsledky zmeny klímy.</w:t>
      </w:r>
    </w:p>
    <w:p>
      <w:pPr>
        <w:rPr>
          <w:rFonts w:ascii="Arial" w:hAnsi="Arial" w:cs="Arial"/>
        </w:rPr>
      </w:pPr>
      <w:bookmarkStart w:id="102" w:name="_Toc377990771"/>
      <w:bookmarkStart w:id="103" w:name="_Toc378169935"/>
      <w:bookmarkStart w:id="104" w:name="_Toc383369328"/>
      <w:r>
        <w:rPr>
          <w:rFonts w:ascii="Arial" w:hAnsi="Arial" w:cs="Arial"/>
        </w:rPr>
        <w:t>Opatrenia v rámci špecifického cieľa 4.3.1 môžu mať charakter:</w:t>
      </w:r>
      <w:bookmarkEnd w:id="102"/>
      <w:bookmarkEnd w:id="103"/>
      <w:bookmarkEnd w:id="104"/>
    </w:p>
    <w:p>
      <w:pPr>
        <w:pStyle w:val="Odsekzoznamu"/>
        <w:numPr>
          <w:ilvl w:val="0"/>
          <w:numId w:val="35"/>
        </w:numPr>
        <w:jc w:val="both"/>
        <w:rPr>
          <w:rFonts w:ascii="Arial" w:hAnsi="Arial" w:cs="Arial"/>
        </w:rPr>
      </w:pPr>
      <w:r>
        <w:rPr>
          <w:rFonts w:ascii="Arial" w:hAnsi="Arial" w:cs="Arial"/>
        </w:rPr>
        <w:t>„zelenej“ (využívanie vegetácie) a „modrej“ (využívanie vodných prvkov) infraštruktúry,</w:t>
      </w:r>
    </w:p>
    <w:p>
      <w:pPr>
        <w:pStyle w:val="Odsekzoznamu"/>
        <w:numPr>
          <w:ilvl w:val="0"/>
          <w:numId w:val="35"/>
        </w:numPr>
        <w:jc w:val="both"/>
        <w:rPr>
          <w:rFonts w:ascii="Arial" w:hAnsi="Arial" w:cs="Arial"/>
        </w:rPr>
      </w:pPr>
      <w:r>
        <w:rPr>
          <w:rFonts w:ascii="Arial" w:hAnsi="Arial" w:cs="Arial"/>
        </w:rPr>
        <w:lastRenderedPageBreak/>
        <w:t xml:space="preserve"> „mäkkých“ neinfraštruktúrnych prístupov (napr. informačno-osvetová činnosť, dotačná politika a pod.).</w:t>
      </w:r>
    </w:p>
    <w:p>
      <w:pPr>
        <w:jc w:val="both"/>
        <w:rPr>
          <w:rFonts w:ascii="Arial" w:hAnsi="Arial" w:cs="Arial"/>
          <w:b/>
        </w:rPr>
      </w:pPr>
      <w:r>
        <w:rPr>
          <w:rFonts w:ascii="Arial" w:hAnsi="Arial" w:cs="Arial"/>
          <w:b/>
        </w:rPr>
        <w:t xml:space="preserve">Výsledok podpory IROP: </w:t>
      </w:r>
    </w:p>
    <w:p>
      <w:pPr>
        <w:pStyle w:val="Odsekzoznamu"/>
        <w:numPr>
          <w:ilvl w:val="0"/>
          <w:numId w:val="62"/>
        </w:numPr>
        <w:jc w:val="both"/>
        <w:rPr>
          <w:rFonts w:ascii="Arial" w:hAnsi="Arial" w:cs="Arial"/>
        </w:rPr>
      </w:pPr>
      <w:r>
        <w:rPr>
          <w:rFonts w:ascii="Arial" w:hAnsi="Arial" w:cs="Arial"/>
        </w:rPr>
        <w:t xml:space="preserve">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pPr>
        <w:pStyle w:val="Odsekzoznamu"/>
        <w:numPr>
          <w:ilvl w:val="0"/>
          <w:numId w:val="62"/>
        </w:numPr>
        <w:jc w:val="both"/>
        <w:rPr>
          <w:rFonts w:ascii="Arial" w:hAnsi="Arial" w:cs="Arial"/>
        </w:rPr>
      </w:pPr>
      <w:r>
        <w:rPr>
          <w:rFonts w:ascii="Arial" w:hAnsi="Arial" w:cs="Arial"/>
        </w:rPr>
        <w:t>vytvorenie nových miest pre oddych obyvateľov prostredníctvom realizácie voľnočasových aktivít,</w:t>
      </w:r>
    </w:p>
    <w:p>
      <w:pPr>
        <w:pStyle w:val="Odsekzoznamu"/>
        <w:numPr>
          <w:ilvl w:val="0"/>
          <w:numId w:val="62"/>
        </w:numPr>
        <w:jc w:val="both"/>
        <w:rPr>
          <w:rFonts w:ascii="Arial" w:hAnsi="Arial" w:cs="Arial"/>
        </w:rPr>
      </w:pPr>
      <w:r>
        <w:rPr>
          <w:rFonts w:ascii="Arial" w:hAnsi="Arial" w:cs="Arial"/>
        </w:rPr>
        <w:t>zníženie zraniteľnosti krajiny klimatickými rizikami prostredníctvom adaptačných opatrení,</w:t>
      </w:r>
    </w:p>
    <w:p>
      <w:pPr>
        <w:pStyle w:val="Odsekzoznamu"/>
        <w:numPr>
          <w:ilvl w:val="0"/>
          <w:numId w:val="62"/>
        </w:numPr>
        <w:jc w:val="both"/>
        <w:rPr>
          <w:rFonts w:ascii="Arial" w:hAnsi="Arial" w:cs="Arial"/>
        </w:rPr>
      </w:pPr>
      <w:r>
        <w:rPr>
          <w:rFonts w:ascii="Arial" w:hAnsi="Arial" w:cs="Arial"/>
        </w:rPr>
        <w:t xml:space="preserve">budovanie adaptačnej kapacity - tvorba informačných podporných sociálnych štruktúr a podpornej správy. </w:t>
      </w:r>
    </w:p>
    <w:p>
      <w:pPr>
        <w:rPr>
          <w:rStyle w:val="Zvraznenie"/>
          <w:rFonts w:ascii="Arial" w:hAnsi="Arial" w:cs="Arial"/>
        </w:rPr>
      </w:pPr>
      <w:r>
        <w:rPr>
          <w:rStyle w:val="Siln"/>
          <w:rFonts w:ascii="Arial" w:hAnsi="Arial" w:cs="Arial"/>
        </w:rPr>
        <w:t>Tabuľka č. 35</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52"/>
        <w:gridCol w:w="1275"/>
        <w:gridCol w:w="963"/>
        <w:gridCol w:w="983"/>
        <w:gridCol w:w="1293"/>
        <w:gridCol w:w="1293"/>
        <w:gridCol w:w="986"/>
        <w:gridCol w:w="790"/>
        <w:gridCol w:w="1053"/>
      </w:tblGrid>
      <w:tr>
        <w:tc>
          <w:tcPr>
            <w:tcW w:w="6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bCs/>
                <w:sz w:val="16"/>
                <w:szCs w:val="20"/>
              </w:rPr>
              <w:t>Emisie znečisťujúcej látky PM10 vyjadrené znížení dní s prekročeným imisným limitom 50 ug/m3 pod limit EÚ – 35 dní v roku a PM2.5 vyjadrené v znížení priemernej ročnej koncentrácie na 20 ug/m3</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Deň</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SHMÚ</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rPr>
          <w:rFonts w:ascii="Arial" w:hAnsi="Arial" w:cs="Arial"/>
          <w:b/>
          <w:color w:val="4EACF3"/>
        </w:rPr>
      </w:pPr>
      <w:bookmarkStart w:id="105" w:name="_Toc377990772"/>
      <w:bookmarkStart w:id="106" w:name="_Toc378169936"/>
      <w:r>
        <w:rPr>
          <w:rFonts w:ascii="Arial" w:hAnsi="Arial" w:cs="Arial"/>
          <w:b/>
        </w:rPr>
        <w:t>Špecifický cieľ č. 4.3.2:</w:t>
      </w:r>
      <w:bookmarkEnd w:id="105"/>
      <w:bookmarkEnd w:id="106"/>
      <w:r>
        <w:rPr>
          <w:rFonts w:ascii="Arial" w:hAnsi="Arial" w:cs="Arial"/>
          <w:b/>
        </w:rPr>
        <w:t xml:space="preserve"> </w:t>
      </w:r>
    </w:p>
    <w:p>
      <w:pPr>
        <w:shd w:val="clear" w:color="auto" w:fill="D9D9D9"/>
        <w:jc w:val="both"/>
        <w:rPr>
          <w:rStyle w:val="Zvraznenie"/>
        </w:rPr>
      </w:pPr>
      <w:r>
        <w:rPr>
          <w:rStyle w:val="Zvraznenie"/>
          <w:rFonts w:ascii="Arial" w:hAnsi="Arial" w:cs="Arial"/>
        </w:rPr>
        <w:t>Regenerácia a využitie nevyužívaných objektov a areálov (brownfields) a vnútroblokov sídlisk s cieľom zlepšenia kvality života obyvateľov v mestách, obciach a mestských oblastiach.</w:t>
      </w:r>
    </w:p>
    <w:p>
      <w:pPr>
        <w:jc w:val="both"/>
        <w:rPr>
          <w:rFonts w:ascii="Arial" w:hAnsi="Arial" w:cs="Arial"/>
        </w:rPr>
      </w:pPr>
      <w:r>
        <w:rPr>
          <w:rFonts w:ascii="Arial" w:hAnsi="Arial" w:cs="Arial"/>
        </w:rPr>
        <w:t xml:space="preserve">Hlavnou oblasťou špecifického cieľa 4.3.2. bude udržateľný rast, nakoľko príspevky do zanedbaných plôch a priestranstiev zabraňujú ďalšej degradácii územia a jeho znehodnocovaniu. Prvoradým cieľom je podpora rozvoja  ekonomických a sociálnych činností v území s dôrazom na využívanie zastavaného a v minulosti využívaného územia, ako vhodná alternatíva budovania na zelených plochách. Regenerácia opustených areálov a priestranstiev a vnútroblokov sídlisk môže pre mestá a obce priniesť okrem zlepšenia kvality mestského prostredia aj vytvorenie nových pracovných miest, podporu podnikania, posilnenie miestnej ekonomiky, rozšírenie ponuky a zlepšenie poskytovaných služieb v území, zlepšenie úrovne verejnej bezpečnosti a posilnenie environmentálnej stability. </w:t>
      </w:r>
    </w:p>
    <w:p>
      <w:pPr>
        <w:jc w:val="both"/>
        <w:rPr>
          <w:rFonts w:ascii="Arial" w:hAnsi="Arial" w:cs="Arial"/>
        </w:rPr>
      </w:pPr>
      <w:r>
        <w:rPr>
          <w:rFonts w:ascii="Arial" w:hAnsi="Arial" w:cs="Arial"/>
        </w:rPr>
        <w:lastRenderedPageBreak/>
        <w:t xml:space="preserve">Pri výbere vhodnej stratégie revitalizácie zanedbaných priestorov v mestách je dôležité vnímať územie ako celok aj s dopadmi na svoje okolie. Použitie vhodnej stratégie sa ukazuje ako kľúčové pre úspešnosť, udržateľnosť a efektívnosť revitalizačných procesov. Na obsahovej úrovni možno stratégie aplikovať ako regenerácie založené na výmene pôvodných štruktúr za nové, adaptácie založené na ochrane pôvodnej funkcie územia, kompletizácie funkčnej/fyzickej štruktúry, rekonštrukcie (renovácie) území, modernizácie a humanizácie území, ktoré sú zamerané na zlepšenie kvality životného prostredia a života obyvateľov v rámci regenerovaného územia a jeho okolia. </w:t>
      </w:r>
    </w:p>
    <w:p>
      <w:pPr>
        <w:jc w:val="both"/>
        <w:rPr>
          <w:rFonts w:ascii="Arial" w:hAnsi="Arial" w:cs="Arial"/>
        </w:rPr>
      </w:pPr>
      <w:r>
        <w:rPr>
          <w:rFonts w:ascii="Arial" w:hAnsi="Arial" w:cs="Arial"/>
        </w:rPr>
        <w:t>Vychádzajúc zo skúseností krajín EÚ môže byť budúce využitie hnedých zón a zanedbaných a opustených areálov a priestranstiev orientované ako čisto priemyselné využitie, zmiešaná priemyselná funkcia (ľahký priemysel, služby), zmiešaná mestská funkcia (bývanie, služby, teda polyfunkčné využitie) alebo využitie pre občiansku vybavenosť.</w:t>
      </w:r>
      <w:r>
        <w:rPr>
          <w:rStyle w:val="Odkaznapoznmkupodiarou"/>
          <w:rFonts w:ascii="Arial" w:hAnsi="Arial" w:cs="Arial"/>
        </w:rPr>
        <w:footnoteReference w:id="71"/>
      </w:r>
      <w:r>
        <w:rPr>
          <w:rFonts w:ascii="Arial" w:hAnsi="Arial" w:cs="Arial"/>
        </w:rPr>
        <w:t xml:space="preserve"> Kvalitné verejné priestory dôležitým prvkom rozvoja občianskej spoločnosti, podpory komunitného života a kvality života v mestách.</w:t>
      </w:r>
    </w:p>
    <w:p>
      <w:pPr>
        <w:jc w:val="both"/>
        <w:rPr>
          <w:rFonts w:ascii="Arial" w:hAnsi="Arial" w:cs="Arial"/>
          <w:b/>
        </w:rPr>
      </w:pPr>
      <w:r>
        <w:rPr>
          <w:rFonts w:ascii="Arial" w:hAnsi="Arial" w:cs="Arial"/>
          <w:b/>
        </w:rPr>
        <w:t xml:space="preserve">Výsledok podpory IROP: </w:t>
      </w:r>
    </w:p>
    <w:p>
      <w:pPr>
        <w:pStyle w:val="Odsekzoznamu"/>
        <w:numPr>
          <w:ilvl w:val="0"/>
          <w:numId w:val="62"/>
        </w:numPr>
        <w:jc w:val="both"/>
        <w:rPr>
          <w:rFonts w:ascii="Arial" w:hAnsi="Arial" w:cs="Arial"/>
        </w:rPr>
      </w:pPr>
      <w:r>
        <w:rPr>
          <w:rFonts w:ascii="Arial" w:hAnsi="Arial" w:cs="Arial"/>
        </w:rPr>
        <w:t>zlepšenie podnikateľského prostredia prostredníctvom opatrení revitalizácie brownfields,</w:t>
      </w:r>
    </w:p>
    <w:p>
      <w:pPr>
        <w:pStyle w:val="Odsekzoznamu"/>
        <w:numPr>
          <w:ilvl w:val="0"/>
          <w:numId w:val="62"/>
        </w:numPr>
        <w:jc w:val="both"/>
        <w:rPr>
          <w:rFonts w:ascii="Arial" w:hAnsi="Arial" w:cs="Arial"/>
        </w:rPr>
      </w:pPr>
      <w:r>
        <w:rPr>
          <w:rFonts w:ascii="Arial" w:hAnsi="Arial" w:cs="Arial"/>
        </w:rPr>
        <w:t>zatraktívnenie a zlepšenie estetického vnímania doposiaľ nevyužívaných objektov a areálov,</w:t>
      </w:r>
    </w:p>
    <w:p>
      <w:pPr>
        <w:pStyle w:val="Odsekzoznamu"/>
        <w:numPr>
          <w:ilvl w:val="0"/>
          <w:numId w:val="62"/>
        </w:numPr>
        <w:jc w:val="both"/>
        <w:rPr>
          <w:rFonts w:ascii="Arial" w:hAnsi="Arial" w:cs="Arial"/>
        </w:rPr>
      </w:pPr>
      <w:r>
        <w:rPr>
          <w:rFonts w:ascii="Arial" w:hAnsi="Arial" w:cs="Arial"/>
        </w:rPr>
        <w:t>opatrenia smerujúce k regenerácii vnútroblokov sídlisk zvýšia kvalitu života v mestách, prispejú k zvýšeniu bezpečnosti a zároveň k zlepšeniu podnikateľského prostredia (formou podpory lokálnych malých podnikov poskytujúcich najmä služby) cez zatraktívnenie prostredia a zvýšenia jeho návštevnosti zo strany obyvateľov mesta.</w:t>
      </w:r>
    </w:p>
    <w:p>
      <w:pPr>
        <w:rPr>
          <w:rStyle w:val="Zvraznenie"/>
          <w:rFonts w:ascii="Arial" w:hAnsi="Arial" w:cs="Arial"/>
        </w:rPr>
      </w:pPr>
      <w:r>
        <w:rPr>
          <w:rStyle w:val="Siln"/>
          <w:rFonts w:ascii="Arial" w:hAnsi="Arial" w:cs="Arial"/>
        </w:rPr>
        <w:t>Tabuľka č. 36</w:t>
      </w:r>
      <w:r>
        <w:rPr>
          <w:rStyle w:val="Zvraznenie"/>
          <w:rFonts w:ascii="Arial" w:hAnsi="Arial" w:cs="Arial"/>
        </w:rPr>
        <w:t xml:space="preserve"> Výsledkové ukazovatele pre špecifický cieľ č. 4.3.2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52"/>
        <w:gridCol w:w="1275"/>
        <w:gridCol w:w="963"/>
        <w:gridCol w:w="983"/>
        <w:gridCol w:w="1293"/>
        <w:gridCol w:w="1293"/>
        <w:gridCol w:w="986"/>
        <w:gridCol w:w="790"/>
        <w:gridCol w:w="1053"/>
      </w:tblGrid>
      <w:tr>
        <w:tc>
          <w:tcPr>
            <w:tcW w:w="6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poskytovaných služieb pre verejnosť</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Služba</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
      <w:pPr>
        <w:pStyle w:val="Nadpis5"/>
        <w:shd w:val="clear" w:color="auto" w:fill="B8C1E9"/>
        <w:rPr>
          <w:rFonts w:ascii="Arial" w:hAnsi="Arial" w:cs="Arial"/>
        </w:rPr>
      </w:pPr>
      <w:bookmarkStart w:id="107" w:name="_Toc387153956"/>
      <w:r>
        <w:rPr>
          <w:rFonts w:ascii="Arial" w:hAnsi="Arial" w:cs="Arial"/>
        </w:rPr>
        <w:t>Akcia, ktorá sa má podporiť v rámci investičnej priority</w:t>
      </w:r>
      <w:bookmarkEnd w:id="107"/>
      <w:r>
        <w:rPr>
          <w:rFonts w:ascii="Arial" w:hAnsi="Arial" w:cs="Arial"/>
        </w:rPr>
        <w:t xml:space="preserve"> </w:t>
      </w:r>
    </w:p>
    <w:p>
      <w:pPr>
        <w:pStyle w:val="Nadpis6"/>
        <w:rPr>
          <w:rFonts w:ascii="Arial" w:hAnsi="Arial" w:cs="Arial"/>
        </w:rPr>
      </w:pPr>
      <w:bookmarkStart w:id="108" w:name="_Toc387153957"/>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8"/>
      <w:r>
        <w:rPr>
          <w:rFonts w:ascii="Arial" w:hAnsi="Arial" w:cs="Arial"/>
        </w:rPr>
        <w:t xml:space="preserve"> </w:t>
      </w:r>
    </w:p>
    <w:p>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je dosahovaný realizáciou nasledovných aktivít:</w:t>
      </w:r>
    </w:p>
    <w:p>
      <w:pPr>
        <w:pStyle w:val="Odsekzoznamu"/>
        <w:numPr>
          <w:ilvl w:val="0"/>
          <w:numId w:val="37"/>
        </w:numPr>
        <w:ind w:left="714" w:hanging="357"/>
        <w:jc w:val="both"/>
        <w:rPr>
          <w:rFonts w:ascii="Arial" w:hAnsi="Arial" w:cs="Arial"/>
        </w:rPr>
      </w:pPr>
      <w:r>
        <w:rPr>
          <w:rFonts w:ascii="Arial" w:hAnsi="Arial" w:cs="Arial"/>
        </w:rPr>
        <w:t xml:space="preserve">spracovanie plánov na znižovanie znečistenia ovzdušia a hluku; </w:t>
      </w:r>
    </w:p>
    <w:p>
      <w:pPr>
        <w:pStyle w:val="Odsekzoznamu"/>
        <w:numPr>
          <w:ilvl w:val="0"/>
          <w:numId w:val="37"/>
        </w:numPr>
        <w:ind w:left="714" w:hanging="357"/>
        <w:jc w:val="both"/>
        <w:rPr>
          <w:rFonts w:ascii="Arial" w:hAnsi="Arial" w:cs="Arial"/>
        </w:rPr>
      </w:pPr>
      <w:r>
        <w:rPr>
          <w:rFonts w:ascii="Arial" w:hAnsi="Arial" w:cs="Arial"/>
        </w:rPr>
        <w:lastRenderedPageBreak/>
        <w:t>prirodzené krajinné prvky ako napr. malé vodné toky, ostrovčeky lesa, živé ploty, ktoré môžu slúžiť ako ekokoridory, alebo nášľapné kamene pre voľne žijúce organizmy;</w:t>
      </w:r>
    </w:p>
    <w:p>
      <w:pPr>
        <w:pStyle w:val="Odsekzoznamu"/>
        <w:numPr>
          <w:ilvl w:val="0"/>
          <w:numId w:val="37"/>
        </w:numPr>
        <w:ind w:left="714" w:hanging="357"/>
        <w:jc w:val="both"/>
        <w:rPr>
          <w:rFonts w:ascii="Arial" w:hAnsi="Arial" w:cs="Arial"/>
        </w:rPr>
      </w:pPr>
      <w:r>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pPr>
        <w:pStyle w:val="Odsekzoznamu"/>
        <w:numPr>
          <w:ilvl w:val="0"/>
          <w:numId w:val="37"/>
        </w:numPr>
        <w:ind w:left="714" w:hanging="357"/>
        <w:jc w:val="both"/>
        <w:rPr>
          <w:rFonts w:ascii="Arial" w:hAnsi="Arial" w:cs="Arial"/>
        </w:rPr>
      </w:pPr>
      <w:r>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pPr>
        <w:pStyle w:val="Odsekzoznamu"/>
        <w:numPr>
          <w:ilvl w:val="0"/>
          <w:numId w:val="37"/>
        </w:numPr>
        <w:ind w:left="714" w:hanging="357"/>
        <w:jc w:val="both"/>
        <w:rPr>
          <w:rFonts w:ascii="Arial" w:hAnsi="Arial" w:cs="Arial"/>
        </w:rPr>
      </w:pPr>
      <w:r>
        <w:rPr>
          <w:rFonts w:ascii="Arial" w:hAnsi="Arial" w:cs="Arial"/>
        </w:rPr>
        <w:t>zazelenanie miest (výsadba a regenerácia izolačnej zelene oddeľujúcej obytnú zástavbu od priemyselných stavieb, komerčných areálov alebo frekventovaných dopravných koridorov);</w:t>
      </w:r>
    </w:p>
    <w:p>
      <w:pPr>
        <w:pStyle w:val="Odsekzoznamu"/>
        <w:numPr>
          <w:ilvl w:val="0"/>
          <w:numId w:val="37"/>
        </w:numPr>
        <w:ind w:left="714" w:hanging="357"/>
        <w:jc w:val="both"/>
        <w:rPr>
          <w:rFonts w:ascii="Arial" w:hAnsi="Arial" w:cs="Arial"/>
        </w:rPr>
      </w:pPr>
      <w:r>
        <w:rPr>
          <w:rFonts w:ascii="Arial" w:hAnsi="Arial" w:cs="Arial"/>
        </w:rPr>
        <w:t>opatrenia pre zníženie znečistenia ovzdušia a hluku v urbanizovanom prostredí;</w:t>
      </w:r>
    </w:p>
    <w:p>
      <w:pPr>
        <w:pStyle w:val="Odsekzoznamu"/>
        <w:numPr>
          <w:ilvl w:val="0"/>
          <w:numId w:val="37"/>
        </w:numPr>
        <w:jc w:val="both"/>
        <w:rPr>
          <w:rFonts w:ascii="Arial" w:hAnsi="Arial" w:cs="Arial"/>
        </w:rPr>
      </w:pPr>
      <w:r>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pPr>
        <w:pStyle w:val="Odsekzoznamu"/>
        <w:numPr>
          <w:ilvl w:val="0"/>
          <w:numId w:val="37"/>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pPr>
        <w:pStyle w:val="Odsekzoznamu"/>
        <w:numPr>
          <w:ilvl w:val="0"/>
          <w:numId w:val="37"/>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pPr>
        <w:pStyle w:val="Odsekzoznamu"/>
        <w:numPr>
          <w:ilvl w:val="0"/>
          <w:numId w:val="37"/>
        </w:numPr>
        <w:jc w:val="both"/>
        <w:rPr>
          <w:rFonts w:ascii="Arial" w:hAnsi="Arial" w:cs="Arial"/>
        </w:rPr>
      </w:pPr>
      <w:r>
        <w:rPr>
          <w:rFonts w:ascii="Arial" w:hAnsi="Arial" w:cs="Arial"/>
        </w:rPr>
        <w:t>zavádzať postupy 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pPr>
        <w:pStyle w:val="Odsekzoznamu"/>
        <w:numPr>
          <w:ilvl w:val="0"/>
          <w:numId w:val="37"/>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pPr>
        <w:pStyle w:val="Odsekzoznamu"/>
        <w:numPr>
          <w:ilvl w:val="0"/>
          <w:numId w:val="37"/>
        </w:numPr>
        <w:jc w:val="both"/>
        <w:rPr>
          <w:rFonts w:ascii="Arial" w:hAnsi="Arial" w:cs="Arial"/>
        </w:rPr>
      </w:pPr>
      <w:r>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p>
    <w:p>
      <w:pPr>
        <w:pStyle w:val="Odsekzoznamu"/>
        <w:numPr>
          <w:ilvl w:val="0"/>
          <w:numId w:val="37"/>
        </w:numPr>
        <w:jc w:val="both"/>
        <w:rPr>
          <w:rFonts w:ascii="Arial" w:hAnsi="Arial" w:cs="Arial"/>
        </w:rPr>
      </w:pPr>
      <w:r>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pPr>
        <w:jc w:val="both"/>
        <w:rPr>
          <w:rFonts w:ascii="Arial" w:hAnsi="Arial" w:cs="Arial"/>
        </w:rPr>
      </w:pPr>
      <w:r>
        <w:rPr>
          <w:rFonts w:ascii="Arial" w:hAnsi="Arial" w:cs="Arial"/>
        </w:rPr>
        <w:t xml:space="preserve">Oprávnení prijímatelia: </w:t>
      </w:r>
    </w:p>
    <w:p>
      <w:pPr>
        <w:pStyle w:val="Odsekzoznamu"/>
        <w:numPr>
          <w:ilvl w:val="0"/>
          <w:numId w:val="37"/>
        </w:numPr>
        <w:jc w:val="both"/>
        <w:rPr>
          <w:rFonts w:ascii="Arial" w:hAnsi="Arial" w:cs="Arial"/>
        </w:rPr>
      </w:pPr>
      <w:r>
        <w:rPr>
          <w:rFonts w:ascii="Arial" w:hAnsi="Arial" w:cs="Arial"/>
        </w:rPr>
        <w:t xml:space="preserve">obce, vyššie územné celky, MVO a občianske združenia, </w:t>
      </w:r>
      <w:r>
        <w:rPr>
          <w:rFonts w:ascii="Arial" w:hAnsi="Arial" w:cs="Arial"/>
          <w:lang w:eastAsia="sk-SK"/>
        </w:rPr>
        <w:t>Slovenská správa ciest, prevádzkovatelia/správcovia pozemných komunikácií (Národná diaľničná spoločnosť a.s.)</w:t>
      </w:r>
      <w:r>
        <w:rPr>
          <w:rFonts w:ascii="Arial" w:hAnsi="Arial" w:cs="Arial"/>
        </w:rPr>
        <w:t>.</w:t>
      </w:r>
    </w:p>
    <w:p>
      <w:pPr>
        <w:jc w:val="both"/>
        <w:rPr>
          <w:rFonts w:ascii="Arial" w:hAnsi="Arial" w:cs="Arial"/>
        </w:rPr>
      </w:pPr>
    </w:p>
    <w:p>
      <w:pPr>
        <w:jc w:val="both"/>
        <w:rPr>
          <w:rFonts w:ascii="Arial" w:hAnsi="Arial" w:cs="Arial"/>
        </w:rPr>
      </w:pPr>
      <w:r>
        <w:rPr>
          <w:rFonts w:ascii="Arial" w:hAnsi="Arial" w:cs="Arial"/>
        </w:rPr>
        <w:lastRenderedPageBreak/>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pPr>
        <w:jc w:val="both"/>
        <w:rPr>
          <w:rFonts w:ascii="Arial" w:hAnsi="Arial" w:cs="Arial"/>
        </w:rPr>
      </w:pPr>
      <w:r>
        <w:rPr>
          <w:rFonts w:ascii="Arial" w:hAnsi="Arial" w:cs="Arial"/>
        </w:rPr>
        <w:t>Cieľové územie:</w:t>
      </w:r>
    </w:p>
    <w:p>
      <w:pPr>
        <w:pStyle w:val="Odsekzoznamu"/>
        <w:numPr>
          <w:ilvl w:val="0"/>
          <w:numId w:val="64"/>
        </w:numPr>
        <w:tabs>
          <w:tab w:val="clear" w:pos="360"/>
          <w:tab w:val="num" w:pos="720"/>
        </w:tabs>
        <w:ind w:left="720"/>
        <w:jc w:val="both"/>
        <w:rPr>
          <w:rFonts w:ascii="Arial" w:hAnsi="Arial" w:cs="Arial"/>
        </w:rPr>
      </w:pPr>
      <w:r>
        <w:rPr>
          <w:rFonts w:ascii="Arial" w:hAnsi="Arial" w:cs="Arial"/>
        </w:rPr>
        <w:t>územie vymedzené pre aktivity udržateľného mestského rozvoja v zmysle kapitoly 4 Integrovaný prístup k územnému rozvoju s výnimkou mestskej funkčnej oblasti na území Bratislavského kraja.</w:t>
      </w:r>
    </w:p>
    <w:p>
      <w:pPr>
        <w:jc w:val="both"/>
        <w:rPr>
          <w:rFonts w:ascii="Arial" w:hAnsi="Arial" w:cs="Arial"/>
        </w:rPr>
      </w:pPr>
      <w:r>
        <w:rPr>
          <w:rFonts w:ascii="Arial" w:hAnsi="Arial" w:cs="Arial"/>
        </w:rPr>
        <w:t>Na plnenie špecifického cieľa č. 4.3.1 bude využitá schéma štátnej pomoci, resp. schéma pomoci de minimis v zmysle príslušných ustanovených pravidiel plne zodpovedajúcich legislatíve Európskej únie, ako aj ďalším dokumentom Európskej komisie v oblasti štátnej pomoci.</w:t>
      </w:r>
    </w:p>
    <w:p>
      <w:pPr>
        <w:jc w:val="both"/>
        <w:rPr>
          <w:rFonts w:ascii="Arial" w:hAnsi="Arial" w:cs="Arial"/>
        </w:rPr>
      </w:pPr>
    </w:p>
    <w:p>
      <w:pPr>
        <w:tabs>
          <w:tab w:val="left" w:pos="1425"/>
        </w:tabs>
        <w:jc w:val="both"/>
        <w:rPr>
          <w:rFonts w:ascii="Arial" w:hAnsi="Arial" w:cs="Arial"/>
        </w:rPr>
      </w:pPr>
      <w:bookmarkStart w:id="109" w:name="_Toc377990775"/>
      <w:bookmarkStart w:id="110" w:name="_Toc378169939"/>
      <w:bookmarkStart w:id="111" w:name="_Toc383369332"/>
      <w:r>
        <w:rPr>
          <w:rFonts w:ascii="Arial" w:hAnsi="Arial" w:cs="Arial"/>
          <w:b/>
        </w:rPr>
        <w:t>Špecifický cieľ č. 4.3.2</w:t>
      </w:r>
      <w:r>
        <w:rPr>
          <w:rFonts w:ascii="Arial" w:hAnsi="Arial" w:cs="Arial"/>
        </w:rPr>
        <w:t xml:space="preserve"> je dosahovaný realizáciou nasledovných aktivít:</w:t>
      </w:r>
      <w:bookmarkEnd w:id="109"/>
      <w:bookmarkEnd w:id="110"/>
      <w:bookmarkEnd w:id="111"/>
    </w:p>
    <w:p>
      <w:pPr>
        <w:pStyle w:val="Odsekzoznamu"/>
        <w:numPr>
          <w:ilvl w:val="0"/>
          <w:numId w:val="11"/>
        </w:numPr>
        <w:tabs>
          <w:tab w:val="left" w:pos="1425"/>
        </w:tabs>
        <w:jc w:val="both"/>
        <w:rPr>
          <w:rFonts w:ascii="Arial" w:hAnsi="Arial" w:cs="Arial"/>
        </w:rPr>
      </w:pPr>
      <w:r>
        <w:rPr>
          <w:rFonts w:ascii="Arial" w:hAnsi="Arial" w:cs="Arial"/>
        </w:rPr>
        <w:t>rekonštrukcia objektov na ich nové využitie, ktoré má charakter verejných služieb, alebo služieb pre občanov (občianskej infraštruktúry, vytváranie podmienok pre podporu obecného podnikania, multifunkčných verejných zariadení, administratívnych objektov, v ktorých sa vykonávajú činnosti spojené s výkonom verejnej správy a verejných služieb);</w:t>
      </w:r>
    </w:p>
    <w:p>
      <w:pPr>
        <w:pStyle w:val="Odsekzoznamu"/>
        <w:numPr>
          <w:ilvl w:val="0"/>
          <w:numId w:val="11"/>
        </w:numPr>
        <w:tabs>
          <w:tab w:val="left" w:pos="1425"/>
        </w:tabs>
        <w:jc w:val="both"/>
        <w:rPr>
          <w:rFonts w:ascii="Arial" w:hAnsi="Arial" w:cs="Arial"/>
        </w:rPr>
      </w:pPr>
      <w:r>
        <w:rPr>
          <w:rFonts w:ascii="Arial" w:hAnsi="Arial" w:cs="Arial"/>
        </w:rPr>
        <w:t>regenerácia vnútroblokov sídlisk – úprava zelene a výsadba novej zelene, úprava chodníkov, budovanie cyklotrás a cyklostojanov, verejne prístupné detské ihriská a športoviská, osvetlenie a pod.;</w:t>
      </w:r>
    </w:p>
    <w:p>
      <w:pPr>
        <w:pStyle w:val="Odsekzoznamu"/>
        <w:numPr>
          <w:ilvl w:val="0"/>
          <w:numId w:val="11"/>
        </w:numPr>
        <w:tabs>
          <w:tab w:val="left" w:pos="1425"/>
        </w:tabs>
        <w:jc w:val="both"/>
        <w:rPr>
          <w:rFonts w:ascii="Arial" w:hAnsi="Arial" w:cs="Arial"/>
        </w:rPr>
      </w:pPr>
      <w:r>
        <w:rPr>
          <w:rFonts w:ascii="Arial" w:hAnsi="Arial" w:cs="Arial"/>
        </w:rPr>
        <w:t>revitalizácia zanedbaných areálov a priestranstiev a vytváranie kompaktnej sídelnej štruktúry s prvkami verejnej zelene, izolačnej zelene a prvkami drobnej infraštruktúry urbánneho dizajnu;</w:t>
      </w:r>
    </w:p>
    <w:p>
      <w:pPr>
        <w:pStyle w:val="Odsekzoznamu"/>
        <w:numPr>
          <w:ilvl w:val="0"/>
          <w:numId w:val="11"/>
        </w:numPr>
        <w:tabs>
          <w:tab w:val="left" w:pos="1425"/>
        </w:tabs>
        <w:jc w:val="both"/>
        <w:rPr>
          <w:rFonts w:ascii="Arial" w:hAnsi="Arial" w:cs="Arial"/>
        </w:rPr>
      </w:pPr>
      <w:r>
        <w:rPr>
          <w:rFonts w:ascii="Arial" w:hAnsi="Arial" w:cs="Arial"/>
        </w:rPr>
        <w:t>revitalizácia opustených poľnohospodárskych lokalít, hlavne bývalých hospodárskych dvorov a nepoľnohospodárskou činnosťou znehodnotenej alebo dlhodobo nevyužívanej pôdy.</w:t>
      </w:r>
    </w:p>
    <w:p>
      <w:pPr>
        <w:jc w:val="both"/>
        <w:rPr>
          <w:rFonts w:ascii="Arial" w:hAnsi="Arial" w:cs="Arial"/>
        </w:rPr>
      </w:pPr>
      <w:r>
        <w:rPr>
          <w:rFonts w:ascii="Arial" w:hAnsi="Arial" w:cs="Arial"/>
        </w:rPr>
        <w:t xml:space="preserve">Oprávnení prijímatelia: </w:t>
      </w:r>
    </w:p>
    <w:p>
      <w:pPr>
        <w:pStyle w:val="Odsekzoznamu"/>
        <w:numPr>
          <w:ilvl w:val="0"/>
          <w:numId w:val="37"/>
        </w:numPr>
        <w:jc w:val="both"/>
        <w:rPr>
          <w:rFonts w:ascii="Arial" w:hAnsi="Arial" w:cs="Arial"/>
        </w:rPr>
      </w:pPr>
      <w:r>
        <w:rPr>
          <w:rFonts w:ascii="Arial" w:hAnsi="Arial" w:cs="Arial"/>
        </w:rPr>
        <w:t>obce, vyššie územné celky, MVO, občianske združenia, fyzické a právnické osoby vlastniace pozemky a objekty určené na revitalizáciu.</w:t>
      </w:r>
    </w:p>
    <w:p>
      <w:pPr>
        <w:jc w:val="both"/>
        <w:rPr>
          <w:rFonts w:ascii="Arial" w:hAnsi="Arial" w:cs="Arial"/>
        </w:rPr>
      </w:pPr>
      <w:r>
        <w:rPr>
          <w:rFonts w:ascii="Arial" w:hAnsi="Arial" w:cs="Arial"/>
        </w:rPr>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pPr>
        <w:jc w:val="both"/>
        <w:rPr>
          <w:rFonts w:ascii="Arial" w:hAnsi="Arial" w:cs="Arial"/>
        </w:rPr>
      </w:pPr>
      <w:r>
        <w:rPr>
          <w:rFonts w:ascii="Arial" w:hAnsi="Arial" w:cs="Arial"/>
        </w:rPr>
        <w:t>Cieľové územie:</w:t>
      </w:r>
    </w:p>
    <w:p>
      <w:pPr>
        <w:pStyle w:val="Odsekzoznamu"/>
        <w:numPr>
          <w:ilvl w:val="0"/>
          <w:numId w:val="64"/>
        </w:numPr>
        <w:tabs>
          <w:tab w:val="clear" w:pos="360"/>
          <w:tab w:val="num" w:pos="720"/>
        </w:tabs>
        <w:ind w:left="720"/>
        <w:jc w:val="both"/>
        <w:rPr>
          <w:rFonts w:ascii="Arial" w:hAnsi="Arial" w:cs="Arial"/>
        </w:rPr>
      </w:pPr>
      <w:r>
        <w:rPr>
          <w:rFonts w:ascii="Arial" w:hAnsi="Arial" w:cs="Arial"/>
        </w:rPr>
        <w:t>celé územie SR okrem Bratislavského kraja.</w:t>
      </w:r>
    </w:p>
    <w:p>
      <w:pPr>
        <w:jc w:val="both"/>
        <w:rPr>
          <w:rFonts w:ascii="Arial" w:hAnsi="Arial" w:cs="Arial"/>
        </w:rPr>
      </w:pPr>
      <w:r>
        <w:rPr>
          <w:rFonts w:ascii="Arial" w:hAnsi="Arial" w:cs="Arial"/>
        </w:rPr>
        <w:t>Na plnenie špecifického cieľa č. 4.3.2 bude využitá schéma štátnej pomoci, resp. schéma pomoci de minimis v zmysle príslušných ustanovených pravidiel plne zodpovedajúcich legislatíve Európskej únie, ako aj ďalším dokumentom Európskej komisie v oblasti štátnej pomoci.</w:t>
      </w:r>
    </w:p>
    <w:p>
      <w:pPr>
        <w:tabs>
          <w:tab w:val="num" w:pos="720"/>
        </w:tabs>
        <w:jc w:val="both"/>
        <w:rPr>
          <w:rFonts w:ascii="Arial" w:hAnsi="Arial" w:cs="Arial"/>
        </w:rPr>
      </w:pPr>
    </w:p>
    <w:p>
      <w:pPr>
        <w:pStyle w:val="Nadpis6"/>
        <w:rPr>
          <w:rFonts w:ascii="Arial" w:hAnsi="Arial" w:cs="Arial"/>
        </w:rPr>
      </w:pPr>
      <w:bookmarkStart w:id="112" w:name="_Toc387153958"/>
      <w:r>
        <w:rPr>
          <w:rFonts w:ascii="Arial" w:hAnsi="Arial" w:cs="Arial"/>
        </w:rPr>
        <w:t>2.4.3.2. Hlavné zásady výberu operácií</w:t>
      </w:r>
      <w:bookmarkEnd w:id="112"/>
    </w:p>
    <w:p>
      <w:pPr>
        <w:spacing w:before="120"/>
        <w:jc w:val="both"/>
        <w:rPr>
          <w:rFonts w:ascii="Arial" w:hAnsi="Arial" w:cs="Arial"/>
        </w:rPr>
      </w:pPr>
      <w:r>
        <w:rPr>
          <w:rFonts w:ascii="Arial" w:hAnsi="Arial" w:cs="Arial"/>
        </w:rPr>
        <w:t>Obmedzenia vo vzťahu k oprávneným/neoprávneným výdavkom v rámci špecifického cieľa:</w:t>
      </w:r>
    </w:p>
    <w:p>
      <w:pPr>
        <w:pStyle w:val="Odsekzoznamu"/>
        <w:numPr>
          <w:ilvl w:val="0"/>
          <w:numId w:val="36"/>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p>
    <w:p>
      <w:pPr>
        <w:pStyle w:val="Odsekzoznamu"/>
        <w:numPr>
          <w:ilvl w:val="0"/>
          <w:numId w:val="36"/>
        </w:numPr>
        <w:jc w:val="both"/>
        <w:rPr>
          <w:rFonts w:ascii="Arial" w:hAnsi="Arial" w:cs="Arial"/>
        </w:rPr>
      </w:pPr>
      <w:r>
        <w:rPr>
          <w:rFonts w:ascii="Arial" w:hAnsi="Arial" w:cs="Arial"/>
        </w:rPr>
        <w:t>Projekt uplatňuje zásadu „znečisťovateľ platí“ ako podmienku výberu projektov.</w:t>
      </w:r>
    </w:p>
    <w:p>
      <w:pPr>
        <w:jc w:val="both"/>
        <w:rPr>
          <w:rFonts w:ascii="Arial" w:hAnsi="Arial" w:cs="Arial"/>
        </w:rPr>
      </w:pPr>
      <w:r>
        <w:rPr>
          <w:rFonts w:ascii="Arial" w:hAnsi="Arial" w:cs="Arial"/>
        </w:rPr>
        <w:t>Pre efektívne dosiahnutie čo najväčšieho príspevku operácií/projektov k naplneniu špecifického cieľa 4.3.2 a dosiahnutie stanovených výsledkov navrhované operácie/projekty rešpektujú nasledovné princípy:</w:t>
      </w:r>
    </w:p>
    <w:p>
      <w:pPr>
        <w:pStyle w:val="Odsekzoznamu"/>
        <w:numPr>
          <w:ilvl w:val="0"/>
          <w:numId w:val="72"/>
        </w:numPr>
        <w:jc w:val="both"/>
        <w:rPr>
          <w:rFonts w:ascii="Arial" w:hAnsi="Arial" w:cs="Arial"/>
        </w:rPr>
      </w:pPr>
      <w:r>
        <w:rPr>
          <w:rFonts w:ascii="Arial" w:hAnsi="Arial" w:cs="Arial"/>
        </w:rPr>
        <w:t>pre projekt bude platiť efektívna bonifikácia, pokiaľ pri obnove/výstavbe budov a ich častí budú tepelnotechnické vlastnosti stavebných konštrukcií a budov spĺňať parametre nad rámec aktuálne požadovanej úrovne energetickej hospodárnosti podľa STN 73 0540-2: 2012,</w:t>
      </w:r>
    </w:p>
    <w:p>
      <w:pPr>
        <w:pStyle w:val="Odsekzoznamu"/>
        <w:numPr>
          <w:ilvl w:val="0"/>
          <w:numId w:val="72"/>
        </w:numPr>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72"/>
        </w:numPr>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72"/>
        </w:numPr>
        <w:jc w:val="both"/>
        <w:rPr>
          <w:rFonts w:ascii="Arial" w:hAnsi="Arial" w:cs="Arial"/>
        </w:rPr>
      </w:pPr>
      <w:r>
        <w:rPr>
          <w:rFonts w:ascii="Arial" w:hAnsi="Arial" w:cs="Arial"/>
        </w:rPr>
        <w:t>projekt uplatňuje zásadu „znečisťovateľ platí“ ako podmienku výberu projektov.</w:t>
      </w:r>
    </w:p>
    <w:p>
      <w:pPr>
        <w:pStyle w:val="Nadpis6"/>
        <w:rPr>
          <w:rFonts w:ascii="Arial" w:hAnsi="Arial" w:cs="Arial"/>
        </w:rPr>
      </w:pPr>
      <w:bookmarkStart w:id="113" w:name="_Toc387153959"/>
      <w:r>
        <w:rPr>
          <w:rFonts w:ascii="Arial" w:hAnsi="Arial" w:cs="Arial"/>
        </w:rPr>
        <w:t>2.4.3.3. Plánované využitie finančných nástrojov</w:t>
      </w:r>
      <w:bookmarkEnd w:id="113"/>
    </w:p>
    <w:p>
      <w:pPr>
        <w:spacing w:before="240"/>
        <w:jc w:val="both"/>
        <w:rPr>
          <w:rFonts w:ascii="Arial" w:hAnsi="Arial" w:cs="Arial"/>
        </w:rPr>
      </w:pPr>
      <w:bookmarkStart w:id="114" w:name="_Toc378169942"/>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bookmarkEnd w:id="114"/>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bookmarkStart w:id="115" w:name="_Toc378169943"/>
      <w:bookmarkStart w:id="116" w:name="_Toc383337516"/>
      <w:bookmarkStart w:id="117" w:name="_Toc383369335"/>
      <w:r>
        <w:rPr>
          <w:rFonts w:ascii="Arial" w:hAnsi="Arial" w:cs="Arial"/>
        </w:rPr>
        <w:lastRenderedPageBreak/>
        <w:t>V prípade využitia finančných nástrojov bude možné príslušné aktivity podporiť rôznymi finančnými produktmi (úvery, záruky, kapitálové vklady, mezzanine a pod). Konkrétne aktivity, vhodný objem prostriedkov a podmienky implementácie konkrétnych finančných nástrojov vrátane možného znásobenia alokovaných prostriedkov a ich kombinácie s inými formami podpory budú vychádzať z výsledkov ex-ante hodnotenia pre finančné nástroje, vyžadovaného legislatívou pre programové obdobie 2014 – 2020. Konkrétne využitie finančných nástrojov bude doplnené po realizácii uvedeného hodnotenia.</w:t>
      </w:r>
      <w:bookmarkEnd w:id="115"/>
      <w:bookmarkEnd w:id="116"/>
      <w:bookmarkEnd w:id="117"/>
    </w:p>
    <w:p>
      <w:pPr>
        <w:pStyle w:val="Nadpis6"/>
        <w:rPr>
          <w:rFonts w:ascii="Arial" w:hAnsi="Arial" w:cs="Arial"/>
        </w:rPr>
      </w:pPr>
      <w:bookmarkStart w:id="118" w:name="_Toc387153960"/>
      <w:r>
        <w:rPr>
          <w:rFonts w:ascii="Arial" w:hAnsi="Arial" w:cs="Arial"/>
        </w:rPr>
        <w:t>2.4.3.4. Plánované využitie veľkých projektov</w:t>
      </w:r>
      <w:bookmarkEnd w:id="118"/>
    </w:p>
    <w:p>
      <w:pPr>
        <w:spacing w:before="240"/>
        <w:jc w:val="both"/>
        <w:rPr>
          <w:rFonts w:ascii="Arial" w:hAnsi="Arial" w:cs="Arial"/>
        </w:rPr>
      </w:pPr>
      <w:bookmarkStart w:id="119" w:name="_Toc369530759"/>
      <w:bookmarkStart w:id="120" w:name="_Toc369876871"/>
      <w:bookmarkStart w:id="121" w:name="_Toc377990780"/>
      <w:r>
        <w:rPr>
          <w:rFonts w:ascii="Arial" w:hAnsi="Arial" w:cs="Arial"/>
        </w:rPr>
        <w:t xml:space="preserve">V tejto investičnej priorite nie sú podporované projekty z kategórie veľkých projektov podľa čl. 100 – 103 </w:t>
      </w:r>
      <w:bookmarkEnd w:id="119"/>
      <w:bookmarkEnd w:id="120"/>
      <w:bookmarkEnd w:id="121"/>
      <w:r>
        <w:rPr>
          <w:rFonts w:ascii="Arial" w:hAnsi="Arial" w:cs="Arial"/>
        </w:rPr>
        <w:t>nariadenia EP a Rady (EÚ) č. 1303/2013.</w:t>
      </w:r>
    </w:p>
    <w:p>
      <w:pPr>
        <w:pStyle w:val="Nadpis6"/>
        <w:rPr>
          <w:rFonts w:ascii="Arial" w:hAnsi="Arial" w:cs="Arial"/>
        </w:rPr>
      </w:pPr>
      <w:bookmarkStart w:id="122" w:name="_Toc387153961"/>
      <w:r>
        <w:rPr>
          <w:rFonts w:ascii="Arial" w:hAnsi="Arial" w:cs="Arial"/>
        </w:rPr>
        <w:t>2.4.3.5. Ukazovatele výstupov podľa investičnej priority a ak je to vhodné, podľa kategórie regiónu</w:t>
      </w:r>
      <w:bookmarkEnd w:id="122"/>
    </w:p>
    <w:p>
      <w:pPr>
        <w:spacing w:before="240"/>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 zelenej infraštruktúry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Rozloha revitalizovaných objektov</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Plocha v 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Vytvorené alebo obnovené otvorené priestranstvá v mestských oblastiach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rPr>
            </w:pPr>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rPr>
          <w:rFonts w:ascii="Arial" w:hAnsi="Arial" w:cs="Arial"/>
          <w:sz w:val="18"/>
          <w:szCs w:val="18"/>
        </w:rPr>
      </w:pPr>
    </w:p>
    <w:p>
      <w:pPr>
        <w:pStyle w:val="Nadpis5"/>
        <w:shd w:val="clear" w:color="auto" w:fill="B8C1E9"/>
        <w:rPr>
          <w:rFonts w:ascii="Arial" w:hAnsi="Arial" w:cs="Arial"/>
        </w:rPr>
      </w:pPr>
      <w:bookmarkStart w:id="123" w:name="_Toc387153962"/>
      <w:bookmarkStart w:id="124" w:name="_Toc360515285"/>
      <w:r>
        <w:rPr>
          <w:rFonts w:ascii="Arial" w:hAnsi="Arial" w:cs="Arial"/>
        </w:rPr>
        <w:t>Výkonnostný rámec</w:t>
      </w:r>
      <w:bookmarkEnd w:id="123"/>
    </w:p>
    <w:p>
      <w:pPr>
        <w:rPr>
          <w:rFonts w:ascii="Arial" w:hAnsi="Arial" w:cs="Arial"/>
        </w:rPr>
      </w:pPr>
    </w:p>
    <w:p>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708"/>
        <w:gridCol w:w="426"/>
        <w:gridCol w:w="425"/>
        <w:gridCol w:w="629"/>
        <w:gridCol w:w="930"/>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80"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93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62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93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lastRenderedPageBreak/>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Spotreba PEZ v budovách na bývanie</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MWh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270 000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425 000</w:t>
            </w:r>
          </w:p>
        </w:tc>
        <w:tc>
          <w:tcPr>
            <w:tcW w:w="930" w:type="dxa"/>
            <w:tcBorders>
              <w:left w:val="single" w:sz="8" w:space="0" w:color="4E67C8"/>
              <w:right w:val="single" w:sz="8" w:space="0" w:color="4E67C8"/>
            </w:tcBorders>
            <w:shd w:val="clear" w:color="auto" w:fill="auto"/>
          </w:tcPr>
          <w:p>
            <w:pPr>
              <w:rPr>
                <w:rFonts w:ascii="Arial" w:eastAsiaTheme="minorHAnsi" w:hAnsi="Arial" w:cs="Arial"/>
                <w:sz w:val="14"/>
                <w:szCs w:val="14"/>
              </w:rPr>
            </w:pPr>
            <w:r>
              <w:rPr>
                <w:rFonts w:ascii="Arial" w:hAnsi="Arial" w:cs="Arial"/>
                <w:sz w:val="14"/>
                <w:szCs w:val="14"/>
              </w:rPr>
              <w:t>Monitorovací systém energetickej efektívnosti (SIEA),</w:t>
            </w:r>
          </w:p>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Spotreba PEZ v budovách na bývanie</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MWh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30 000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50 000</w:t>
            </w:r>
          </w:p>
        </w:tc>
        <w:tc>
          <w:tcPr>
            <w:tcW w:w="930" w:type="dxa"/>
            <w:tcBorders>
              <w:left w:val="single" w:sz="8" w:space="0" w:color="4E67C8"/>
              <w:right w:val="single" w:sz="8" w:space="0" w:color="4E67C8"/>
            </w:tcBorders>
            <w:shd w:val="clear" w:color="auto" w:fill="auto"/>
          </w:tcPr>
          <w:p>
            <w:pPr>
              <w:rPr>
                <w:rFonts w:ascii="Arial" w:eastAsiaTheme="minorHAnsi" w:hAnsi="Arial" w:cs="Arial"/>
                <w:sz w:val="14"/>
                <w:szCs w:val="14"/>
              </w:rPr>
            </w:pPr>
            <w:r>
              <w:rPr>
                <w:rFonts w:ascii="Arial" w:hAnsi="Arial" w:cs="Arial"/>
                <w:sz w:val="14"/>
                <w:szCs w:val="14"/>
              </w:rPr>
              <w:t>Monitorovací systém energetickej efektívnosti (SIEA),</w:t>
            </w:r>
          </w:p>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obyvateľov so zlepšenou dodávkou pitnej vody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Dodatočné obyvateľstvo napojené na zlepšenú vodovodnú sieť</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Obyvateľ</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MŽP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Vybudované prvkov zelenej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Prvok zelenej infraštruktúry</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Rozloha revitalizovaných objektov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Plocha v m</w:t>
            </w:r>
            <w:r>
              <w:rPr>
                <w:rFonts w:ascii="Arial" w:hAnsi="Arial" w:cs="Arial"/>
                <w:sz w:val="14"/>
                <w:szCs w:val="14"/>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Style w:val="Nadpis5"/>
        <w:shd w:val="clear" w:color="auto" w:fill="B8C1E9"/>
        <w:rPr>
          <w:rFonts w:ascii="Arial" w:hAnsi="Arial" w:cs="Arial"/>
        </w:rPr>
      </w:pPr>
      <w:bookmarkStart w:id="125" w:name="_Toc387153963"/>
      <w:r>
        <w:rPr>
          <w:rFonts w:ascii="Arial" w:hAnsi="Arial" w:cs="Arial"/>
        </w:rPr>
        <w:t>Kategórie intervencie</w:t>
      </w:r>
      <w:bookmarkEnd w:id="124"/>
      <w:bookmarkEnd w:id="125"/>
    </w:p>
    <w:p>
      <w:pPr>
        <w:rPr>
          <w:rFonts w:ascii="Arial" w:hAnsi="Arial" w:cs="Arial"/>
        </w:rPr>
      </w:pPr>
    </w:p>
    <w:p>
      <w:pPr>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 </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5 328 116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89</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88 328 116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57 000 000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66 754 888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66 000 000</w:t>
            </w:r>
          </w:p>
        </w:tc>
      </w:tr>
    </w:tbl>
    <w:p>
      <w:pPr>
        <w:rPr>
          <w:rStyle w:val="Zvraznenie"/>
          <w:rFonts w:ascii="Arial" w:hAnsi="Arial" w:cs="Arial"/>
        </w:rPr>
      </w:pPr>
    </w:p>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40 000 000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48 328 116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6 400 000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2 500 000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Fonts w:ascii="Arial" w:hAnsi="Arial" w:cs="Arial"/>
          <w:i/>
          <w:color w:val="4EACF3"/>
        </w:rPr>
      </w:pPr>
    </w:p>
    <w:p>
      <w:pPr>
        <w:pStyle w:val="Nadpis5"/>
        <w:shd w:val="clear" w:color="auto" w:fill="B8C1E9"/>
        <w:rPr>
          <w:rFonts w:ascii="Arial" w:hAnsi="Arial" w:cs="Arial"/>
        </w:rPr>
      </w:pPr>
      <w:bookmarkStart w:id="126" w:name="_Toc387153964"/>
      <w:bookmarkStart w:id="127"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126"/>
      <w:r>
        <w:rPr>
          <w:rFonts w:ascii="Arial" w:hAnsi="Arial" w:cs="Arial"/>
        </w:rPr>
        <w:t xml:space="preserve">  </w:t>
      </w:r>
      <w:bookmarkEnd w:id="127"/>
    </w:p>
    <w:p>
      <w:pPr>
        <w:rPr>
          <w:rFonts w:ascii="Arial" w:hAnsi="Arial" w:cs="Arial"/>
          <w:i/>
          <w:color w:val="4EACF3"/>
        </w:rPr>
      </w:pPr>
    </w:p>
    <w:p>
      <w:pPr>
        <w:rPr>
          <w:rFonts w:ascii="Arial" w:hAnsi="Arial" w:cs="Arial"/>
        </w:rPr>
        <w:sectPr>
          <w:pgSz w:w="11906" w:h="16838"/>
          <w:pgMar w:top="1417" w:right="1417" w:bottom="1417" w:left="1417" w:header="708" w:footer="708" w:gutter="0"/>
          <w:cols w:space="708"/>
          <w:docGrid w:linePitch="360"/>
        </w:sectPr>
      </w:pPr>
      <w:r>
        <w:rPr>
          <w:rFonts w:ascii="Arial" w:hAnsi="Arial" w:cs="Arial"/>
        </w:rPr>
        <w:t>N/A</w:t>
      </w:r>
    </w:p>
    <w:p>
      <w:pPr>
        <w:pStyle w:val="Nadpis3"/>
        <w:shd w:val="clear" w:color="auto" w:fill="21306A"/>
        <w:rPr>
          <w:rFonts w:ascii="Arial" w:hAnsi="Arial" w:cs="Arial"/>
          <w:color w:val="FFFFFF"/>
          <w:sz w:val="28"/>
          <w:szCs w:val="28"/>
        </w:rPr>
      </w:pPr>
      <w:bookmarkStart w:id="128" w:name="_Toc387153965"/>
      <w:r>
        <w:rPr>
          <w:rFonts w:ascii="Arial" w:hAnsi="Arial" w:cs="Arial"/>
          <w:color w:val="FFFFFF"/>
          <w:sz w:val="28"/>
          <w:szCs w:val="28"/>
        </w:rPr>
        <w:lastRenderedPageBreak/>
        <w:t>2.5. Prioritná os č. 5: Miestny rozvoj vedený komunitou</w:t>
      </w:r>
      <w:bookmarkEnd w:id="128"/>
    </w:p>
    <w:p>
      <w:pPr>
        <w:jc w:val="both"/>
        <w:rPr>
          <w:rFonts w:ascii="Arial" w:hAnsi="Arial" w:cs="Arial"/>
        </w:rPr>
      </w:pPr>
    </w:p>
    <w:p>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regióne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pPr>
        <w:jc w:val="both"/>
        <w:rPr>
          <w:rFonts w:ascii="Arial" w:hAnsi="Arial" w:cs="Arial"/>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104 210 529</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1 666 667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spacing w:after="0" w:line="240" w:lineRule="auto"/>
        <w:rPr>
          <w:rFonts w:ascii="Arial" w:eastAsia="Times New Roman" w:hAnsi="Arial" w:cs="Arial"/>
          <w:b/>
          <w:bCs/>
          <w:i/>
          <w:iCs/>
          <w:color w:val="FFFFFF"/>
        </w:rPr>
      </w:pPr>
      <w:r>
        <w:rPr>
          <w:rFonts w:ascii="Arial" w:hAnsi="Arial" w:cs="Arial"/>
          <w:color w:val="FFFFFF"/>
        </w:rPr>
        <w:br w:type="page"/>
      </w:r>
    </w:p>
    <w:p>
      <w:pPr>
        <w:pStyle w:val="Nadpis4"/>
        <w:shd w:val="clear" w:color="auto" w:fill="21306A"/>
        <w:spacing w:after="240"/>
        <w:rPr>
          <w:rFonts w:ascii="Arial" w:hAnsi="Arial" w:cs="Arial"/>
          <w:color w:val="FFFFFF"/>
        </w:rPr>
      </w:pPr>
      <w:bookmarkStart w:id="129" w:name="_Toc387153966"/>
      <w:r>
        <w:rPr>
          <w:rFonts w:ascii="Arial" w:hAnsi="Arial" w:cs="Arial"/>
          <w:color w:val="FFFFFF"/>
        </w:rPr>
        <w:lastRenderedPageBreak/>
        <w:t>2.5.1. Investičná priorita č. 5.1: Záväzné investície v rámci stratégií miestneho rozvoja vedeného komunitou</w:t>
      </w:r>
      <w:bookmarkEnd w:id="129"/>
    </w:p>
    <w:p>
      <w:pPr>
        <w:spacing w:before="120"/>
        <w:rPr>
          <w:rFonts w:ascii="Arial" w:hAnsi="Arial" w:cs="Arial"/>
          <w:b/>
          <w:color w:val="4EACF3"/>
        </w:rPr>
      </w:pPr>
      <w:r>
        <w:rPr>
          <w:rFonts w:ascii="Arial" w:hAnsi="Arial" w:cs="Arial"/>
          <w:b/>
        </w:rPr>
        <w:t xml:space="preserve">Špecifický cieľ č. 5.1.1: </w:t>
      </w:r>
    </w:p>
    <w:p>
      <w:pPr>
        <w:shd w:val="clear" w:color="auto" w:fill="D9D9D9"/>
        <w:jc w:val="both"/>
        <w:rPr>
          <w:rStyle w:val="Zvraznenie"/>
          <w:rFonts w:ascii="Arial" w:hAnsi="Arial" w:cs="Arial"/>
        </w:rPr>
      </w:pPr>
      <w:r>
        <w:rPr>
          <w:rStyle w:val="Zvraznenie"/>
          <w:rFonts w:ascii="Arial" w:hAnsi="Arial" w:cs="Arial"/>
        </w:rPr>
        <w:t>Zvýšenie kapacít pre miestny rozvoj vedený komunitou</w:t>
      </w:r>
    </w:p>
    <w:p>
      <w:pPr>
        <w:tabs>
          <w:tab w:val="left" w:pos="1425"/>
        </w:tabs>
        <w:jc w:val="both"/>
        <w:rPr>
          <w:rFonts w:ascii="Arial" w:hAnsi="Arial" w:cs="Arial"/>
        </w:rPr>
      </w:pPr>
      <w:r>
        <w:rPr>
          <w:rFonts w:ascii="Arial" w:hAnsi="Arial" w:cs="Arial"/>
        </w:rPr>
        <w:t xml:space="preserve">Miestny rozvoj vedený komunitou (ďalej len „CLLD“) je postavený na fungovaní miestnych verejno-súkromných partnerstiev, inštitucionalizovaných v podobe miestnych akčných skupín (ďalej len „MAS“). Tieto miestne partnerstvá môžu efektívne fungovať, a prispievať tak k rozvoju svojich spoločenstiev iba v prípade, ak disponujú kvalitnými a dostatočnými ľudskými kapacity (odbornými, manažérskymi) ako aj technicko-organizačným zázemím. Špecificky vidiecke oblasti, ktoré sú predmetom podpory, trpia na neustály odliv ľudského kapitálu do miest. Z toho dôvodu je nevyhnutné motivovať, stimulovať a rozvíjať aktivizáciu miestnych spoločenstiev a jej kľúčových aktérov prostredníctvom financovania riadenia stratégií miestneho rozvoja vedeného komunitou (ďalej len „stratégie CLLD“), prevádzkových nákladov, osobných nákladov, nákladov na školenia, nákladov spojených s propagáciou a PR, finančných nákladov, ako aj nákladov spojených s monitorovaním a hodnotením stratégií CLLD. </w:t>
      </w:r>
    </w:p>
    <w:p>
      <w:pPr>
        <w:tabs>
          <w:tab w:val="left" w:pos="426"/>
        </w:tabs>
        <w:spacing w:after="60" w:line="240" w:lineRule="auto"/>
        <w:jc w:val="both"/>
        <w:rPr>
          <w:rFonts w:ascii="Arial" w:hAnsi="Arial" w:cs="Arial"/>
          <w:b/>
          <w:bCs/>
        </w:rPr>
      </w:pPr>
      <w:r>
        <w:rPr>
          <w:rFonts w:ascii="Arial" w:hAnsi="Arial" w:cs="Arial"/>
          <w:b/>
          <w:bCs/>
        </w:rPr>
        <w:t>Výsledok podpory IROP:</w:t>
      </w:r>
    </w:p>
    <w:p>
      <w:pPr>
        <w:pStyle w:val="Odsekzoznamu"/>
        <w:numPr>
          <w:ilvl w:val="0"/>
          <w:numId w:val="49"/>
        </w:numPr>
        <w:tabs>
          <w:tab w:val="left" w:pos="1425"/>
        </w:tabs>
        <w:jc w:val="both"/>
        <w:rPr>
          <w:rFonts w:ascii="Arial" w:hAnsi="Arial" w:cs="Arial"/>
        </w:rPr>
      </w:pPr>
      <w:r>
        <w:rPr>
          <w:rFonts w:ascii="Arial" w:hAnsi="Arial" w:cs="Arial"/>
        </w:rPr>
        <w:t xml:space="preserve">efektívne zabezpečenie chodu MAS, propagácie a realizácie stratégií CLLD  </w:t>
      </w:r>
    </w:p>
    <w:p>
      <w:pPr>
        <w:spacing w:after="0" w:line="240" w:lineRule="auto"/>
        <w:jc w:val="center"/>
        <w:rPr>
          <w:rFonts w:ascii="Arial" w:hAnsi="Arial" w:cs="Arial"/>
          <w:color w:val="FF0000"/>
          <w:shd w:val="clear" w:color="auto" w:fill="FFFFFF"/>
        </w:rPr>
      </w:pPr>
    </w:p>
    <w:p>
      <w:pPr>
        <w:rPr>
          <w:rStyle w:val="Zvraznenie"/>
          <w:rFonts w:ascii="Arial" w:hAnsi="Arial" w:cs="Arial"/>
        </w:rPr>
      </w:pPr>
      <w:r>
        <w:rPr>
          <w:rStyle w:val="Siln"/>
          <w:rFonts w:ascii="Arial" w:hAnsi="Arial" w:cs="Arial"/>
        </w:rPr>
        <w:t>Tabuľka č. 40</w:t>
      </w:r>
      <w:r>
        <w:rPr>
          <w:rStyle w:val="Zvraznenie"/>
          <w:rFonts w:ascii="Arial" w:hAnsi="Arial" w:cs="Arial"/>
        </w:rPr>
        <w:t xml:space="preserve"> Výsledkové ukazovatele pre špecifický cieľ č. 5.1.1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992"/>
        <w:gridCol w:w="992"/>
        <w:gridCol w:w="1418"/>
        <w:gridCol w:w="1417"/>
        <w:gridCol w:w="993"/>
        <w:gridCol w:w="708"/>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Populácia pokrytá MAS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606 961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950 000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Populácia pokrytá MAS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10 672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spacing w:before="120"/>
        <w:rPr>
          <w:rFonts w:ascii="Arial" w:hAnsi="Arial" w:cs="Arial"/>
          <w:b/>
        </w:rPr>
      </w:pPr>
    </w:p>
    <w:p>
      <w:pPr>
        <w:spacing w:before="120"/>
        <w:rPr>
          <w:rFonts w:ascii="Arial" w:hAnsi="Arial" w:cs="Arial"/>
          <w:b/>
          <w:color w:val="4EACF3"/>
        </w:rPr>
      </w:pPr>
      <w:r>
        <w:rPr>
          <w:rFonts w:ascii="Arial" w:hAnsi="Arial" w:cs="Arial"/>
          <w:b/>
        </w:rPr>
        <w:t xml:space="preserve">Špecifický cieľ č. 5.1.2: </w:t>
      </w:r>
    </w:p>
    <w:p>
      <w:pPr>
        <w:shd w:val="clear" w:color="auto" w:fill="D9D9D9"/>
        <w:jc w:val="both"/>
        <w:rPr>
          <w:rStyle w:val="Zvraznenie"/>
          <w:rFonts w:ascii="Arial" w:hAnsi="Arial" w:cs="Arial"/>
        </w:rPr>
      </w:pPr>
      <w:r>
        <w:rPr>
          <w:rStyle w:val="Zvraznenie"/>
          <w:rFonts w:ascii="Arial" w:hAnsi="Arial" w:cs="Arial"/>
        </w:rPr>
        <w:t>Zvýšenie tvorby pracovných miest rozvojom podnikania a inovácií na miestnej úrovni</w:t>
      </w:r>
    </w:p>
    <w:p>
      <w:pPr>
        <w:tabs>
          <w:tab w:val="left" w:pos="1425"/>
        </w:tabs>
        <w:jc w:val="both"/>
        <w:rPr>
          <w:rFonts w:ascii="Arial" w:hAnsi="Arial" w:cs="Arial"/>
        </w:rPr>
      </w:pPr>
      <w:r>
        <w:rPr>
          <w:rFonts w:ascii="Arial" w:hAnsi="Arial" w:cs="Arial"/>
        </w:rPr>
        <w:t>Trvalo udržateľný rozvoj vidieckych oblastí je nevyhnutne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pPr>
        <w:tabs>
          <w:tab w:val="left" w:pos="1425"/>
        </w:tabs>
        <w:jc w:val="both"/>
        <w:rPr>
          <w:rFonts w:ascii="Arial" w:hAnsi="Arial" w:cs="Arial"/>
        </w:rPr>
      </w:pPr>
      <w:r>
        <w:rPr>
          <w:rFonts w:ascii="Arial" w:hAnsi="Arial" w:cs="Arial"/>
        </w:rPr>
        <w:t xml:space="preserve">Pre vidiecke regióny je ďalej charakteristický postupný a kontinuálny nárast počtu podnikateľov (samostatne zárobkovo činné osoby), a tým aj nárast podielu na celkovom </w:t>
      </w:r>
      <w:r>
        <w:rPr>
          <w:rFonts w:ascii="Arial" w:hAnsi="Arial" w:cs="Arial"/>
        </w:rPr>
        <w:lastRenderedPageBreak/>
        <w:t>počte podnikateľov v SR. Naopak, čo sa týka dynamiky rastu podnikateľských subjektov ako právnických osôb, táto je na vidieku nižšia ako v mestských regiónoch, čo je vysvetliteľné nižšou ekonomickou silou a nižšou infraštruktúrnou vybavenosťou vidieckych oblastí. Slovensko má výrazný potenciál pre rozvoj vidieckeho cestovného ruchu spojený najmä s využívaním prírodného a historického potenciálu územia. Nezameniteľnú úlohu pri rozvoji vidieka stále zohrávajú podnikateľské subjekty alokované vo vidieckom osídlení a osobitne tie, ktoré sú spojené s poľnohospodárstvom a hospodárením na pôde. Predpoklady pre udržanie zamestnanosti na vidieku spočívajú v zmiernení doterajšieho trendu znižovania počtu pracovných príležitostí v poľnohospodárskej prvovýrobe, avšak pre posilnenie ekonomickej a sociálnej životaschopnosti vidieka je nevyhnutná diverzifikácia ekonomických aktivít, rozvoj služieb a posilnenie investícií do miestnej infraštruktúry. Kľúčovou výzvou na miestnej úrovni v spojení s rozvojom podnikania je sociálna inovácia ako rozvoj a uskutočňovanie nových nápadov (produkty, služby, modely).</w:t>
      </w:r>
    </w:p>
    <w:p>
      <w:pPr>
        <w:tabs>
          <w:tab w:val="left" w:pos="1425"/>
        </w:tabs>
        <w:jc w:val="both"/>
        <w:rPr>
          <w:rFonts w:ascii="Arial" w:hAnsi="Arial" w:cs="Arial"/>
        </w:rPr>
      </w:pPr>
      <w:r>
        <w:rPr>
          <w:rFonts w:ascii="Arial" w:hAnsi="Arial" w:cs="Arial"/>
        </w:rPr>
        <w:t>Podpora z IROP, orientovaná na trh práce v miestnom kontexte, sa bude sústreďovať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alebo v prípade podpory subjektov, ktoré majú tržby z poľnohospodárskej, akvakultúrnej alebo lesníckej činnosti presahujúce 30% z ich celkových tržieb, a ktoré sú predmetom podpory PRV.</w:t>
      </w:r>
    </w:p>
    <w:p>
      <w:pPr>
        <w:tabs>
          <w:tab w:val="left" w:pos="426"/>
        </w:tabs>
        <w:spacing w:after="60" w:line="240" w:lineRule="auto"/>
        <w:jc w:val="both"/>
        <w:rPr>
          <w:rFonts w:ascii="Arial" w:hAnsi="Arial" w:cs="Arial"/>
          <w:b/>
          <w:bCs/>
        </w:rPr>
      </w:pPr>
      <w:r>
        <w:rPr>
          <w:rFonts w:ascii="Arial" w:hAnsi="Arial" w:cs="Arial"/>
          <w:b/>
          <w:bCs/>
        </w:rPr>
        <w:t>Výsledok podpory IROP:</w:t>
      </w:r>
    </w:p>
    <w:p>
      <w:pPr>
        <w:pStyle w:val="Odsekzoznamu"/>
        <w:numPr>
          <w:ilvl w:val="0"/>
          <w:numId w:val="43"/>
        </w:numPr>
        <w:tabs>
          <w:tab w:val="left" w:pos="1425"/>
        </w:tabs>
        <w:jc w:val="both"/>
        <w:rPr>
          <w:rFonts w:ascii="Arial" w:hAnsi="Arial" w:cs="Arial"/>
          <w:bCs/>
        </w:rPr>
      </w:pPr>
      <w:r>
        <w:rPr>
          <w:rFonts w:ascii="Arial" w:hAnsi="Arial" w:cs="Arial"/>
        </w:rPr>
        <w:t xml:space="preserve">zlepšenie využívania ekonomického potenciálu vidieckych oblastí prostredníctvom </w:t>
      </w:r>
      <w:r>
        <w:rPr>
          <w:rFonts w:ascii="Arial" w:hAnsi="Arial" w:cs="Arial"/>
          <w:bCs/>
        </w:rPr>
        <w:t>reštrukturalizácie vidieckej ekonomiky a zavádzania inovácií,</w:t>
      </w:r>
    </w:p>
    <w:p>
      <w:pPr>
        <w:pStyle w:val="Odsekzoznamu"/>
        <w:numPr>
          <w:ilvl w:val="0"/>
          <w:numId w:val="43"/>
        </w:numPr>
        <w:tabs>
          <w:tab w:val="left" w:pos="1425"/>
        </w:tabs>
        <w:jc w:val="both"/>
        <w:rPr>
          <w:rFonts w:ascii="Arial" w:hAnsi="Arial" w:cs="Arial"/>
          <w:bCs/>
        </w:rPr>
      </w:pPr>
      <w:r>
        <w:rPr>
          <w:rFonts w:ascii="Arial" w:hAnsi="Arial" w:cs="Arial"/>
        </w:rPr>
        <w:t>tvorba pracovných miest a hospodárskeho rastu,</w:t>
      </w:r>
    </w:p>
    <w:p>
      <w:pPr>
        <w:pStyle w:val="Odsekzoznamu"/>
        <w:numPr>
          <w:ilvl w:val="0"/>
          <w:numId w:val="43"/>
        </w:numPr>
        <w:tabs>
          <w:tab w:val="left" w:pos="1425"/>
        </w:tabs>
        <w:jc w:val="both"/>
        <w:rPr>
          <w:rFonts w:ascii="Arial" w:hAnsi="Arial" w:cs="Arial"/>
          <w:bCs/>
        </w:rPr>
      </w:pPr>
      <w:r>
        <w:rPr>
          <w:rFonts w:ascii="Arial" w:hAnsi="Arial" w:cs="Arial"/>
          <w:bCs/>
        </w:rPr>
        <w:t>vznik nových komunitných služieb  a podnikov,</w:t>
      </w:r>
    </w:p>
    <w:p>
      <w:pPr>
        <w:pStyle w:val="Odsekzoznamu"/>
        <w:numPr>
          <w:ilvl w:val="0"/>
          <w:numId w:val="43"/>
        </w:numPr>
        <w:tabs>
          <w:tab w:val="left" w:pos="1425"/>
        </w:tabs>
        <w:jc w:val="both"/>
        <w:rPr>
          <w:rFonts w:ascii="Arial" w:hAnsi="Arial" w:cs="Arial"/>
          <w:bCs/>
        </w:rPr>
      </w:pPr>
      <w:r>
        <w:rPr>
          <w:rFonts w:ascii="Arial" w:hAnsi="Arial" w:cs="Arial"/>
          <w:bCs/>
        </w:rPr>
        <w:t>zlepšenie zamestnateľnosti a prístupu k novým formám podnikania a novým pracovným miestam,</w:t>
      </w:r>
    </w:p>
    <w:p>
      <w:pPr>
        <w:pStyle w:val="Odsekzoznamu"/>
        <w:numPr>
          <w:ilvl w:val="0"/>
          <w:numId w:val="4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pPr>
        <w:pStyle w:val="Odsekzoznamu"/>
        <w:numPr>
          <w:ilvl w:val="0"/>
          <w:numId w:val="4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pPr>
        <w:spacing w:after="0" w:line="240" w:lineRule="auto"/>
        <w:jc w:val="both"/>
        <w:rPr>
          <w:rFonts w:ascii="Arial" w:hAnsi="Arial" w:cs="Arial"/>
        </w:rPr>
      </w:pPr>
    </w:p>
    <w:p>
      <w:pPr>
        <w:rPr>
          <w:rStyle w:val="Zvraznenie"/>
          <w:rFonts w:ascii="Arial" w:hAnsi="Arial" w:cs="Arial"/>
        </w:rPr>
      </w:pPr>
      <w:r>
        <w:rPr>
          <w:rStyle w:val="Siln"/>
          <w:rFonts w:ascii="Arial" w:hAnsi="Arial" w:cs="Arial"/>
        </w:rPr>
        <w:t>Tabuľka č. 41</w:t>
      </w:r>
      <w:r>
        <w:rPr>
          <w:rStyle w:val="Zvraznenie"/>
          <w:rFonts w:ascii="Arial" w:hAnsi="Arial" w:cs="Arial"/>
        </w:rPr>
        <w:t xml:space="preserve"> Výsledkové ukazovatele pre špecifický cieľ č. 5.1.2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pracovných miest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pracovných miest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spacing w:after="0" w:line="240" w:lineRule="auto"/>
        <w:jc w:val="both"/>
        <w:rPr>
          <w:rFonts w:ascii="Arial" w:hAnsi="Arial" w:cs="Arial"/>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r>
        <w:rPr>
          <w:rFonts w:ascii="Arial" w:hAnsi="Arial" w:cs="Arial"/>
          <w:b/>
          <w:shd w:val="clear" w:color="auto" w:fill="FFFFFF"/>
        </w:rPr>
        <w:lastRenderedPageBreak/>
        <w:t>Špecifický cieľ 5.1.3</w:t>
      </w:r>
    </w:p>
    <w:p>
      <w:pPr>
        <w:spacing w:after="0" w:line="240" w:lineRule="auto"/>
        <w:jc w:val="both"/>
        <w:rPr>
          <w:rFonts w:ascii="Arial" w:hAnsi="Arial" w:cs="Arial"/>
          <w:shd w:val="clear" w:color="auto" w:fill="FFFFFF"/>
        </w:rPr>
      </w:pPr>
    </w:p>
    <w:p>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pPr>
        <w:tabs>
          <w:tab w:val="left" w:pos="1425"/>
        </w:tabs>
        <w:jc w:val="both"/>
        <w:rPr>
          <w:rFonts w:ascii="Arial" w:hAnsi="Arial" w:cs="Arial"/>
          <w:b/>
        </w:rPr>
      </w:pPr>
      <w:r>
        <w:rPr>
          <w:rFonts w:ascii="Arial" w:hAnsi="Arial" w:cs="Arial"/>
          <w:b/>
        </w:rPr>
        <w:t>Výsledok podpory IROP:</w:t>
      </w:r>
    </w:p>
    <w:p>
      <w:pPr>
        <w:pStyle w:val="Odsekzoznamu"/>
        <w:numPr>
          <w:ilvl w:val="0"/>
          <w:numId w:val="43"/>
        </w:numPr>
        <w:tabs>
          <w:tab w:val="left" w:pos="1425"/>
        </w:tabs>
        <w:jc w:val="both"/>
        <w:rPr>
          <w:rFonts w:ascii="Arial" w:hAnsi="Arial" w:cs="Arial"/>
        </w:rPr>
      </w:pPr>
      <w:r>
        <w:rPr>
          <w:rFonts w:ascii="Arial" w:hAnsi="Arial" w:cs="Arial"/>
        </w:rPr>
        <w:t>zvýšenie kvality života vo vidieckych regiónoch;</w:t>
      </w:r>
    </w:p>
    <w:p>
      <w:pPr>
        <w:pStyle w:val="Odsekzoznamu"/>
        <w:numPr>
          <w:ilvl w:val="0"/>
          <w:numId w:val="43"/>
        </w:numPr>
        <w:tabs>
          <w:tab w:val="left" w:pos="1425"/>
        </w:tabs>
        <w:jc w:val="both"/>
        <w:rPr>
          <w:rFonts w:ascii="Arial" w:hAnsi="Arial" w:cs="Arial"/>
        </w:rPr>
      </w:pPr>
      <w:r>
        <w:rPr>
          <w:rFonts w:ascii="Arial" w:hAnsi="Arial" w:cs="Arial"/>
        </w:rPr>
        <w:t>rozvoj mestsko-vidieckych vzťahov;</w:t>
      </w:r>
    </w:p>
    <w:p>
      <w:pPr>
        <w:pStyle w:val="Odsekzoznamu"/>
        <w:numPr>
          <w:ilvl w:val="0"/>
          <w:numId w:val="43"/>
        </w:numPr>
        <w:tabs>
          <w:tab w:val="left" w:pos="1425"/>
        </w:tabs>
        <w:jc w:val="both"/>
        <w:rPr>
          <w:rFonts w:ascii="Arial" w:hAnsi="Arial" w:cs="Arial"/>
        </w:rPr>
      </w:pPr>
      <w:r>
        <w:rPr>
          <w:rFonts w:ascii="Arial" w:hAnsi="Arial" w:cs="Arial"/>
        </w:rPr>
        <w:t xml:space="preserve">rozvoj verejných služieb. </w:t>
      </w:r>
    </w:p>
    <w:p>
      <w:pPr>
        <w:rPr>
          <w:rStyle w:val="Zvraznenie"/>
          <w:rFonts w:ascii="Arial" w:hAnsi="Arial" w:cs="Arial"/>
        </w:rPr>
      </w:pPr>
      <w:r>
        <w:rPr>
          <w:rStyle w:val="Siln"/>
          <w:rFonts w:ascii="Arial" w:hAnsi="Arial" w:cs="Arial"/>
        </w:rPr>
        <w:t>Tabuľka č. 42</w:t>
      </w:r>
      <w:r>
        <w:rPr>
          <w:rStyle w:val="Zvraznenie"/>
          <w:rFonts w:ascii="Arial" w:hAnsi="Arial" w:cs="Arial"/>
        </w:rPr>
        <w:t xml:space="preserve"> Výsledkové ukazovatele pre špecifický cieľa č. 5.1.3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10 672</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Style w:val="Nadpis5"/>
        <w:shd w:val="clear" w:color="auto" w:fill="B8C1E9"/>
        <w:rPr>
          <w:rFonts w:ascii="Arial" w:hAnsi="Arial" w:cs="Arial"/>
        </w:rPr>
      </w:pPr>
      <w:bookmarkStart w:id="130" w:name="_Toc387153967"/>
      <w:r>
        <w:rPr>
          <w:rFonts w:ascii="Arial" w:hAnsi="Arial" w:cs="Arial"/>
        </w:rPr>
        <w:t>Akcia, ktorá sa má podporiť v rámci investičnej priority</w:t>
      </w:r>
      <w:bookmarkEnd w:id="130"/>
      <w:r>
        <w:rPr>
          <w:rFonts w:ascii="Arial" w:hAnsi="Arial" w:cs="Arial"/>
        </w:rPr>
        <w:t xml:space="preserve"> </w:t>
      </w:r>
    </w:p>
    <w:p>
      <w:pPr>
        <w:pStyle w:val="Nadpis6"/>
        <w:rPr>
          <w:rFonts w:ascii="Arial" w:hAnsi="Arial" w:cs="Arial"/>
        </w:rPr>
      </w:pPr>
      <w:bookmarkStart w:id="131" w:name="_Toc387153968"/>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31"/>
    </w:p>
    <w:p>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je dosahovaný realizáciou nasledovných aktivít:</w:t>
      </w:r>
    </w:p>
    <w:p>
      <w:pPr>
        <w:pStyle w:val="Odsekzoznamu"/>
        <w:numPr>
          <w:ilvl w:val="0"/>
          <w:numId w:val="2"/>
        </w:numPr>
        <w:tabs>
          <w:tab w:val="left" w:pos="1425"/>
        </w:tabs>
        <w:rPr>
          <w:rFonts w:ascii="Arial" w:hAnsi="Arial" w:cs="Arial"/>
        </w:rPr>
      </w:pPr>
      <w:r>
        <w:rPr>
          <w:rFonts w:ascii="Arial" w:hAnsi="Arial" w:cs="Arial"/>
        </w:rPr>
        <w:t>financovanie prevádzkových nákladov MAS spojených s riadením uskutočňovania stratégií CLLD:</w:t>
      </w:r>
    </w:p>
    <w:p>
      <w:pPr>
        <w:pStyle w:val="Odsekzoznamu"/>
        <w:numPr>
          <w:ilvl w:val="1"/>
          <w:numId w:val="2"/>
        </w:numPr>
        <w:tabs>
          <w:tab w:val="left" w:pos="426"/>
        </w:tabs>
        <w:spacing w:after="60"/>
        <w:jc w:val="both"/>
        <w:rPr>
          <w:rFonts w:ascii="Arial" w:hAnsi="Arial" w:cs="Arial"/>
          <w:bCs/>
        </w:rPr>
      </w:pPr>
      <w:r>
        <w:rPr>
          <w:rFonts w:ascii="Arial" w:hAnsi="Arial" w:cs="Arial"/>
          <w:bCs/>
        </w:rPr>
        <w:t>personálne a administratívne náklady MAS (prevádzkové, osobné, poistenie),</w:t>
      </w:r>
    </w:p>
    <w:p>
      <w:pPr>
        <w:pStyle w:val="Odsekzoznamu"/>
        <w:numPr>
          <w:ilvl w:val="1"/>
          <w:numId w:val="2"/>
        </w:numPr>
        <w:tabs>
          <w:tab w:val="left" w:pos="426"/>
        </w:tabs>
        <w:spacing w:after="60"/>
        <w:jc w:val="both"/>
        <w:rPr>
          <w:rFonts w:ascii="Arial" w:hAnsi="Arial" w:cs="Arial"/>
          <w:bCs/>
        </w:rPr>
      </w:pPr>
      <w:r>
        <w:rPr>
          <w:rFonts w:ascii="Arial" w:hAnsi="Arial" w:cs="Arial"/>
          <w:bCs/>
        </w:rPr>
        <w:t>náklady na školenia zamestnancov a členov MAS (okrem školení pre predkladateľov projektov),</w:t>
      </w:r>
    </w:p>
    <w:p>
      <w:pPr>
        <w:pStyle w:val="Odsekzoznamu"/>
        <w:numPr>
          <w:ilvl w:val="1"/>
          <w:numId w:val="2"/>
        </w:numPr>
        <w:tabs>
          <w:tab w:val="left" w:pos="426"/>
        </w:tabs>
        <w:spacing w:after="60"/>
        <w:jc w:val="both"/>
        <w:rPr>
          <w:rFonts w:ascii="Arial" w:hAnsi="Arial" w:cs="Arial"/>
          <w:bCs/>
        </w:rPr>
      </w:pPr>
      <w:r>
        <w:rPr>
          <w:rFonts w:ascii="Arial" w:hAnsi="Arial" w:cs="Arial"/>
          <w:bCs/>
        </w:rPr>
        <w:lastRenderedPageBreak/>
        <w:t>náklady na publicitu,</w:t>
      </w:r>
    </w:p>
    <w:p>
      <w:pPr>
        <w:pStyle w:val="Odsekzoznamu"/>
        <w:numPr>
          <w:ilvl w:val="1"/>
          <w:numId w:val="2"/>
        </w:numPr>
        <w:tabs>
          <w:tab w:val="left" w:pos="426"/>
        </w:tabs>
        <w:spacing w:after="60"/>
        <w:jc w:val="both"/>
        <w:rPr>
          <w:rFonts w:ascii="Arial" w:hAnsi="Arial" w:cs="Arial"/>
          <w:bCs/>
        </w:rPr>
      </w:pPr>
      <w:r>
        <w:rPr>
          <w:rFonts w:ascii="Arial" w:hAnsi="Arial" w:cs="Arial"/>
          <w:bCs/>
        </w:rPr>
        <w:t>finančné náklady,</w:t>
      </w:r>
    </w:p>
    <w:p>
      <w:pPr>
        <w:pStyle w:val="Odsekzoznamu"/>
        <w:numPr>
          <w:ilvl w:val="1"/>
          <w:numId w:val="2"/>
        </w:numPr>
        <w:tabs>
          <w:tab w:val="left" w:pos="426"/>
        </w:tabs>
        <w:spacing w:after="60"/>
        <w:jc w:val="both"/>
        <w:rPr>
          <w:rFonts w:ascii="Arial" w:hAnsi="Arial" w:cs="Arial"/>
          <w:bCs/>
        </w:rPr>
      </w:pPr>
      <w:r>
        <w:rPr>
          <w:rFonts w:ascii="Arial" w:hAnsi="Arial" w:cs="Arial"/>
          <w:bCs/>
        </w:rPr>
        <w:t>náklady na sieťovanie: účasť zamestnancov a členov MAS na stretnutiach s inými MAS, vrátane zasadaní národných a európskych sietí, ako aj poplatky za členstvo v regionálnych, národných alebo európskych sietí MAS,</w:t>
      </w:r>
    </w:p>
    <w:p>
      <w:pPr>
        <w:pStyle w:val="Odsekzoznamu"/>
        <w:numPr>
          <w:ilvl w:val="1"/>
          <w:numId w:val="2"/>
        </w:numPr>
        <w:tabs>
          <w:tab w:val="left" w:pos="426"/>
        </w:tabs>
        <w:spacing w:after="60"/>
        <w:jc w:val="both"/>
        <w:rPr>
          <w:rFonts w:ascii="Arial" w:hAnsi="Arial" w:cs="Arial"/>
          <w:bCs/>
        </w:rPr>
      </w:pPr>
      <w:r>
        <w:rPr>
          <w:rFonts w:ascii="Arial" w:hAnsi="Arial" w:cs="Arial"/>
          <w:bCs/>
        </w:rPr>
        <w:t>náklady vynaložené na monitorovanie a hodnotenie stratégií CLLD (na úrovni MAS),</w:t>
      </w:r>
    </w:p>
    <w:p>
      <w:pPr>
        <w:pStyle w:val="Odsekzoznamu"/>
        <w:numPr>
          <w:ilvl w:val="1"/>
          <w:numId w:val="2"/>
        </w:numPr>
        <w:tabs>
          <w:tab w:val="left" w:pos="426"/>
        </w:tabs>
        <w:spacing w:after="60"/>
        <w:jc w:val="both"/>
        <w:rPr>
          <w:rFonts w:ascii="Arial" w:hAnsi="Arial" w:cs="Arial"/>
          <w:bCs/>
        </w:rPr>
      </w:pPr>
      <w:r>
        <w:rPr>
          <w:rFonts w:ascii="Arial" w:hAnsi="Arial" w:cs="Arial"/>
          <w:bCs/>
        </w:rPr>
        <w:t>vzdelávanie zamestnancov MAS (školenia, konferencie, semináre, workshopy a pod.), ktorí sa podieľajú na príprave a vykonávaní stratégie CLLD.</w:t>
      </w:r>
    </w:p>
    <w:p>
      <w:pPr>
        <w:spacing w:after="0"/>
        <w:jc w:val="both"/>
        <w:rPr>
          <w:rFonts w:asciiTheme="minorHAnsi" w:hAnsiTheme="minorHAnsi" w:cs="Calibri"/>
          <w:bCs/>
        </w:rPr>
      </w:pPr>
    </w:p>
    <w:p>
      <w:pPr>
        <w:tabs>
          <w:tab w:val="left" w:pos="1425"/>
        </w:tabs>
        <w:jc w:val="both"/>
        <w:rPr>
          <w:rFonts w:ascii="Arial" w:hAnsi="Arial" w:cs="Arial"/>
        </w:rPr>
      </w:pPr>
      <w:r>
        <w:rPr>
          <w:rFonts w:ascii="Arial" w:hAnsi="Arial" w:cs="Arial"/>
          <w:b/>
        </w:rPr>
        <w:t>Špecifický cieľ č. 5.1.2</w:t>
      </w:r>
      <w:r>
        <w:rPr>
          <w:rFonts w:ascii="Arial" w:hAnsi="Arial" w:cs="Arial"/>
        </w:rPr>
        <w:t xml:space="preserve"> je dosahovaný realizáciou nasledovných aktivít:</w:t>
      </w:r>
    </w:p>
    <w:p>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obstaranie hmotného majetku SZČO, mikro a malých podnikov pre účely tvorby  pracovných miest,</w:t>
      </w:r>
    </w:p>
    <w:p>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nutné stavebnotechnické úpravy budov spojené s umiestnením obstaranej technológie alebo s poskytovaním nových služieb,</w:t>
      </w:r>
    </w:p>
    <w:p>
      <w:pPr>
        <w:pStyle w:val="Odsekzoznamu"/>
        <w:numPr>
          <w:ilvl w:val="0"/>
          <w:numId w:val="2"/>
        </w:numPr>
        <w:tabs>
          <w:tab w:val="left" w:pos="1425"/>
        </w:tabs>
        <w:jc w:val="both"/>
        <w:rPr>
          <w:rFonts w:ascii="Arial" w:hAnsi="Arial" w:cs="Arial"/>
        </w:rPr>
      </w:pPr>
      <w:r>
        <w:rPr>
          <w:rFonts w:ascii="Arial" w:hAnsi="Arial" w:cs="Arial"/>
        </w:rPr>
        <w:t>vytváranie malých diverzifikovaných podnikov vhodných na zamestnávanie znevýhodnených skupín, dlhodobo nezamestnaných</w:t>
      </w:r>
      <w:r>
        <w:rPr>
          <w:rFonts w:ascii="Arial" w:hAnsi="Arial" w:cs="Arial"/>
          <w:bCs/>
        </w:rPr>
        <w:t>, osôb s nízkou kvalifikáciou a pod.,</w:t>
      </w:r>
    </w:p>
    <w:p>
      <w:pPr>
        <w:pStyle w:val="Odsekzoznamu"/>
        <w:numPr>
          <w:ilvl w:val="0"/>
          <w:numId w:val="2"/>
        </w:numPr>
        <w:tabs>
          <w:tab w:val="left" w:pos="1425"/>
        </w:tabs>
        <w:jc w:val="both"/>
        <w:rPr>
          <w:rFonts w:ascii="Arial" w:hAnsi="Arial" w:cs="Arial"/>
        </w:rPr>
      </w:pPr>
      <w:r>
        <w:rPr>
          <w:rFonts w:ascii="Arial" w:hAnsi="Arial" w:cs="Arial"/>
        </w:rPr>
        <w:t>podpora komunitných foriem podnikania prostredníctvom napr. družstiev,</w:t>
      </w:r>
    </w:p>
    <w:p>
      <w:pPr>
        <w:pStyle w:val="Odsekzoznamu"/>
        <w:numPr>
          <w:ilvl w:val="0"/>
          <w:numId w:val="2"/>
        </w:numPr>
        <w:tabs>
          <w:tab w:val="left" w:pos="1425"/>
        </w:tabs>
        <w:jc w:val="both"/>
        <w:rPr>
          <w:rFonts w:ascii="Arial" w:hAnsi="Arial" w:cs="Arial"/>
        </w:rPr>
      </w:pPr>
      <w:r>
        <w:rPr>
          <w:rFonts w:ascii="Arial" w:hAnsi="Arial" w:cs="Arial"/>
        </w:rPr>
        <w:t>podpora marketingových aktivít (účasť na workshopoch, veľtrhoch, výstavách, propagácia miestnych výrobkov, regionálnych značiek, spracovávanie marketingových stratégií pre miestne produkty, a pod.),</w:t>
      </w:r>
    </w:p>
    <w:p>
      <w:pPr>
        <w:pStyle w:val="Odsekzoznamu"/>
        <w:numPr>
          <w:ilvl w:val="0"/>
          <w:numId w:val="2"/>
        </w:numPr>
        <w:tabs>
          <w:tab w:val="left" w:pos="1425"/>
        </w:tabs>
        <w:jc w:val="both"/>
        <w:rPr>
          <w:rFonts w:ascii="Arial" w:hAnsi="Arial" w:cs="Arial"/>
        </w:rPr>
      </w:pPr>
      <w:r>
        <w:rPr>
          <w:rFonts w:ascii="Arial" w:hAnsi="Arial" w:cs="Arial"/>
        </w:rPr>
        <w:t>budovanie miestnych produkčno-spotrebiteľských reťazcov,</w:t>
      </w:r>
    </w:p>
    <w:p>
      <w:pPr>
        <w:pStyle w:val="Odsekzoznamu"/>
        <w:numPr>
          <w:ilvl w:val="0"/>
          <w:numId w:val="2"/>
        </w:numPr>
        <w:tabs>
          <w:tab w:val="left" w:pos="1425"/>
        </w:tabs>
        <w:jc w:val="both"/>
        <w:rPr>
          <w:rFonts w:ascii="Arial" w:hAnsi="Arial" w:cs="Arial"/>
        </w:rPr>
      </w:pPr>
      <w:r>
        <w:rPr>
          <w:rFonts w:ascii="Arial" w:hAnsi="Arial" w:cs="Arial"/>
        </w:rPr>
        <w:t>sieťovanie a technická podpora podnikateľských subjektov s dôrazom na podporu sieťovania na úrovni miestnej ekonomiky a miestnych komunít,</w:t>
      </w:r>
    </w:p>
    <w:p>
      <w:pPr>
        <w:pStyle w:val="Odsekzoznamu"/>
        <w:numPr>
          <w:ilvl w:val="0"/>
          <w:numId w:val="2"/>
        </w:numPr>
        <w:tabs>
          <w:tab w:val="left" w:pos="1425"/>
        </w:tabs>
        <w:jc w:val="both"/>
        <w:rPr>
          <w:rFonts w:ascii="Arial" w:hAnsi="Arial" w:cs="Arial"/>
        </w:rPr>
      </w:pPr>
      <w:r>
        <w:rPr>
          <w:rFonts w:ascii="Arial" w:hAnsi="Arial" w:cs="Arial"/>
        </w:rPr>
        <w:t>prenos informácií a vedomostí (napr. výmenné návštevy podnikov, poradenské služby, okrem poradenských služieb podporovaných v iných operačných programoch, spolupráca),</w:t>
      </w:r>
    </w:p>
    <w:p>
      <w:pPr>
        <w:pStyle w:val="Odsekzoznamu"/>
        <w:numPr>
          <w:ilvl w:val="0"/>
          <w:numId w:val="2"/>
        </w:numPr>
        <w:tabs>
          <w:tab w:val="left" w:pos="1425"/>
        </w:tabs>
        <w:jc w:val="both"/>
        <w:rPr>
          <w:rFonts w:ascii="Arial" w:hAnsi="Arial" w:cs="Arial"/>
        </w:rPr>
      </w:pPr>
      <w:r>
        <w:rPr>
          <w:rFonts w:ascii="Arial" w:hAnsi="Arial" w:cs="Arial"/>
        </w:rPr>
        <w:t>osveta a tvorba kapacít miestnych producentov/spotrebiteľov (napr. vzdelávacie a informačné aktivity).</w:t>
      </w:r>
    </w:p>
    <w:p>
      <w:pPr>
        <w:tabs>
          <w:tab w:val="left" w:pos="1425"/>
        </w:tabs>
        <w:jc w:val="both"/>
        <w:rPr>
          <w:rFonts w:ascii="Arial" w:hAnsi="Arial" w:cs="Arial"/>
        </w:rPr>
      </w:pPr>
      <w:r>
        <w:rPr>
          <w:rFonts w:ascii="Arial" w:hAnsi="Arial" w:cs="Arial"/>
        </w:rPr>
        <w:t>Na plnenie špecifického cieľa č. 5.1.2 bude využitá schéma štátnej pomoci, resp. schéma pomoci de minimis v zmysle príslušných ustanovených pravidiel plne zodpovedajúcich legislatíve Európskej únie, ako aj ďalším dokumentom Európskej komisie v oblasti štátnej pomoci.</w:t>
      </w:r>
    </w:p>
    <w:p>
      <w:pPr>
        <w:tabs>
          <w:tab w:val="left" w:pos="1425"/>
        </w:tabs>
        <w:jc w:val="both"/>
        <w:rPr>
          <w:rFonts w:ascii="Arial" w:hAnsi="Arial" w:cs="Arial"/>
        </w:rPr>
      </w:pPr>
    </w:p>
    <w:p>
      <w:pPr>
        <w:spacing w:after="0" w:line="240" w:lineRule="auto"/>
        <w:jc w:val="both"/>
        <w:rPr>
          <w:rFonts w:ascii="Arial" w:hAnsi="Arial" w:cs="Arial"/>
        </w:rPr>
      </w:pPr>
      <w:r>
        <w:rPr>
          <w:rFonts w:ascii="Arial" w:hAnsi="Arial" w:cs="Arial"/>
          <w:b/>
        </w:rPr>
        <w:t xml:space="preserve">Špecifický cieľ č. 5.1.3 </w:t>
      </w:r>
      <w:r>
        <w:rPr>
          <w:rFonts w:ascii="Arial" w:hAnsi="Arial" w:cs="Arial"/>
        </w:rPr>
        <w:t xml:space="preserve">je dosahovaný realizáciou nasledovných aktivít: </w:t>
      </w:r>
    </w:p>
    <w:p>
      <w:pPr>
        <w:pStyle w:val="Odsekzoznamu"/>
        <w:numPr>
          <w:ilvl w:val="0"/>
          <w:numId w:val="2"/>
        </w:numPr>
        <w:tabs>
          <w:tab w:val="left" w:pos="426"/>
        </w:tabs>
        <w:spacing w:before="240" w:after="60"/>
        <w:jc w:val="both"/>
        <w:rPr>
          <w:rFonts w:ascii="Arial" w:hAnsi="Arial" w:cs="Arial"/>
          <w:shd w:val="clear" w:color="auto" w:fill="FFFFFF"/>
        </w:rPr>
      </w:pPr>
      <w:r>
        <w:rPr>
          <w:rFonts w:ascii="Arial" w:hAnsi="Arial" w:cs="Arial"/>
          <w:shd w:val="clear" w:color="auto" w:fill="FFFFFF"/>
        </w:rPr>
        <w:t>rozvoj základnej infraštruktúry v oblastiach:</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dopravné prepojenie a dostupnosť sídiel:</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rekonštrukcia a výstavba zastávok a staníc verejnej osobnej dopravy na linkách prepájajúcich obec s mestom za účelom zlepšenia prístupu k medzimestskej a regionálnej doprave,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rekonštrukcia alebo výstavba systémov pre prestup na verejnú osobnú dopravu P+R, K+R, B+R,</w:t>
      </w:r>
    </w:p>
    <w:p>
      <w:pPr>
        <w:pStyle w:val="Odsekzoznamu"/>
        <w:numPr>
          <w:ilvl w:val="2"/>
          <w:numId w:val="43"/>
        </w:numPr>
        <w:spacing w:after="0" w:line="240" w:lineRule="auto"/>
        <w:jc w:val="both"/>
        <w:rPr>
          <w:rFonts w:ascii="Arial" w:hAnsi="Arial" w:cs="Arial"/>
          <w:shd w:val="clear" w:color="auto" w:fill="FFFFFF"/>
        </w:rPr>
      </w:pPr>
      <w:r>
        <w:rPr>
          <w:rFonts w:ascii="Arial" w:hAnsi="Arial" w:cs="Arial"/>
          <w:u w:color="FFFFFF"/>
        </w:rPr>
        <w:t>budovanie prvkov a podpora opatrení na zvyšovanie bezpečnosti cestnej, cyklistickej a pešej dopravy v mestách,</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lastRenderedPageBreak/>
        <w:t>nákup vozidiel pre účely zabezpečenia spoločnej dopravy osôb vrátane vozidiel prispôsobených osobám s obmedzenou možnosťou pohybu a orientácie,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opatrenia na uprednostnenie verejnej osobnej dopravy a nemotorovej dopravy,</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sociálne služby a komunitné služby:</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zvyšovanie kvality a kapacity komunitných sociálnych služieb,</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investície do rozvoja terénnych a ambulantných sociálnych služieb,</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infraštruktúra komunitných centier,</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zvýšenie kvality a dostupnosti infraštruktúry pre vzdelávanie, celoživotné a neformálne vzdelávanie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vybudovanie, modernizácia a rekonštrukcia odborných učební, laboratórií a dielní vrátane vybavenia pomôckami,</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skvalitnenie a rozšírenie kapacít predškolského vzdelávania,</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a rekonštrukcia objektov a priestorov škôl v nadväznosti na rozvoj kľúčových kompetencií,</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podpora občianskej, sociálnej a technickej infraštruktúry špecificky v obciach postihnutých suburbanizáciou,</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rozvoj miestnych služieb vrátane lokálnych ekologických služieb (napr. protipovodňové opatrenia, opatrenia v odpadovom hospodárstve)</w:t>
      </w:r>
      <w:r>
        <w:rPr>
          <w:rFonts w:ascii="Arial" w:hAnsi="Arial" w:cs="Arial"/>
          <w:vanish/>
          <w:shd w:val="clear" w:color="auto" w:fill="FFFFFF"/>
        </w:rPr>
        <w:t xml:space="preserve">, </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rozvoj a vytváranie priestorov pre inovatívnu kultúrnu produkciu a rozvoj služieb so zreteľom na miestne a regionálne kultúrne a prírodné dedičstvo a tradície,</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podpora a rozvoj informačných centier, informačných kampaní, vzdelávacích a osvetových aktivít s prepojením na služby vidieckeho cestovného ruchu smerom na mesto,</w:t>
      </w:r>
    </w:p>
    <w:p>
      <w:pPr>
        <w:pStyle w:val="Odsekzoznamu"/>
        <w:numPr>
          <w:ilvl w:val="1"/>
          <w:numId w:val="43"/>
        </w:numPr>
        <w:spacing w:after="0"/>
        <w:jc w:val="both"/>
        <w:rPr>
          <w:rFonts w:ascii="Arial" w:hAnsi="Arial" w:cs="Arial"/>
          <w:shd w:val="clear" w:color="auto" w:fill="FFFFFF"/>
        </w:rPr>
      </w:pPr>
      <w:r>
        <w:rPr>
          <w:rFonts w:ascii="Arial" w:hAnsi="Arial" w:cs="Arial"/>
        </w:rPr>
        <w:t>výstavba a obnova miestnych trhových priestorov za účelom podpory udržateľných miestnych ekonomík</w:t>
      </w:r>
      <w:r>
        <w:rPr>
          <w:rFonts w:ascii="Arial" w:hAnsi="Arial" w:cs="Arial"/>
          <w:shd w:val="clear" w:color="auto" w:fill="FFFFFF"/>
        </w:rPr>
        <w:t xml:space="preserve">.   </w:t>
      </w:r>
    </w:p>
    <w:p>
      <w:pPr>
        <w:tabs>
          <w:tab w:val="left" w:pos="1425"/>
        </w:tabs>
        <w:jc w:val="both"/>
        <w:rPr>
          <w:rFonts w:ascii="Arial" w:hAnsi="Arial" w:cs="Arial"/>
        </w:rPr>
      </w:pPr>
    </w:p>
    <w:p>
      <w:pPr>
        <w:tabs>
          <w:tab w:val="left" w:pos="1425"/>
        </w:tabs>
        <w:jc w:val="both"/>
        <w:rPr>
          <w:rFonts w:ascii="Arial" w:hAnsi="Arial" w:cs="Arial"/>
        </w:rPr>
      </w:pPr>
      <w:r>
        <w:rPr>
          <w:rFonts w:ascii="Arial" w:hAnsi="Arial" w:cs="Arial"/>
        </w:rPr>
        <w:t>Na plnenie špecifického cieľa č. 5.1.3 bude využitá schéma štátnej pomoci, resp. schéma pomoci de minimis v zmysle príslušných ustanovených pravidiel plne zodpovedajúcich legislatíve Európskej únie, ako aj ďalším dokumentom Európskej komisie v oblasti štátnej pomoci.</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r>
        <w:rPr>
          <w:rFonts w:ascii="Arial" w:hAnsi="Arial" w:cs="Arial"/>
        </w:rPr>
        <w:lastRenderedPageBreak/>
        <w:t xml:space="preserve">Oprávnení prijímatelia: </w:t>
      </w:r>
    </w:p>
    <w:p>
      <w:pPr>
        <w:pStyle w:val="Odsekzoznamu"/>
        <w:numPr>
          <w:ilvl w:val="0"/>
          <w:numId w:val="2"/>
        </w:numPr>
        <w:jc w:val="both"/>
        <w:rPr>
          <w:rFonts w:ascii="Arial" w:hAnsi="Arial" w:cs="Arial"/>
        </w:rPr>
      </w:pPr>
      <w:r>
        <w:rPr>
          <w:rFonts w:ascii="Arial" w:hAnsi="Arial" w:cs="Arial"/>
        </w:rPr>
        <w:t>miestne akčné skupiny v špecifickom cieli 5.1.1,</w:t>
      </w:r>
    </w:p>
    <w:p>
      <w:pPr>
        <w:pStyle w:val="Odsekzoznamu"/>
        <w:numPr>
          <w:ilvl w:val="0"/>
          <w:numId w:val="2"/>
        </w:numPr>
        <w:jc w:val="both"/>
        <w:rPr>
          <w:rFonts w:ascii="Arial" w:hAnsi="Arial" w:cs="Arial"/>
        </w:rPr>
      </w:pPr>
      <w:r>
        <w:rPr>
          <w:rFonts w:ascii="Arial" w:hAnsi="Arial" w:cs="Arial"/>
        </w:rPr>
        <w:t>mestá/samostatné mestské časti a obce,</w:t>
      </w:r>
    </w:p>
    <w:p>
      <w:pPr>
        <w:pStyle w:val="Odsekzoznamu"/>
        <w:numPr>
          <w:ilvl w:val="0"/>
          <w:numId w:val="2"/>
        </w:numPr>
        <w:jc w:val="both"/>
        <w:rPr>
          <w:rFonts w:ascii="Arial" w:hAnsi="Arial" w:cs="Arial"/>
        </w:rPr>
      </w:pPr>
      <w:r>
        <w:rPr>
          <w:rFonts w:ascii="Arial" w:hAnsi="Arial" w:cs="Arial"/>
        </w:rPr>
        <w:t>združenia miest a obcí,</w:t>
      </w:r>
    </w:p>
    <w:p>
      <w:pPr>
        <w:pStyle w:val="Odsekzoznamu"/>
        <w:numPr>
          <w:ilvl w:val="0"/>
          <w:numId w:val="2"/>
        </w:numPr>
        <w:jc w:val="both"/>
        <w:rPr>
          <w:rFonts w:ascii="Arial" w:hAnsi="Arial" w:cs="Arial"/>
        </w:rPr>
      </w:pPr>
      <w:r>
        <w:rPr>
          <w:rFonts w:ascii="Arial" w:hAnsi="Arial" w:cs="Arial"/>
        </w:rPr>
        <w:t>mikroregionálne združenia,</w:t>
      </w:r>
    </w:p>
    <w:p>
      <w:pPr>
        <w:pStyle w:val="Odsekzoznamu"/>
        <w:numPr>
          <w:ilvl w:val="0"/>
          <w:numId w:val="2"/>
        </w:numPr>
        <w:jc w:val="both"/>
        <w:rPr>
          <w:rFonts w:ascii="Arial" w:hAnsi="Arial" w:cs="Arial"/>
        </w:rPr>
      </w:pPr>
      <w:r>
        <w:rPr>
          <w:rFonts w:ascii="Arial" w:hAnsi="Arial" w:cs="Arial"/>
        </w:rPr>
        <w:t>samostatne zárobkovo činné osoby, okrem tých, ktoré sú oprávnenými prijímateľmi z PRV v opatrení LEADER,</w:t>
      </w:r>
    </w:p>
    <w:p>
      <w:pPr>
        <w:pStyle w:val="Odsekzoznamu"/>
        <w:numPr>
          <w:ilvl w:val="0"/>
          <w:numId w:val="2"/>
        </w:numPr>
        <w:jc w:val="both"/>
        <w:rPr>
          <w:rFonts w:ascii="Arial" w:hAnsi="Arial" w:cs="Arial"/>
        </w:rPr>
      </w:pPr>
      <w:r>
        <w:rPr>
          <w:rFonts w:ascii="Arial" w:hAnsi="Arial" w:cs="Arial"/>
        </w:rPr>
        <w:t>mikro a malé podniky s počtom do 49 zamestnancov, okrem tých, ktoré sú oprávnenými prijímateľmi z PRV v opatrení LEADER,</w:t>
      </w:r>
    </w:p>
    <w:p>
      <w:pPr>
        <w:pStyle w:val="Odsekzoznamu"/>
        <w:numPr>
          <w:ilvl w:val="0"/>
          <w:numId w:val="2"/>
        </w:numPr>
        <w:jc w:val="both"/>
        <w:rPr>
          <w:rFonts w:ascii="Arial" w:hAnsi="Arial" w:cs="Arial"/>
        </w:rPr>
      </w:pPr>
      <w:r>
        <w:rPr>
          <w:rFonts w:ascii="Arial" w:hAnsi="Arial" w:cs="Arial"/>
        </w:rPr>
        <w:t>občianske združenia,</w:t>
      </w:r>
    </w:p>
    <w:p>
      <w:pPr>
        <w:pStyle w:val="Odsekzoznamu"/>
        <w:numPr>
          <w:ilvl w:val="0"/>
          <w:numId w:val="2"/>
        </w:numPr>
        <w:jc w:val="both"/>
        <w:rPr>
          <w:rFonts w:ascii="Arial" w:hAnsi="Arial" w:cs="Arial"/>
        </w:rPr>
      </w:pPr>
      <w:r>
        <w:rPr>
          <w:rFonts w:ascii="Arial" w:hAnsi="Arial" w:cs="Arial"/>
        </w:rPr>
        <w:t>neziskové organizácie.</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obyvatelia a návštevníci podporených území,</w:t>
      </w:r>
    </w:p>
    <w:p>
      <w:pPr>
        <w:pStyle w:val="Odsekzoznamu"/>
        <w:numPr>
          <w:ilvl w:val="0"/>
          <w:numId w:val="2"/>
        </w:numPr>
        <w:jc w:val="both"/>
        <w:rPr>
          <w:rFonts w:ascii="Arial" w:hAnsi="Arial" w:cs="Arial"/>
        </w:rPr>
      </w:pPr>
      <w:r>
        <w:rPr>
          <w:rFonts w:ascii="Arial" w:hAnsi="Arial" w:cs="Arial"/>
        </w:rPr>
        <w:t>producenti a spotrebitelia miestnych výrobkov a služieb,</w:t>
      </w:r>
    </w:p>
    <w:p>
      <w:pPr>
        <w:pStyle w:val="Odsekzoznamu"/>
        <w:numPr>
          <w:ilvl w:val="0"/>
          <w:numId w:val="2"/>
        </w:numPr>
        <w:jc w:val="both"/>
        <w:rPr>
          <w:rFonts w:ascii="Arial" w:hAnsi="Arial" w:cs="Arial"/>
        </w:rPr>
      </w:pPr>
      <w:r>
        <w:rPr>
          <w:rFonts w:ascii="Arial" w:hAnsi="Arial" w:cs="Arial"/>
        </w:rPr>
        <w:t>miestni podnikatelia.</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pPr>
        <w:pStyle w:val="Nadpis6"/>
        <w:rPr>
          <w:rFonts w:ascii="Arial" w:hAnsi="Arial" w:cs="Arial"/>
        </w:rPr>
      </w:pPr>
      <w:bookmarkStart w:id="132" w:name="_Toc387153969"/>
      <w:r>
        <w:rPr>
          <w:rFonts w:ascii="Arial" w:hAnsi="Arial" w:cs="Arial"/>
        </w:rPr>
        <w:t>2.5.1.2. Hlavné zásady výberu operácií</w:t>
      </w:r>
      <w:bookmarkEnd w:id="132"/>
    </w:p>
    <w:p>
      <w:pPr>
        <w:spacing w:after="0" w:line="240" w:lineRule="auto"/>
        <w:jc w:val="both"/>
        <w:rPr>
          <w:rFonts w:ascii="Arial" w:hAnsi="Arial" w:cs="Arial"/>
          <w:color w:val="FF0000"/>
        </w:rPr>
      </w:pPr>
    </w:p>
    <w:p>
      <w:pPr>
        <w:spacing w:after="0"/>
        <w:jc w:val="both"/>
        <w:rPr>
          <w:rFonts w:ascii="Arial" w:hAnsi="Arial" w:cs="Arial"/>
        </w:rPr>
      </w:pPr>
      <w:r>
        <w:rPr>
          <w:rFonts w:ascii="Arial" w:hAnsi="Arial" w:cs="Arial"/>
        </w:rPr>
        <w:t>Pre efektívne dosiahnutie čo najväčšieho príspevku operácií/projektov k naplneniu špecifického cieľa 5.1.1 a dosiahnutie stanovených výsledkov navrhované operácie/projekty rešpektujú princípy - kritéria pre výber MAS, ktoré sú definované v kapitole 4 Integrovaný prístup k územnému rozvoju a budú podrobnejšie uvedené v metodickej príručke.</w:t>
      </w:r>
    </w:p>
    <w:p>
      <w:pPr>
        <w:spacing w:after="0"/>
        <w:jc w:val="both"/>
        <w:rPr>
          <w:rFonts w:ascii="Arial" w:hAnsi="Arial" w:cs="Arial"/>
        </w:rPr>
      </w:pPr>
    </w:p>
    <w:p>
      <w:pPr>
        <w:spacing w:after="0"/>
        <w:jc w:val="both"/>
        <w:rPr>
          <w:rFonts w:ascii="Arial" w:hAnsi="Arial" w:cs="Arial"/>
        </w:rPr>
      </w:pPr>
      <w:r>
        <w:rPr>
          <w:rFonts w:ascii="Arial" w:hAnsi="Arial" w:cs="Arial"/>
        </w:rPr>
        <w:t>Maximálna výška verejnej podpory na jeden projekt v rámci špecifického cieľa 5.1.2 a 5.1.3 je 70 000 EUR z celkových oprávnených výdavkov na projekt. Pri určitých typoch investícií môže byť uvedená suma príspevku v niektorých odôvodnených prípadoch vyššia, pričom zdôvodnenie bude súčasťou stratégie CLLD a bude vychádzať z analýz. V rámci špecifického cieľa 5.1.2 a 5.1.3 sa môžu realizovať projekty so zreteľom na sociálnu inklúziu vrátane marginalizovaných rómskych komunít.</w:t>
      </w:r>
    </w:p>
    <w:p>
      <w:pPr>
        <w:spacing w:after="0"/>
        <w:jc w:val="both"/>
        <w:rPr>
          <w:rFonts w:ascii="Arial" w:hAnsi="Arial" w:cs="Arial"/>
        </w:rPr>
      </w:pPr>
    </w:p>
    <w:p>
      <w:pPr>
        <w:spacing w:after="0"/>
        <w:jc w:val="both"/>
        <w:rPr>
          <w:rFonts w:ascii="Arial" w:hAnsi="Arial" w:cs="Arial"/>
        </w:rPr>
      </w:pPr>
      <w:r>
        <w:rPr>
          <w:rFonts w:ascii="Arial" w:hAnsi="Arial" w:cs="Arial"/>
        </w:rPr>
        <w:t>Pre efektívne dosiahnutie čo najväčšieho príspevku operácií/projektov k naplneniu špecifického cieľa 5.1.2 a dosiahnutie stanovených výsledkov by navrhované operácie/projekty mali rešpektovať nasledovné princípy:</w:t>
      </w:r>
    </w:p>
    <w:p>
      <w:pPr>
        <w:pStyle w:val="Odsekzoznamu"/>
        <w:numPr>
          <w:ilvl w:val="0"/>
          <w:numId w:val="2"/>
        </w:numPr>
        <w:spacing w:after="0"/>
        <w:jc w:val="both"/>
        <w:rPr>
          <w:rFonts w:ascii="Arial" w:hAnsi="Arial" w:cs="Arial"/>
        </w:rPr>
      </w:pPr>
      <w:r>
        <w:rPr>
          <w:rFonts w:ascii="Arial" w:hAnsi="Arial" w:cs="Arial"/>
        </w:rPr>
        <w:t>Projekt uplatňuje zásadu „znečisťovateľ platí“ ako podmienku výberu projektov.</w:t>
      </w:r>
    </w:p>
    <w:p>
      <w:pPr>
        <w:spacing w:after="0" w:line="240" w:lineRule="auto"/>
        <w:jc w:val="both"/>
        <w:rPr>
          <w:rFonts w:ascii="Arial" w:hAnsi="Arial" w:cs="Arial"/>
        </w:rPr>
      </w:pPr>
    </w:p>
    <w:p>
      <w:pPr>
        <w:spacing w:after="0"/>
        <w:jc w:val="both"/>
        <w:rPr>
          <w:rFonts w:ascii="Arial" w:hAnsi="Arial" w:cs="Arial"/>
        </w:rPr>
      </w:pPr>
      <w:r>
        <w:rPr>
          <w:rFonts w:ascii="Arial" w:hAnsi="Arial" w:cs="Arial"/>
        </w:rPr>
        <w:t>Pre efektívne dosiahnutie čo najväčšieho príspevku operácií/projektov k naplneniu špecifického cieľa 5.1.3 a dosiahnutie stanovených výsledkov navrhované operácie/projekty rešpektujú nasledovné princípy:</w:t>
      </w:r>
    </w:p>
    <w:p>
      <w:pPr>
        <w:pStyle w:val="Odsekzoznamu"/>
        <w:numPr>
          <w:ilvl w:val="0"/>
          <w:numId w:val="2"/>
        </w:numPr>
        <w:spacing w:after="0"/>
        <w:jc w:val="both"/>
        <w:rPr>
          <w:rFonts w:ascii="Arial" w:hAnsi="Arial" w:cs="Arial"/>
        </w:rPr>
      </w:pPr>
      <w:r>
        <w:rPr>
          <w:rFonts w:ascii="Arial" w:hAnsi="Arial" w:cs="Arial"/>
        </w:rPr>
        <w:t>Projekt uplatňuje zásadu „znečisťovateľ platí“ ako podmienku výberu projektov.</w:t>
      </w:r>
    </w:p>
    <w:p>
      <w:pPr>
        <w:spacing w:after="0" w:line="240" w:lineRule="auto"/>
        <w:jc w:val="both"/>
        <w:rPr>
          <w:rFonts w:ascii="Arial" w:hAnsi="Arial" w:cs="Arial"/>
        </w:rPr>
      </w:pPr>
    </w:p>
    <w:p>
      <w:pPr>
        <w:pStyle w:val="Nadpis6"/>
        <w:rPr>
          <w:rFonts w:ascii="Arial" w:hAnsi="Arial" w:cs="Arial"/>
        </w:rPr>
      </w:pPr>
      <w:bookmarkStart w:id="133" w:name="_Toc387153970"/>
      <w:r>
        <w:rPr>
          <w:rFonts w:ascii="Arial" w:hAnsi="Arial" w:cs="Arial"/>
        </w:rPr>
        <w:lastRenderedPageBreak/>
        <w:t>2.5.1.3. Plánované využitie finančných nástrojov</w:t>
      </w:r>
      <w:bookmarkEnd w:id="133"/>
    </w:p>
    <w:p>
      <w:pPr>
        <w:jc w:val="both"/>
        <w:rPr>
          <w:rFonts w:ascii="Arial" w:hAnsi="Arial" w:cs="Arial"/>
        </w:rPr>
      </w:pPr>
      <w:r>
        <w:rPr>
          <w:rFonts w:ascii="Arial" w:hAnsi="Arial" w:cs="Arial"/>
        </w:rPr>
        <w:t>N/A</w:t>
      </w:r>
    </w:p>
    <w:p>
      <w:pPr>
        <w:pStyle w:val="Nadpis6"/>
        <w:rPr>
          <w:rFonts w:ascii="Arial" w:hAnsi="Arial" w:cs="Arial"/>
        </w:rPr>
      </w:pPr>
      <w:bookmarkStart w:id="134" w:name="_Toc387153971"/>
      <w:r>
        <w:rPr>
          <w:rFonts w:ascii="Arial" w:hAnsi="Arial" w:cs="Arial"/>
        </w:rPr>
        <w:t>2.5.1.4. Plánované využitie veľkých projektov</w:t>
      </w:r>
      <w:bookmarkEnd w:id="134"/>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135" w:name="_Toc387153972"/>
      <w:r>
        <w:rPr>
          <w:rFonts w:ascii="Arial" w:hAnsi="Arial" w:cs="Arial"/>
        </w:rPr>
        <w:t>2.5.1.5. Ukazovatele výstupov podľa investičnej priority a ak je to vhodné, podľa kategórie regiónu</w:t>
      </w:r>
      <w:bookmarkEnd w:id="135"/>
      <w:r>
        <w:rPr>
          <w:rFonts w:ascii="Arial" w:hAnsi="Arial" w:cs="Arial"/>
        </w:rPr>
        <w:t xml:space="preserve"> </w:t>
      </w:r>
    </w:p>
    <w:p>
      <w:pPr>
        <w:spacing w:before="240"/>
        <w:jc w:val="both"/>
        <w:rPr>
          <w:rFonts w:ascii="Arial" w:hAnsi="Arial" w:cs="Arial"/>
        </w:rPr>
      </w:pPr>
      <w:r>
        <w:rPr>
          <w:rStyle w:val="Siln"/>
          <w:rFonts w:ascii="Arial" w:hAnsi="Arial" w:cs="Arial"/>
        </w:rPr>
        <w:t>Tabuľka č. 43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3"/>
        <w:gridCol w:w="1727"/>
        <w:gridCol w:w="1303"/>
        <w:gridCol w:w="934"/>
        <w:gridCol w:w="1006"/>
        <w:gridCol w:w="567"/>
        <w:gridCol w:w="567"/>
        <w:gridCol w:w="992"/>
        <w:gridCol w:w="756"/>
        <w:gridCol w:w="1053"/>
      </w:tblGrid>
      <w:tr>
        <w:tc>
          <w:tcPr>
            <w:tcW w:w="3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2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3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0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5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30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934"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006"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M</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w:t>
            </w:r>
          </w:p>
        </w:tc>
        <w:tc>
          <w:tcPr>
            <w:tcW w:w="756"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podnikov</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300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podnikov</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7</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100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3</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1</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Služba/prvok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2 300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Služba/prvok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Bdr>
          <w:bottom w:val="single" w:sz="12" w:space="1" w:color="auto"/>
        </w:pBdr>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pStyle w:val="Nadpis5"/>
        <w:shd w:val="clear" w:color="auto" w:fill="B8C1E9"/>
        <w:rPr>
          <w:rFonts w:ascii="Arial" w:hAnsi="Arial" w:cs="Arial"/>
        </w:rPr>
      </w:pPr>
      <w:bookmarkStart w:id="136" w:name="_Toc387153973"/>
      <w:r>
        <w:rPr>
          <w:rFonts w:ascii="Arial" w:hAnsi="Arial" w:cs="Arial"/>
        </w:rPr>
        <w:lastRenderedPageBreak/>
        <w:t>Výkonnostný rámec</w:t>
      </w:r>
      <w:bookmarkEnd w:id="136"/>
    </w:p>
    <w:p>
      <w:pPr>
        <w:rPr>
          <w:rFonts w:ascii="Arial" w:hAnsi="Arial" w:cs="Arial"/>
        </w:rPr>
      </w:pPr>
    </w:p>
    <w:p>
      <w:pPr>
        <w:rPr>
          <w:rStyle w:val="Zvraznenie"/>
          <w:rFonts w:ascii="Arial" w:hAnsi="Arial" w:cs="Arial"/>
        </w:rPr>
      </w:pPr>
      <w:r>
        <w:rPr>
          <w:rStyle w:val="Siln"/>
          <w:rFonts w:ascii="Arial" w:hAnsi="Arial" w:cs="Arial"/>
        </w:rPr>
        <w:t>Tabuľka č. 44</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708"/>
        <w:gridCol w:w="426"/>
        <w:gridCol w:w="425"/>
        <w:gridCol w:w="930"/>
        <w:gridCol w:w="629"/>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78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26</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čerpania</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26</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podporených podnikov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Podnik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podporených podnikov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Podnik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nových služieb a prvkov verejnej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Služba/ prvok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700</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2 300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nových služieb a prvkov verejnej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Služba/ prvok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425"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Style w:val="Zvraznenie"/>
          <w:rFonts w:ascii="Arial" w:hAnsi="Arial" w:cs="Arial"/>
        </w:rPr>
      </w:pPr>
    </w:p>
    <w:p>
      <w:pPr>
        <w:pStyle w:val="Nadpis5"/>
        <w:shd w:val="clear" w:color="auto" w:fill="B8C1E9"/>
        <w:rPr>
          <w:rFonts w:ascii="Arial" w:hAnsi="Arial" w:cs="Arial"/>
        </w:rPr>
      </w:pPr>
      <w:bookmarkStart w:id="137" w:name="_Toc387153974"/>
      <w:r>
        <w:rPr>
          <w:rFonts w:ascii="Arial" w:hAnsi="Arial" w:cs="Arial"/>
        </w:rPr>
        <w:t>Kategórie intervencie</w:t>
      </w:r>
      <w:bookmarkEnd w:id="137"/>
    </w:p>
    <w:p>
      <w:pPr>
        <w:spacing w:before="120"/>
        <w:rPr>
          <w:rStyle w:val="Zvraznenie"/>
          <w:rFonts w:ascii="Arial" w:hAnsi="Arial" w:cs="Arial"/>
        </w:rPr>
      </w:pPr>
      <w:r>
        <w:rPr>
          <w:rStyle w:val="Siln"/>
          <w:rFonts w:ascii="Arial" w:hAnsi="Arial" w:cs="Arial"/>
        </w:rPr>
        <w:t>Tabuľka č. 45</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33 000 000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64 000 000</w:t>
            </w:r>
          </w:p>
        </w:tc>
      </w:tr>
    </w:tbl>
    <w:p>
      <w:pPr>
        <w:rPr>
          <w:rStyle w:val="Zvraznenie"/>
          <w:rFonts w:ascii="Arial" w:hAnsi="Arial" w:cs="Arial"/>
        </w:rPr>
      </w:pPr>
    </w:p>
    <w:p>
      <w:pPr>
        <w:rPr>
          <w:rStyle w:val="Zvraznenie"/>
          <w:rFonts w:ascii="Arial" w:hAnsi="Arial" w:cs="Arial"/>
        </w:rPr>
      </w:pPr>
    </w:p>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pPr>
        <w:rPr>
          <w:rFonts w:ascii="Arial" w:hAnsi="Arial" w:cs="Arial"/>
          <w:i/>
          <w:color w:val="4EACF3"/>
        </w:rPr>
      </w:pPr>
    </w:p>
    <w:p>
      <w:pPr>
        <w:pStyle w:val="Nadpis5"/>
        <w:shd w:val="clear" w:color="auto" w:fill="B8C1E9"/>
        <w:rPr>
          <w:rFonts w:ascii="Arial" w:hAnsi="Arial" w:cs="Arial"/>
        </w:rPr>
      </w:pPr>
      <w:bookmarkStart w:id="138" w:name="_Toc387153975"/>
      <w:r>
        <w:rPr>
          <w:rFonts w:ascii="Arial" w:hAnsi="Arial" w:cs="Arial"/>
        </w:rPr>
        <w:t>Súhrn plánovaného využitia technickej pomoci vrátane, ak je to vhodné, akcií na posilnenie administratívnej spôsobilosti orgánov zapojených do riadenia a kontroly programu a príjemcov</w:t>
      </w:r>
      <w:bookmarkEnd w:id="138"/>
      <w:r>
        <w:rPr>
          <w:rFonts w:ascii="Arial" w:hAnsi="Arial" w:cs="Arial"/>
        </w:rPr>
        <w:t xml:space="preserve">  </w:t>
      </w:r>
    </w:p>
    <w:p>
      <w:pPr>
        <w:rPr>
          <w:rFonts w:ascii="Arial" w:hAnsi="Arial" w:cs="Arial"/>
        </w:rPr>
      </w:pPr>
    </w:p>
    <w:p>
      <w:pPr>
        <w:spacing w:after="0" w:line="240" w:lineRule="auto"/>
        <w:jc w:val="both"/>
        <w:rPr>
          <w:rFonts w:ascii="Arial" w:hAnsi="Arial" w:cs="Arial"/>
          <w:color w:val="000000"/>
          <w:lang w:eastAsia="sk-SK"/>
        </w:rPr>
      </w:pPr>
      <w:r>
        <w:rPr>
          <w:rFonts w:ascii="Arial" w:hAnsi="Arial" w:cs="Arial"/>
          <w:color w:val="000000"/>
          <w:lang w:eastAsia="sk-SK"/>
        </w:rPr>
        <w:t>N/A</w:t>
      </w:r>
    </w:p>
    <w:p>
      <w:pPr>
        <w:pStyle w:val="Nadpis3"/>
        <w:shd w:val="clear" w:color="auto" w:fill="21306A"/>
        <w:rPr>
          <w:rFonts w:ascii="Arial" w:hAnsi="Arial" w:cs="Arial"/>
          <w:color w:val="FFFFFF"/>
          <w:sz w:val="28"/>
          <w:szCs w:val="28"/>
        </w:rPr>
        <w:sectPr>
          <w:pgSz w:w="11906" w:h="16838"/>
          <w:pgMar w:top="1417" w:right="1417" w:bottom="1417" w:left="1417" w:header="708" w:footer="708" w:gutter="0"/>
          <w:cols w:space="708"/>
          <w:docGrid w:linePitch="360"/>
        </w:sectPr>
      </w:pPr>
    </w:p>
    <w:p>
      <w:pPr>
        <w:pStyle w:val="Nadpis3"/>
        <w:shd w:val="clear" w:color="auto" w:fill="21306A"/>
        <w:rPr>
          <w:rFonts w:ascii="Arial" w:hAnsi="Arial" w:cs="Arial"/>
          <w:color w:val="FFFFFF"/>
          <w:sz w:val="28"/>
          <w:szCs w:val="28"/>
        </w:rPr>
      </w:pPr>
      <w:bookmarkStart w:id="139" w:name="_Toc387153976"/>
      <w:r>
        <w:rPr>
          <w:rFonts w:ascii="Arial" w:hAnsi="Arial" w:cs="Arial"/>
          <w:color w:val="FFFFFF"/>
          <w:sz w:val="28"/>
          <w:szCs w:val="28"/>
        </w:rPr>
        <w:lastRenderedPageBreak/>
        <w:t>2.6. Prioritná os č. 6: Technická pomoc</w:t>
      </w:r>
      <w:bookmarkEnd w:id="139"/>
    </w:p>
    <w:p>
      <w:pPr>
        <w:spacing w:before="120"/>
        <w:jc w:val="both"/>
        <w:rPr>
          <w:rFonts w:ascii="Arial" w:hAnsi="Arial" w:cs="Arial"/>
        </w:rPr>
      </w:pPr>
      <w:r>
        <w:rPr>
          <w:rFonts w:ascii="Arial" w:hAnsi="Arial" w:cs="Arial"/>
        </w:rPr>
        <w:t xml:space="preserve">Prioritná os č. 6 vytvára podporný mechanizmus pre orgány zapojené do riadenia IROP (najmä Riadiaci orgán pre IROP, sprostredkovateľské orgány pod RO pre IROP a fungovania inštitucionálneho zabezpečenia partnerstva pre prípravu a vykonávanie regionálnych integrovaných územných stratégií) na vykonávanie úloh definovaných v rámci všeobecného nariadenia. Vzhľadom k multicieľovému charakteru IROP bola pre potreby zabezpečenia jeho implementácie definovaná jedna prioritná os pre technickú pomoc. Uvedené riešenie umožní zabezpečenie flexibilnejšej podpory pre dosahovanie cieľov operačného programu (operatívna príprava projektov technickej pomoci pre zabezpečenie administratívnych kapacít). </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jc w:val="both"/>
        <w:rPr>
          <w:rFonts w:ascii="Arial" w:hAnsi="Arial" w:cs="Arial"/>
          <w:sz w:val="20"/>
          <w:szCs w:val="20"/>
        </w:rPr>
      </w:pPr>
    </w:p>
    <w:p>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67 302 910</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5 585 056</w:t>
            </w:r>
          </w:p>
        </w:tc>
      </w:tr>
    </w:tbl>
    <w:p>
      <w:pPr>
        <w:spacing w:before="120"/>
        <w:jc w:val="both"/>
        <w:rPr>
          <w:rFonts w:ascii="Arial" w:hAnsi="Arial" w:cs="Arial"/>
        </w:rPr>
      </w:pPr>
    </w:p>
    <w:p>
      <w:pPr>
        <w:spacing w:before="120"/>
        <w:rPr>
          <w:rFonts w:ascii="Arial" w:hAnsi="Arial" w:cs="Arial"/>
          <w:b/>
          <w:i/>
        </w:rPr>
      </w:pPr>
      <w:r>
        <w:rPr>
          <w:rFonts w:ascii="Arial" w:hAnsi="Arial" w:cs="Arial"/>
          <w:b/>
        </w:rPr>
        <w:t>Špecifický cieľ č. 6.1:</w:t>
      </w:r>
    </w:p>
    <w:p>
      <w:pPr>
        <w:shd w:val="clear" w:color="auto" w:fill="D9D9D9"/>
        <w:jc w:val="both"/>
        <w:rPr>
          <w:rStyle w:val="Zvraznenie"/>
          <w:rFonts w:ascii="Arial" w:hAnsi="Arial" w:cs="Arial"/>
          <w:i w:val="0"/>
        </w:rPr>
      </w:pPr>
      <w:r>
        <w:rPr>
          <w:rStyle w:val="Zvraznenie"/>
          <w:rFonts w:ascii="Arial" w:hAnsi="Arial" w:cs="Arial"/>
        </w:rPr>
        <w:t>Zabezpečenie efektívneho riadenia a implementácie IROP</w:t>
      </w:r>
    </w:p>
    <w:p>
      <w:pPr>
        <w:jc w:val="both"/>
        <w:rPr>
          <w:rFonts w:ascii="Arial" w:hAnsi="Arial" w:cs="Arial"/>
        </w:rPr>
      </w:pPr>
      <w:r>
        <w:rPr>
          <w:rFonts w:ascii="Arial" w:hAnsi="Arial" w:cs="Arial"/>
        </w:rPr>
        <w:t xml:space="preserve">Cieľom prioritnej osi Technická pomoc je zabezpečenie riadneho a plynulého procesu riadenia, prípravy, implementácie, monitorovania, hodnotenia, finančného riadenia, publicity, kontroly a auditu IROP. </w:t>
      </w:r>
    </w:p>
    <w:p>
      <w:pPr>
        <w:jc w:val="both"/>
        <w:rPr>
          <w:rFonts w:ascii="Arial" w:hAnsi="Arial" w:cs="Arial"/>
        </w:rPr>
      </w:pPr>
      <w:r>
        <w:rPr>
          <w:rFonts w:ascii="Arial" w:hAnsi="Arial" w:cs="Arial"/>
        </w:rPr>
        <w:t xml:space="preserve">Účelom opatrení realizovaných prostredníctvom technickej pomoci je podpora implementačných štruktúr (riadiaceho orgánu/sprostredkovateľských orgánov, platobnej jednotky, orgánov kontroly a auditu a odborného garanta v oblasti udržateľného mestského rozvoja) a ich administratívnych kapacít. Dôraz je kladený predovšetkým na skvalitňovanie administratívnych kapacít, ktoré zohrávajú kľúčovú úlohu pre realizáciu IROP. Prostriedky technickej pomoci sú určené aj pre poskytovanie podpory na prípravu projektov, publicitu a informovanosť, výmenu skúseností, materiálno-technického zabezpečenia a pod. Dôležitú úlohu zohráva zároveň zabezpečenie štruktúr na výkon monitorovania, kontroly a auditu s ohľadom na ochranu finančných záujmov ES. </w:t>
      </w:r>
    </w:p>
    <w:p>
      <w:pPr>
        <w:jc w:val="both"/>
        <w:rPr>
          <w:rFonts w:ascii="Arial" w:hAnsi="Arial" w:cs="Arial"/>
        </w:rPr>
      </w:pPr>
      <w:r>
        <w:rPr>
          <w:rFonts w:ascii="Arial" w:hAnsi="Arial" w:cs="Arial"/>
        </w:rPr>
        <w:t>Splnenie definovaných cieľov a dosiahnutie požadovaných výsledkov prispeje k efektívnejšiemu čerpaniu alokovaných prostriedkov v rámci IROP.</w:t>
      </w:r>
    </w:p>
    <w:p>
      <w:pPr>
        <w:jc w:val="both"/>
        <w:rPr>
          <w:rFonts w:ascii="Arial" w:hAnsi="Arial" w:cs="Arial"/>
        </w:rPr>
      </w:pPr>
    </w:p>
    <w:p>
      <w:pPr>
        <w:jc w:val="both"/>
        <w:rPr>
          <w:rFonts w:ascii="Arial" w:hAnsi="Arial" w:cs="Arial"/>
        </w:rPr>
      </w:pPr>
    </w:p>
    <w:p>
      <w:pPr>
        <w:jc w:val="both"/>
        <w:rPr>
          <w:rFonts w:ascii="Arial" w:hAnsi="Arial" w:cs="Arial"/>
          <w:b/>
        </w:rPr>
      </w:pPr>
      <w:r>
        <w:rPr>
          <w:rFonts w:ascii="Arial" w:hAnsi="Arial" w:cs="Arial"/>
          <w:b/>
          <w:szCs w:val="24"/>
        </w:rPr>
        <w:lastRenderedPageBreak/>
        <w:t>Výsledok podpory IROP:</w:t>
      </w:r>
    </w:p>
    <w:p>
      <w:pPr>
        <w:pStyle w:val="Odsekzoznamu"/>
        <w:numPr>
          <w:ilvl w:val="3"/>
          <w:numId w:val="6"/>
        </w:numPr>
        <w:ind w:left="567"/>
        <w:jc w:val="both"/>
        <w:rPr>
          <w:rFonts w:ascii="Arial" w:hAnsi="Arial" w:cs="Arial"/>
          <w:b/>
          <w:i/>
        </w:rPr>
      </w:pPr>
      <w:r>
        <w:rPr>
          <w:rFonts w:ascii="Arial" w:hAnsi="Arial" w:cs="Arial"/>
          <w:b/>
          <w:i/>
        </w:rPr>
        <w:t>Podpora administratívnych kapacít, vzdelávanie a zvyšovanie odbornosti zamestnancov</w:t>
      </w:r>
    </w:p>
    <w:p>
      <w:pPr>
        <w:numPr>
          <w:ilvl w:val="0"/>
          <w:numId w:val="14"/>
        </w:numPr>
        <w:spacing w:after="0"/>
        <w:ind w:left="426" w:hanging="426"/>
        <w:jc w:val="both"/>
        <w:rPr>
          <w:rFonts w:ascii="Arial" w:hAnsi="Arial" w:cs="Arial"/>
        </w:rPr>
      </w:pPr>
      <w:r>
        <w:rPr>
          <w:rFonts w:ascii="Arial" w:hAnsi="Arial" w:cs="Arial"/>
        </w:rPr>
        <w:t>stabilné administratívne kapacity;</w:t>
      </w:r>
    </w:p>
    <w:p>
      <w:pPr>
        <w:numPr>
          <w:ilvl w:val="0"/>
          <w:numId w:val="14"/>
        </w:numPr>
        <w:spacing w:after="0"/>
        <w:ind w:left="426" w:hanging="426"/>
        <w:jc w:val="both"/>
        <w:rPr>
          <w:rFonts w:ascii="Arial" w:hAnsi="Arial" w:cs="Arial"/>
        </w:rPr>
      </w:pPr>
      <w:r>
        <w:rPr>
          <w:rFonts w:ascii="Arial" w:hAnsi="Arial" w:cs="Arial"/>
        </w:rPr>
        <w:t>kvalifikovaní, vyškolení a priebežne vzdelávaní zamestnanci, zvyšujúci si kvalifikáciu potrebnú pre skvalitňovanie a zvyšovanie odbornosti svojej práce s odborným potenciálom pre kvalitný manažment a proces implementácie OP;</w:t>
      </w:r>
    </w:p>
    <w:p>
      <w:pPr>
        <w:numPr>
          <w:ilvl w:val="0"/>
          <w:numId w:val="14"/>
        </w:numPr>
        <w:spacing w:after="0" w:line="240" w:lineRule="auto"/>
        <w:ind w:left="426" w:hanging="426"/>
        <w:jc w:val="both"/>
        <w:rPr>
          <w:rFonts w:ascii="Arial" w:hAnsi="Arial" w:cs="Arial"/>
        </w:rPr>
      </w:pPr>
      <w:r>
        <w:rPr>
          <w:rFonts w:ascii="Arial" w:hAnsi="Arial" w:cs="Arial"/>
        </w:rPr>
        <w:t xml:space="preserve">zabezpečenie tematicky príbuzného OP pre ďalšie programové obdobie. </w:t>
      </w:r>
    </w:p>
    <w:p>
      <w:pPr>
        <w:rPr>
          <w:rFonts w:ascii="Arial" w:hAnsi="Arial" w:cs="Arial"/>
          <w:szCs w:val="24"/>
        </w:rPr>
      </w:pPr>
    </w:p>
    <w:p>
      <w:pPr>
        <w:pStyle w:val="Odsekzoznamu"/>
        <w:numPr>
          <w:ilvl w:val="3"/>
          <w:numId w:val="6"/>
        </w:numPr>
        <w:ind w:left="567"/>
        <w:jc w:val="both"/>
        <w:rPr>
          <w:rFonts w:ascii="Arial" w:hAnsi="Arial" w:cs="Arial"/>
          <w:b/>
          <w:i/>
        </w:rPr>
      </w:pPr>
      <w:r>
        <w:rPr>
          <w:rFonts w:ascii="Arial" w:hAnsi="Arial" w:cs="Arial"/>
          <w:b/>
          <w:i/>
        </w:rPr>
        <w:t>Materiálno–technické, priestorové a prevádzkové zabezpečenie a jeho modernizácia</w:t>
      </w:r>
    </w:p>
    <w:p>
      <w:pPr>
        <w:numPr>
          <w:ilvl w:val="0"/>
          <w:numId w:val="16"/>
        </w:numPr>
        <w:spacing w:after="0"/>
        <w:ind w:left="426" w:hanging="426"/>
        <w:jc w:val="both"/>
        <w:rPr>
          <w:rFonts w:ascii="Arial" w:hAnsi="Arial" w:cs="Arial"/>
        </w:rPr>
      </w:pPr>
      <w:r>
        <w:rPr>
          <w:rFonts w:ascii="Arial" w:hAnsi="Arial" w:cs="Arial"/>
        </w:rPr>
        <w:t>implementačné štruktúry zabezpečené modernými materiálno–technickými, priestorovými a prevádzkovými podmienkami;</w:t>
      </w:r>
    </w:p>
    <w:p>
      <w:pPr>
        <w:numPr>
          <w:ilvl w:val="0"/>
          <w:numId w:val="16"/>
        </w:numPr>
        <w:spacing w:after="0"/>
        <w:ind w:left="426" w:hanging="426"/>
        <w:jc w:val="both"/>
        <w:rPr>
          <w:rFonts w:ascii="Arial" w:hAnsi="Arial" w:cs="Arial"/>
        </w:rPr>
      </w:pPr>
      <w:r>
        <w:rPr>
          <w:rFonts w:ascii="Arial" w:hAnsi="Arial" w:cs="Arial"/>
        </w:rPr>
        <w:t>vybavenie IKT vrátane potrebného hardvéru, softvéru, prevádzkovej podpory a licencií ;</w:t>
      </w:r>
    </w:p>
    <w:p>
      <w:pPr>
        <w:numPr>
          <w:ilvl w:val="0"/>
          <w:numId w:val="16"/>
        </w:numPr>
        <w:spacing w:after="0" w:line="240" w:lineRule="auto"/>
        <w:ind w:left="426" w:hanging="426"/>
        <w:jc w:val="both"/>
        <w:rPr>
          <w:rFonts w:ascii="Arial" w:hAnsi="Arial" w:cs="Arial"/>
        </w:rPr>
      </w:pPr>
      <w:r>
        <w:rPr>
          <w:rFonts w:ascii="Arial" w:hAnsi="Arial" w:cs="Arial"/>
        </w:rPr>
        <w:t>IT systémy vrátane ich kompletného zabezpečenia ako aj elektronického vybavenia a licencií;</w:t>
      </w:r>
    </w:p>
    <w:p>
      <w:pPr>
        <w:numPr>
          <w:ilvl w:val="0"/>
          <w:numId w:val="16"/>
        </w:numPr>
        <w:spacing w:after="0"/>
        <w:ind w:left="426" w:hanging="426"/>
        <w:jc w:val="both"/>
        <w:rPr>
          <w:rFonts w:ascii="Arial" w:hAnsi="Arial" w:cs="Arial"/>
        </w:rPr>
      </w:pPr>
      <w:r>
        <w:rPr>
          <w:rFonts w:ascii="Arial" w:hAnsi="Arial" w:cs="Arial"/>
        </w:rPr>
        <w:t>zabezpečenie prevádzky, údržby a režijných aktivít súvisiacich s realizáciou operačného programu.</w:t>
      </w:r>
    </w:p>
    <w:p>
      <w:pPr>
        <w:spacing w:after="0"/>
        <w:rPr>
          <w:rFonts w:ascii="Arial" w:hAnsi="Arial" w:cs="Arial"/>
          <w:b/>
        </w:rPr>
      </w:pPr>
    </w:p>
    <w:p>
      <w:pPr>
        <w:pStyle w:val="Odsekzoznamu"/>
        <w:numPr>
          <w:ilvl w:val="3"/>
          <w:numId w:val="6"/>
        </w:numPr>
        <w:ind w:left="567"/>
        <w:jc w:val="both"/>
        <w:rPr>
          <w:rFonts w:ascii="Arial" w:hAnsi="Arial" w:cs="Arial"/>
          <w:b/>
          <w:i/>
        </w:rPr>
      </w:pPr>
      <w:r>
        <w:rPr>
          <w:rFonts w:ascii="Arial" w:hAnsi="Arial" w:cs="Arial"/>
          <w:b/>
          <w:i/>
        </w:rPr>
        <w:t xml:space="preserve">Zabezpečenie procesov programovania, riadenia, implementácie, hodnotenia a finančného riadenia </w:t>
      </w:r>
    </w:p>
    <w:p>
      <w:pPr>
        <w:numPr>
          <w:ilvl w:val="0"/>
          <w:numId w:val="15"/>
        </w:numPr>
        <w:spacing w:after="0"/>
        <w:ind w:left="426" w:hanging="426"/>
        <w:jc w:val="both"/>
        <w:rPr>
          <w:rFonts w:ascii="Arial" w:hAnsi="Arial" w:cs="Arial"/>
        </w:rPr>
      </w:pPr>
      <w:r>
        <w:rPr>
          <w:rFonts w:ascii="Arial" w:hAnsi="Arial" w:cs="Arial"/>
        </w:rPr>
        <w:t>zabezpečenie procesov vo vzťahu k príprave, riadeniu, implementácii, monitorovania, hodnotenia a kontroly regionálnych integrovaných územných stratégií;</w:t>
      </w:r>
    </w:p>
    <w:p>
      <w:pPr>
        <w:numPr>
          <w:ilvl w:val="0"/>
          <w:numId w:val="15"/>
        </w:numPr>
        <w:spacing w:after="0"/>
        <w:ind w:left="426" w:hanging="426"/>
        <w:jc w:val="both"/>
        <w:rPr>
          <w:rFonts w:ascii="Arial" w:hAnsi="Arial" w:cs="Arial"/>
        </w:rPr>
      </w:pPr>
      <w:r>
        <w:rPr>
          <w:rFonts w:ascii="Arial" w:hAnsi="Arial" w:cs="Arial"/>
        </w:rPr>
        <w:t>zabezpečenie externých expertných služieb pre plynulú realizáciu operačného programu (prostredníctvom štúdií, analýz, monitoringu a outsourcingu);</w:t>
      </w:r>
    </w:p>
    <w:p>
      <w:pPr>
        <w:numPr>
          <w:ilvl w:val="0"/>
          <w:numId w:val="15"/>
        </w:numPr>
        <w:spacing w:after="0"/>
        <w:ind w:left="426" w:hanging="426"/>
        <w:jc w:val="both"/>
        <w:rPr>
          <w:rFonts w:ascii="Arial" w:hAnsi="Arial" w:cs="Arial"/>
        </w:rPr>
      </w:pPr>
      <w:r>
        <w:rPr>
          <w:rFonts w:ascii="Arial" w:hAnsi="Arial" w:cs="Arial"/>
        </w:rPr>
        <w:t>kvalitne pripravené strategické a metodické dokumenty;</w:t>
      </w:r>
    </w:p>
    <w:p>
      <w:pPr>
        <w:numPr>
          <w:ilvl w:val="0"/>
          <w:numId w:val="15"/>
        </w:numPr>
        <w:spacing w:after="0"/>
        <w:ind w:left="426" w:hanging="426"/>
        <w:jc w:val="both"/>
        <w:rPr>
          <w:rFonts w:ascii="Arial" w:hAnsi="Arial" w:cs="Arial"/>
        </w:rPr>
      </w:pPr>
      <w:r>
        <w:rPr>
          <w:rFonts w:ascii="Arial" w:hAnsi="Arial" w:cs="Arial"/>
        </w:rPr>
        <w:t>vykonanie odborného a právneho poradenstva na relevantnej úrovni;</w:t>
      </w:r>
    </w:p>
    <w:p>
      <w:pPr>
        <w:numPr>
          <w:ilvl w:val="0"/>
          <w:numId w:val="15"/>
        </w:numPr>
        <w:spacing w:after="0"/>
        <w:ind w:left="426" w:hanging="426"/>
        <w:jc w:val="both"/>
        <w:rPr>
          <w:rFonts w:ascii="Arial" w:hAnsi="Arial" w:cs="Arial"/>
        </w:rPr>
      </w:pPr>
      <w:r>
        <w:rPr>
          <w:rFonts w:ascii="Arial" w:hAnsi="Arial" w:cs="Arial"/>
        </w:rPr>
        <w:t>vypracovanie a realizácia všetkých náležitých procesov a dokumentov súvisiacich s prípravou nového programového obdobia.</w:t>
      </w:r>
    </w:p>
    <w:p>
      <w:pPr>
        <w:pStyle w:val="Odsekzoznamu"/>
        <w:ind w:left="567"/>
        <w:jc w:val="both"/>
        <w:rPr>
          <w:rFonts w:ascii="Arial" w:hAnsi="Arial" w:cs="Arial"/>
          <w:b/>
          <w:i/>
        </w:rPr>
      </w:pPr>
    </w:p>
    <w:p>
      <w:pPr>
        <w:pStyle w:val="Odsekzoznamu"/>
        <w:numPr>
          <w:ilvl w:val="3"/>
          <w:numId w:val="6"/>
        </w:numPr>
        <w:ind w:left="567"/>
        <w:jc w:val="both"/>
        <w:rPr>
          <w:rFonts w:ascii="Arial" w:hAnsi="Arial" w:cs="Arial"/>
          <w:b/>
          <w:i/>
        </w:rPr>
      </w:pPr>
      <w:r>
        <w:rPr>
          <w:rFonts w:ascii="Arial" w:hAnsi="Arial" w:cs="Arial"/>
          <w:b/>
          <w:i/>
        </w:rPr>
        <w:t xml:space="preserve">Zabezpečenie monitorovania, kontroly a auditu </w:t>
      </w:r>
    </w:p>
    <w:p>
      <w:pPr>
        <w:numPr>
          <w:ilvl w:val="0"/>
          <w:numId w:val="18"/>
        </w:numPr>
        <w:spacing w:after="0"/>
        <w:ind w:left="426" w:hanging="426"/>
        <w:jc w:val="both"/>
        <w:rPr>
          <w:rFonts w:ascii="Arial" w:hAnsi="Arial" w:cs="Arial"/>
        </w:rPr>
      </w:pPr>
      <w:r>
        <w:rPr>
          <w:rFonts w:ascii="Arial" w:hAnsi="Arial" w:cs="Arial"/>
        </w:rPr>
        <w:t>zabezpečenie aktivít súvisiacich so zavedením a koordináciou účinných systémov kontroly a auditu;</w:t>
      </w:r>
    </w:p>
    <w:p>
      <w:pPr>
        <w:numPr>
          <w:ilvl w:val="0"/>
          <w:numId w:val="18"/>
        </w:numPr>
        <w:spacing w:after="0"/>
        <w:ind w:left="426" w:hanging="426"/>
        <w:jc w:val="both"/>
        <w:rPr>
          <w:rFonts w:ascii="Arial" w:hAnsi="Arial" w:cs="Arial"/>
        </w:rPr>
      </w:pPr>
      <w:r>
        <w:rPr>
          <w:rFonts w:ascii="Arial" w:hAnsi="Arial" w:cs="Arial"/>
        </w:rPr>
        <w:t xml:space="preserve">zabezpečenie aktivít súvisiacich s nezrovnalosťami, monitorovaním, kontrolou a auditom; </w:t>
      </w:r>
    </w:p>
    <w:p>
      <w:pPr>
        <w:numPr>
          <w:ilvl w:val="0"/>
          <w:numId w:val="18"/>
        </w:numPr>
        <w:spacing w:after="0"/>
        <w:ind w:left="426" w:hanging="426"/>
        <w:jc w:val="both"/>
        <w:rPr>
          <w:rFonts w:ascii="Arial" w:hAnsi="Arial" w:cs="Arial"/>
        </w:rPr>
      </w:pPr>
      <w:r>
        <w:rPr>
          <w:rFonts w:ascii="Arial" w:hAnsi="Arial" w:cs="Arial"/>
        </w:rPr>
        <w:t>zabezpečenie bezproblémovej práce komisií, výborov, pracovných skupín a výkonu ich kompetencií;</w:t>
      </w:r>
    </w:p>
    <w:p>
      <w:pPr>
        <w:pStyle w:val="Odsekzoznamu"/>
        <w:ind w:left="567"/>
        <w:jc w:val="both"/>
        <w:rPr>
          <w:rFonts w:ascii="Arial" w:hAnsi="Arial" w:cs="Arial"/>
          <w:b/>
          <w:i/>
        </w:rPr>
      </w:pPr>
    </w:p>
    <w:p>
      <w:pPr>
        <w:pStyle w:val="Odsekzoznamu"/>
        <w:numPr>
          <w:ilvl w:val="3"/>
          <w:numId w:val="6"/>
        </w:numPr>
        <w:ind w:left="567"/>
        <w:jc w:val="both"/>
        <w:rPr>
          <w:rFonts w:ascii="Arial" w:hAnsi="Arial" w:cs="Arial"/>
          <w:b/>
          <w:i/>
        </w:rPr>
      </w:pPr>
      <w:r>
        <w:rPr>
          <w:rFonts w:ascii="Arial" w:hAnsi="Arial" w:cs="Arial"/>
          <w:b/>
          <w:i/>
        </w:rPr>
        <w:t>Zabezpečenie informovania a publicity</w:t>
      </w:r>
    </w:p>
    <w:p>
      <w:pPr>
        <w:numPr>
          <w:ilvl w:val="0"/>
          <w:numId w:val="17"/>
        </w:numPr>
        <w:spacing w:after="0"/>
        <w:ind w:left="426" w:hanging="426"/>
        <w:jc w:val="both"/>
        <w:rPr>
          <w:rFonts w:ascii="Arial" w:hAnsi="Arial" w:cs="Arial"/>
        </w:rPr>
      </w:pPr>
      <w:r>
        <w:rPr>
          <w:rFonts w:ascii="Arial" w:hAnsi="Arial" w:cs="Arial"/>
        </w:rPr>
        <w:t xml:space="preserve">zabezpečenie informovania a publicity; </w:t>
      </w:r>
    </w:p>
    <w:p>
      <w:pPr>
        <w:numPr>
          <w:ilvl w:val="0"/>
          <w:numId w:val="17"/>
        </w:numPr>
        <w:spacing w:after="0"/>
        <w:ind w:left="426" w:hanging="426"/>
        <w:jc w:val="both"/>
        <w:rPr>
          <w:rFonts w:ascii="Arial" w:hAnsi="Arial" w:cs="Arial"/>
        </w:rPr>
      </w:pPr>
      <w:r>
        <w:rPr>
          <w:rFonts w:ascii="Arial" w:hAnsi="Arial" w:cs="Arial"/>
        </w:rPr>
        <w:t>vytvorenie funkčných kontaktných miest;</w:t>
      </w:r>
    </w:p>
    <w:p>
      <w:pPr>
        <w:numPr>
          <w:ilvl w:val="0"/>
          <w:numId w:val="17"/>
        </w:numPr>
        <w:spacing w:after="0" w:line="240" w:lineRule="auto"/>
        <w:ind w:left="426" w:hanging="426"/>
        <w:jc w:val="both"/>
        <w:rPr>
          <w:rFonts w:ascii="Arial" w:hAnsi="Arial" w:cs="Arial"/>
        </w:rPr>
      </w:pPr>
      <w:r>
        <w:rPr>
          <w:rFonts w:ascii="Arial" w:hAnsi="Arial" w:cs="Arial"/>
        </w:rPr>
        <w:t>zvýšenie absorpčnej schopnosti žiadateľov.</w:t>
      </w:r>
    </w:p>
    <w:p>
      <w:pPr>
        <w:rPr>
          <w:rFonts w:ascii="Arial" w:hAnsi="Arial" w:cs="Arial"/>
        </w:rPr>
      </w:pPr>
    </w:p>
    <w:p>
      <w:pPr>
        <w:rPr>
          <w:rFonts w:ascii="Arial" w:hAnsi="Arial" w:cs="Arial"/>
        </w:rPr>
      </w:pPr>
    </w:p>
    <w:p>
      <w:pPr>
        <w:spacing w:before="120"/>
        <w:rPr>
          <w:rFonts w:ascii="Arial" w:hAnsi="Arial" w:cs="Arial"/>
        </w:rPr>
      </w:pPr>
      <w:r>
        <w:rPr>
          <w:rStyle w:val="Siln"/>
          <w:rFonts w:ascii="Arial" w:hAnsi="Arial" w:cs="Arial"/>
        </w:rPr>
        <w:t>Tabuľka č. 46</w:t>
      </w:r>
      <w:r>
        <w:rPr>
          <w:rStyle w:val="Zvraznenie"/>
          <w:rFonts w:ascii="Arial" w:hAnsi="Arial" w:cs="Arial"/>
        </w:rPr>
        <w:t xml:space="preserve"> Výsledkové ukazovatele pre špecifický cieľ č. 6.1.</w:t>
      </w:r>
    </w:p>
    <w:tbl>
      <w:tblPr>
        <w:tblW w:w="954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567"/>
        <w:gridCol w:w="567"/>
        <w:gridCol w:w="567"/>
        <w:gridCol w:w="992"/>
        <w:gridCol w:w="567"/>
        <w:gridCol w:w="567"/>
        <w:gridCol w:w="567"/>
        <w:gridCol w:w="1008"/>
        <w:gridCol w:w="1053"/>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701" w:type="dxa"/>
            <w:gridSpan w:val="3"/>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105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10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Vybavenosť administratívnych kapacít modernými materiálno–technickými, priestorovými a prevádzkovými podmienkami</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w:t>
            </w:r>
          </w:p>
        </w:tc>
        <w:tc>
          <w:tcPr>
            <w:tcW w:w="10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Výška absorbovaných oprávnených výdavkov z celkovej alokácie IROP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w:t>
            </w:r>
          </w:p>
        </w:tc>
        <w:tc>
          <w:tcPr>
            <w:tcW w:w="10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Miera informovanosti o možnostiach podpory z IROP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w:t>
            </w:r>
          </w:p>
        </w:tc>
        <w:tc>
          <w:tcPr>
            <w:tcW w:w="10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 (prieskum)</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20"/>
          <w:szCs w:val="20"/>
        </w:rPr>
      </w:pPr>
      <w:r>
        <w:rPr>
          <w:rFonts w:ascii="Arial" w:hAnsi="Arial" w:cs="Arial"/>
          <w:sz w:val="20"/>
          <w:szCs w:val="20"/>
        </w:rPr>
        <w:t>*Hodnota ukazovateľa bude doplnená v ďalšom štádiu prípravy dokumentu</w:t>
      </w:r>
    </w:p>
    <w:p>
      <w:pPr>
        <w:pStyle w:val="Nadpis5"/>
        <w:shd w:val="clear" w:color="auto" w:fill="B8C1E9"/>
        <w:rPr>
          <w:rFonts w:ascii="Arial" w:hAnsi="Arial" w:cs="Arial"/>
        </w:rPr>
      </w:pPr>
      <w:bookmarkStart w:id="140" w:name="_Toc387153977"/>
      <w:r>
        <w:rPr>
          <w:rFonts w:ascii="Arial" w:hAnsi="Arial" w:cs="Arial"/>
        </w:rPr>
        <w:t>Akcia, ktorá sa má podporiť a  očakávaný príspevok k naplneniu špecifických cieľov</w:t>
      </w:r>
      <w:bookmarkEnd w:id="140"/>
      <w:r>
        <w:rPr>
          <w:rFonts w:ascii="Arial" w:hAnsi="Arial" w:cs="Arial"/>
        </w:rPr>
        <w:t xml:space="preserve"> </w:t>
      </w:r>
    </w:p>
    <w:p>
      <w:pPr>
        <w:pStyle w:val="Nadpis6"/>
        <w:rPr>
          <w:rFonts w:ascii="Arial" w:hAnsi="Arial" w:cs="Arial"/>
        </w:rPr>
      </w:pPr>
      <w:bookmarkStart w:id="141" w:name="_Toc387153978"/>
      <w:r>
        <w:rPr>
          <w:rFonts w:ascii="Arial" w:hAnsi="Arial" w:cs="Arial"/>
        </w:rPr>
        <w:t>2.6.1.1. Opis aktivít, ktoré majú byť podporené a ich očakávaný príspevok k naplneniu špecifických cieľov</w:t>
      </w:r>
      <w:bookmarkEnd w:id="141"/>
    </w:p>
    <w:p>
      <w:pPr>
        <w:pStyle w:val="Zoznamsodrkami"/>
        <w:numPr>
          <w:ilvl w:val="0"/>
          <w:numId w:val="0"/>
        </w:numPr>
        <w:tabs>
          <w:tab w:val="left" w:pos="708"/>
        </w:tabs>
        <w:spacing w:after="120" w:line="240" w:lineRule="auto"/>
        <w:ind w:left="720"/>
        <w:rPr>
          <w:rFonts w:ascii="Arial" w:hAnsi="Arial" w:cs="Arial"/>
          <w:sz w:val="22"/>
          <w:szCs w:val="22"/>
          <w:lang w:val="sk-SK"/>
        </w:rPr>
      </w:pPr>
    </w:p>
    <w:p>
      <w:pPr>
        <w:pStyle w:val="Odsekzoznamu"/>
        <w:numPr>
          <w:ilvl w:val="0"/>
          <w:numId w:val="22"/>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pPr>
        <w:numPr>
          <w:ilvl w:val="0"/>
          <w:numId w:val="19"/>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pPr>
        <w:numPr>
          <w:ilvl w:val="0"/>
          <w:numId w:val="19"/>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pPr>
        <w:numPr>
          <w:ilvl w:val="0"/>
          <w:numId w:val="19"/>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pPr>
        <w:spacing w:after="0" w:line="240" w:lineRule="auto"/>
        <w:ind w:left="426"/>
        <w:jc w:val="both"/>
        <w:rPr>
          <w:rFonts w:ascii="Arial" w:hAnsi="Arial" w:cs="Arial"/>
        </w:rPr>
      </w:pPr>
    </w:p>
    <w:p>
      <w:pPr>
        <w:pStyle w:val="Odsekzoznamu"/>
        <w:numPr>
          <w:ilvl w:val="0"/>
          <w:numId w:val="22"/>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pPr>
        <w:pStyle w:val="Odsekzoznamu"/>
        <w:numPr>
          <w:ilvl w:val="0"/>
          <w:numId w:val="20"/>
        </w:numPr>
        <w:spacing w:after="120"/>
        <w:ind w:left="425" w:hanging="425"/>
        <w:jc w:val="both"/>
        <w:rPr>
          <w:rFonts w:ascii="Arial" w:hAnsi="Arial" w:cs="Arial"/>
        </w:rPr>
      </w:pPr>
      <w:r>
        <w:rPr>
          <w:rFonts w:ascii="Arial" w:hAnsi="Arial" w:cs="Arial"/>
        </w:rPr>
        <w:t>materiálno – technické, priestorové a prevádzkové zabezpečenie v rámci všetkých procesov týkajúcich sa realizácie operačného programu;</w:t>
      </w:r>
    </w:p>
    <w:p>
      <w:pPr>
        <w:pStyle w:val="Odsekzoznamu"/>
        <w:numPr>
          <w:ilvl w:val="0"/>
          <w:numId w:val="20"/>
        </w:numPr>
        <w:ind w:left="426" w:hanging="426"/>
        <w:rPr>
          <w:rFonts w:ascii="Arial" w:hAnsi="Arial" w:cs="Arial"/>
        </w:rPr>
      </w:pPr>
      <w:r>
        <w:rPr>
          <w:rFonts w:ascii="Arial" w:hAnsi="Arial" w:cs="Arial"/>
        </w:rPr>
        <w:t>vybavenie IKT vrátane potrebného hardvéru, softvéru, prevádzkovej podpory a licencií;</w:t>
      </w:r>
    </w:p>
    <w:p>
      <w:pPr>
        <w:numPr>
          <w:ilvl w:val="0"/>
          <w:numId w:val="20"/>
        </w:numPr>
        <w:spacing w:after="120"/>
        <w:ind w:left="425" w:hanging="425"/>
        <w:jc w:val="both"/>
        <w:rPr>
          <w:rFonts w:ascii="Arial" w:hAnsi="Arial" w:cs="Arial"/>
        </w:rPr>
      </w:pPr>
      <w:r>
        <w:rPr>
          <w:rFonts w:ascii="Arial" w:hAnsi="Arial" w:cs="Arial"/>
        </w:rPr>
        <w:t>prevádzkové zabezpečenie (výdavky na prevádzku a údržbu a pod.) a režijné náklady.</w:t>
      </w:r>
    </w:p>
    <w:p>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a auditu IROP tak, aby vytvoril vhodné pracovné podmienky zamestnancov RO a SORO.</w:t>
      </w:r>
    </w:p>
    <w:p>
      <w:pPr>
        <w:pStyle w:val="Odsekzoznamu"/>
        <w:numPr>
          <w:ilvl w:val="0"/>
          <w:numId w:val="22"/>
        </w:numPr>
        <w:ind w:left="709" w:hanging="349"/>
        <w:jc w:val="both"/>
        <w:rPr>
          <w:rFonts w:ascii="Arial" w:hAnsi="Arial" w:cs="Arial"/>
          <w:b/>
        </w:rPr>
      </w:pPr>
      <w:r>
        <w:rPr>
          <w:rFonts w:ascii="Arial" w:hAnsi="Arial" w:cs="Arial"/>
          <w:b/>
        </w:rPr>
        <w:lastRenderedPageBreak/>
        <w:t>V rámci oblasti zabezpečenia podpory procesov programovania, riadenia, implementácie, hodnotenia a finančného riadenia sú uplatňované nasledovné skupiny aktivít:</w:t>
      </w:r>
    </w:p>
    <w:p>
      <w:pPr>
        <w:pStyle w:val="Odsekzoznamu"/>
        <w:jc w:val="both"/>
        <w:rPr>
          <w:rFonts w:ascii="Arial" w:hAnsi="Arial" w:cs="Arial"/>
          <w:b/>
        </w:rPr>
      </w:pPr>
    </w:p>
    <w:p>
      <w:pPr>
        <w:pStyle w:val="Odsekzoznamu"/>
        <w:numPr>
          <w:ilvl w:val="0"/>
          <w:numId w:val="21"/>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regionálnych integrovaných územných stratégií</w:t>
      </w:r>
    </w:p>
    <w:p>
      <w:pPr>
        <w:pStyle w:val="Odsekzoznamu"/>
        <w:numPr>
          <w:ilvl w:val="0"/>
          <w:numId w:val="21"/>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 auditom;</w:t>
      </w:r>
    </w:p>
    <w:p>
      <w:pPr>
        <w:numPr>
          <w:ilvl w:val="0"/>
          <w:numId w:val="21"/>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p>
    <w:p>
      <w:pPr>
        <w:numPr>
          <w:ilvl w:val="0"/>
          <w:numId w:val="21"/>
        </w:numPr>
        <w:spacing w:after="120"/>
        <w:ind w:left="425" w:hanging="425"/>
        <w:jc w:val="both"/>
        <w:rPr>
          <w:rFonts w:ascii="Arial" w:hAnsi="Arial" w:cs="Arial"/>
        </w:rPr>
      </w:pPr>
      <w:r>
        <w:rPr>
          <w:rFonts w:ascii="Arial" w:hAnsi="Arial" w:cs="Arial"/>
        </w:rPr>
        <w:t>zabezpečovanie odborného a právneho poradenstva;</w:t>
      </w:r>
    </w:p>
    <w:p>
      <w:pPr>
        <w:numPr>
          <w:ilvl w:val="0"/>
          <w:numId w:val="21"/>
        </w:numPr>
        <w:spacing w:after="120"/>
        <w:ind w:left="425" w:hanging="425"/>
        <w:jc w:val="both"/>
        <w:rPr>
          <w:rFonts w:ascii="Arial" w:hAnsi="Arial" w:cs="Arial"/>
        </w:rPr>
      </w:pPr>
      <w:r>
        <w:rPr>
          <w:rFonts w:ascii="Arial" w:hAnsi="Arial" w:cs="Arial"/>
        </w:rPr>
        <w:t>príprava ďalšieho programového obdobia.</w:t>
      </w:r>
    </w:p>
    <w:p>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pPr>
        <w:pStyle w:val="Odsekzoznamu"/>
        <w:numPr>
          <w:ilvl w:val="0"/>
          <w:numId w:val="22"/>
        </w:numPr>
        <w:jc w:val="both"/>
        <w:rPr>
          <w:rFonts w:ascii="Arial" w:hAnsi="Arial" w:cs="Arial"/>
          <w:b/>
          <w:i/>
        </w:rPr>
      </w:pPr>
      <w:r>
        <w:rPr>
          <w:rFonts w:ascii="Arial" w:hAnsi="Arial" w:cs="Arial"/>
          <w:b/>
          <w:i/>
        </w:rPr>
        <w:t>Zabezpečenie monitorovania, kontroly a auditu bude napĺňaný prostredníctvom nasledujúcich aktivít:</w:t>
      </w:r>
    </w:p>
    <w:p>
      <w:pPr>
        <w:numPr>
          <w:ilvl w:val="0"/>
          <w:numId w:val="23"/>
        </w:numPr>
        <w:spacing w:after="0"/>
        <w:ind w:left="426" w:hanging="426"/>
        <w:jc w:val="both"/>
        <w:rPr>
          <w:rFonts w:ascii="Arial" w:hAnsi="Arial" w:cs="Arial"/>
        </w:rPr>
      </w:pPr>
      <w:r>
        <w:rPr>
          <w:rFonts w:ascii="Arial" w:hAnsi="Arial" w:cs="Arial"/>
        </w:rPr>
        <w:t>organizácia a technická podpora rokovania pracovných skupín, komisií a výborov a aktivity súvisiace so zabezpečením výkonu ich kompetencií;</w:t>
      </w:r>
    </w:p>
    <w:p>
      <w:pPr>
        <w:numPr>
          <w:ilvl w:val="0"/>
          <w:numId w:val="23"/>
        </w:numPr>
        <w:spacing w:after="0" w:line="240" w:lineRule="auto"/>
        <w:ind w:left="426" w:hanging="426"/>
        <w:jc w:val="both"/>
        <w:rPr>
          <w:rFonts w:ascii="Arial" w:hAnsi="Arial" w:cs="Arial"/>
        </w:rPr>
      </w:pPr>
      <w:r>
        <w:rPr>
          <w:rFonts w:ascii="Arial" w:hAnsi="Arial" w:cs="Arial"/>
        </w:rPr>
        <w:t>aktivity súvisiace s monitorovaním a s výkonom kontroly a auditu;</w:t>
      </w:r>
    </w:p>
    <w:p>
      <w:pPr>
        <w:jc w:val="both"/>
        <w:rPr>
          <w:rFonts w:ascii="Arial" w:hAnsi="Arial" w:cs="Arial"/>
          <w:b/>
          <w:i/>
        </w:rPr>
      </w:pPr>
    </w:p>
    <w:p>
      <w:pPr>
        <w:pStyle w:val="Odsekzoznamu"/>
        <w:numPr>
          <w:ilvl w:val="0"/>
          <w:numId w:val="22"/>
        </w:numPr>
        <w:jc w:val="both"/>
        <w:rPr>
          <w:rFonts w:ascii="Arial" w:hAnsi="Arial" w:cs="Arial"/>
          <w:b/>
          <w:i/>
        </w:rPr>
      </w:pPr>
      <w:r>
        <w:rPr>
          <w:rFonts w:ascii="Arial" w:hAnsi="Arial" w:cs="Arial"/>
          <w:b/>
          <w:i/>
        </w:rPr>
        <w:t xml:space="preserve">Informovanosť a publicita budú zabezpečené nasledovnými aktivitami: </w:t>
      </w:r>
    </w:p>
    <w:p>
      <w:pPr>
        <w:numPr>
          <w:ilvl w:val="0"/>
          <w:numId w:val="24"/>
        </w:numPr>
        <w:spacing w:after="0"/>
        <w:ind w:left="426" w:hanging="426"/>
        <w:jc w:val="both"/>
        <w:rPr>
          <w:rFonts w:ascii="Arial" w:hAnsi="Arial" w:cs="Arial"/>
        </w:rPr>
      </w:pPr>
      <w:r>
        <w:rPr>
          <w:rFonts w:ascii="Arial" w:hAnsi="Arial" w:cs="Arial"/>
        </w:rPr>
        <w:t xml:space="preserve">informovanie, propagácia, publicita a výmena skúseností, </w:t>
      </w:r>
    </w:p>
    <w:p>
      <w:pPr>
        <w:numPr>
          <w:ilvl w:val="0"/>
          <w:numId w:val="24"/>
        </w:numPr>
        <w:spacing w:after="0"/>
        <w:ind w:left="426" w:hanging="426"/>
        <w:jc w:val="both"/>
        <w:rPr>
          <w:rFonts w:ascii="Arial" w:hAnsi="Arial" w:cs="Arial"/>
        </w:rPr>
      </w:pPr>
      <w:r>
        <w:rPr>
          <w:rFonts w:ascii="Arial" w:hAnsi="Arial" w:cs="Arial"/>
        </w:rPr>
        <w:t xml:space="preserve">vytváranie sietí kontaktných miest, </w:t>
      </w:r>
    </w:p>
    <w:p>
      <w:pPr>
        <w:numPr>
          <w:ilvl w:val="0"/>
          <w:numId w:val="24"/>
        </w:numPr>
        <w:spacing w:after="0"/>
        <w:ind w:left="426" w:hanging="426"/>
        <w:jc w:val="both"/>
        <w:rPr>
          <w:rFonts w:ascii="Arial" w:hAnsi="Arial" w:cs="Arial"/>
        </w:rPr>
      </w:pPr>
      <w:r>
        <w:rPr>
          <w:rFonts w:ascii="Arial" w:hAnsi="Arial" w:cs="Arial"/>
        </w:rPr>
        <w:t>aktivity súvisiace s prípravou a implementáciou komunikačného plánu,</w:t>
      </w:r>
    </w:p>
    <w:p>
      <w:pPr>
        <w:numPr>
          <w:ilvl w:val="0"/>
          <w:numId w:val="24"/>
        </w:numPr>
        <w:spacing w:after="120" w:line="240" w:lineRule="auto"/>
        <w:ind w:left="426" w:hanging="426"/>
        <w:jc w:val="both"/>
        <w:rPr>
          <w:rFonts w:ascii="Arial" w:hAnsi="Arial" w:cs="Arial"/>
        </w:rPr>
      </w:pPr>
      <w:r>
        <w:rPr>
          <w:rFonts w:ascii="Arial" w:hAnsi="Arial" w:cs="Arial"/>
        </w:rPr>
        <w:t>posilňovanie absorpčnej schopnosti žiadateľov,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pPr>
        <w:jc w:val="both"/>
        <w:rPr>
          <w:rFonts w:ascii="Arial" w:hAnsi="Arial" w:cs="Arial"/>
        </w:rPr>
      </w:pPr>
      <w:r>
        <w:rPr>
          <w:rFonts w:ascii="Arial" w:hAnsi="Arial" w:cs="Arial"/>
        </w:rPr>
        <w:t>Prostredníctvom nástrojov v oblasti informovanosti a publicity zabezpečí RO propagáciu s cieľom zdôrazniť poslanie finančných nástrojov Európskej únie, posilňovanie absorpčnej schopnosti žiadateľov a transparentnosť poskytovania finančných prostriedkov EŠI fondov.</w:t>
      </w:r>
    </w:p>
    <w:p>
      <w:pPr>
        <w:pStyle w:val="Nadpis6"/>
        <w:rPr>
          <w:rFonts w:ascii="Arial" w:hAnsi="Arial" w:cs="Arial"/>
        </w:rPr>
      </w:pPr>
      <w:bookmarkStart w:id="142" w:name="_Toc387153979"/>
      <w:r>
        <w:rPr>
          <w:rFonts w:ascii="Arial" w:hAnsi="Arial" w:cs="Arial"/>
        </w:rPr>
        <w:t>2.6.1.2. Ukazovatele výstupu prispievajúce k výsledkom (podľa prioritnej osi)</w:t>
      </w:r>
      <w:bookmarkEnd w:id="142"/>
    </w:p>
    <w:p>
      <w:pPr>
        <w:spacing w:before="120"/>
        <w:rPr>
          <w:rFonts w:ascii="Arial" w:hAnsi="Arial" w:cs="Arial"/>
        </w:rPr>
      </w:pPr>
      <w:r>
        <w:rPr>
          <w:rStyle w:val="Siln"/>
          <w:rFonts w:ascii="Arial" w:hAnsi="Arial" w:cs="Arial"/>
        </w:rPr>
        <w:t>Tabuľka č. 47</w:t>
      </w:r>
      <w:r>
        <w:rPr>
          <w:rStyle w:val="Zvraznenie"/>
          <w:rFonts w:ascii="Arial" w:hAnsi="Arial" w:cs="Arial"/>
        </w:rPr>
        <w:t xml:space="preserve"> Ukazovatele výstupov pre prioritnú os </w:t>
      </w:r>
    </w:p>
    <w:tbl>
      <w:tblPr>
        <w:tblW w:w="81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0"/>
        <w:gridCol w:w="2746"/>
        <w:gridCol w:w="1373"/>
        <w:gridCol w:w="649"/>
        <w:gridCol w:w="669"/>
        <w:gridCol w:w="697"/>
        <w:gridCol w:w="1664"/>
      </w:tblGrid>
      <w:tr>
        <w:trPr>
          <w:trHeight w:val="128"/>
        </w:trPr>
        <w:tc>
          <w:tcPr>
            <w:tcW w:w="39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ID</w:t>
            </w:r>
          </w:p>
        </w:tc>
        <w:tc>
          <w:tcPr>
            <w:tcW w:w="2746" w:type="dxa"/>
            <w:vMerge w:val="restart"/>
            <w:tcBorders>
              <w:top w:val="single" w:sz="8" w:space="0" w:color="4E67C8"/>
              <w:left w:val="single" w:sz="8" w:space="0" w:color="4E67C8"/>
              <w:right w:val="single" w:sz="8" w:space="0" w:color="4E67C8"/>
            </w:tcBorders>
            <w:shd w:val="clear" w:color="auto" w:fill="auto"/>
          </w:tcPr>
          <w:p>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37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Merná jednotka</w:t>
            </w:r>
          </w:p>
        </w:tc>
        <w:tc>
          <w:tcPr>
            <w:tcW w:w="2015"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Cieľová hodnota (2023)</w:t>
            </w:r>
          </w:p>
        </w:tc>
        <w:tc>
          <w:tcPr>
            <w:tcW w:w="166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Zdroj údajov</w:t>
            </w:r>
          </w:p>
        </w:tc>
      </w:tr>
      <w:tr>
        <w:trPr>
          <w:trHeight w:val="127"/>
        </w:trPr>
        <w:tc>
          <w:tcPr>
            <w:tcW w:w="39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c>
          <w:tcPr>
            <w:tcW w:w="2746" w:type="dxa"/>
            <w:vMerge/>
            <w:tcBorders>
              <w:left w:val="single" w:sz="8" w:space="0" w:color="4E67C8"/>
              <w:bottom w:val="single" w:sz="18" w:space="0" w:color="4E67C8"/>
              <w:right w:val="single" w:sz="8" w:space="0" w:color="4E67C8"/>
            </w:tcBorders>
            <w:shd w:val="clear" w:color="auto" w:fill="auto"/>
          </w:tcPr>
          <w:p>
            <w:pPr>
              <w:tabs>
                <w:tab w:val="right" w:pos="2006"/>
              </w:tabs>
              <w:spacing w:after="0" w:line="240" w:lineRule="auto"/>
              <w:rPr>
                <w:rFonts w:ascii="Arial" w:hAnsi="Arial" w:cs="Arial"/>
                <w:b/>
                <w:sz w:val="16"/>
                <w:szCs w:val="16"/>
              </w:rPr>
            </w:pPr>
          </w:p>
        </w:tc>
        <w:tc>
          <w:tcPr>
            <w:tcW w:w="137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c>
          <w:tcPr>
            <w:tcW w:w="64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w:t>
            </w:r>
          </w:p>
        </w:tc>
        <w:tc>
          <w:tcPr>
            <w:tcW w:w="66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Ž</w:t>
            </w:r>
          </w:p>
        </w:tc>
        <w:tc>
          <w:tcPr>
            <w:tcW w:w="69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M+Ž</w:t>
            </w:r>
          </w:p>
        </w:tc>
        <w:tc>
          <w:tcPr>
            <w:tcW w:w="166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r>
      <w:tr>
        <w:trPr>
          <w:trHeight w:val="248"/>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spracovaných žiadostí o NFP Riadiacim orgánom pre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ŽoNFP</w:t>
            </w:r>
          </w:p>
        </w:tc>
        <w:tc>
          <w:tcPr>
            <w:tcW w:w="6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2 200</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r>
        <w:trPr>
          <w:trHeight w:val="248"/>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spracovaných žiadostí o NFP sprostredkovateľskými </w:t>
            </w:r>
            <w:r>
              <w:rPr>
                <w:rFonts w:ascii="Arial" w:hAnsi="Arial" w:cs="Arial"/>
                <w:sz w:val="16"/>
                <w:szCs w:val="16"/>
              </w:rPr>
              <w:lastRenderedPageBreak/>
              <w:t>orgánmi pod Riadiacim orgánom pre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lastRenderedPageBreak/>
              <w:t>ŽoNFP</w:t>
            </w:r>
          </w:p>
        </w:tc>
        <w:tc>
          <w:tcPr>
            <w:tcW w:w="64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1 000</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uzavretých zmlúv o poskytnutí NFP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ŽoNFP</w:t>
            </w:r>
          </w:p>
        </w:tc>
        <w:tc>
          <w:tcPr>
            <w:tcW w:w="649"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1 800</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administratívnych kapacít  vybavených materiálno-technickým vybavením z TP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Osoba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350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administratívnych kapacít  vybavených IKT z TP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Osoba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350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Vzdelávacia aktivita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100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zrealizovaných interných kontrol/auditov, monitorovaní</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Interná kontrola/audit, monitorovanie</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40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aktivít zameraných na informovanie verejnosti o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Aktivita informovanosti</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1000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zrealizovaných RIÚS</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RIÚS</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8</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bl>
    <w:p>
      <w:pPr>
        <w:spacing w:after="0" w:line="240" w:lineRule="auto"/>
        <w:rPr>
          <w:rFonts w:ascii="Arial" w:hAnsi="Arial" w:cs="Arial"/>
          <w:b/>
          <w:sz w:val="16"/>
          <w:szCs w:val="16"/>
        </w:rPr>
      </w:pPr>
    </w:p>
    <w:p>
      <w:pPr>
        <w:pStyle w:val="Nadpis5"/>
        <w:shd w:val="clear" w:color="auto" w:fill="B8C1E9"/>
        <w:rPr>
          <w:rFonts w:ascii="Arial" w:hAnsi="Arial" w:cs="Arial"/>
        </w:rPr>
      </w:pPr>
      <w:bookmarkStart w:id="143" w:name="_Toc387153980"/>
      <w:r>
        <w:rPr>
          <w:rFonts w:ascii="Arial" w:hAnsi="Arial" w:cs="Arial"/>
        </w:rPr>
        <w:t>Kategórie intervencie (podľa prioritných osí)</w:t>
      </w:r>
      <w:bookmarkEnd w:id="143"/>
    </w:p>
    <w:p>
      <w:pPr>
        <w:spacing w:before="120"/>
        <w:rPr>
          <w:rStyle w:val="Zvraznenie"/>
          <w:rFonts w:ascii="Arial" w:hAnsi="Arial" w:cs="Arial"/>
        </w:rPr>
      </w:pPr>
      <w:r>
        <w:rPr>
          <w:rStyle w:val="Siln"/>
          <w:rFonts w:ascii="Arial" w:hAnsi="Arial" w:cs="Arial"/>
        </w:rPr>
        <w:t>Tabuľka č. 48</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42 905 604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5 720 747</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8 581 121</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57 207 472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57 207 472</w:t>
            </w:r>
          </w:p>
        </w:tc>
      </w:tr>
    </w:tbl>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2 094 396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279 253</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418 879</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2 792 528</w:t>
            </w:r>
          </w:p>
        </w:tc>
      </w:tr>
    </w:tbl>
    <w:p>
      <w:pPr>
        <w:rPr>
          <w:rStyle w:val="Zvraznenie"/>
          <w:rFonts w:ascii="Arial" w:hAnsi="Arial" w:cs="Arial"/>
        </w:rPr>
      </w:pPr>
    </w:p>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2 792 528</w:t>
            </w:r>
          </w:p>
        </w:tc>
      </w:tr>
    </w:tbl>
    <w:p/>
    <w:p>
      <w:pPr>
        <w:pStyle w:val="Nadpis1"/>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pPr>
      <w:bookmarkStart w:id="144" w:name="_Toc387153981"/>
      <w:r>
        <w:rPr>
          <w:rFonts w:ascii="Arial" w:hAnsi="Arial" w:cs="Arial"/>
        </w:rPr>
        <w:lastRenderedPageBreak/>
        <w:t>3 Finančný plán Integrovaného regionálneho operačného programu</w:t>
      </w:r>
      <w:bookmarkEnd w:id="144"/>
    </w:p>
    <w:p>
      <w:pPr>
        <w:pStyle w:val="Nadpis2"/>
        <w:rPr>
          <w:rFonts w:ascii="Arial" w:hAnsi="Arial" w:cs="Arial"/>
        </w:rPr>
      </w:pPr>
      <w:bookmarkStart w:id="145" w:name="_Toc387153982"/>
      <w:r>
        <w:rPr>
          <w:rFonts w:ascii="Arial" w:hAnsi="Arial" w:cs="Arial"/>
        </w:rPr>
        <w:t>3.1 Tabuľka ročných záväzkov</w:t>
      </w:r>
      <w:bookmarkEnd w:id="145"/>
    </w:p>
    <w:p>
      <w:pPr>
        <w:spacing w:before="120"/>
        <w:rPr>
          <w:rStyle w:val="Siln"/>
          <w:rFonts w:ascii="Arial" w:hAnsi="Arial" w:cs="Arial"/>
        </w:rPr>
      </w:pPr>
      <w:r>
        <w:rPr>
          <w:rStyle w:val="Siln"/>
          <w:rFonts w:ascii="Arial" w:hAnsi="Arial" w:cs="Arial"/>
        </w:rPr>
        <w:t>Tabuľka č. 49</w:t>
      </w:r>
    </w:p>
    <w:tbl>
      <w:tblPr>
        <w:tblStyle w:val="Svetlmriekazvraznenie11"/>
        <w:tblW w:w="15168" w:type="dxa"/>
        <w:tblInd w:w="-1106" w:type="dxa"/>
        <w:tblLayout w:type="fixed"/>
        <w:tblCellMar>
          <w:left w:w="28" w:type="dxa"/>
          <w:right w:w="28" w:type="dxa"/>
        </w:tblCellMar>
        <w:tblLook w:val="04A0" w:firstRow="1" w:lastRow="0" w:firstColumn="1" w:lastColumn="0" w:noHBand="0" w:noVBand="1"/>
      </w:tblPr>
      <w:tblGrid>
        <w:gridCol w:w="283"/>
        <w:gridCol w:w="851"/>
        <w:gridCol w:w="851"/>
        <w:gridCol w:w="850"/>
        <w:gridCol w:w="709"/>
        <w:gridCol w:w="851"/>
        <w:gridCol w:w="850"/>
        <w:gridCol w:w="851"/>
        <w:gridCol w:w="708"/>
        <w:gridCol w:w="851"/>
        <w:gridCol w:w="850"/>
        <w:gridCol w:w="851"/>
        <w:gridCol w:w="850"/>
        <w:gridCol w:w="851"/>
        <w:gridCol w:w="709"/>
        <w:gridCol w:w="850"/>
        <w:gridCol w:w="709"/>
        <w:gridCol w:w="992"/>
        <w:gridCol w:w="851"/>
      </w:tblGrid>
      <w:tr>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83" w:type="dxa"/>
          </w:tcPr>
          <w:p>
            <w:pPr>
              <w:spacing w:before="120"/>
              <w:rPr>
                <w:rFonts w:ascii="Arial" w:hAnsi="Arial" w:cs="Arial"/>
                <w:b w:val="0"/>
                <w:sz w:val="14"/>
                <w:szCs w:val="14"/>
              </w:rPr>
            </w:pPr>
          </w:p>
        </w:tc>
        <w:tc>
          <w:tcPr>
            <w:tcW w:w="851" w:type="dxa"/>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Fond</w:t>
            </w:r>
          </w:p>
        </w:tc>
        <w:tc>
          <w:tcPr>
            <w:tcW w:w="851" w:type="dxa"/>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Kategória regiónu</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2014</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2015</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2016</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2017</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2018</w:t>
            </w:r>
          </w:p>
        </w:tc>
        <w:tc>
          <w:tcPr>
            <w:tcW w:w="1560"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2019</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2020</w:t>
            </w:r>
          </w:p>
        </w:tc>
        <w:tc>
          <w:tcPr>
            <w:tcW w:w="1843"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Spolu</w:t>
            </w:r>
          </w:p>
        </w:tc>
      </w:tr>
      <w:tr>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8"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992"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r>
      <w:tr>
        <w:trPr>
          <w:cnfStyle w:val="000000010000" w:firstRow="0" w:lastRow="0" w:firstColumn="0" w:lastColumn="0" w:oddVBand="0" w:evenVBand="0" w:oddHBand="0" w:evenHBand="1" w:firstRowFirstColumn="0" w:firstRowLastColumn="0" w:lastRowFirstColumn="0" w:lastRowLastColumn="0"/>
          <w:cantSplit/>
          <w:trHeight w:val="70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Menej rozvinutý región</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201 314 513</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13 163 182</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211 349 354</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13 819 322</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221 517 633</w:t>
            </w:r>
          </w:p>
        </w:tc>
        <w:tc>
          <w:tcPr>
            <w:tcW w:w="708"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14 484 186</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231 544 445</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15 139 801</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242 277 515</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15 841 595</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253 771 543</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16 593 146</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260 005 888</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17 000 785</w:t>
            </w:r>
          </w:p>
        </w:tc>
        <w:tc>
          <w:tcPr>
            <w:tcW w:w="992"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1 621 780 891</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106 042 017</w:t>
            </w:r>
          </w:p>
        </w:tc>
      </w:tr>
      <w:tr>
        <w:trPr>
          <w:cnfStyle w:val="000000100000" w:firstRow="0" w:lastRow="0" w:firstColumn="0" w:lastColumn="0" w:oddVBand="0" w:evenVBand="0" w:oddHBand="1" w:evenHBand="0" w:firstRowFirstColumn="0" w:firstRowLastColumn="0" w:lastRowFirstColumn="0" w:lastRowLastColumn="0"/>
          <w:cantSplit/>
          <w:trHeight w:val="531"/>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2</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Prechodný región</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796"/>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3</w:t>
            </w:r>
          </w:p>
        </w:tc>
        <w:tc>
          <w:tcPr>
            <w:tcW w:w="851" w:type="dxa"/>
            <w:shd w:val="clear" w:color="auto" w:fill="auto"/>
          </w:tcPr>
          <w:p>
            <w:pPr>
              <w:cnfStyle w:val="000000010000" w:firstRow="0" w:lastRow="0" w:firstColumn="0" w:lastColumn="0" w:oddVBand="0" w:evenVBand="0" w:oddHBand="0" w:evenHBand="1"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Viac rozvinutý región</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10 451 363</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667 109</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10 841 418</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692 006</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11 237 194</w:t>
            </w:r>
          </w:p>
        </w:tc>
        <w:tc>
          <w:tcPr>
            <w:tcW w:w="708"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717 268</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11 630 453</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742 369</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12 046 761</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768 942</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12 487 798</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797 093</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12 772 469</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815 264</w:t>
            </w:r>
          </w:p>
        </w:tc>
        <w:tc>
          <w:tcPr>
            <w:tcW w:w="992"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81 467 456</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5 200 051</w:t>
            </w:r>
          </w:p>
        </w:tc>
      </w:tr>
      <w:tr>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4</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Celkovo</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211 765 876</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13 830 291</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222 190 772</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14 511 328</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232 754 827</w:t>
            </w:r>
          </w:p>
        </w:tc>
        <w:tc>
          <w:tcPr>
            <w:tcW w:w="708"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15 201 454</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243 174 898</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15 882 170</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254 324 276</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16 610 537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266 259 341</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17 390 239</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272 778 357</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17 816 049</w:t>
            </w:r>
          </w:p>
        </w:tc>
        <w:tc>
          <w:tcPr>
            <w:tcW w:w="992"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1 703 248 347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111 242 068</w:t>
            </w:r>
          </w:p>
        </w:tc>
      </w:tr>
      <w:tr>
        <w:trPr>
          <w:cnfStyle w:val="000000010000" w:firstRow="0" w:lastRow="0" w:firstColumn="0" w:lastColumn="0" w:oddVBand="0" w:evenVBand="0" w:oddHBand="0" w:evenHBand="1" w:firstRowFirstColumn="0" w:firstRowLastColumn="0" w:lastRowFirstColumn="0" w:lastRowLastColumn="0"/>
          <w:cantSplit/>
          <w:trHeight w:val="504"/>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5</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ESF</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Menej rozvinutý región</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33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6</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ESF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Prechodný región</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61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7</w:t>
            </w:r>
          </w:p>
        </w:tc>
        <w:tc>
          <w:tcPr>
            <w:tcW w:w="851" w:type="dxa"/>
            <w:shd w:val="clear" w:color="auto" w:fill="auto"/>
          </w:tcPr>
          <w:p>
            <w:pPr>
              <w:cnfStyle w:val="000000010000" w:firstRow="0" w:lastRow="0" w:firstColumn="0" w:lastColumn="0" w:oddVBand="0" w:evenVBand="0" w:oddHBand="0" w:evenHBand="1" w:firstRowFirstColumn="0" w:firstRowLastColumn="0" w:lastRowFirstColumn="0" w:lastRowLastColumn="0"/>
              <w:rPr>
                <w:b/>
                <w:sz w:val="14"/>
                <w:szCs w:val="14"/>
              </w:rPr>
            </w:pPr>
            <w:r>
              <w:rPr>
                <w:rFonts w:ascii="Arial" w:hAnsi="Arial" w:cs="Arial"/>
                <w:b/>
                <w:sz w:val="14"/>
                <w:szCs w:val="14"/>
              </w:rPr>
              <w:t>ESF</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Viac rozvinutý región</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lastRenderedPageBreak/>
              <w:t>8</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ESF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Celkovo</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1698"/>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9</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Osobitná alokácia pre Iniciatívu pre zamestna-nosť mladých</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N/A</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43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10</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KF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N/A</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1886"/>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11</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Osobitná alokácia pre najvzdia-lenejšie regióny a severné riedko osídlené regióny</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12</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Spolu</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211 765 876</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13 830 291</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222 190 772</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14 511 328</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232 754 827</w:t>
            </w:r>
          </w:p>
        </w:tc>
        <w:tc>
          <w:tcPr>
            <w:tcW w:w="708"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15 201 454</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243 174 898</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15 882 170</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254 324 276</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16 610 537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266 259 341</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17 390 239</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272 778 357</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17 816 049</w:t>
            </w:r>
          </w:p>
        </w:tc>
        <w:tc>
          <w:tcPr>
            <w:tcW w:w="992"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1 703 248 347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111 242 068</w:t>
            </w:r>
          </w:p>
        </w:tc>
      </w:tr>
    </w:tbl>
    <w:p>
      <w:pPr>
        <w:spacing w:before="120"/>
        <w:rPr>
          <w:rStyle w:val="Siln"/>
          <w:rFonts w:ascii="Arial" w:hAnsi="Arial" w:cs="Arial"/>
        </w:rPr>
      </w:pPr>
    </w:p>
    <w:p>
      <w:pPr>
        <w:spacing w:before="120"/>
        <w:rPr>
          <w:rFonts w:ascii="Arial" w:hAnsi="Arial" w:cs="Arial"/>
        </w:rPr>
      </w:pPr>
    </w:p>
    <w:p>
      <w:pPr>
        <w:rPr>
          <w:rFonts w:ascii="Arial" w:hAnsi="Arial" w:cs="Arial"/>
        </w:rPr>
      </w:pPr>
    </w:p>
    <w:p>
      <w:pPr>
        <w:rPr>
          <w:rFonts w:ascii="Arial" w:hAnsi="Arial" w:cs="Arial"/>
        </w:rPr>
      </w:pPr>
    </w:p>
    <w:p>
      <w:pPr>
        <w:pStyle w:val="Nadpis3"/>
        <w:rPr>
          <w:rFonts w:ascii="Arial" w:hAnsi="Arial" w:cs="Arial"/>
        </w:rPr>
        <w:sectPr>
          <w:pgSz w:w="16838" w:h="11906" w:orient="landscape"/>
          <w:pgMar w:top="1418" w:right="1418" w:bottom="1418" w:left="1418" w:header="709" w:footer="709" w:gutter="0"/>
          <w:cols w:space="708"/>
          <w:docGrid w:linePitch="360"/>
        </w:sectPr>
      </w:pPr>
    </w:p>
    <w:p>
      <w:pPr>
        <w:pStyle w:val="Nadpis3"/>
        <w:rPr>
          <w:rFonts w:ascii="Arial" w:hAnsi="Arial" w:cs="Arial"/>
        </w:rPr>
      </w:pPr>
      <w:bookmarkStart w:id="146" w:name="_Toc387153983"/>
      <w:r>
        <w:rPr>
          <w:rFonts w:ascii="Arial" w:hAnsi="Arial" w:cs="Arial"/>
        </w:rPr>
        <w:lastRenderedPageBreak/>
        <w:t>3.2.A Finančný plán podľa zdrojov financovania</w:t>
      </w:r>
      <w:bookmarkEnd w:id="146"/>
    </w:p>
    <w:p>
      <w:pPr>
        <w:spacing w:before="120"/>
        <w:rPr>
          <w:rFonts w:ascii="Arial" w:hAnsi="Arial" w:cs="Arial"/>
        </w:rPr>
      </w:pPr>
      <w:r>
        <w:rPr>
          <w:rStyle w:val="Siln"/>
          <w:rFonts w:ascii="Arial" w:hAnsi="Arial" w:cs="Arial"/>
        </w:rPr>
        <w:t>Tabuľka č. 50 Finančný plán Integrovaného regionálneho operačného programu</w:t>
      </w:r>
    </w:p>
    <w:tbl>
      <w:tblPr>
        <w:tblW w:w="5395" w:type="pct"/>
        <w:tblInd w:w="-110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853"/>
        <w:gridCol w:w="373"/>
        <w:gridCol w:w="628"/>
        <w:gridCol w:w="992"/>
        <w:gridCol w:w="995"/>
        <w:gridCol w:w="992"/>
        <w:gridCol w:w="1132"/>
        <w:gridCol w:w="1138"/>
        <w:gridCol w:w="992"/>
        <w:gridCol w:w="849"/>
        <w:gridCol w:w="849"/>
        <w:gridCol w:w="995"/>
        <w:gridCol w:w="995"/>
        <w:gridCol w:w="992"/>
        <w:gridCol w:w="992"/>
        <w:gridCol w:w="1402"/>
      </w:tblGrid>
      <w:tr>
        <w:trPr>
          <w:cantSplit/>
          <w:trHeight w:val="415"/>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Prioritná os</w:t>
            </w:r>
          </w:p>
        </w:tc>
        <w:tc>
          <w:tcPr>
            <w:tcW w:w="123"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Fond</w:t>
            </w:r>
          </w:p>
        </w:tc>
        <w:tc>
          <w:tcPr>
            <w:tcW w:w="20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Kategória regiónu</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Základ na výpočet EU zdrojov (celkové oprávnené výdavky alebo verejné oprávnené výdavky)</w:t>
            </w:r>
          </w:p>
        </w:tc>
        <w:tc>
          <w:tcPr>
            <w:tcW w:w="328"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EU zdroje</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748" w:type="pct"/>
            <w:gridSpan w:val="2"/>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Indikatívne rozdelenie národného spolufinancovania</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Celkové financovanie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Miera spolufinanco-vania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Pre informáciu</w:t>
            </w:r>
          </w:p>
          <w:p>
            <w:pPr>
              <w:spacing w:after="0" w:line="240" w:lineRule="auto"/>
              <w:jc w:val="center"/>
              <w:rPr>
                <w:rFonts w:ascii="Arial Narrow" w:eastAsia="Times New Roman" w:hAnsi="Arial Narrow" w:cs="Arial"/>
                <w:b/>
                <w:bCs/>
                <w:sz w:val="14"/>
                <w:szCs w:val="14"/>
              </w:rPr>
            </w:pPr>
          </w:p>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Príspevok EIB</w:t>
            </w:r>
          </w:p>
        </w:tc>
        <w:tc>
          <w:tcPr>
            <w:tcW w:w="656" w:type="pct"/>
            <w:gridSpan w:val="2"/>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Hlavná alokácia (celkové financovanie znížené o výkonnostnú rezervu</w:t>
            </w:r>
          </w:p>
          <w:p>
            <w:pPr>
              <w:spacing w:after="0" w:line="240" w:lineRule="auto"/>
              <w:jc w:val="center"/>
              <w:rPr>
                <w:rFonts w:ascii="Arial Narrow" w:eastAsia="Times New Roman" w:hAnsi="Arial Narrow" w:cs="Arial"/>
                <w:b/>
                <w:bCs/>
                <w:sz w:val="14"/>
                <w:szCs w:val="14"/>
              </w:rPr>
            </w:pPr>
          </w:p>
        </w:tc>
        <w:tc>
          <w:tcPr>
            <w:tcW w:w="654" w:type="pct"/>
            <w:gridSpan w:val="2"/>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Výkonnostná rezerva</w:t>
            </w:r>
          </w:p>
          <w:p>
            <w:pPr>
              <w:spacing w:after="0" w:line="240" w:lineRule="auto"/>
              <w:jc w:val="center"/>
              <w:rPr>
                <w:rFonts w:ascii="Arial Narrow" w:eastAsia="Times New Roman" w:hAnsi="Arial Narrow" w:cs="Arial"/>
                <w:b/>
                <w:bCs/>
                <w:sz w:val="14"/>
                <w:szCs w:val="14"/>
              </w:rPr>
            </w:pPr>
          </w:p>
        </w:tc>
        <w:tc>
          <w:tcPr>
            <w:tcW w:w="462" w:type="pct"/>
            <w:vMerge w:val="restar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p>
          <w:p>
            <w:pPr>
              <w:jc w:val="center"/>
              <w:rPr>
                <w:rFonts w:ascii="Arial Narrow" w:eastAsia="Times New Roman" w:hAnsi="Arial Narrow" w:cs="Arial"/>
                <w:b/>
                <w:bCs/>
                <w:sz w:val="14"/>
                <w:szCs w:val="14"/>
              </w:rPr>
            </w:pPr>
            <w:r>
              <w:rPr>
                <w:rFonts w:ascii="Arial Narrow" w:eastAsia="Times New Roman" w:hAnsi="Arial Narrow" w:cs="Arial"/>
                <w:b/>
                <w:bCs/>
                <w:sz w:val="14"/>
                <w:szCs w:val="14"/>
              </w:rPr>
              <w:t>Podiel výkonnostnej rezervy (za EÚ zdroje) z celkových EÚ zdrojov na prioritnú os</w:t>
            </w:r>
          </w:p>
        </w:tc>
      </w:tr>
      <w:tr>
        <w:trPr>
          <w:cantSplit/>
          <w:trHeight w:val="337"/>
        </w:trPr>
        <w:tc>
          <w:tcPr>
            <w:tcW w:w="281"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0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8"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73" w:type="pct"/>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Národné verejné zdroje </w:t>
            </w:r>
          </w:p>
        </w:tc>
        <w:tc>
          <w:tcPr>
            <w:tcW w:w="375" w:type="pct"/>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Národné súkromné zdroje </w:t>
            </w: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80"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80"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8" w:type="pc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EÚ zdroje</w:t>
            </w:r>
          </w:p>
        </w:tc>
        <w:tc>
          <w:tcPr>
            <w:tcW w:w="328" w:type="pc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327" w:type="pct"/>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EÚ zdroje</w:t>
            </w:r>
          </w:p>
        </w:tc>
        <w:tc>
          <w:tcPr>
            <w:tcW w:w="327" w:type="pct"/>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462" w:type="pct"/>
            <w:vMerge/>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p>
        </w:tc>
      </w:tr>
      <w:tr>
        <w:trPr>
          <w:cantSplit/>
          <w:trHeight w:val="259"/>
        </w:trPr>
        <w:tc>
          <w:tcPr>
            <w:tcW w:w="281"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p>
        </w:tc>
        <w:tc>
          <w:tcPr>
            <w:tcW w:w="123"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20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(a)</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(b)=(c)+(d)</w:t>
            </w:r>
          </w:p>
        </w:tc>
        <w:tc>
          <w:tcPr>
            <w:tcW w:w="373"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(c)</w:t>
            </w:r>
          </w:p>
        </w:tc>
        <w:tc>
          <w:tcPr>
            <w:tcW w:w="375"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(d)</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(e)=(a)+(b)</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(f)=(a)/(e)</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(g)</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(h)=(a)-(j)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(i)=(b)-(k)</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(j)</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(k)=(b)*((j)/(a)</w:t>
            </w:r>
          </w:p>
        </w:tc>
        <w:tc>
          <w:tcPr>
            <w:tcW w:w="462"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(l)=(j)/(a)*</w:t>
            </w:r>
          </w:p>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100</w:t>
            </w:r>
          </w:p>
        </w:tc>
      </w:tr>
      <w:tr>
        <w:trPr>
          <w:cantSplit/>
          <w:trHeight w:val="441"/>
        </w:trPr>
        <w:tc>
          <w:tcPr>
            <w:tcW w:w="281" w:type="pct"/>
            <w:vMerge w:val="restart"/>
            <w:tcBorders>
              <w:top w:val="single" w:sz="24"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1 Bezpečná a ekologická doprava v regiónoch</w:t>
            </w:r>
          </w:p>
        </w:tc>
        <w:tc>
          <w:tcPr>
            <w:tcW w:w="123"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24"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400 000 000,00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70 588 239,00</w:t>
            </w:r>
          </w:p>
        </w:tc>
        <w:tc>
          <w:tcPr>
            <w:tcW w:w="373"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65 182 355,00</w:t>
            </w:r>
          </w:p>
        </w:tc>
        <w:tc>
          <w:tcPr>
            <w:tcW w:w="375"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5 405 884,00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470 588 239,00</w:t>
            </w:r>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374 610 072,00</w:t>
            </w: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66 107 663,00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25 389 928,00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4 480 576,00</w:t>
            </w:r>
          </w:p>
        </w:tc>
        <w:tc>
          <w:tcPr>
            <w:tcW w:w="462"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9"/>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21 000 000,00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21 000 000,00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20 820 000,00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19 698 050,00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19 698 050,00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1 301 950,00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1 301 950,00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396"/>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2 Ľahší prístup k efektívnym a kvalitnejším verejným službám</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726 000 000,00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128 117 658,00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121 100 010,00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7 017 648,00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854 117 658,00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679 917 280,00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119 985 412,00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46 082 720,00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8 132 246,00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01"/>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31 913 197,00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31 913 199,00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31 392 501,00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520 698,00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63 826 396,00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29 934 654,00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29 934 656,00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1 978 543,00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1 978 543,00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7"/>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3 Mobilizácia kreatívneho potenciálu v regiónoch</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255 860 548,00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45 151 862,00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42 593 257,00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2 558 605,00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301 012 410,00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239 619 846,00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42 285 856,00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16 240 702,00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2 866 006,00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4"/>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20 000 000,00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19 800 000,00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40 000 000,00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18 760 047,00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18 760 047,00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1 239 953,00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1 239 953,00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6"/>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4 Zlepšenie kvality života v regiónoch s dôrazom na životné prostredie</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189 754 888,00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33 486 163,00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32 001 924,00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1 484 239,00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223 241 051,00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177 710 229,00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31 360 633,00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12 044 659,00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2 125 530,00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2"/>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19 923 564,00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9 344 175,00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9 344 175,00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617 607,00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617 607,00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389"/>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PO5 Miestny rozvoj vedený komunitou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99 000 000,00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5 210 529,00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2 214 474,00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2 996 055,00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104 210 529,00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95 %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92 715 992,00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4 879 791,00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6 284 008,00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330 738,00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0"/>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666 667,00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595 844,00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70 823,00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1 666 667,00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938 002,00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625 335,00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61 998,00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41 332,00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2"/>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PO6 Technická pomoc</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57 207 472,00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67 302 910,00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57 207 472,00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0,00</w:t>
            </w:r>
          </w:p>
        </w:tc>
      </w:tr>
      <w:tr>
        <w:trPr>
          <w:cantSplit/>
          <w:trHeight w:val="408"/>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5 585 056,00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0,00</w:t>
            </w:r>
          </w:p>
        </w:tc>
      </w:tr>
      <w:tr>
        <w:trPr>
          <w:cantSplit/>
          <w:trHeight w:val="399"/>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lastRenderedPageBreak/>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1 727 822 908,00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292 649 889,00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273 187 458,00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19 462 431,00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2 020 472 797,00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85,52 %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1 621 780 891,00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274 714 793,00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106 042 017,00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17 935 096,00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6,14</w:t>
            </w:r>
          </w:p>
        </w:tc>
      </w:tr>
      <w:tr>
        <w:trPr>
          <w:cantSplit/>
          <w:trHeight w:val="557"/>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86 667 507,00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86 334 176,00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85 362 655,00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971 521,00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173 001 683,00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50,10 %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81 467 456,00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81 154 791,00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5 200 051,00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5 179 385,00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6,00</w:t>
            </w:r>
          </w:p>
        </w:tc>
      </w:tr>
      <w:tr>
        <w:trPr>
          <w:cantSplit/>
          <w:trHeight w:val="253"/>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N/A</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1 814 490 415,00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378 984 065,00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358 550 113,00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20 433 952,00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2 193 474 480,00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82,72 %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1 703 248 347,00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355 869 584,00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111 242 068,00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23 114 481,00</w:t>
            </w:r>
          </w:p>
        </w:tc>
        <w:tc>
          <w:tcPr>
            <w:tcW w:w="462"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6,13</w:t>
            </w:r>
          </w:p>
        </w:tc>
      </w:tr>
    </w:tbl>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b w:val="0"/>
        </w:rPr>
      </w:pPr>
      <w:r>
        <w:rPr>
          <w:rStyle w:val="Siln"/>
          <w:rFonts w:ascii="Arial" w:hAnsi="Arial" w:cs="Arial"/>
        </w:rPr>
        <w:t xml:space="preserve">Tabuľka č. 51 </w:t>
      </w:r>
      <w:r>
        <w:rPr>
          <w:rStyle w:val="Siln"/>
          <w:rFonts w:ascii="Arial" w:hAnsi="Arial" w:cs="Arial"/>
          <w:b w:val="0"/>
        </w:rPr>
        <w:t>Rozdelenie finančného plánu IROP podľa prioritnej osi, fondu, kategórie regiónu a tematického cieľa</w:t>
      </w:r>
    </w:p>
    <w:tbl>
      <w:tblPr>
        <w:tblW w:w="5334" w:type="pct"/>
        <w:tblInd w:w="-102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71"/>
        <w:gridCol w:w="852"/>
        <w:gridCol w:w="1702"/>
        <w:gridCol w:w="2691"/>
        <w:gridCol w:w="1984"/>
        <w:gridCol w:w="1984"/>
        <w:gridCol w:w="1984"/>
      </w:tblGrid>
      <w:tr>
        <w:tc>
          <w:tcPr>
            <w:tcW w:w="1309"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281"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561"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87"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trPr>
          <w:trHeight w:val="188"/>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7</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400 000 000,00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70 588 239,00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470 588 239,00</w:t>
            </w:r>
          </w:p>
        </w:tc>
      </w:tr>
      <w:tr>
        <w:trPr>
          <w:trHeight w:val="187"/>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21 000 000,00</w:t>
            </w: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42 000 000,00</w:t>
            </w:r>
          </w:p>
        </w:tc>
      </w:tr>
      <w:tr>
        <w:trPr>
          <w:trHeight w:val="195"/>
        </w:trPr>
        <w:tc>
          <w:tcPr>
            <w:tcW w:w="1309"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9</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484 000 000,00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85 411 770,00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569 411 770,00</w:t>
            </w:r>
          </w:p>
        </w:tc>
      </w:tr>
      <w:tr>
        <w:trPr>
          <w:trHeight w:val="195"/>
        </w:trPr>
        <w:tc>
          <w:tcPr>
            <w:tcW w:w="1309" w:type="pct"/>
            <w:vMerge/>
            <w:tcBorders>
              <w:left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10 913 197,00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10 913 199,00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21 826 396,00</w:t>
            </w:r>
          </w:p>
        </w:tc>
      </w:tr>
      <w:tr>
        <w:trPr>
          <w:trHeight w:val="19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10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242 000 000,00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42 705 888,00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284 705 888,00</w:t>
            </w:r>
          </w:p>
        </w:tc>
      </w:tr>
      <w:tr>
        <w:trPr>
          <w:trHeight w:val="19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42 000 000,00</w:t>
            </w:r>
          </w:p>
        </w:tc>
      </w:tr>
      <w:tr>
        <w:trPr>
          <w:trHeight w:val="173"/>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8</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255 860 548,00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45 151 862,00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301 012 410,00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40 000 000,00</w:t>
            </w:r>
          </w:p>
        </w:tc>
      </w:tr>
      <w:tr>
        <w:trPr>
          <w:trHeight w:val="128"/>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4</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101 426 772,00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17 898 843,00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119 325 615,00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9 961 782,00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9 961 782,00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19 923 564,00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6</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sz w:val="16"/>
                <w:szCs w:val="16"/>
                <w:lang w:eastAsia="sk-SK"/>
              </w:rPr>
              <w:t>88 328 116,00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15 587 320,00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103 915 436,00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0,00</w:t>
            </w:r>
          </w:p>
        </w:tc>
      </w:tr>
      <w:tr>
        <w:trPr>
          <w:trHeight w:val="204"/>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9</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99 000 000,00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5 210 529,00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104 210 529,00</w:t>
            </w:r>
          </w:p>
        </w:tc>
      </w:tr>
      <w:tr>
        <w:trPr>
          <w:trHeight w:val="204"/>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666 667,00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1 666 667,00</w:t>
            </w:r>
          </w:p>
        </w:tc>
      </w:tr>
      <w:tr>
        <w:trPr>
          <w:trHeight w:val="82"/>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57 207 472,00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10 095 438,00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67 302 910,00</w:t>
            </w:r>
          </w:p>
        </w:tc>
      </w:tr>
      <w:tr>
        <w:trPr>
          <w:trHeight w:val="81"/>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2 792 528,00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2 792 528,00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5 585 056,00</w:t>
            </w:r>
          </w:p>
        </w:tc>
      </w:tr>
      <w:tr>
        <w:trPr>
          <w:trHeight w:val="90"/>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sz w:val="16"/>
                <w:szCs w:val="16"/>
              </w:rPr>
              <w:t>1 727 822 908,00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292 649 889,00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2 020 472 797,00</w:t>
            </w:r>
          </w:p>
        </w:tc>
      </w:tr>
      <w:tr>
        <w:trPr>
          <w:trHeight w:val="90"/>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sz w:val="16"/>
                <w:szCs w:val="16"/>
              </w:rPr>
              <w:t>86 667 507,00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86 334 176,00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173 001 683,00</w:t>
            </w:r>
          </w:p>
        </w:tc>
      </w:tr>
      <w:tr>
        <w:trPr>
          <w:trHeight w:val="90"/>
        </w:trPr>
        <w:tc>
          <w:tcPr>
            <w:tcW w:w="1309" w:type="pct"/>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281"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N/A</w:t>
            </w:r>
          </w:p>
        </w:tc>
        <w:tc>
          <w:tcPr>
            <w:tcW w:w="88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1 814 490 415,00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378 984 065,00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2 193 474 480,00</w:t>
            </w:r>
          </w:p>
        </w:tc>
      </w:tr>
    </w:tbl>
    <w:p>
      <w:pPr>
        <w:rPr>
          <w:rStyle w:val="Siln"/>
        </w:rPr>
      </w:pPr>
    </w:p>
    <w:p>
      <w:pPr>
        <w:rPr>
          <w:rFonts w:ascii="Arial" w:hAnsi="Arial" w:cs="Arial"/>
        </w:rPr>
      </w:pPr>
    </w:p>
    <w:p>
      <w:pPr>
        <w:rPr>
          <w:rFonts w:ascii="Arial" w:hAnsi="Arial" w:cs="Arial"/>
        </w:rPr>
        <w:sectPr>
          <w:pgSz w:w="16838" w:h="11906" w:orient="landscape"/>
          <w:pgMar w:top="1418" w:right="1418" w:bottom="1418" w:left="1418" w:header="709" w:footer="709" w:gutter="0"/>
          <w:cols w:space="708"/>
          <w:docGrid w:linePitch="360"/>
        </w:sectPr>
      </w:pPr>
    </w:p>
    <w:p>
      <w:pPr>
        <w:rPr>
          <w:rFonts w:ascii="Arial" w:hAnsi="Arial" w:cs="Arial"/>
        </w:rPr>
      </w:pPr>
      <w:r>
        <w:rPr>
          <w:rStyle w:val="Siln"/>
          <w:rFonts w:ascii="Arial" w:hAnsi="Arial" w:cs="Arial"/>
        </w:rPr>
        <w:lastRenderedPageBreak/>
        <w:t xml:space="preserve">Tabuľka č. 52 </w:t>
      </w:r>
      <w:r>
        <w:rPr>
          <w:rStyle w:val="Zvraznenie"/>
          <w:rFonts w:ascii="Arial" w:hAnsi="Arial" w:cs="Arial"/>
        </w:rPr>
        <w:t>Indikatívna výška podpory, ktorá sa použije pre ciele týkajúce sa zmien klímy</w:t>
      </w:r>
    </w:p>
    <w:p>
      <w:pPr>
        <w:rPr>
          <w:rFonts w:ascii="Arial" w:hAnsi="Arial" w:cs="Arial"/>
          <w:i/>
          <w:color w:val="4EACF3"/>
        </w:rPr>
      </w:pPr>
      <w:r>
        <w:rPr>
          <w:rFonts w:ascii="Arial" w:hAnsi="Arial" w:cs="Arial"/>
          <w:i/>
          <w:color w:val="4EACF3"/>
        </w:rPr>
        <w:t>[Táto tabuľka je automaticky generovaná SFC.]</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tc>
          <w:tcPr>
            <w:tcW w:w="308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r>
    </w:tbl>
    <w:p>
      <w:pPr>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pPr>
      <w:bookmarkStart w:id="147" w:name="_Toc387153984"/>
      <w:r>
        <w:rPr>
          <w:rFonts w:ascii="Arial" w:hAnsi="Arial" w:cs="Arial"/>
        </w:rPr>
        <w:lastRenderedPageBreak/>
        <w:t>4 Integrovaný prístup k územnému rozvoju</w:t>
      </w:r>
      <w:bookmarkEnd w:id="147"/>
    </w:p>
    <w:p>
      <w:pPr>
        <w:rPr>
          <w:rFonts w:ascii="Arial" w:hAnsi="Arial" w:cs="Arial"/>
          <w:i/>
          <w:color w:val="4EACF3"/>
        </w:rPr>
      </w:pPr>
    </w:p>
    <w:p>
      <w:pPr>
        <w:jc w:val="both"/>
        <w:rPr>
          <w:rFonts w:ascii="Arial" w:hAnsi="Arial" w:cs="Arial"/>
        </w:rPr>
      </w:pPr>
      <w:r>
        <w:rPr>
          <w:rFonts w:ascii="Arial" w:hAnsi="Arial" w:cs="Arial"/>
        </w:rPr>
        <w:t xml:space="preserve">Na základe nastavenej stratégie, výberu investičných priorít a stanovených špecifických cieľov a výsledkov je možné IROP považovať za príspevok k integrovanému prístupu k územnému rozvoju v SR z hľadiska napĺňania jeho nevyhnutých aspektov (obsahových, územných, implementačných).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pPr>
        <w:jc w:val="both"/>
        <w:rPr>
          <w:rFonts w:ascii="Arial" w:hAnsi="Arial" w:cs="Arial"/>
        </w:rPr>
      </w:pPr>
      <w:r>
        <w:rPr>
          <w:rFonts w:ascii="Arial" w:hAnsi="Arial" w:cs="Arial"/>
        </w:rPr>
        <w:t xml:space="preserve">Obsahovým aspektom integrovaného prístupu k územnému rozvoju je plánovanie a realizácia obsahovo 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(ďalej len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 1) územím RIÚS je funkčné územie celého regiónu (NUTS 3) a 2) relevantné subjekty si musia spoločne zvoliť prioritné projektové zámery, ktoré chcú realizovať v kontexte celej RIÚS.</w:t>
      </w:r>
    </w:p>
    <w:p>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pPr>
        <w:jc w:val="both"/>
        <w:rPr>
          <w:rFonts w:ascii="Arial" w:hAnsi="Arial" w:cs="Arial"/>
        </w:rPr>
      </w:pPr>
    </w:p>
    <w:p>
      <w:pPr>
        <w:pStyle w:val="Nadpis2"/>
        <w:rPr>
          <w:rFonts w:ascii="Arial" w:hAnsi="Arial" w:cs="Arial"/>
        </w:rPr>
      </w:pPr>
      <w:bookmarkStart w:id="148" w:name="_Toc387153985"/>
      <w:r>
        <w:rPr>
          <w:rFonts w:ascii="Arial" w:hAnsi="Arial" w:cs="Arial"/>
        </w:rPr>
        <w:lastRenderedPageBreak/>
        <w:t>4.1 Miestny rozvoj vedený komunitou</w:t>
      </w:r>
      <w:bookmarkEnd w:id="148"/>
    </w:p>
    <w:p>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pPr>
        <w:spacing w:before="120"/>
        <w:jc w:val="both"/>
        <w:rPr>
          <w:rStyle w:val="Zvraznenie"/>
          <w:rFonts w:ascii="Arial" w:hAnsi="Arial" w:cs="Arial"/>
          <w:i w:val="0"/>
        </w:rPr>
      </w:pPr>
      <w:r>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w:t>
      </w:r>
    </w:p>
    <w:p>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Ministerstvo pôdohospodárstva a rozvoja vidieka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Kvalita partnerstva</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Kvalita stratégie</w:t>
      </w:r>
    </w:p>
    <w:p>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zlepšovaniu ekonomického rozvoja;</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rovnomerné územné rozdelenie v rámci NUTS 3;</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zameranie stratégie na ciele a priority CLLD uvedené v Partnerskej dohode, IROP a PRV;</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sociálnej inklúzii marginalizovaných skupín obyvateľstva vrátane marginalizovaných rómskych komunít</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multiplikačný efekt stratégie – ako stratégia prispieva k riešeniu problémov, vzťah medzi problémami a navrhnutými riešeniami a pod. (plánovacia logická matica);</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lastRenderedPageBreak/>
        <w:t>doplnkovosť stratégie voči iným strategickým dokumentom na nadnárodnej (Dunajská stratégia), národnej, regionálnej (PHSR kraja, iné krajské stratégie) a lokálnej úrovni (plány hospodárskeho a sociálneho rozvoja obcí a krajov a iné stratégie existujúce v území) a príspevok k napĺňaniu ex ante kondicionalít IROP ako aj k jednotlivým výsledkovým ukazovateľom.</w:t>
      </w:r>
    </w:p>
    <w:p>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pPr>
        <w:spacing w:before="120"/>
        <w:jc w:val="both"/>
        <w:rPr>
          <w:rStyle w:val="Zvraznenie"/>
          <w:rFonts w:ascii="Arial" w:hAnsi="Arial" w:cs="Arial"/>
          <w:i w:val="0"/>
        </w:rPr>
      </w:pPr>
      <w:r>
        <w:rPr>
          <w:rStyle w:val="Zvraznenie"/>
          <w:rFonts w:ascii="Arial" w:hAnsi="Arial" w:cs="Arial"/>
          <w:i w:val="0"/>
        </w:rPr>
        <w:t>Prevádzkové náklady na chod MAS (s výnimkou MAS na území Bratislavského kraja) budú hradené z EFRR a náklady na oživenie (animácie) budú hradené z EPFRV. Z EPFRV budú tiež hradené prevádzkové náklady na chod MAS nachádzajúcich sa na území Bratislavského kraja.</w:t>
      </w:r>
    </w:p>
    <w:p>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pPr>
        <w:spacing w:before="120"/>
        <w:jc w:val="both"/>
        <w:rPr>
          <w:rStyle w:val="Zvraznenie"/>
          <w:rFonts w:ascii="Arial" w:hAnsi="Arial" w:cs="Arial"/>
          <w:i w:val="0"/>
        </w:rPr>
      </w:pPr>
      <w:r>
        <w:rPr>
          <w:rStyle w:val="Zvraznenie"/>
          <w:rFonts w:ascii="Arial" w:hAnsi="Arial" w:cs="Arial"/>
          <w:i w:val="0"/>
        </w:rPr>
        <w:t>Stratégie CLLD budú pripravované ako integrované a multisektorové strategické dokumenty financované z viacerých zdrojov. Vo vzťahu k EŠI fondom budú priamo financované z EPFRV a EFRR, pričom alokácia z EFRR (IROP) je 100 mil. EUR.</w:t>
      </w:r>
    </w:p>
    <w:p>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  ako aj minimálne limity príspevku fondov EPFRV a EFRR v rámci jednej stratégie.</w:t>
      </w:r>
    </w:p>
    <w:p>
      <w:pPr>
        <w:spacing w:before="120"/>
        <w:jc w:val="both"/>
        <w:rPr>
          <w:rStyle w:val="Zvraznenie"/>
          <w:rFonts w:ascii="Arial" w:hAnsi="Arial" w:cs="Arial"/>
          <w:i w:val="0"/>
        </w:rPr>
      </w:pPr>
    </w:p>
    <w:p>
      <w:pPr>
        <w:pStyle w:val="Nadpis2"/>
        <w:rPr>
          <w:rFonts w:ascii="Arial" w:hAnsi="Arial" w:cs="Arial"/>
        </w:rPr>
      </w:pPr>
      <w:bookmarkStart w:id="149" w:name="_Toc387153986"/>
      <w:r>
        <w:rPr>
          <w:rFonts w:ascii="Arial" w:hAnsi="Arial" w:cs="Arial"/>
        </w:rPr>
        <w:t>4.2 Podpora udržateľného mestského rozvoja</w:t>
      </w:r>
      <w:bookmarkEnd w:id="149"/>
    </w:p>
    <w:p>
      <w:pPr>
        <w:spacing w:before="120"/>
        <w:jc w:val="both"/>
        <w:rPr>
          <w:rStyle w:val="Zvraznenie"/>
          <w:rFonts w:ascii="Arial" w:hAnsi="Arial" w:cs="Arial"/>
          <w:i w:val="0"/>
        </w:rPr>
      </w:pPr>
      <w:r>
        <w:rPr>
          <w:rStyle w:val="Zvraznenie"/>
          <w:rFonts w:ascii="Arial" w:hAnsi="Arial" w:cs="Arial"/>
          <w:i w:val="0"/>
        </w:rPr>
        <w:t xml:space="preserve">Partnerská zmluva SR definuje osem súčasných krajských miest vrátane ich jadrového pásma ťažiska osídlenia vymedzené v KURS,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čerpajúcich zdroje z prioritných osí IROP. Podpora ostatných identifikovaných oblastí, ktoré tematicky nepokrýva IROP, a teda nemôže </w:t>
      </w:r>
      <w:r>
        <w:rPr>
          <w:rStyle w:val="Zvraznenie"/>
          <w:rFonts w:ascii="Arial" w:hAnsi="Arial" w:cs="Arial"/>
          <w:i w:val="0"/>
        </w:rPr>
        <w:lastRenderedPageBreak/>
        <w:t xml:space="preserve">garantovať ich podporu, môže byť zabezpečená z príslušných OP prostredníctvom mechanizmu zvýhodňovania žiadostí o podporu prispievajúcich k udržateľnému mestskému rozvoju v hodnotiacom a výberovom procese. </w:t>
      </w:r>
    </w:p>
    <w:p>
      <w:pPr>
        <w:spacing w:before="120"/>
        <w:jc w:val="both"/>
        <w:rPr>
          <w:rFonts w:ascii="Arial" w:hAnsi="Arial" w:cs="Arial"/>
        </w:rPr>
      </w:pPr>
      <w:r>
        <w:rPr>
          <w:rStyle w:val="Zvraznenie"/>
          <w:rFonts w:ascii="Arial" w:hAnsi="Arial" w:cs="Arial"/>
          <w:i w:val="0"/>
        </w:rPr>
        <w:t xml:space="preserve">Udržateľný mestský rozvoj (ďalej aj „ÚMR“) sa bude realizovať ako súčasť modelu regionálnych integrovaných územných stratégií, t. z. že samotné stratégie budú obsahovať špecifickú časť venovanú udržateľnému mestskému rozvoju vo vzťahu k stanoveným mestským oblastiam. </w:t>
      </w:r>
      <w:r>
        <w:rPr>
          <w:rFonts w:ascii="Arial" w:hAnsi="Arial" w:cs="Arial"/>
        </w:rPr>
        <w:t xml:space="preserve">Na základe toho sa budú realizovať IÚI pre udržateľný mestský rozvoj. </w:t>
      </w:r>
      <w:r>
        <w:rPr>
          <w:rStyle w:val="Zvraznenie"/>
          <w:rFonts w:ascii="Arial" w:hAnsi="Arial" w:cs="Arial"/>
          <w:i w:val="0"/>
        </w:rPr>
        <w:t>Za účelom prípravy stratégie ÚMR vytvorí krajské mesto partnerstvo za účasti zástupcov partnerov tvoriacich mestskú funkčnú oblasť.</w:t>
      </w:r>
      <w:r>
        <w:rPr>
          <w:rStyle w:val="Zvraznenie"/>
          <w:rFonts w:ascii="Arial" w:hAnsi="Arial" w:cs="Arial"/>
        </w:rPr>
        <w:t xml:space="preserve"> </w:t>
      </w:r>
      <w:r>
        <w:rPr>
          <w:rStyle w:val="Zvraznenie"/>
          <w:rFonts w:ascii="Arial" w:hAnsi="Arial" w:cs="Arial"/>
          <w:i w:val="0"/>
        </w:rPr>
        <w:t>Zástupca krajského mesta bude zastupovať svoju mestskú funkčnú oblasť v Rade partnerstva pre RIÚS (viz kapitolu 4.3). Výkon úloh, minimálne v rozsahu výberu operácií, bude zabezpečený v rámci fungovania a rozhodovacích mechanizmov partnerstva na úrovni danej mestskej funkčnej oblasti. Schvaľovanie projektových zámerov vychádzajúcich zo stratégii pre ÚMR bude vykonávané zo strany orgánov miest, obcí a ďalších partnerov vo funkčných územiach ÚMR. V Rade partnerstva pre RIÚS budú ich rozhodnutia formálne potvrdené.</w:t>
      </w:r>
      <w:r>
        <w:rPr>
          <w:rFonts w:ascii="Arial" w:hAnsi="Arial" w:cs="Arial"/>
        </w:rPr>
        <w:t xml:space="preserve">  </w:t>
      </w:r>
    </w:p>
    <w:p>
      <w:pPr>
        <w:rPr>
          <w:rFonts w:ascii="Arial" w:hAnsi="Arial" w:cs="Arial"/>
        </w:rPr>
      </w:pPr>
      <w:r>
        <w:rPr>
          <w:rStyle w:val="Siln"/>
          <w:rFonts w:ascii="Arial" w:hAnsi="Arial" w:cs="Arial"/>
        </w:rPr>
        <w:t xml:space="preserve">Tabuľka č. 53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pPr>
              <w:rPr>
                <w:rFonts w:ascii="Arial" w:hAnsi="Arial" w:cs="Arial"/>
                <w:sz w:val="16"/>
                <w:szCs w:val="16"/>
              </w:rPr>
            </w:pPr>
            <w:r>
              <w:rPr>
                <w:rFonts w:ascii="Arial" w:hAnsi="Arial" w:cs="Arial"/>
                <w:sz w:val="16"/>
                <w:szCs w:val="16"/>
              </w:rPr>
              <w:t>1. Fond</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EFRR 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377 000 000,00</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20,78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ESF spolu</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377 000 000,00</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20,78</w:t>
            </w:r>
          </w:p>
        </w:tc>
      </w:tr>
    </w:tbl>
    <w:p>
      <w:pPr>
        <w:rPr>
          <w:rFonts w:ascii="Arial" w:hAnsi="Arial" w:cs="Arial"/>
        </w:rPr>
      </w:pPr>
    </w:p>
    <w:p>
      <w:pPr>
        <w:pStyle w:val="Nadpis2"/>
        <w:rPr>
          <w:rFonts w:ascii="Arial" w:hAnsi="Arial" w:cs="Arial"/>
        </w:rPr>
      </w:pPr>
      <w:bookmarkStart w:id="150" w:name="_Toc387153987"/>
      <w:r>
        <w:rPr>
          <w:rFonts w:ascii="Arial" w:hAnsi="Arial" w:cs="Arial"/>
        </w:rPr>
        <w:t>4.3 Integrované územné investície</w:t>
      </w:r>
      <w:bookmarkEnd w:id="150"/>
    </w:p>
    <w:p>
      <w:pPr>
        <w:spacing w:before="120"/>
        <w:jc w:val="both"/>
        <w:rPr>
          <w:rFonts w:ascii="Arial" w:hAnsi="Arial" w:cs="Arial"/>
        </w:rPr>
      </w:pPr>
      <w:r>
        <w:rPr>
          <w:rFonts w:ascii="Arial" w:hAnsi="Arial" w:cs="Arial"/>
        </w:rPr>
        <w:t>Základná požiadavka pre implementáciu integrovaných územných investícií (ďalej aj „IÚI“) je existencia strategického dokumentu, ktorý definuje celkové ciele vrátane očakávaných výsledkov; príslušné územie realizácie IÚI; investičné priority zodpovedajúcich OP; implementačné procesy výkonu stratégií a monitorovací mechanizmus vrátane výsledkových ukazovateľov.</w:t>
      </w:r>
    </w:p>
    <w:p>
      <w:pPr>
        <w:jc w:val="both"/>
        <w:rPr>
          <w:rFonts w:ascii="Arial" w:hAnsi="Arial" w:cs="Arial"/>
        </w:rPr>
      </w:pPr>
      <w:r>
        <w:rPr>
          <w:rFonts w:ascii="Arial" w:hAnsi="Arial" w:cs="Arial"/>
        </w:rPr>
        <w:t>IROP bude z väčšej miery implementovaný prostredníctvom regionálnych integrovaných územných stratégií (ďalej aj „RIÚS“). RIÚS budú východiskovými  strategickými dokumentmi pre realizáciu IÚI na regionálnej úrovni s dopadom na miestnu úroveň. RIÚS budú nástrojom na systematickú a koordinovanú implementáciu finančných prostriedkov z EŠIF (IROP). Na základe RIÚS sa budú realizovať IÚI v zmysle individuálnych alebo integrovaných operácií/projektov, ktorých vzájomná realizácia prispieva k plnenie cieľov danej RIÚS. Integrovaný prístup v danom funkčnom území bude zabezpečený tým, že v rámci RIÚS bude predkladaný obmedzený počet individuálnych projektov, navrhnutých v kontexte príspevku k rozvoju celého funkčného územia RIÚS</w:t>
      </w:r>
    </w:p>
    <w:p>
      <w:pPr>
        <w:jc w:val="both"/>
        <w:rPr>
          <w:rFonts w:ascii="Arial" w:hAnsi="Arial" w:cs="Arial"/>
        </w:rPr>
      </w:pPr>
      <w:r>
        <w:rPr>
          <w:rFonts w:ascii="Arial" w:hAnsi="Arial" w:cs="Arial"/>
        </w:rPr>
        <w:lastRenderedPageBreak/>
        <w:t xml:space="preserve">Model RIÚS na bude skladať z nasledovných komponentov: 1) samotný dokument, 2) realizačný mechanizmus RIÚS (implementácia, monitorovanie, hodnotenie). Každá RIÚS bude územne pokrývať územie samosprávneho kraja (8 RIÚS). </w:t>
      </w:r>
    </w:p>
    <w:p>
      <w:pPr>
        <w:jc w:val="both"/>
        <w:rPr>
          <w:rFonts w:ascii="Arial" w:hAnsi="Arial" w:cs="Arial"/>
        </w:rPr>
      </w:pPr>
      <w:r>
        <w:rPr>
          <w:rFonts w:ascii="Arial" w:hAnsi="Arial" w:cs="Arial"/>
        </w:rPr>
        <w:t>Opatrenia a aktivity - IÚI vychádzajúce z RIÚS budú financované zo všetkých prioritných osí IROP (okrem časti IP 3.1 - v rozsahu návratnej podpory prostredníctvom finančných nástrojov, celej IP 4.1 a prioritnej osi č. 5).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 podporu, ktoré budú predkladané na schválenie iných OP a ich ciele budú korešpondovať s plánovanými opatreniami v schválenej RIÚS, budú  zvýhodnené v hodnotiacom a výberovom procese.</w:t>
      </w:r>
    </w:p>
    <w:p>
      <w:pPr>
        <w:jc w:val="both"/>
        <w:rPr>
          <w:rFonts w:ascii="Arial" w:hAnsi="Arial" w:cs="Arial"/>
        </w:rPr>
      </w:pPr>
      <w:r>
        <w:rPr>
          <w:rFonts w:ascii="Arial" w:hAnsi="Arial" w:cs="Arial"/>
        </w:rPr>
        <w:t>Model RIÚS predstavuje aplikáciu princípu partnerstva v súlade č. 5 Nariadenia EP a Rady (EÚ) č. 1303/2013. Nositeľom RIÚS bude partnerstvo pre tvorbu a implementáciu RIÚS (ďalej aj „partnerstvo“) zložené z orgánov regionálnej samosprávy (VÚC), miestnej samosprávy (mestá a obce), štátnej správy, miestnych iniciatív (združenia obcí) a ďalších socioekonomických partnerov (podnikateľský sektor, záujmové združenia, tretí sektor). Regionálne partnerstvo bude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pokrývanom RIÚS.</w:t>
      </w:r>
    </w:p>
    <w:p>
      <w:pPr>
        <w:jc w:val="both"/>
        <w:rPr>
          <w:rFonts w:ascii="Arial" w:hAnsi="Arial" w:cs="Arial"/>
        </w:rPr>
      </w:pPr>
      <w:r>
        <w:rPr>
          <w:rFonts w:ascii="Arial" w:hAnsi="Arial" w:cs="Arial"/>
        </w:rPr>
        <w:t>Nakoľko partnerstvo bude obsahovať niekoľko desiatok subjektov je pre efektívny výkon RIÚS potrebné zabezpečovať koordinačné a technicko-organizačné úlohy spojené s prípravou a implementáciou RIÚS. Z pozície orgánu pre koordináciu prípravy a implementácie RIÚS (ďalej len „orgán pre koordináciu RIÚS“) budú koordinačné a technicko-organizačné úlohy spojené s prípravou RIÚS (napr. navrhnutie tímu odborníkov, poverených prípravou RIÚS, ich koordinácia, zodpovednosť za prípravu jednotlivých častí RIÚS) a jej implementáciou (napr. zber projektových zámerov, predkladanie zoznamu projektových návrhov Rade partnerstva pre RIÚS na rokovanie) pred konaním o žiadosti o NFP, ako aj zabezpečovanie procesu monitorovania a hodnotenia RIÚS, plniť vyššie územné celky. Všetky zásadné rozhodnutia a výstupy orgánov pre koordináciu RIÚS budú podliehať schváleniu Radou partnerstva pre RIÚS. Úloha riadiaceho orgánu pre IROP bude vo vzťahu k partnerstvu potvrdzovať jeho rozhodnutia, ako napr. konečné schválenie RIÚS, konečné schválenie predložených žiadostí o podporu zodpovedajúcich projektovým zámerom schváleným na úrovni Rady partnerstva pre RIÚS, pokiaľ tieto splnia kvalitatívne a formálne náležitosti, dohliadať na napĺňanie stratégie IROP, a pod. Prínosom celého modelu RIÚS, t. j. identifikovanie a realizácia priorít na základe konsenzu aktérov daného územia, je predchádzanie negatívnym účinkom nekoordinovaného plánovania, ktoré je typické pre dopytovo orientovaný prístup napr. s dôsledkom vysokého počtu žiadostí o NFP niekoľkonásobne prevyšujúceho dostupné finančné zdroje alebo nemožnosti plnohodnotne posudzovať projektové žiadosti vo vzájomných časových, vecných a územných väzbách.</w:t>
      </w:r>
    </w:p>
    <w:p>
      <w:pPr>
        <w:jc w:val="both"/>
        <w:rPr>
          <w:rFonts w:ascii="Arial" w:hAnsi="Arial" w:cs="Arial"/>
        </w:rPr>
      </w:pPr>
      <w:r>
        <w:rPr>
          <w:rFonts w:ascii="Arial" w:hAnsi="Arial" w:cs="Arial"/>
        </w:rPr>
        <w:t>Kľúčovým pre celé programové obdobie 2014 – 2020 je výsledkovo orientovaný prístup. Tento je zrejmý aj v požiadavke definovať v stratégiách pre IÚI najmä ukazovatele výsledkov. Proces monitorovania a hodnotenia na národnej úrovni bude zabezpečovať RO pre IROP, v spolupráci s orgánmi pre koordináciu RIÚS.</w:t>
      </w:r>
    </w:p>
    <w:p>
      <w:pPr>
        <w:jc w:val="both"/>
        <w:rPr>
          <w:rFonts w:ascii="Arial" w:hAnsi="Arial" w:cs="Arial"/>
        </w:rPr>
      </w:pPr>
      <w:r>
        <w:rPr>
          <w:rFonts w:ascii="Arial" w:hAnsi="Arial" w:cs="Arial"/>
        </w:rPr>
        <w:lastRenderedPageBreak/>
        <w:t>Alokácie IROP pridelené na jednotlivé špecifické ciele, kategórie intervencií a hodnoty merateľných ukazovateľov vychádzajú zo súčtu údajov z RIÚS.</w:t>
      </w:r>
    </w:p>
    <w:p>
      <w:pPr>
        <w:jc w:val="both"/>
        <w:rPr>
          <w:rFonts w:ascii="Arial" w:hAnsi="Arial" w:cs="Arial"/>
        </w:rPr>
      </w:pPr>
      <w:r>
        <w:rPr>
          <w:rFonts w:ascii="Arial" w:hAnsi="Arial" w:cs="Arial"/>
        </w:rPr>
        <w:t>Obsahovo budú RIÚS vychádzať z PHSR VÚC, PHSR miest a obcí, regionálnych, sektorových koncepčných dokumentov a ďalších relevantných strategických dokumentov. RIÚS bude záväzných akčným plánom konkrétnych plánovaných aktivít IROP v danom regióne definujúcim konkrétne plánované opatrenia s dôrazom na integrovaný prístup pre rozvoj územia. V zmysle navrhnutého harmonogramu je termín pre schválenie RIÚS DD. MM 2014.</w:t>
      </w:r>
    </w:p>
    <w:p>
      <w:pPr>
        <w:jc w:val="both"/>
        <w:rPr>
          <w:rFonts w:ascii="Arial" w:hAnsi="Arial" w:cs="Arial"/>
        </w:rPr>
      </w:pPr>
      <w:r>
        <w:rPr>
          <w:rFonts w:ascii="Arial" w:hAnsi="Arial" w:cs="Arial"/>
        </w:rPr>
        <w:t>Podrobnejšia úprava modelu RIÚS je obsahom metodického pokynu NÁZOV, ktorý vydal RO pre IROP dňa DD. MM. 2014.</w:t>
      </w:r>
    </w:p>
    <w:p>
      <w:pPr>
        <w:jc w:val="both"/>
        <w:rPr>
          <w:rFonts w:ascii="Arial" w:hAnsi="Arial" w:cs="Arial"/>
        </w:rPr>
      </w:pPr>
    </w:p>
    <w:p>
      <w:pPr>
        <w:rPr>
          <w:rFonts w:ascii="Arial" w:hAnsi="Arial" w:cs="Arial"/>
        </w:rPr>
      </w:pPr>
      <w:r>
        <w:rPr>
          <w:rStyle w:val="Siln"/>
          <w:rFonts w:ascii="Arial" w:hAnsi="Arial" w:cs="Arial"/>
        </w:rPr>
        <w:t xml:space="preserve">Tabuľka č. 54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pPr>
              <w:rPr>
                <w:rFonts w:ascii="Arial" w:hAnsi="Arial" w:cs="Arial"/>
                <w:sz w:val="16"/>
                <w:szCs w:val="16"/>
              </w:rPr>
            </w:pPr>
            <w:r>
              <w:rPr>
                <w:rFonts w:ascii="Arial" w:hAnsi="Arial" w:cs="Arial"/>
                <w:sz w:val="16"/>
                <w:szCs w:val="16"/>
              </w:rPr>
              <w:t>Priorita</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312 000 000,00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479 913 197,00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PO 3 Mobilizácia kreatívneho potenciálu v regiónoch</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88 360 548,00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sz w:val="16"/>
                <w:szCs w:val="16"/>
              </w:rPr>
              <w:t>PO 4 Zlepšenie kvality života v regiónoch s dôrazom na životné prostredie</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45 328 116,00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sz w:val="16"/>
                <w:szCs w:val="16"/>
              </w:rPr>
              <w:t>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928 601 861,00</w:t>
            </w:r>
          </w:p>
        </w:tc>
      </w:tr>
    </w:tbl>
    <w:p>
      <w:pPr>
        <w:rPr>
          <w:rFonts w:ascii="Arial" w:hAnsi="Arial" w:cs="Arial"/>
        </w:rPr>
      </w:pPr>
    </w:p>
    <w:p>
      <w:pPr>
        <w:pStyle w:val="Nadpis2"/>
        <w:rPr>
          <w:rFonts w:ascii="Arial" w:hAnsi="Arial" w:cs="Arial"/>
        </w:rPr>
      </w:pPr>
      <w:bookmarkStart w:id="151" w:name="_Toc387153988"/>
      <w:r>
        <w:rPr>
          <w:rFonts w:ascii="Arial" w:hAnsi="Arial" w:cs="Arial"/>
        </w:rPr>
        <w:t>4.4 Mechanizmus zabezpečenia koordinácie s aktivitami spolupráce a makroregionálnymi stratégiami a stratégiami súvisiacimi s morskými oblasťami</w:t>
      </w:r>
      <w:bookmarkEnd w:id="151"/>
    </w:p>
    <w:p>
      <w:pPr>
        <w:rPr>
          <w:rFonts w:ascii="Arial" w:hAnsi="Arial" w:cs="Arial"/>
        </w:rPr>
      </w:pPr>
    </w:p>
    <w:p>
      <w:pPr>
        <w:jc w:val="both"/>
        <w:rPr>
          <w:rFonts w:ascii="Arial" w:hAnsi="Arial" w:cs="Arial"/>
        </w:rPr>
      </w:pPr>
      <w:r>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riadiacich orgánov v rámci monitorovacích výborov operačných programov.</w:t>
      </w:r>
    </w:p>
    <w:p>
      <w:pPr>
        <w:jc w:val="both"/>
        <w:rPr>
          <w:rFonts w:ascii="Arial" w:hAnsi="Arial" w:cs="Arial"/>
        </w:rPr>
      </w:pPr>
      <w:r>
        <w:rPr>
          <w:rFonts w:ascii="Arial" w:hAnsi="Arial" w:cs="Arial"/>
        </w:rPr>
        <w:t>Mechanizmus zabezpečenia medziregionálnej a nadnárodnej spolupráce, v rámci OP, s prijímateľmi s iných ČS.</w:t>
      </w:r>
    </w:p>
    <w:p>
      <w:pPr>
        <w:jc w:val="both"/>
        <w:rPr>
          <w:rFonts w:ascii="Arial" w:hAnsi="Arial" w:cs="Arial"/>
        </w:rPr>
      </w:pPr>
      <w:r>
        <w:rPr>
          <w:rFonts w:ascii="Arial" w:hAnsi="Arial" w:cs="Arial"/>
        </w:rPr>
        <w:lastRenderedPageBreak/>
        <w:t>Stratégia EÚ pre dunajský región (ďalej len „Dunajská stratégia) pozostáva zo štyroch pilierov a 11 prioritných oblastí, pričom IROP podporí plnenie oblastí v rámci piliera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„riešenie významných potrieb investícií do sektora vodného hospodárstva s cieľom naplniť požiadavky environmentálneho acquis“,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„brownfields“.</w:t>
      </w:r>
    </w:p>
    <w:p>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pPr>
        <w:spacing w:after="0" w:line="240" w:lineRule="auto"/>
        <w:rPr>
          <w:rFonts w:ascii="Arial" w:eastAsia="Times New Roman" w:hAnsi="Arial" w:cs="Arial"/>
          <w:b/>
          <w:bCs/>
          <w:color w:val="31479E"/>
          <w:sz w:val="28"/>
          <w:szCs w:val="28"/>
        </w:rPr>
      </w:pPr>
      <w:r>
        <w:rPr>
          <w:rFonts w:ascii="Arial" w:hAnsi="Arial" w:cs="Arial"/>
        </w:rPr>
        <w:br w:type="page"/>
      </w:r>
    </w:p>
    <w:p>
      <w:pPr>
        <w:pStyle w:val="Nadpis1"/>
        <w:rPr>
          <w:rFonts w:ascii="Arial" w:hAnsi="Arial" w:cs="Arial"/>
        </w:rPr>
      </w:pPr>
      <w:bookmarkStart w:id="152" w:name="_Toc387153989"/>
      <w:r>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152"/>
    </w:p>
    <w:p>
      <w:pPr>
        <w:pStyle w:val="Nadpis2"/>
        <w:rPr>
          <w:rFonts w:ascii="Arial" w:hAnsi="Arial" w:cs="Arial"/>
        </w:rPr>
      </w:pPr>
      <w:bookmarkStart w:id="153" w:name="_Toc387153990"/>
      <w:r>
        <w:rPr>
          <w:rFonts w:ascii="Arial" w:hAnsi="Arial" w:cs="Arial"/>
        </w:rPr>
        <w:t>5.1 Geografické oblasti najviac postihnuté chudobou/cieľové skupiny najviac ohrozené diskrimináciou</w:t>
      </w:r>
      <w:bookmarkEnd w:id="153"/>
    </w:p>
    <w:p>
      <w:pPr>
        <w:spacing w:before="240"/>
        <w:jc w:val="both"/>
        <w:rPr>
          <w:rFonts w:ascii="Arial" w:hAnsi="Arial" w:cs="Arial"/>
        </w:rPr>
      </w:pPr>
      <w:r>
        <w:rPr>
          <w:rFonts w:ascii="Arial" w:hAnsi="Arial" w:cs="Arial"/>
        </w:rPr>
        <w:t>V zmysle Partnerskej dohody SR bude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do MRK budú realizované prostredníctvom OP Ľudské zdroje. Cieľom podpory z Európskych štrukturálnych a investičných fondov je docieliť väčšiu integráciu separovaných a segregovaných rómskych komunít do spoločnosti, a to aj vo vzťahu k plneniu priorít Stratégie SR pre integráciu Rómov do roku 2020.</w:t>
      </w:r>
    </w:p>
    <w:p>
      <w:pPr>
        <w:jc w:val="both"/>
        <w:rPr>
          <w:rFonts w:ascii="Arial" w:hAnsi="Arial" w:cs="Arial"/>
        </w:rPr>
      </w:pPr>
      <w:r>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samosprávnom kraji a najvyššia v Prešovskom samosprávnom kraji. Z hľadiska veku a typu domácnosti boli rizikom chudoby najviac ohrozené deti vo veku 0 – 17 rokov, domácnosti s vyšším počtom detí (3 a viac) a neúplné domácnosti. </w:t>
      </w:r>
    </w:p>
    <w:p>
      <w:pPr>
        <w:jc w:val="both"/>
        <w:rPr>
          <w:rFonts w:ascii="Arial" w:hAnsi="Arial" w:cs="Arial"/>
        </w:rPr>
      </w:pPr>
    </w:p>
    <w:p>
      <w:pPr>
        <w:pStyle w:val="Nadpis2"/>
        <w:rPr>
          <w:rFonts w:ascii="Arial" w:hAnsi="Arial" w:cs="Arial"/>
        </w:rPr>
      </w:pPr>
      <w:bookmarkStart w:id="154" w:name="_Toc387153991"/>
      <w:r>
        <w:rPr>
          <w:rFonts w:ascii="Arial" w:hAnsi="Arial" w:cs="Arial"/>
        </w:rPr>
        <w:t>5.2 Stratégia IROP riešenia špecifických potrieb geografických oblastí/cieľových skupín najviac postihnutých chudobou</w:t>
      </w:r>
      <w:bookmarkEnd w:id="154"/>
    </w:p>
    <w:p>
      <w:pPr>
        <w:rPr>
          <w:rFonts w:ascii="Arial" w:hAnsi="Arial" w:cs="Arial"/>
        </w:rPr>
      </w:pPr>
    </w:p>
    <w:p>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pPr>
        <w:jc w:val="both"/>
        <w:rPr>
          <w:rFonts w:ascii="Arial" w:hAnsi="Arial" w:cs="Arial"/>
        </w:rPr>
      </w:pPr>
      <w:r>
        <w:rPr>
          <w:rFonts w:ascii="Arial" w:hAnsi="Arial" w:cs="Arial"/>
        </w:rPr>
        <w:lastRenderedPageBreak/>
        <w:t>Zabezpečením komplementarity a synergie OP ĽZ (PO 5) a IROP (PO 2-špecifický cieľ 2.2.1) je spolupráca medzi Úradom splnomocnenca vlády SR pre Rómske komunity na úrovni prípravy relevantných častí RIUS a schvaľovania RIUS vo forme členstva v Rade Partnerstva pre RIUS. Nadväzujúca spolupráca bude pri príprave samotných výziev Úradom splnomocnenca vlády SR pre Rómske komunity, kde aktívna účasť bude zastrešená RO pre IROP.</w:t>
      </w:r>
    </w:p>
    <w:p>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25/2006 Z. z. o verejnom obstarávaní umožňuje zohľadniť sociálne hľadisko pri verejnom obstarávaní prostredníctvom osobitných podmienok plnenia zmluvy aj v tomto programovom období (2007-2013). Bližšie rozpracovaný sociálny aspekt z pohľadu implementácie bude v systéme riadenia pre programové obdobie 2014 – 2020 vypracovanom CKO.</w:t>
      </w:r>
    </w:p>
    <w:p>
      <w:pPr>
        <w:rPr>
          <w:rFonts w:ascii="Arial" w:hAnsi="Arial" w:cs="Arial"/>
        </w:rPr>
      </w:pPr>
      <w:r>
        <w:rPr>
          <w:rStyle w:val="Siln"/>
          <w:rFonts w:ascii="Arial" w:hAnsi="Arial" w:cs="Arial"/>
        </w:rPr>
        <w:t xml:space="preserve">Tabuľka č. 55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4"/>
        <w:gridCol w:w="1462"/>
        <w:gridCol w:w="1335"/>
        <w:gridCol w:w="121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pPr>
              <w:rPr>
                <w:rFonts w:ascii="Arial" w:hAnsi="Arial" w:cs="Arial"/>
                <w:sz w:val="16"/>
                <w:szCs w:val="16"/>
              </w:rPr>
            </w:pPr>
            <w:r>
              <w:rPr>
                <w:rFonts w:ascii="Arial" w:hAnsi="Arial" w:cs="Arial"/>
                <w:sz w:val="16"/>
                <w:szCs w:val="16"/>
              </w:rPr>
              <w:t>Cieľová skupina/geografická oblasť</w:t>
            </w:r>
          </w:p>
        </w:tc>
        <w:tc>
          <w:tcPr>
            <w:tcW w:w="1693"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pPr>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náhradnej starostlivosti </w:t>
            </w:r>
          </w:p>
        </w:tc>
        <w:tc>
          <w:tcPr>
            <w:tcW w:w="169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pPr>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náhradnej starostlivosti </w:t>
            </w:r>
          </w:p>
        </w:tc>
        <w:tc>
          <w:tcPr>
            <w:tcW w:w="1694"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pPr>
        <w:pStyle w:val="Nadpis1"/>
        <w:rPr>
          <w:rFonts w:ascii="Arial" w:hAnsi="Arial" w:cs="Arial"/>
        </w:rPr>
      </w:pPr>
    </w:p>
    <w:p>
      <w:pPr>
        <w:rPr>
          <w:rFonts w:eastAsia="Times New Roman"/>
          <w:color w:val="31479E"/>
          <w:sz w:val="28"/>
          <w:szCs w:val="28"/>
        </w:rPr>
      </w:pPr>
      <w:r>
        <w:br w:type="page"/>
      </w:r>
    </w:p>
    <w:p>
      <w:pPr>
        <w:pStyle w:val="Nadpis1"/>
        <w:rPr>
          <w:rFonts w:ascii="Arial" w:hAnsi="Arial" w:cs="Arial"/>
        </w:rPr>
      </w:pPr>
      <w:bookmarkStart w:id="155" w:name="_Toc387153992"/>
      <w:r>
        <w:rPr>
          <w:rFonts w:ascii="Arial" w:hAnsi="Arial" w:cs="Arial"/>
        </w:rPr>
        <w:lastRenderedPageBreak/>
        <w:t>6 Špecifické potreby geografických oblastí závažne a trvalo znevýhodnených prírodnými a demografickými podmienkami</w:t>
      </w:r>
      <w:bookmarkEnd w:id="155"/>
    </w:p>
    <w:p>
      <w:pPr>
        <w:rPr>
          <w:rFonts w:ascii="Arial" w:hAnsi="Arial" w:cs="Arial"/>
          <w:i/>
          <w:color w:val="4EACF3"/>
        </w:rPr>
      </w:pPr>
    </w:p>
    <w:p>
      <w:pPr>
        <w:jc w:val="both"/>
        <w:rPr>
          <w:rFonts w:ascii="Arial" w:hAnsi="Arial" w:cs="Arial"/>
        </w:rPr>
      </w:pPr>
      <w:r>
        <w:rPr>
          <w:rFonts w:ascii="Arial" w:hAnsi="Arial" w:cs="Arial"/>
        </w:rPr>
        <w:t>Pre IROP – N/A.</w:t>
      </w:r>
    </w:p>
    <w:p>
      <w:pPr>
        <w:pStyle w:val="Nadpis1"/>
        <w:rPr>
          <w:rFonts w:ascii="Arial" w:hAnsi="Arial" w:cs="Arial"/>
        </w:rPr>
      </w:pPr>
      <w:bookmarkStart w:id="156" w:name="_Toc387153993"/>
      <w:r>
        <w:rPr>
          <w:rFonts w:ascii="Arial" w:hAnsi="Arial" w:cs="Arial"/>
        </w:rPr>
        <w:t>7 Orgány zodpovedné za riadenie, kontrolu a audit a úlohy relevantných partnerov</w:t>
      </w:r>
      <w:bookmarkEnd w:id="156"/>
    </w:p>
    <w:p>
      <w:pPr>
        <w:pStyle w:val="Nadpis2"/>
        <w:rPr>
          <w:rFonts w:ascii="Arial" w:hAnsi="Arial" w:cs="Arial"/>
        </w:rPr>
      </w:pPr>
      <w:bookmarkStart w:id="157" w:name="_Toc387153994"/>
      <w:r>
        <w:rPr>
          <w:rFonts w:ascii="Arial" w:hAnsi="Arial" w:cs="Arial"/>
        </w:rPr>
        <w:t>7.1 Identifikácia relevantných orgánov</w:t>
      </w:r>
      <w:bookmarkEnd w:id="157"/>
    </w:p>
    <w:p>
      <w:pPr>
        <w:rPr>
          <w:rFonts w:ascii="Arial" w:hAnsi="Arial" w:cs="Arial"/>
        </w:rPr>
      </w:pPr>
    </w:p>
    <w:p>
      <w:pPr>
        <w:rPr>
          <w:rFonts w:ascii="Arial" w:hAnsi="Arial" w:cs="Arial"/>
        </w:rPr>
      </w:pPr>
      <w:r>
        <w:rPr>
          <w:rStyle w:val="Siln"/>
          <w:rFonts w:ascii="Arial" w:hAnsi="Arial" w:cs="Arial"/>
        </w:rPr>
        <w:t xml:space="preserve">Tabuľka č. 56 </w:t>
      </w:r>
      <w:r>
        <w:rPr>
          <w:rStyle w:val="Zvraznenie"/>
          <w:rFonts w:ascii="Arial" w:hAnsi="Arial" w:cs="Arial"/>
        </w:rPr>
        <w:t>Identifikácia a kontaktné údaje relevantných orgánov</w:t>
      </w:r>
    </w:p>
    <w:tbl>
      <w:tblP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tc>
          <w:tcPr>
            <w:tcW w:w="2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Vedúci Úradu vlády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pôdohospodárstva a rozvoja vidieka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pPr>
              <w:spacing w:after="0" w:line="240" w:lineRule="auto"/>
              <w:rPr>
                <w:rFonts w:ascii="Arial" w:hAnsi="Arial" w:cs="Arial"/>
                <w:sz w:val="20"/>
                <w:szCs w:val="20"/>
              </w:rPr>
            </w:pPr>
            <w:r>
              <w:rPr>
                <w:rFonts w:ascii="Arial" w:hAnsi="Arial" w:cs="Arial"/>
                <w:sz w:val="20"/>
                <w:szCs w:val="20"/>
              </w:rPr>
              <w:t>Minister kultúry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pPr>
              <w:spacing w:after="0" w:line="240" w:lineRule="auto"/>
              <w:rPr>
                <w:rFonts w:ascii="Arial" w:hAnsi="Arial" w:cs="Arial"/>
                <w:sz w:val="20"/>
                <w:szCs w:val="20"/>
              </w:rPr>
            </w:pPr>
            <w:r>
              <w:rPr>
                <w:rFonts w:ascii="Arial" w:hAnsi="Arial" w:cs="Arial"/>
                <w:sz w:val="20"/>
                <w:szCs w:val="20"/>
              </w:rPr>
              <w:t>Minister zdravotníctva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Vyšší územný celok</w:t>
            </w:r>
          </w:p>
        </w:tc>
        <w:tc>
          <w:tcPr>
            <w:tcW w:w="2551" w:type="dxa"/>
            <w:vAlign w:val="center"/>
          </w:tcPr>
          <w:p>
            <w:pPr>
              <w:spacing w:after="0" w:line="240" w:lineRule="auto"/>
              <w:rPr>
                <w:rFonts w:ascii="Arial" w:hAnsi="Arial" w:cs="Arial"/>
                <w:sz w:val="20"/>
                <w:szCs w:val="20"/>
              </w:rPr>
            </w:pPr>
            <w:r>
              <w:rPr>
                <w:rFonts w:ascii="Arial" w:hAnsi="Arial" w:cs="Arial"/>
                <w:sz w:val="20"/>
                <w:szCs w:val="20"/>
              </w:rPr>
              <w:t>Predseda vyššieho územného celku</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Obec v sídle kraja</w:t>
            </w:r>
          </w:p>
        </w:tc>
        <w:tc>
          <w:tcPr>
            <w:tcW w:w="2551" w:type="dxa"/>
            <w:vAlign w:val="center"/>
          </w:tcPr>
          <w:p>
            <w:pPr>
              <w:spacing w:after="0" w:line="240" w:lineRule="auto"/>
              <w:rPr>
                <w:rFonts w:ascii="Arial" w:hAnsi="Arial" w:cs="Arial"/>
                <w:sz w:val="20"/>
                <w:szCs w:val="20"/>
              </w:rPr>
            </w:pPr>
            <w:r>
              <w:rPr>
                <w:rFonts w:ascii="Arial" w:hAnsi="Arial" w:cs="Arial"/>
                <w:sz w:val="20"/>
                <w:szCs w:val="20"/>
              </w:rPr>
              <w:t>Primátor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bl>
    <w:p>
      <w:pPr>
        <w:rPr>
          <w:rFonts w:ascii="Arial" w:hAnsi="Arial" w:cs="Arial"/>
        </w:rPr>
      </w:pPr>
    </w:p>
    <w:p>
      <w:pPr>
        <w:pStyle w:val="Nadpis2"/>
        <w:rPr>
          <w:rFonts w:ascii="Arial" w:hAnsi="Arial" w:cs="Arial"/>
        </w:rPr>
      </w:pPr>
      <w:bookmarkStart w:id="158" w:name="_Toc387153995"/>
      <w:r>
        <w:rPr>
          <w:rFonts w:ascii="Arial" w:hAnsi="Arial" w:cs="Arial"/>
        </w:rPr>
        <w:t>7.2 Opatrenia na zapojenie relevantných partnerov pri príprave IROP, úloha partnerov pri implementácii, monitorovaní a hodnotení IROP</w:t>
      </w:r>
      <w:bookmarkEnd w:id="158"/>
    </w:p>
    <w:p>
      <w:pPr>
        <w:pStyle w:val="Nadpis3"/>
        <w:rPr>
          <w:rFonts w:ascii="Arial" w:hAnsi="Arial" w:cs="Arial"/>
        </w:rPr>
      </w:pPr>
      <w:bookmarkStart w:id="159" w:name="_Toc387153996"/>
      <w:r>
        <w:rPr>
          <w:rFonts w:ascii="Arial" w:hAnsi="Arial" w:cs="Arial"/>
        </w:rPr>
        <w:t>7.2.1. Úloha relevantných partnerov pri príprave, implementácii, monitorovaní a hodnotení IROP</w:t>
      </w:r>
      <w:bookmarkEnd w:id="159"/>
    </w:p>
    <w:p>
      <w:pPr>
        <w:rPr>
          <w:rFonts w:ascii="Arial" w:hAnsi="Arial" w:cs="Arial"/>
        </w:rPr>
      </w:pPr>
    </w:p>
    <w:p>
      <w:pPr>
        <w:jc w:val="both"/>
        <w:rPr>
          <w:rFonts w:ascii="Arial" w:hAnsi="Arial" w:cs="Arial"/>
        </w:rPr>
      </w:pPr>
      <w:r>
        <w:rPr>
          <w:rFonts w:ascii="Arial" w:hAnsi="Arial" w:cs="Arial"/>
        </w:rPr>
        <w:t xml:space="preserve">Už od úvodných fáz prípravy programového dokumentu IROP začala aktívna spolupráca s CKO, úradom podpredsedu vlády SR pre investície a riadiacimi orgánmi. V poslednom prípade spolupráca bola zameraná na zladenie synergii a komplementarít podpory v rámci </w:t>
      </w:r>
      <w:r>
        <w:rPr>
          <w:rFonts w:ascii="Arial" w:hAnsi="Arial" w:cs="Arial"/>
        </w:rPr>
        <w:lastRenderedPageBreak/>
        <w:t xml:space="preserve">novovzniknutých OP. 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reprezentatívnosť (rozsah reprezentovaných, resp. zastrešovaných fyzických alebo právnických osôb), skúsenosti, angažovanosť a aktívnosť participácie v danej oblasti ako aj participácia na príprave alebo monitorovaní Regionálneho operačného programu a Operačného programu Bratislavský kraj v programovom období 2007 – 2013 a pod.. </w:t>
      </w:r>
    </w:p>
    <w:p>
      <w:pPr>
        <w:jc w:val="both"/>
        <w:rPr>
          <w:rFonts w:ascii="Arial" w:hAnsi="Arial" w:cs="Arial"/>
        </w:rPr>
      </w:pPr>
      <w:r>
        <w:rPr>
          <w:rFonts w:ascii="Arial" w:hAnsi="Arial" w:cs="Arial"/>
        </w:rPr>
        <w:t>Počas prípravy operačného programu, členovia vlády SR k problematike  fondov EÚ rozhodli o implementácií trvalo udržateľného rozvoja miest v rámci IROP (čl. 7 nariadenia EP a Rady (EÚ) č. 1301/2013. Z tohto dôvodu bola zabezpečená spolupráca a partnerstvo v oblasti prípravy a systému realizácie udržateľného mestského rozvoja členstvom zástupcov 8 krajských miest v pracovnej skupine pre prípravu IROP. Členstvo v pracovnej skupine pre prípravu IROP bolo rozšírené aj o zástupcu asociácie vodárenských spoločností v nadväznosti na identifikované aktivity pre mestský rozvoj.</w:t>
      </w:r>
    </w:p>
    <w:p>
      <w:pPr>
        <w:jc w:val="both"/>
        <w:rPr>
          <w:rFonts w:ascii="Arial" w:hAnsi="Arial" w:cs="Arial"/>
        </w:rPr>
      </w:pPr>
      <w:r>
        <w:rPr>
          <w:rFonts w:ascii="Arial" w:hAnsi="Arial" w:cs="Arial"/>
        </w:rPr>
        <w:t>Využitím možnosti uplatnenia nástroja CLLD aj v ostatných EŠI fondoch bol zaznamenaný zo strany miestnych aktérov (sociálno-ekonomickí partneri) výrazný dopyt po využití tohto nástroja v IROP. Z tohto dôvodu členovia vlády SR k problematike fondov EÚ rozhodli o zapojení IROP do využitia nástroja CLLD. Pracovná skupina bola rozšírená o člena národnej siete miestnych akčných skupín.</w:t>
      </w:r>
    </w:p>
    <w:p>
      <w:pPr>
        <w:jc w:val="both"/>
        <w:rPr>
          <w:rFonts w:ascii="Arial" w:hAnsi="Arial" w:cs="Arial"/>
        </w:rPr>
      </w:pPr>
      <w:r>
        <w:rPr>
          <w:rFonts w:ascii="Arial" w:hAnsi="Arial" w:cs="Arial"/>
        </w:rPr>
        <w:t>So zohľadnením regionálnych potrieb definovaných v plánoch hospodárskeho a sociálnej rozvoja jednotlivých VÚC, Pozičného dokumentu EK k príprave Partnerskej dohody a programov v SR na programové obdobie 2014 – 2020, potrieb definovaných krajským mestami vychádzajúcich z plánov hospodárskeho a sociálneho rozvoja týchto miest, potrieb definovaných Národnou sieťou miestnych akčných skupín bol zostavený návrh investičnej stratégie OP s vymedzením hlavných priorít financovania. Návrh OP zohľadňuje taktiež skúsenosti s implementácie ROP a OP BK v programovom období 2007 - 2013.</w:t>
      </w:r>
    </w:p>
    <w:p>
      <w:pPr>
        <w:jc w:val="both"/>
        <w:rPr>
          <w:rFonts w:ascii="Arial" w:hAnsi="Arial" w:cs="Arial"/>
          <w:i/>
        </w:rPr>
      </w:pPr>
      <w:r>
        <w:rPr>
          <w:rFonts w:ascii="Arial" w:hAnsi="Arial" w:cs="Arial"/>
        </w:rPr>
        <w:t xml:space="preserve">Pracovná skupina zasadala v dňoch 26. 03. 2013, 16. 05. 2013, 23. 10. 2013 a 31.1. – 14. 2. 2014 (formou per rollam). Predmetom stretnutí bolo okrem diskusie k textu IROP/pripomienkam členov pracovnej skupiny k jednotlivým návrhom IROP, a diskusia a prezentácia k systému implementácie IROP prostredníctvom regionálnych integrovaných územných stratégií, realizácia trvalo udržateľného rozvoja miest a nástroja CLLD. Stretnutia s EK k jednotlivým návrhom IROP sa uskutočnili v dňoch 14. 03. 2013, 27. 05. 2013, 29. 07. 2013, 25. 09. 2013 (videokonferencia), 11. 11. 2013 a 19.11.2013 (videokonferencia). K januárovej verzii IROP sa uskutočnilo stretnutie s jednotlivými direktoriátmi EK dňa 21. 02. </w:t>
      </w:r>
      <w:r>
        <w:rPr>
          <w:rFonts w:ascii="Arial" w:hAnsi="Arial" w:cs="Arial"/>
        </w:rPr>
        <w:lastRenderedPageBreak/>
        <w:t xml:space="preserve">2014. V dňoch 13. 02. 2014 a 10. 04. 2014 sa uskutočnili neformálne rokovanie EK s rezortom zdravotníctva k špecifickému cieľu č. 2.1.2 „Modernizovať zdravotnícku infraštruktúru za účelom integrácie zdravotnej starostlivosti a zlepšenia dostupnosti ku kvalitným zdravotníckym službám“. S rezortom kultúry sa uskutočnili stretnutia dňa 08. 04. 2014 k špecifickému cieľu </w:t>
      </w:r>
      <w:r>
        <w:rPr>
          <w:rFonts w:ascii="Arial" w:hAnsi="Arial" w:cs="Arial"/>
          <w:i/>
        </w:rPr>
        <w:t>„</w:t>
      </w:r>
      <w:r>
        <w:rPr>
          <w:rStyle w:val="Zvraznenie"/>
          <w:rFonts w:ascii="Arial" w:hAnsi="Arial" w:cs="Arial"/>
          <w:i w:val="0"/>
        </w:rPr>
        <w:t xml:space="preserve">Stimulovanie podpory udržateľnej zamestnanosti a tvorby pracovných miest v kultúrnom a kreatívnom sektore prostredníctvom vytvorenia priaznivého prostredia pre rozvoj kreatívneho talentu a netechnologických inovácií“. </w:t>
      </w:r>
    </w:p>
    <w:p>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bolo, okrem iného, prezentácia stavu prípravy IROP 2014 – 2020, spolupráca na formulovaní potrebných vstupov do strategického dokumentu IROP ako napr. investičná logika IROP, tematické ciele, investičné priority, regionálne a miestne potreby.  </w:t>
      </w:r>
    </w:p>
    <w:p>
      <w:pPr>
        <w:jc w:val="both"/>
        <w:rPr>
          <w:rFonts w:ascii="Arial" w:hAnsi="Arial" w:cs="Arial"/>
        </w:rPr>
      </w:pPr>
      <w:r>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 a ujasňovania pozícií k jednotlivým témam (napr. k téme udržateľného mestského rozvoja, CLLD). Socioekonomickí partneri boli oslovovaní o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Národnej siete miestnych akčných skupín (investičná stratégia, implementačný mechanizmus) a zároveň sa dozvedieť spätnú väzbu.</w:t>
      </w:r>
    </w:p>
    <w:p>
      <w:pPr>
        <w:jc w:val="both"/>
        <w:rPr>
          <w:rFonts w:ascii="Arial" w:hAnsi="Arial" w:cs="Arial"/>
        </w:rPr>
      </w:pPr>
      <w:r>
        <w:rPr>
          <w:rFonts w:ascii="Arial" w:hAnsi="Arial" w:cs="Arial"/>
        </w:rPr>
        <w:t>Princíp partnerstva bude riadne uplatňovaný aj v procese implementácie, monitorovania</w:t>
      </w:r>
      <w:r>
        <w:rPr>
          <w:rFonts w:ascii="Arial" w:hAnsi="Arial" w:cs="Arial"/>
        </w:rPr>
        <w:br/>
        <w:t>a hodnotenia IROP. Na úrovni operačného programu bude fungovanie partnerstva zabezpečené v rámci monitorovania a hodnotenia IROP, a to prostredníctvom členstva v Monitorovacom výbore pre IROP vrátane členstva Centrálneho koordinačného orgánu.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(Partnerstvo pre RIÚS) na úrovni regiónov, zložené z orgánov regionálnej a miestnej územnej samosprávy, miestnej štátnej správy ako aj regionálnych reprezentácií záujmových organizácií a tretieho sektora. Špecifické postavenie bude mať vyšší územný celok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(EU)1303/2013.</w:t>
      </w:r>
    </w:p>
    <w:p>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pPr>
        <w:jc w:val="both"/>
        <w:rPr>
          <w:rFonts w:ascii="Arial" w:hAnsi="Arial" w:cs="Arial"/>
        </w:rPr>
      </w:pPr>
    </w:p>
    <w:p>
      <w:pPr>
        <w:pStyle w:val="Nadpis3"/>
        <w:rPr>
          <w:rFonts w:ascii="Arial" w:hAnsi="Arial" w:cs="Arial"/>
        </w:rPr>
      </w:pPr>
      <w:bookmarkStart w:id="160" w:name="_Toc387153997"/>
      <w:r>
        <w:rPr>
          <w:rFonts w:ascii="Arial" w:hAnsi="Arial" w:cs="Arial"/>
        </w:rPr>
        <w:t>7.2.2 Pre ESF: Globálne granty</w:t>
      </w:r>
      <w:bookmarkEnd w:id="160"/>
    </w:p>
    <w:p>
      <w:pPr>
        <w:jc w:val="both"/>
        <w:rPr>
          <w:rFonts w:ascii="Arial" w:hAnsi="Arial" w:cs="Arial"/>
        </w:rPr>
      </w:pPr>
      <w:r>
        <w:rPr>
          <w:rFonts w:ascii="Arial" w:hAnsi="Arial" w:cs="Arial"/>
        </w:rPr>
        <w:t>Pre IROP – N/A</w:t>
      </w:r>
    </w:p>
    <w:p>
      <w:pPr>
        <w:pStyle w:val="Nadpis3"/>
        <w:rPr>
          <w:rFonts w:ascii="Arial" w:hAnsi="Arial" w:cs="Arial"/>
        </w:rPr>
      </w:pPr>
      <w:bookmarkStart w:id="161" w:name="_Toc387153998"/>
      <w:r>
        <w:rPr>
          <w:rFonts w:ascii="Arial" w:hAnsi="Arial" w:cs="Arial"/>
        </w:rPr>
        <w:t>7.2.3 Pre ESF: Budovanie kapacít</w:t>
      </w:r>
      <w:bookmarkEnd w:id="161"/>
    </w:p>
    <w:p>
      <w:pPr>
        <w:jc w:val="both"/>
        <w:rPr>
          <w:rFonts w:ascii="Arial" w:hAnsi="Arial" w:cs="Arial"/>
        </w:rPr>
      </w:pPr>
      <w:r>
        <w:rPr>
          <w:rFonts w:ascii="Arial" w:hAnsi="Arial" w:cs="Arial"/>
        </w:rPr>
        <w:t>Pre IROP – N/A</w:t>
      </w:r>
    </w:p>
    <w:p>
      <w:pPr>
        <w:jc w:val="both"/>
        <w:rPr>
          <w:rFonts w:ascii="Arial" w:hAnsi="Arial" w:cs="Arial"/>
        </w:rPr>
        <w:sectPr>
          <w:pgSz w:w="11906" w:h="16838"/>
          <w:pgMar w:top="1417" w:right="1417" w:bottom="1417" w:left="1417" w:header="708" w:footer="708" w:gutter="0"/>
          <w:cols w:space="708"/>
          <w:docGrid w:linePitch="360"/>
        </w:sectPr>
      </w:pPr>
    </w:p>
    <w:p>
      <w:pPr>
        <w:spacing w:after="0" w:line="240" w:lineRule="auto"/>
        <w:rPr>
          <w:rFonts w:ascii="Arial" w:eastAsia="Times New Roman" w:hAnsi="Arial" w:cs="Arial"/>
          <w:b/>
          <w:bCs/>
          <w:color w:val="31479E"/>
          <w:sz w:val="28"/>
          <w:szCs w:val="28"/>
        </w:rPr>
      </w:pPr>
      <w:r>
        <w:rPr>
          <w:rFonts w:ascii="Arial" w:hAnsi="Arial" w:cs="Arial"/>
        </w:rPr>
        <w:lastRenderedPageBreak/>
        <w:br w:type="page"/>
      </w:r>
    </w:p>
    <w:p>
      <w:pPr>
        <w:pStyle w:val="Nadpis1"/>
        <w:rPr>
          <w:rFonts w:ascii="Arial" w:hAnsi="Arial" w:cs="Arial"/>
        </w:rPr>
      </w:pPr>
      <w:bookmarkStart w:id="162" w:name="_Toc387153999"/>
      <w:r>
        <w:rPr>
          <w:rFonts w:ascii="Arial" w:hAnsi="Arial" w:cs="Arial"/>
        </w:rPr>
        <w:lastRenderedPageBreak/>
        <w:t>8 Koordinácia medzi fondmi, EPFRV, EFNRH a ostatnými národnými a EÚ nástrojmi, a EIB</w:t>
      </w:r>
      <w:bookmarkEnd w:id="162"/>
    </w:p>
    <w:p>
      <w:pPr>
        <w:rPr>
          <w:rFonts w:ascii="Arial" w:hAnsi="Arial" w:cs="Arial"/>
        </w:rPr>
      </w:pPr>
    </w:p>
    <w:p>
      <w:pPr>
        <w:jc w:val="both"/>
        <w:rPr>
          <w:rFonts w:ascii="Arial" w:hAnsi="Arial" w:cs="Arial"/>
          <w:bCs/>
          <w:iCs/>
          <w:szCs w:val="20"/>
        </w:rPr>
      </w:pPr>
      <w:r>
        <w:rPr>
          <w:rFonts w:ascii="Arial" w:hAnsi="Arial" w:cs="Arial"/>
          <w:bCs/>
          <w:iCs/>
          <w:szCs w:val="20"/>
        </w:rPr>
        <w:t>Mechanizmus koordinácie medzi IROP  a ostatnými nástrojmi podpory bude zabezpečovaný v súlade s opatreniami na programovej a projektovej úrovni definovanými v kap. 2.1 PD SR (napr. zriadením pracovných skupín, koordinačných orgánov, v procese prípravy výziev a výberu žiadostí o poskytnutie podpory z EŠIF atď.).</w:t>
      </w:r>
    </w:p>
    <w:p>
      <w:pPr>
        <w:jc w:val="both"/>
        <w:rPr>
          <w:rFonts w:ascii="Arial" w:hAnsi="Arial" w:cs="Arial"/>
          <w:bCs/>
          <w:iCs/>
          <w:szCs w:val="20"/>
        </w:rPr>
      </w:pPr>
      <w:r>
        <w:rPr>
          <w:rFonts w:ascii="Arial" w:hAnsi="Arial" w:cs="Arial"/>
          <w:bCs/>
          <w:iCs/>
          <w:szCs w:val="20"/>
        </w:rPr>
        <w:t>V zmysle PD SR RO pre IROP vytvorí predpoklady pre väčšiu synergiu podporených aktivít prostredníctvom stanovenia kritérií pre zvýhodnenie tých žiadostí vo výberovom procese, ktoré preukážu prepojenie financovania programov EŠIF s ostatnými OP a nástrojmi podpory v prípade vhodnosti a relevancie predmetných výziev k aktivitám podporovaným z ostatných OP a nástrojov podpory.</w:t>
      </w:r>
    </w:p>
    <w:p>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pPr>
        <w:jc w:val="both"/>
        <w:rPr>
          <w:rFonts w:ascii="Arial" w:hAnsi="Arial" w:cs="Arial"/>
        </w:rPr>
      </w:pPr>
      <w:r>
        <w:rPr>
          <w:rFonts w:ascii="Arial" w:hAnsi="Arial" w:cs="Arial"/>
          <w:b/>
        </w:rPr>
        <w:t>D</w:t>
      </w:r>
      <w:r>
        <w:rPr>
          <w:rFonts w:ascii="Arial" w:hAnsi="Arial" w:cs="Arial"/>
        </w:rPr>
        <w:t xml:space="preserve">oplnkovosť IROP je zrejmá v prípade </w:t>
      </w:r>
      <w:r>
        <w:rPr>
          <w:rFonts w:ascii="Arial" w:hAnsi="Arial" w:cs="Arial"/>
          <w:b/>
        </w:rPr>
        <w:t>programov a nástrojov Cieľa 2 Európska územná spolupráca</w:t>
      </w:r>
      <w:r>
        <w:rPr>
          <w:rFonts w:ascii="Arial" w:hAnsi="Arial" w:cs="Arial"/>
        </w:rPr>
        <w:t>. Komplementarita IROP a </w:t>
      </w:r>
      <w:r>
        <w:rPr>
          <w:rFonts w:ascii="Arial" w:hAnsi="Arial" w:cs="Arial"/>
          <w:b/>
        </w:rPr>
        <w:t>OP cezhraničnej spolupráce</w:t>
      </w:r>
      <w:r>
        <w:rPr>
          <w:rFonts w:ascii="Arial" w:hAnsi="Arial" w:cs="Arial"/>
        </w:rPr>
        <w:t>, ktoré sú primárne zamerané na zlepšenie aspektov kvality života v prihraničných regiónoch, sa predpokladá v nasledovných oblastiach a aktivitách: oblasť dopravy (aktivity zamerané na zlepšenie kvality a bezpečnosti vybraných úsekov cestnej siete s cieľom zlepšiť prepojenosť prihraničných území a podpora využívania ekologických foriem dopravy; oblasť životného prostredia (ochrana a rozvoj kultúrneho a prírodného dedičstva a ochranu a zachovanie biodiverzity); oblasť výskumu a inovácií (prepájanie a podpora cezhraničnej spolupráce medzi subjektmi výskumu, vývoja a podnikateľskou sférou, vytváranie cezhraničných inovačných platforiem, prenos výsledkov aplikovaného výskumu do praxe a jeho ďalšej komercializácie); oblasť vzdelávania (aktivity prispievajúce k posilneniu odborného a celoživotného vzdelávania a potrebám praxe; oblasť posilňovania inštitucionálnych kapacít a efektívnej verejnej správy (zintenzívnenie väzieb prostredníctvom miestnych iniciatív a zlepšovaniu inštitucionálnej spolupráce, ako aj rozvoj ľudských zdrojov a strategické plánovanie). OP ENI HU-SK-RO-UA 2014 – 2020 bude naďalej podporovať zintenzívnenie a prehĺbenie oblastí rozvoja vzájomnej spolupráce medzi regiónmi s prihliadnutím na udržateľnosť v sociálnej, environmentálnej a ekonomickej oblasti. Koordinácia IROP s týmito OP bude realizovaná v rámci pracovnej skupiny, čím sa zabezpečí výmena informácií s cieľom zabránenia financovaniu rovnakých aktivít z rôznych programov a nástrojov, ako aj účasťou zástupcov RO v monitorovacích výboroch programov cezhraničnej spolupráce.</w:t>
      </w:r>
    </w:p>
    <w:p>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(ďalej len „ETC Dunaj“) ako doplnkový zdroj pre financovanie Dunajskej stratégie sa prioritne bude zameriavať na otázky zmeny klímy a predchádzania rizikám, ochrany životného prostredia, využívania zdrojov a udržateľnej dopravy. Synergické prepojenia medzi prioritnými oblasťami Dunajskej stratégie, hlavnými programami SR (vrátane IROP), programami EÚS a ostatnými nástrojmi podpory budú dosiahnuté aj prostredníctvom zriadenia samostatnej pracovnej skupiny za účelom zabezpečenia implementácie Dunajskej stratégie v podmienkach SR. V prípade aktivít, ktoré prispievajú k plneniu cieľov Dunajskej stratégie, RO vyhodnotí komplementaritu a synergiu výzvy s aktivitami Dunajskej stratégie pred jej vyhlásením a vyhodnotenie príspevku predloží tejto pracovnej skupine na vyjadrenie.</w:t>
      </w:r>
    </w:p>
    <w:p>
      <w:pPr>
        <w:tabs>
          <w:tab w:val="left" w:pos="0"/>
        </w:tabs>
        <w:jc w:val="both"/>
        <w:rPr>
          <w:rFonts w:ascii="Arial" w:hAnsi="Arial" w:cs="Arial"/>
          <w:bCs/>
        </w:rPr>
      </w:pPr>
      <w:r>
        <w:rPr>
          <w:rFonts w:ascii="Arial" w:hAnsi="Arial" w:cs="Arial"/>
        </w:rPr>
        <w:lastRenderedPageBreak/>
        <w:t>Komplementarita je predpokladaná aj s</w:t>
      </w:r>
      <w:r>
        <w:rPr>
          <w:rFonts w:ascii="Arial" w:hAnsi="Arial" w:cs="Arial"/>
          <w:b/>
        </w:rPr>
        <w:t> Programom nadnárodnej spolupráce Stredná Európa 2014-2020</w:t>
      </w:r>
      <w:r>
        <w:rPr>
          <w:rFonts w:ascii="Arial" w:hAnsi="Arial" w:cs="Arial"/>
        </w:rPr>
        <w:t xml:space="preserve"> v rámci cieľa EÚS, ktorý je </w:t>
      </w:r>
      <w:r>
        <w:rPr>
          <w:rFonts w:ascii="Arial" w:hAnsi="Arial" w:cs="Arial"/>
          <w:bCs/>
        </w:rPr>
        <w:t xml:space="preserve">zameraný na 4 oblasti spolupráce krajín Strednej Európy (prioritné osi): oblasť inovácií s cieľom zvýšenia konkurencieschopnosti (zlepšenie udržateľné prepojenia medzi aktérmi inovačných systémov pre posilnenie regionálnej inovačnej kapacity a zlepšenie znalostí a schopnosti pre urýchlenie ekonomických a sociálnych inovácie); oblasť nízkouhlíkových stratégií (vytvorenie a implementovanie riešení pre zvýšenie energetickej efektívnosti a využívania obnoviteľnej energie vo verejných infraštruktúrach, zlepšenie územne založených stratégií energetického plánovania a politík podporujúcich mitigáciu klimatických zmien a zlepšenie kapacít pre plánovanie mobility vo funkčných mestských prostrediach za účelom zníženia emisií CO2); oblasť prírodných a kultúrnych zdrojov pre udržateľný rast (zlepšenie kapacít integrovaného environmentálneho manažmentu za účelom ochrany a udržateľného využívania prírodného dedičstva a zdrojov, zlepšenie kapacít pre udržateľné využívanie kultúrneho dedičstva a zdrojov a zlepšenie environmentálneho manažmentu funkčných mestských oblastí); oblasť dopravy so zameraním na lepšie prepojenie Strednej Európy (zlepšenie plánovania a koordinácie regionálnych dopravných systémov pre cestujúcich s cieľom lepšieho napojenia na národné a Európske dopravné siete a zlepšenie koordinácie medzi aktérmi nákladnej dopravy za účelom zvýšenia multimodálnych riešení prepravy, priaznivých pre životné prostredie). </w:t>
      </w:r>
    </w:p>
    <w:p>
      <w:pPr>
        <w:jc w:val="both"/>
        <w:rPr>
          <w:rFonts w:ascii="Arial" w:hAnsi="Arial" w:cs="Arial"/>
          <w:i/>
          <w:u w:val="single"/>
        </w:rPr>
      </w:pPr>
      <w:r>
        <w:rPr>
          <w:rFonts w:ascii="Arial" w:hAnsi="Arial" w:cs="Arial"/>
          <w:bCs/>
        </w:rPr>
        <w:t xml:space="preserve">Doplnkovosť aktivít IROP je predpokladaná aj v prípade programu </w:t>
      </w:r>
      <w:r>
        <w:rPr>
          <w:rFonts w:ascii="Arial" w:hAnsi="Arial" w:cs="Arial"/>
          <w:b/>
          <w:bCs/>
        </w:rPr>
        <w:t>URBACT III</w:t>
      </w:r>
      <w:r>
        <w:rPr>
          <w:rFonts w:ascii="Arial" w:hAnsi="Arial" w:cs="Arial"/>
          <w:bCs/>
        </w:rPr>
        <w:t xml:space="preserve">, ktorý je zameraný na </w:t>
      </w:r>
      <w:r>
        <w:rPr>
          <w:rFonts w:ascii="Arial" w:hAnsi="Arial" w:cs="Arial"/>
        </w:rPr>
        <w:t>podporu integrovaného prístupu k udržateľnému mestskému rozvoju a poskytuje zapojeným subjektom prostredníctvom spolupracujúcich sietí miest prenos poznatkov a výmenu skúseností potrebných na účinnú prípravu politík pre inovatívne mestské riešenia. Skúsenosti získané vďaka URBACT III bude možné využiť pri príprave a implementácii opatrení ÚMR v rámci IROP.</w:t>
      </w:r>
    </w:p>
    <w:p>
      <w:pPr>
        <w:jc w:val="both"/>
        <w:rPr>
          <w:rFonts w:ascii="Arial" w:hAnsi="Arial" w:cs="Arial"/>
          <w:b/>
        </w:rPr>
      </w:pPr>
      <w:r>
        <w:rPr>
          <w:rFonts w:ascii="Arial" w:hAnsi="Arial" w:cs="Arial"/>
        </w:rPr>
        <w:t xml:space="preserve">Rámcovo je možné uviesť aj potenciálnu komplementaritu IROP </w:t>
      </w:r>
      <w:r>
        <w:rPr>
          <w:rFonts w:ascii="Arial" w:hAnsi="Arial" w:cs="Arial"/>
          <w:b/>
        </w:rPr>
        <w:t>s komunitárnymi programami</w:t>
      </w:r>
      <w:r>
        <w:rPr>
          <w:rFonts w:ascii="Arial" w:hAnsi="Arial" w:cs="Arial"/>
        </w:rPr>
        <w:t>: Horizont 2020, Erasmus+, Life+, COSME a Kreatívna Európa a </w:t>
      </w:r>
      <w:r>
        <w:rPr>
          <w:rFonts w:ascii="Arial" w:hAnsi="Arial" w:cs="Arial"/>
          <w:b/>
        </w:rPr>
        <w:t>nástrojom štátnej podpory</w:t>
      </w:r>
      <w:r>
        <w:rPr>
          <w:rFonts w:ascii="Arial" w:hAnsi="Arial" w:cs="Arial"/>
        </w:rPr>
        <w:t xml:space="preserve"> – Environmentálnym fondom, ktorý podporuje aktivity týkajúce sa starostlivosti o životné prostredie.</w:t>
      </w:r>
    </w:p>
    <w:p>
      <w:pPr>
        <w:jc w:val="both"/>
        <w:rPr>
          <w:rFonts w:ascii="Arial" w:hAnsi="Arial" w:cs="Arial"/>
        </w:rPr>
      </w:pPr>
      <w:r>
        <w:rPr>
          <w:rFonts w:ascii="Arial" w:hAnsi="Arial" w:cs="Arial"/>
        </w:rPr>
        <w:t xml:space="preserve">Nižšie uvedený prehľad </w:t>
      </w:r>
      <w:r>
        <w:rPr>
          <w:rFonts w:ascii="Arial" w:hAnsi="Arial" w:cs="Arial"/>
          <w:b/>
        </w:rPr>
        <w:t>operačných programov spolufinancovaných z EŠIF</w:t>
      </w:r>
      <w:r>
        <w:rPr>
          <w:rFonts w:ascii="Arial" w:hAnsi="Arial" w:cs="Arial"/>
        </w:rPr>
        <w:t>, u ktorých sa predpokladá komplementárne, resp. synergické pôsobenie s aktivitami IROP, vrátane vymedzenia deliacich línií, je uvedený v členení podľa TC, resp. IP.</w:t>
      </w:r>
    </w:p>
    <w:p>
      <w:pPr>
        <w:jc w:val="both"/>
        <w:rPr>
          <w:rFonts w:ascii="Arial" w:hAnsi="Arial" w:cs="Arial"/>
          <w:b/>
        </w:rPr>
      </w:pPr>
      <w:r>
        <w:rPr>
          <w:rFonts w:ascii="Arial" w:hAnsi="Arial" w:cs="Arial"/>
          <w:b/>
        </w:rPr>
        <w:t>TC 4 Podpora prechodu na nízkouhlíkové hospodárstvo vo všetkých sektoroch</w:t>
      </w:r>
    </w:p>
    <w:p>
      <w:pPr>
        <w:jc w:val="both"/>
        <w:rPr>
          <w:rFonts w:ascii="Arial" w:hAnsi="Arial" w:cs="Arial"/>
          <w:b/>
        </w:rPr>
      </w:pPr>
      <w:r>
        <w:rPr>
          <w:rFonts w:ascii="Arial" w:hAnsi="Arial" w:cs="Arial"/>
          <w:b/>
        </w:rPr>
        <w:t>IP 4(c)</w:t>
      </w:r>
    </w:p>
    <w:p>
      <w:pPr>
        <w:tabs>
          <w:tab w:val="left" w:pos="0"/>
        </w:tabs>
        <w:jc w:val="both"/>
        <w:rPr>
          <w:rFonts w:ascii="Arial" w:hAnsi="Arial" w:cs="Arial"/>
        </w:rPr>
      </w:pPr>
      <w:r>
        <w:rPr>
          <w:rFonts w:ascii="Arial" w:hAnsi="Arial" w:cs="Arial"/>
          <w:b/>
        </w:rPr>
        <w:t>IROP</w:t>
      </w:r>
      <w:r>
        <w:rPr>
          <w:rFonts w:ascii="Arial" w:hAnsi="Arial" w:cs="Arial"/>
        </w:rPr>
        <w:t xml:space="preserve"> podporí komplexnú obnovu budov s cieľom dosiahnutia ich energetickej efektívnosti a tiež inovačné nízkouhlíkové technológie a systémový prístup k stavbám znižovaním energetickej náročnosti v</w:t>
      </w:r>
      <w:r>
        <w:rPr>
          <w:rFonts w:ascii="Arial" w:hAnsi="Arial" w:cs="Arial"/>
          <w:b/>
        </w:rPr>
        <w:t xml:space="preserve"> sektore bývania</w:t>
      </w:r>
      <w:r>
        <w:rPr>
          <w:rFonts w:ascii="Arial" w:hAnsi="Arial" w:cs="Arial"/>
        </w:rPr>
        <w:t xml:space="preserve">. </w:t>
      </w:r>
      <w:r>
        <w:rPr>
          <w:rFonts w:ascii="Arial" w:hAnsi="Arial" w:cs="Arial"/>
          <w:b/>
        </w:rPr>
        <w:t>OP KŽP</w:t>
      </w:r>
      <w:r>
        <w:rPr>
          <w:rFonts w:ascii="Arial" w:hAnsi="Arial" w:cs="Arial"/>
        </w:rPr>
        <w:t xml:space="preserve"> podporí komplexnú rekonštrukciu budov </w:t>
      </w:r>
      <w:r>
        <w:rPr>
          <w:rFonts w:ascii="Arial" w:hAnsi="Arial" w:cs="Arial"/>
          <w:b/>
        </w:rPr>
        <w:t>štátnej a verejnej správy</w:t>
      </w:r>
      <w:r>
        <w:rPr>
          <w:rFonts w:ascii="Arial" w:hAnsi="Arial" w:cs="Arial"/>
        </w:rPr>
        <w:t xml:space="preserve"> prostredníctvom inovatívnych, nízkouhlíkových technológií a systematického prístupu k budovám a opatrení v oblasti energetickej efektívnosti, využívania OZE, nízkouhlíkových technológií a ekologických inovačných prístupov. </w:t>
      </w:r>
      <w:r>
        <w:rPr>
          <w:rFonts w:ascii="Arial" w:hAnsi="Arial" w:cs="Arial"/>
          <w:b/>
        </w:rPr>
        <w:t>PRV</w:t>
      </w:r>
      <w:r>
        <w:rPr>
          <w:rFonts w:ascii="Arial" w:hAnsi="Arial" w:cs="Arial"/>
        </w:rPr>
        <w:t xml:space="preserve"> podporí  investície do zvyšovania energetickej efektívnosti, ako aj na využívania OZE </w:t>
      </w:r>
      <w:r>
        <w:rPr>
          <w:rFonts w:ascii="Arial" w:hAnsi="Arial" w:cs="Arial"/>
          <w:b/>
        </w:rPr>
        <w:t>špecificky pre poľnohospodárov a potravinárov a podnikateľské subjekty s podielom poľnohospodárskej činnosti viac ako 30%</w:t>
      </w:r>
      <w:r>
        <w:rPr>
          <w:rFonts w:ascii="Arial" w:hAnsi="Arial" w:cs="Arial"/>
        </w:rPr>
        <w:t xml:space="preserve">. </w:t>
      </w:r>
    </w:p>
    <w:p>
      <w:pPr>
        <w:jc w:val="both"/>
        <w:rPr>
          <w:rFonts w:ascii="Arial" w:hAnsi="Arial" w:cs="Arial"/>
          <w:b/>
        </w:rPr>
      </w:pPr>
      <w:r>
        <w:rPr>
          <w:rFonts w:ascii="Arial" w:hAnsi="Arial" w:cs="Arial"/>
          <w:b/>
        </w:rPr>
        <w:lastRenderedPageBreak/>
        <w:t>TC 6 Zachovanie a ochrana životného prostredia a podpora efektívneho využívania zdrojov</w:t>
      </w:r>
    </w:p>
    <w:p>
      <w:pPr>
        <w:rPr>
          <w:rFonts w:ascii="Arial" w:hAnsi="Arial" w:cs="Arial"/>
        </w:rPr>
      </w:pPr>
      <w:r>
        <w:rPr>
          <w:rFonts w:ascii="Arial" w:hAnsi="Arial" w:cs="Arial"/>
          <w:b/>
        </w:rPr>
        <w:t>IP 6(b)</w:t>
      </w:r>
      <w:r>
        <w:rPr>
          <w:rFonts w:ascii="Arial" w:hAnsi="Arial" w:cs="Arial"/>
        </w:rPr>
        <w:t xml:space="preserve"> </w:t>
      </w:r>
    </w:p>
    <w:p>
      <w:pPr>
        <w:jc w:val="both"/>
        <w:rPr>
          <w:rFonts w:ascii="Arial" w:hAnsi="Arial" w:cs="Arial"/>
        </w:rPr>
      </w:pPr>
      <w:r>
        <w:rPr>
          <w:rFonts w:ascii="Arial" w:hAnsi="Arial" w:cs="Arial"/>
          <w:b/>
        </w:rPr>
        <w:t>IROP</w:t>
      </w:r>
      <w:r>
        <w:rPr>
          <w:rFonts w:ascii="Arial" w:hAnsi="Arial" w:cs="Arial"/>
        </w:rPr>
        <w:t xml:space="preserve"> v oblasti </w:t>
      </w:r>
      <w:r>
        <w:rPr>
          <w:rFonts w:ascii="Arial" w:hAnsi="Arial" w:cs="Arial"/>
          <w:b/>
        </w:rPr>
        <w:t>vodného hospodárstva</w:t>
      </w:r>
      <w:r>
        <w:rPr>
          <w:rFonts w:ascii="Arial" w:hAnsi="Arial" w:cs="Arial"/>
        </w:rPr>
        <w:t xml:space="preserve"> podporí zvýšenie dostupnosti zdrojov podzemných vôd pre zásobovanie obyvateľstva pitnou vodou. Podpora bude nasmerovaná aj na rekonštrukciu existujúcej vodovodnej siete a budovanie verejných vodovodov (okrem prípadov ich súbežnej výstavby s výstavbou verejnej kanalizácie podľa aktualizovaného Národného programu SR pre vykonávanie smernice Rady 91/271/EHS, ktoré podporuje </w:t>
      </w:r>
      <w:r>
        <w:rPr>
          <w:rFonts w:ascii="Arial" w:hAnsi="Arial" w:cs="Arial"/>
          <w:b/>
        </w:rPr>
        <w:t>OP KŽP</w:t>
      </w:r>
      <w:r>
        <w:rPr>
          <w:rFonts w:ascii="Arial" w:hAnsi="Arial" w:cs="Arial"/>
        </w:rPr>
        <w:t xml:space="preserve">). Podporované budú taktiež: 1) rekonštrukcia stokovej siete v obciach od 1 000 obyvateľov, 2) budovanie verejných kanalizácií a ČOV pre obce od 1 000 do 2 000 obyvateľov (s výnimkou obcí začlenených do aglomerácií nad 2 000 EO v zmysle Národného programu pre vykonávanie smernice 91/271/EHS a s výnimkou aglomerácií pod 2 000 EO, ktoré prispievajú k zlepšeniu kvality vody v chránených vodohospodárskych oblastiach, kde bol identifikovaný zlý stav vôd, ktoré podporuje </w:t>
      </w:r>
      <w:r>
        <w:rPr>
          <w:rFonts w:ascii="Arial" w:hAnsi="Arial" w:cs="Arial"/>
          <w:b/>
        </w:rPr>
        <w:t>OP KŽP</w:t>
      </w:r>
      <w:r>
        <w:rPr>
          <w:rFonts w:ascii="Arial" w:hAnsi="Arial" w:cs="Arial"/>
        </w:rPr>
        <w:t xml:space="preserve">). Prostredníctvom </w:t>
      </w:r>
      <w:r>
        <w:rPr>
          <w:rFonts w:ascii="Arial" w:hAnsi="Arial" w:cs="Arial"/>
          <w:b/>
        </w:rPr>
        <w:t>OP KŽP</w:t>
      </w:r>
      <w:r>
        <w:rPr>
          <w:rFonts w:ascii="Arial" w:hAnsi="Arial" w:cs="Arial"/>
        </w:rPr>
        <w:t xml:space="preserve"> bude podporovaná výstavba čistiarní odpadových vôd v aglomeráciách do 2 000 EO v prípadoch, ak už je vybudovaná stoková sieť min. na 80% celej predmetnej aglomerácie.</w:t>
      </w:r>
    </w:p>
    <w:p>
      <w:pPr>
        <w:jc w:val="both"/>
        <w:rPr>
          <w:rFonts w:ascii="Arial" w:hAnsi="Arial" w:cs="Arial"/>
        </w:rPr>
      </w:pPr>
      <w:r>
        <w:rPr>
          <w:rFonts w:ascii="Arial" w:hAnsi="Arial" w:cs="Arial"/>
          <w:b/>
        </w:rPr>
        <w:t>PRV</w:t>
      </w:r>
      <w:r>
        <w:rPr>
          <w:rFonts w:ascii="Arial" w:hAnsi="Arial" w:cs="Arial"/>
        </w:rPr>
        <w:t xml:space="preserve"> umožní podporu projektov zameraných na dobudovanie verejných vodovodov, kanalizácií a ČOV pre obce do 1 000 obyvateľov (vrátane) s výnimkou obcí, ktoré sú súčasťou aglomerácií oprávnených v rámci OP KŽP (infraštruktúra malých rozmerov). Doplnkovosť v oblasti investícií do vodného hospodárstva (rekonštrukcia stokovej siete, rekonštrukcia/výstavba vodovodnej siete, výstavba/rekonštrukcia zdrojov pitnej vody), ak sa daný projekt bude realizovať prostredníctvom Regionálnej integrovanej územnej stratégie v rámci IROP, nebude oprávnený v rámci PRV.</w:t>
      </w:r>
    </w:p>
    <w:p>
      <w:pPr>
        <w:jc w:val="both"/>
        <w:rPr>
          <w:rFonts w:ascii="Arial" w:hAnsi="Arial" w:cs="Arial"/>
        </w:rPr>
      </w:pPr>
      <w:r>
        <w:rPr>
          <w:rFonts w:ascii="Arial" w:hAnsi="Arial" w:cs="Arial"/>
        </w:rPr>
        <w:t xml:space="preserve">Komplementarita a synergia medzi prioritnými osami Technická vybavenosť v obciach s prítomnosťou MRK (PO 5 – špecifický cieľ 5.1.1) v </w:t>
      </w:r>
      <w:r>
        <w:rPr>
          <w:rFonts w:ascii="Arial" w:hAnsi="Arial" w:cs="Arial"/>
          <w:b/>
        </w:rPr>
        <w:t>OP ĽZ a IROP</w:t>
      </w:r>
      <w:r>
        <w:rPr>
          <w:rFonts w:ascii="Arial" w:hAnsi="Arial" w:cs="Arial"/>
        </w:rPr>
        <w:t xml:space="preserve"> (PO 4 – špecifický cieľ 4.2.2.) bude zabezpečená s MV SR/ÚSVRK na úrovni prípravy relevantných častí Regionálnych integrovaných územných stratégií (ďalej len „RIÚS“) a schvaľovania RIÚS vo forme členstva v Rade Partnerstva pre RIÚS. Nadväzujúca spolupráca bude pri príprave samotných výziev MV SR/ÚSVRK, kde aktívna účasť bude zastrešená RO pre IROP, v spolupráci s RO pre OP ĽZ.</w:t>
      </w:r>
    </w:p>
    <w:p>
      <w:pPr>
        <w:jc w:val="both"/>
        <w:rPr>
          <w:rFonts w:ascii="Arial" w:hAnsi="Arial" w:cs="Arial"/>
          <w:b/>
        </w:rPr>
      </w:pPr>
      <w:r>
        <w:rPr>
          <w:rFonts w:ascii="Arial" w:hAnsi="Arial" w:cs="Arial"/>
          <w:b/>
        </w:rPr>
        <w:t>IP 6(e)</w:t>
      </w:r>
    </w:p>
    <w:p>
      <w:pPr>
        <w:jc w:val="both"/>
        <w:rPr>
          <w:rFonts w:ascii="Arial" w:hAnsi="Arial" w:cs="Arial"/>
        </w:rPr>
      </w:pPr>
      <w:r>
        <w:rPr>
          <w:rFonts w:ascii="Arial" w:hAnsi="Arial" w:cs="Arial"/>
          <w:b/>
        </w:rPr>
        <w:t>IROP</w:t>
      </w:r>
      <w:r>
        <w:rPr>
          <w:rFonts w:ascii="Arial" w:hAnsi="Arial" w:cs="Arial"/>
        </w:rPr>
        <w:t xml:space="preserve"> v oblasti investícií do </w:t>
      </w:r>
      <w:r>
        <w:rPr>
          <w:rFonts w:ascii="Arial" w:hAnsi="Arial" w:cs="Arial"/>
          <w:b/>
        </w:rPr>
        <w:t xml:space="preserve">opustených a nevyužívaných priemyselných oblastí a lokalít </w:t>
      </w:r>
      <w:r>
        <w:rPr>
          <w:rFonts w:ascii="Arial" w:hAnsi="Arial" w:cs="Arial"/>
        </w:rPr>
        <w:t xml:space="preserve">podporí ich revitalizáciu a transformáciu na nové funkčné využitie. Ak bude revitalizované územie identifikované ako environmentálna záťaž, takáto revitalizácia bude možná len po prípadnej predchádzajúcej interakcii v rámci OP KŽP. </w:t>
      </w:r>
      <w:r>
        <w:rPr>
          <w:rFonts w:ascii="Arial" w:hAnsi="Arial" w:cs="Arial"/>
          <w:b/>
        </w:rPr>
        <w:t>OP KŽP</w:t>
      </w:r>
      <w:r>
        <w:rPr>
          <w:rFonts w:ascii="Arial" w:hAnsi="Arial" w:cs="Arial"/>
        </w:rPr>
        <w:t xml:space="preserve"> podporí prieskum, analýzu rizika znečisteného územia environmentálnych záťaží a sanáciu environmentálnych záťaží v mestskom prostredí a opustených priemyselných lokalitách. V </w:t>
      </w:r>
      <w:r>
        <w:rPr>
          <w:rFonts w:ascii="Arial" w:hAnsi="Arial" w:cs="Arial"/>
          <w:b/>
        </w:rPr>
        <w:t>PRV</w:t>
      </w:r>
      <w:r>
        <w:rPr>
          <w:rFonts w:ascii="Arial" w:hAnsi="Arial" w:cs="Arial"/>
        </w:rPr>
        <w:t xml:space="preserve"> bude možná rekonštrukcia nevyužívaných budov (v obciach do 1000 obyvateľov), a to len v prípade, ak sa daný projekt bude realizovať prostredníctvom integrovanej územnej stratégie v rámci IROP.</w:t>
      </w:r>
    </w:p>
    <w:p>
      <w:pPr>
        <w:jc w:val="both"/>
        <w:rPr>
          <w:rFonts w:ascii="Arial" w:hAnsi="Arial" w:cs="Arial"/>
        </w:rPr>
      </w:pPr>
      <w:r>
        <w:rPr>
          <w:rFonts w:ascii="Arial" w:hAnsi="Arial" w:cs="Arial"/>
        </w:rPr>
        <w:t xml:space="preserve">V oblasti </w:t>
      </w:r>
      <w:r>
        <w:rPr>
          <w:rFonts w:ascii="Arial" w:hAnsi="Arial" w:cs="Arial"/>
          <w:b/>
        </w:rPr>
        <w:t>environmentálnych aspektov v mestách a mestských oblastiach</w:t>
      </w:r>
      <w:r>
        <w:rPr>
          <w:rFonts w:ascii="Arial" w:hAnsi="Arial" w:cs="Arial"/>
        </w:rPr>
        <w:t xml:space="preserve"> </w:t>
      </w:r>
      <w:r>
        <w:rPr>
          <w:rFonts w:ascii="Arial" w:hAnsi="Arial" w:cs="Arial"/>
          <w:b/>
        </w:rPr>
        <w:t>IROP</w:t>
      </w:r>
      <w:r>
        <w:rPr>
          <w:rFonts w:ascii="Arial" w:hAnsi="Arial" w:cs="Arial"/>
        </w:rPr>
        <w:t xml:space="preserve"> podporí budovanie prvkov zelenej infraštruktúry v mestách vrátane vodozádržných prvkov a zavádzanie adaptačných opatrení v intraviláne miest spadajúcich do mestských oblastí </w:t>
      </w:r>
      <w:r>
        <w:rPr>
          <w:rFonts w:ascii="Arial" w:hAnsi="Arial" w:cs="Arial"/>
        </w:rPr>
        <w:lastRenderedPageBreak/>
        <w:t xml:space="preserve">v rámci UMR. </w:t>
      </w:r>
      <w:r>
        <w:rPr>
          <w:rFonts w:ascii="Arial" w:hAnsi="Arial" w:cs="Arial"/>
          <w:b/>
        </w:rPr>
        <w:t>Deliaca línia medzi IROP a OP KŽP</w:t>
      </w:r>
      <w:r>
        <w:rPr>
          <w:rFonts w:ascii="Arial" w:hAnsi="Arial" w:cs="Arial"/>
        </w:rPr>
        <w:t xml:space="preserve"> je stanovená na úrovni oprávneného územia. Oprávnenými aktivitami bude aj výsadba resp. regenerácia izolačnej zelene v okolí zdrojov znečisťovania ovzdušia a zdrojov nadmerného hluku. </w:t>
      </w:r>
      <w:r>
        <w:rPr>
          <w:rFonts w:ascii="Arial" w:hAnsi="Arial" w:cs="Arial"/>
          <w:b/>
        </w:rPr>
        <w:t>OP KŽP</w:t>
      </w:r>
      <w:r>
        <w:rPr>
          <w:rFonts w:ascii="Arial" w:hAnsi="Arial" w:cs="Arial"/>
        </w:rPr>
        <w:t xml:space="preserve"> podporí technologické a technické opatrenia na redukciu emisií znečisťujúcich látok do ovzdušia realizované na zdrojoch znečisťovania ovzdušia (najmä za účelom plnenia požiadaviek smernice o národných emisných stropoch a/alebo smernice o kvalite okolitého ovzdušia a čistejšom ovzduší v Európe). Tu je deliaca línia s IROP stanovená na úrovni oprávnených aktivít. Deliaca línia medzi </w:t>
      </w:r>
      <w:r>
        <w:rPr>
          <w:rFonts w:ascii="Arial" w:hAnsi="Arial" w:cs="Arial"/>
          <w:b/>
        </w:rPr>
        <w:t>PRV a OP KŽP</w:t>
      </w:r>
      <w:r>
        <w:rPr>
          <w:rFonts w:ascii="Arial" w:hAnsi="Arial" w:cs="Arial"/>
        </w:rPr>
        <w:t xml:space="preserve"> je stanovená na úrovni žiadateľov pomoci a oprávnených aktivít: PRV podporuje kompenzačné platby na príslušné územia NATURA 2000 (žiadatelia - poľnohospodárske subjekty a súkromní vlastníci lesov. OP KŽP podporuje  prípravu plánov riadenia (napr. pre lokality NATURA 2000) zahŕňajúcich opatrenia týkajúce sa biodiverzity- zachovanie a obnova biodiverzity a ekosystémov a ich služieb prostredníctvom ich revitalizácie, obnovy a budovania zelenej infraštruktúry a eliminácie nepôvodných inváznych druhov. </w:t>
      </w:r>
    </w:p>
    <w:p>
      <w:pPr>
        <w:jc w:val="both"/>
        <w:rPr>
          <w:rFonts w:ascii="Arial" w:hAnsi="Arial" w:cs="Arial"/>
          <w:b/>
        </w:rPr>
      </w:pPr>
      <w:r>
        <w:rPr>
          <w:rFonts w:ascii="Arial" w:hAnsi="Arial" w:cs="Arial"/>
          <w:b/>
        </w:rPr>
        <w:t xml:space="preserve">TC 7 Podpora udržateľnej dopravy a odstraňovanie prekážok v kľúčových sieťových infraštruktúrach </w:t>
      </w:r>
    </w:p>
    <w:p>
      <w:pPr>
        <w:rPr>
          <w:rFonts w:ascii="Arial" w:hAnsi="Arial" w:cs="Arial"/>
          <w:b/>
        </w:rPr>
      </w:pPr>
      <w:r>
        <w:rPr>
          <w:rFonts w:ascii="Arial" w:hAnsi="Arial" w:cs="Arial"/>
          <w:b/>
        </w:rPr>
        <w:t>IP7(a) a (b)</w:t>
      </w:r>
    </w:p>
    <w:p>
      <w:pPr>
        <w:jc w:val="both"/>
        <w:rPr>
          <w:rFonts w:ascii="Arial" w:hAnsi="Arial" w:cs="Arial"/>
        </w:rPr>
      </w:pPr>
      <w:r>
        <w:rPr>
          <w:rFonts w:ascii="Arial" w:hAnsi="Arial" w:cs="Arial"/>
        </w:rPr>
        <w:t xml:space="preserve">Synergia v oblasti </w:t>
      </w:r>
      <w:r>
        <w:rPr>
          <w:rFonts w:ascii="Arial" w:hAnsi="Arial" w:cs="Arial"/>
          <w:b/>
        </w:rPr>
        <w:t>cestnej infraštruktúry</w:t>
      </w:r>
      <w:r>
        <w:rPr>
          <w:rFonts w:ascii="Arial" w:hAnsi="Arial" w:cs="Arial"/>
        </w:rPr>
        <w:t xml:space="preserve">: </w:t>
      </w:r>
      <w:r>
        <w:rPr>
          <w:rFonts w:ascii="Arial" w:hAnsi="Arial" w:cs="Arial"/>
          <w:b/>
        </w:rPr>
        <w:t>OP II</w:t>
      </w:r>
      <w:r>
        <w:rPr>
          <w:rFonts w:ascii="Arial" w:hAnsi="Arial" w:cs="Arial"/>
        </w:rPr>
        <w:t xml:space="preserve"> (IP 7a,b) bude podporovať výstavbu diaľnic a rýchlostných ciest vrátane privádzačov, budovanie inteligentných dopravných systémov a ekoduktov. </w:t>
      </w:r>
      <w:r>
        <w:rPr>
          <w:rFonts w:ascii="Arial" w:hAnsi="Arial" w:cs="Arial"/>
          <w:b/>
        </w:rPr>
        <w:t xml:space="preserve">IROP </w:t>
      </w:r>
      <w:r>
        <w:rPr>
          <w:rFonts w:ascii="Arial" w:hAnsi="Arial" w:cs="Arial"/>
        </w:rPr>
        <w:t>(IP 7a)</w:t>
      </w:r>
      <w:r>
        <w:rPr>
          <w:rFonts w:ascii="Arial" w:hAnsi="Arial" w:cs="Arial"/>
          <w:b/>
        </w:rPr>
        <w:t xml:space="preserve"> </w:t>
      </w:r>
      <w:r>
        <w:rPr>
          <w:rFonts w:ascii="Arial" w:hAnsi="Arial" w:cs="Arial"/>
        </w:rPr>
        <w:t xml:space="preserve">bude podporovať rekonštrukciu a modernizáciu (resp. výstavbu) </w:t>
      </w:r>
      <w:r>
        <w:rPr>
          <w:rFonts w:ascii="Arial" w:hAnsi="Arial" w:cs="Arial"/>
          <w:b/>
        </w:rPr>
        <w:t>ciest II. a III.</w:t>
      </w:r>
      <w:r>
        <w:rPr>
          <w:rFonts w:ascii="Arial" w:hAnsi="Arial" w:cs="Arial"/>
        </w:rPr>
        <w:t xml:space="preserve"> </w:t>
      </w:r>
      <w:r>
        <w:rPr>
          <w:rFonts w:ascii="Arial" w:hAnsi="Arial" w:cs="Arial"/>
          <w:b/>
        </w:rPr>
        <w:t>triedy</w:t>
      </w:r>
      <w:r>
        <w:rPr>
          <w:rFonts w:ascii="Arial" w:hAnsi="Arial" w:cs="Arial"/>
        </w:rPr>
        <w:t xml:space="preserve"> </w:t>
      </w:r>
      <w:r>
        <w:rPr>
          <w:rFonts w:ascii="Arial" w:hAnsi="Arial" w:cs="Arial"/>
          <w:b/>
        </w:rPr>
        <w:t>s napojením na TEN-T sieť</w:t>
      </w:r>
      <w:r>
        <w:rPr>
          <w:rFonts w:ascii="Arial" w:hAnsi="Arial" w:cs="Arial"/>
        </w:rPr>
        <w:t xml:space="preserve"> a nadradenú dopravnú infraštruktúru, resp. v kontexte prepojenia centier osídlenia regiónov a centier hospodárskeho významu. Koordinácia je zabezpečená na základe Strategického plánu rozvoja dopravy na úrovni regiónov a Pracovnou skupinou pre koordináciu IROP a OP II.</w:t>
      </w:r>
    </w:p>
    <w:p>
      <w:pPr>
        <w:jc w:val="both"/>
        <w:rPr>
          <w:rFonts w:ascii="Arial" w:hAnsi="Arial" w:cs="Arial"/>
          <w:b/>
        </w:rPr>
      </w:pPr>
      <w:r>
        <w:rPr>
          <w:rFonts w:ascii="Arial" w:hAnsi="Arial" w:cs="Arial"/>
          <w:b/>
        </w:rPr>
        <w:t>IP7(c)</w:t>
      </w:r>
    </w:p>
    <w:p>
      <w:pPr>
        <w:tabs>
          <w:tab w:val="left" w:pos="709"/>
        </w:tabs>
        <w:jc w:val="both"/>
        <w:rPr>
          <w:rFonts w:ascii="Arial" w:hAnsi="Arial" w:cs="Arial"/>
        </w:rPr>
      </w:pPr>
      <w:r>
        <w:rPr>
          <w:rFonts w:ascii="Arial" w:hAnsi="Arial" w:cs="Arial"/>
          <w:b/>
        </w:rPr>
        <w:t>IROP</w:t>
      </w:r>
      <w:r>
        <w:rPr>
          <w:rFonts w:ascii="Arial" w:hAnsi="Arial" w:cs="Arial"/>
        </w:rPr>
        <w:t xml:space="preserve"> podporí environmentalizáciu </w:t>
      </w:r>
      <w:r>
        <w:rPr>
          <w:rFonts w:ascii="Arial" w:hAnsi="Arial" w:cs="Arial"/>
          <w:b/>
        </w:rPr>
        <w:t xml:space="preserve">verejnej osobnej dopravy </w:t>
      </w:r>
      <w:r>
        <w:rPr>
          <w:rFonts w:ascii="Arial" w:hAnsi="Arial" w:cs="Arial"/>
        </w:rPr>
        <w:t xml:space="preserve">a riešenie potrieb pre menej mobilných cestujúcich v mestskej a prímestskej autobusovej doprave (nákup nízkopodlažných a nízkoemisných autobusov spolu s budovaním zodpovedajúcej zásobovacej infraštruktúry (napr. plynových čerpacích staníc). </w:t>
      </w:r>
      <w:r>
        <w:rPr>
          <w:rFonts w:ascii="Arial" w:hAnsi="Arial" w:cs="Arial"/>
          <w:b/>
        </w:rPr>
        <w:t xml:space="preserve">IROP </w:t>
      </w:r>
      <w:r>
        <w:rPr>
          <w:rFonts w:ascii="Arial" w:hAnsi="Arial" w:cs="Arial"/>
        </w:rPr>
        <w:t xml:space="preserve">bude podporovať aj rozvoj doplnkovej infraštruktúry (investične menej náročné projekty - prestupné terminály, okrem terminálov pri železničných staniciach; parkoviská Park &amp; Ride (P+R), Kiss &amp; Ride (K+R) a Bike &amp; Ride (B+R); modernizácia autobusových zastávok a obratísk; zavádzanie preferencie VOD na križovatkách). IROP bude financovať technickú podporu integrovaných dopravných systémov (investične menej náročné projekty - softvérové systémové riešenia, hardvérové vybavenie). V rámci </w:t>
      </w:r>
      <w:r>
        <w:rPr>
          <w:rFonts w:ascii="Arial" w:hAnsi="Arial" w:cs="Arial"/>
          <w:b/>
        </w:rPr>
        <w:t>IROP</w:t>
      </w:r>
      <w:r>
        <w:rPr>
          <w:rFonts w:ascii="Arial" w:hAnsi="Arial" w:cs="Arial"/>
        </w:rPr>
        <w:t xml:space="preserve"> bude možné financovať aj rozvoj </w:t>
      </w:r>
      <w:r>
        <w:rPr>
          <w:rFonts w:ascii="Arial" w:hAnsi="Arial" w:cs="Arial"/>
          <w:b/>
        </w:rPr>
        <w:t>cyklistickej dopravy</w:t>
      </w:r>
      <w:r>
        <w:rPr>
          <w:rFonts w:ascii="Arial" w:hAnsi="Arial" w:cs="Arial"/>
        </w:rPr>
        <w:t xml:space="preserve"> v mestách budovaním a obnovou cyklistickej infraštruktúry (cyklokoridory, cyklopruhy) a podpornej cyklistickej infraštruktúry. </w:t>
      </w:r>
      <w:r>
        <w:rPr>
          <w:rFonts w:ascii="Arial" w:hAnsi="Arial" w:cs="Arial"/>
          <w:b/>
        </w:rPr>
        <w:t>OP II</w:t>
      </w:r>
      <w:r>
        <w:rPr>
          <w:rFonts w:ascii="Arial" w:hAnsi="Arial" w:cs="Arial"/>
        </w:rPr>
        <w:t xml:space="preserve"> oproti tomu podporuje obnovu mobilného parku pre mestskú dráhovú dopravu, t. j. nákup električiek a trolejbusov, rekonštrukciu električkových tratí v Bratislave a Košiciach, výstavbu (rozširovanie) trolejbusových liniek; výstavbu a modernizácia infraštruktúry pre integrované dopravné systémy; obnovu mobilných prostriedkov zabezpečujúcich železničnú osobnú prímestskú a regionálnu dopravu, výstavbu prestupných terminálov osobnej dopravy, výstavbu záchytných parkovísk s väzbou na verejnú dráhovú hromadnú dopravu. Ide o investične náročné projekty. Koordinácia je zabezpečená na základe Stratégie rozvoja verejnej osobnej a </w:t>
      </w:r>
      <w:r>
        <w:rPr>
          <w:rFonts w:ascii="Arial" w:hAnsi="Arial" w:cs="Arial"/>
        </w:rPr>
        <w:lastRenderedPageBreak/>
        <w:t>nemotorovej dopravy v SR do roku 2020 a Pracovnou skupinou pre koordináciu IROP a OP II.</w:t>
      </w:r>
    </w:p>
    <w:p>
      <w:pPr>
        <w:tabs>
          <w:tab w:val="left" w:pos="709"/>
        </w:tabs>
        <w:jc w:val="both"/>
        <w:rPr>
          <w:rFonts w:ascii="Arial" w:hAnsi="Arial" w:cs="Arial"/>
        </w:rPr>
      </w:pPr>
      <w:r>
        <w:rPr>
          <w:rFonts w:ascii="Arial" w:hAnsi="Arial" w:cs="Arial"/>
          <w:b/>
        </w:rPr>
        <w:t>PRV</w:t>
      </w:r>
      <w:r>
        <w:rPr>
          <w:rFonts w:ascii="Arial" w:hAnsi="Arial" w:cs="Arial"/>
        </w:rPr>
        <w:t xml:space="preserve"> umožňuje investície do parkovísk a zastávok a budovanie cykloturistickej infraštruktúry, ale len v obciach do 1000 obyvateľov (vrátane). Ak sa daný projekt bude realizovať prostredníctvom RIÚS v rámci IROP, nebude oprávnený v rámci PRV.  </w:t>
      </w:r>
    </w:p>
    <w:p>
      <w:pPr>
        <w:jc w:val="both"/>
        <w:rPr>
          <w:rFonts w:ascii="Arial" w:hAnsi="Arial" w:cs="Arial"/>
          <w:b/>
        </w:rPr>
      </w:pPr>
      <w:r>
        <w:rPr>
          <w:rFonts w:ascii="Arial" w:hAnsi="Arial" w:cs="Arial"/>
          <w:b/>
        </w:rPr>
        <w:t>TC 8 Podpora udržateľnej a kvalitnej zamestnanosti a mobility pracovnej sily</w:t>
      </w:r>
    </w:p>
    <w:p>
      <w:pPr>
        <w:jc w:val="both"/>
        <w:rPr>
          <w:rFonts w:ascii="Arial" w:hAnsi="Arial" w:cs="Arial"/>
          <w:b/>
        </w:rPr>
      </w:pPr>
      <w:r>
        <w:rPr>
          <w:rFonts w:ascii="Arial" w:hAnsi="Arial" w:cs="Arial"/>
          <w:b/>
        </w:rPr>
        <w:t>IP8(b)</w:t>
      </w:r>
    </w:p>
    <w:p>
      <w:pPr>
        <w:jc w:val="both"/>
        <w:rPr>
          <w:rFonts w:ascii="Arial" w:hAnsi="Arial" w:cs="Arial"/>
        </w:rPr>
      </w:pPr>
      <w:r>
        <w:rPr>
          <w:rFonts w:ascii="Arial" w:hAnsi="Arial" w:cs="Arial"/>
          <w:b/>
        </w:rPr>
        <w:t>IROP</w:t>
      </w:r>
      <w:r>
        <w:rPr>
          <w:rFonts w:ascii="Arial" w:hAnsi="Arial" w:cs="Arial"/>
        </w:rPr>
        <w:t xml:space="preserve"> podporí vytváranie priaznivého prostredia pre podporu </w:t>
      </w:r>
      <w:r>
        <w:rPr>
          <w:rFonts w:ascii="Arial" w:hAnsi="Arial" w:cs="Arial"/>
          <w:b/>
        </w:rPr>
        <w:t>kreativity</w:t>
      </w:r>
      <w:r>
        <w:rPr>
          <w:rFonts w:ascii="Arial" w:hAnsi="Arial" w:cs="Arial"/>
        </w:rPr>
        <w:t xml:space="preserve"> ako predpokladu netechnologických inovácií a tvorby konceptov kreatívnych produktov a služieb s ekonomickou hodnotou (prototypov prostredníctvom zakladania miest (infraštruktúra nového typu – kreatívne centrá, inkubátory, huby, co-workingy vrátane technologického vybavenia) a platforiem pre stimulovanie partnerstiev, prenosu poznatkov, sieťovania a vytvárania synergie medzi rôznymi kultúrnymi trendmi a organizáciami, tvorivými talentami a tiež kreatívnymi  MSP. </w:t>
      </w:r>
      <w:r>
        <w:rPr>
          <w:rFonts w:ascii="Arial" w:hAnsi="Arial" w:cs="Arial"/>
          <w:b/>
        </w:rPr>
        <w:t>OP VaI</w:t>
      </w:r>
      <w:r>
        <w:rPr>
          <w:rFonts w:ascii="Arial" w:hAnsi="Arial" w:cs="Arial"/>
        </w:rPr>
        <w:t xml:space="preserve"> podporí investície do mikro a MSP v </w:t>
      </w:r>
      <w:r>
        <w:rPr>
          <w:rFonts w:ascii="Arial" w:hAnsi="Arial" w:cs="Arial"/>
          <w:b/>
        </w:rPr>
        <w:t>kultúrnom a kreatívnom sektore</w:t>
      </w:r>
      <w:r>
        <w:rPr>
          <w:rFonts w:ascii="Arial" w:hAnsi="Arial" w:cs="Arial"/>
        </w:rPr>
        <w:t xml:space="preserve"> prostredníctvom poskytovania  konzultácií a mentoringu v oblasti podnikania, poskytovania finančných nástrojov, internacionalizácie výrobkov a služieb, exportu, prepojenia so súkromným sektorom naprieč sektormi (pod TC 3).</w:t>
      </w:r>
    </w:p>
    <w:p>
      <w:pPr>
        <w:jc w:val="both"/>
        <w:rPr>
          <w:rFonts w:ascii="Arial" w:hAnsi="Arial" w:cs="Arial"/>
        </w:rPr>
      </w:pPr>
    </w:p>
    <w:p>
      <w:pPr>
        <w:jc w:val="both"/>
        <w:rPr>
          <w:rFonts w:ascii="Arial" w:hAnsi="Arial" w:cs="Arial"/>
          <w:b/>
        </w:rPr>
      </w:pPr>
      <w:r>
        <w:rPr>
          <w:rFonts w:ascii="Arial" w:hAnsi="Arial" w:cs="Arial"/>
          <w:b/>
        </w:rPr>
        <w:t>TC 9 Podpora sociálneho začlenenia, boj proti chudobe a akejkoľvek diskriminácií</w:t>
      </w:r>
    </w:p>
    <w:p>
      <w:pPr>
        <w:jc w:val="both"/>
        <w:rPr>
          <w:rFonts w:ascii="Arial" w:hAnsi="Arial" w:cs="Arial"/>
          <w:b/>
        </w:rPr>
      </w:pPr>
      <w:r>
        <w:rPr>
          <w:rFonts w:ascii="Arial" w:hAnsi="Arial" w:cs="Arial"/>
          <w:b/>
        </w:rPr>
        <w:t>IP9(a)</w:t>
      </w:r>
    </w:p>
    <w:p>
      <w:pPr>
        <w:jc w:val="both"/>
        <w:rPr>
          <w:rFonts w:ascii="Arial" w:hAnsi="Arial" w:cs="Arial"/>
          <w:b/>
        </w:rPr>
      </w:pPr>
      <w:r>
        <w:rPr>
          <w:rFonts w:ascii="Arial" w:hAnsi="Arial" w:cs="Arial"/>
          <w:b/>
        </w:rPr>
        <w:t>IROP</w:t>
      </w:r>
      <w:r>
        <w:rPr>
          <w:rFonts w:ascii="Arial" w:hAnsi="Arial" w:cs="Arial"/>
        </w:rPr>
        <w:t xml:space="preserve"> podporí  v oblasti procesu </w:t>
      </w:r>
      <w:r>
        <w:rPr>
          <w:rFonts w:ascii="Arial" w:hAnsi="Arial" w:cs="Arial"/>
          <w:b/>
        </w:rPr>
        <w:t xml:space="preserve">deinštitucionalizácie </w:t>
      </w:r>
      <w:r>
        <w:rPr>
          <w:rFonts w:ascii="Arial" w:hAnsi="Arial" w:cs="Arial"/>
        </w:rPr>
        <w:t xml:space="preserve">zmeny fyzického prostredia formou kapitálových investícií do budov a materiálno-technického vybavenia. </w:t>
      </w:r>
      <w:r>
        <w:rPr>
          <w:rFonts w:ascii="Arial" w:hAnsi="Arial" w:cs="Arial"/>
          <w:b/>
        </w:rPr>
        <w:t>OP ĽZ</w:t>
      </w:r>
      <w:r>
        <w:rPr>
          <w:rFonts w:ascii="Arial" w:hAnsi="Arial" w:cs="Arial"/>
        </w:rPr>
        <w:t xml:space="preserve"> komplementárne bude podporovať systémové opatrenia, ako najmä: podpora rozvoja nových a existujúcich sociálnych služieb a náhradnej starostlivosti na komunitnej úrovni; príprava a podpora vzdelávania odborného personálu; príprava samotných klientov na podmienky nezávislého života v komunite; príprava prostredia (komunity) na prijatie a integráciu osôb, ktorým sú poskytované sociálne služby a zabezpečovaná náhradná starostlivosť s cieľom eliminácie „syndrómu odporu“. Koordinácia je zabezpečovaná Pracovnou skupinou pre koordináciu OP ĽZ a IROP v oblasti deinštitucionalizácie.</w:t>
      </w:r>
    </w:p>
    <w:p>
      <w:pPr>
        <w:pStyle w:val="Style13"/>
        <w:widowControl/>
        <w:tabs>
          <w:tab w:val="left" w:pos="696"/>
        </w:tabs>
        <w:spacing w:line="276" w:lineRule="auto"/>
        <w:ind w:firstLine="0"/>
        <w:rPr>
          <w:rFonts w:ascii="Arial" w:eastAsia="Trebuchet MS" w:hAnsi="Arial" w:cs="Arial"/>
          <w:sz w:val="22"/>
          <w:szCs w:val="22"/>
          <w:lang w:eastAsia="en-US"/>
        </w:rPr>
      </w:pPr>
      <w:r>
        <w:rPr>
          <w:rFonts w:ascii="Arial" w:eastAsia="Trebuchet MS" w:hAnsi="Arial" w:cs="Arial"/>
          <w:sz w:val="22"/>
          <w:szCs w:val="22"/>
          <w:lang w:eastAsia="en-US"/>
        </w:rPr>
        <w:t xml:space="preserve">Dostupnosť ku </w:t>
      </w:r>
      <w:r>
        <w:rPr>
          <w:rFonts w:ascii="Arial" w:eastAsia="Trebuchet MS" w:hAnsi="Arial" w:cs="Arial"/>
          <w:b/>
          <w:sz w:val="22"/>
          <w:szCs w:val="22"/>
          <w:lang w:eastAsia="en-US"/>
        </w:rPr>
        <w:t>kvalitnej zdravotnej starostlivosti IROP</w:t>
      </w:r>
      <w:r>
        <w:rPr>
          <w:rFonts w:ascii="Arial" w:eastAsia="Trebuchet MS" w:hAnsi="Arial" w:cs="Arial"/>
          <w:sz w:val="22"/>
          <w:szCs w:val="22"/>
          <w:lang w:eastAsia="en-US"/>
        </w:rPr>
        <w:t xml:space="preserve"> podporí prostredníctvom inovatívnej modernizácie zdravotníckej infraštruktúry - budovania centier integrovanej zdravotnej starostlivosti a modernizácie infraštruktúry nemocníc poskytujúcich akútnu zdravotnú starostlivosť. </w:t>
      </w:r>
      <w:r>
        <w:rPr>
          <w:rFonts w:ascii="Arial" w:eastAsia="Trebuchet MS" w:hAnsi="Arial" w:cs="Arial"/>
          <w:b/>
          <w:sz w:val="22"/>
          <w:szCs w:val="22"/>
          <w:lang w:eastAsia="en-US"/>
        </w:rPr>
        <w:t>OP ĽZ</w:t>
      </w:r>
      <w:r>
        <w:rPr>
          <w:rFonts w:ascii="Arial" w:eastAsia="Trebuchet MS" w:hAnsi="Arial" w:cs="Arial"/>
          <w:sz w:val="22"/>
          <w:szCs w:val="22"/>
          <w:lang w:eastAsia="en-US"/>
        </w:rPr>
        <w:t xml:space="preserve"> sa kompelementárne zameria na podporu tvorby a inovácie klinických postupov a postupov pre výkon prevencie, ktoré budú etablované do celonárodného systému poskytovania zdravotnej starostlivosti. Realizácia sústavného vzdelávania zdravotníckych pracovníkov v nadväznosti na integrovaný model poskytovania ZS a reformné zmeny. </w:t>
      </w:r>
      <w:r>
        <w:rPr>
          <w:rFonts w:ascii="Arial" w:eastAsia="Trebuchet MS" w:hAnsi="Arial" w:cs="Arial"/>
          <w:sz w:val="22"/>
          <w:szCs w:val="22"/>
        </w:rPr>
        <w:t xml:space="preserve">Koordináciu bude zabezpečená Monitorovacou komisiou v rámci Strategického rámca starostlivosti o zdravie pre roky 2014 – 2030, ako aj na </w:t>
      </w:r>
      <w:r>
        <w:rPr>
          <w:rFonts w:ascii="Arial" w:eastAsia="Trebuchet MS" w:hAnsi="Arial" w:cs="Arial"/>
          <w:sz w:val="22"/>
          <w:szCs w:val="22"/>
          <w:lang w:eastAsia="en-US"/>
        </w:rPr>
        <w:t>úrovni RO pre OP ĽZ a RO pre IROP.</w:t>
      </w:r>
    </w:p>
    <w:p>
      <w:pPr>
        <w:pStyle w:val="Style13"/>
        <w:widowControl/>
        <w:tabs>
          <w:tab w:val="left" w:pos="696"/>
        </w:tabs>
        <w:spacing w:line="240" w:lineRule="auto"/>
        <w:ind w:firstLine="0"/>
        <w:rPr>
          <w:rFonts w:ascii="Arial" w:eastAsia="Trebuchet MS" w:hAnsi="Arial" w:cs="Arial"/>
          <w:sz w:val="22"/>
          <w:szCs w:val="22"/>
          <w:lang w:eastAsia="en-US"/>
        </w:rPr>
      </w:pPr>
    </w:p>
    <w:p>
      <w:pPr>
        <w:pStyle w:val="Style13"/>
        <w:widowControl/>
        <w:tabs>
          <w:tab w:val="left" w:pos="696"/>
        </w:tabs>
        <w:spacing w:after="240" w:line="240" w:lineRule="auto"/>
        <w:ind w:firstLine="0"/>
        <w:rPr>
          <w:rFonts w:ascii="Arial" w:eastAsia="Trebuchet MS" w:hAnsi="Arial" w:cs="Arial"/>
          <w:b/>
          <w:sz w:val="22"/>
          <w:szCs w:val="22"/>
          <w:lang w:eastAsia="en-US"/>
        </w:rPr>
      </w:pPr>
    </w:p>
    <w:p>
      <w:pPr>
        <w:pStyle w:val="Style13"/>
        <w:widowControl/>
        <w:tabs>
          <w:tab w:val="left" w:pos="696"/>
        </w:tabs>
        <w:spacing w:after="240" w:line="240" w:lineRule="auto"/>
        <w:ind w:firstLine="0"/>
        <w:rPr>
          <w:rFonts w:ascii="Arial" w:eastAsia="Trebuchet MS" w:hAnsi="Arial" w:cs="Arial"/>
          <w:b/>
          <w:sz w:val="22"/>
          <w:szCs w:val="22"/>
          <w:lang w:eastAsia="en-US"/>
        </w:rPr>
      </w:pPr>
      <w:r>
        <w:rPr>
          <w:rFonts w:ascii="Arial" w:eastAsia="Trebuchet MS" w:hAnsi="Arial" w:cs="Arial"/>
          <w:b/>
          <w:sz w:val="22"/>
          <w:szCs w:val="22"/>
          <w:lang w:eastAsia="en-US"/>
        </w:rPr>
        <w:lastRenderedPageBreak/>
        <w:t>IP9(d)</w:t>
      </w:r>
    </w:p>
    <w:p>
      <w:pPr>
        <w:pStyle w:val="Style13"/>
        <w:tabs>
          <w:tab w:val="left" w:pos="696"/>
        </w:tabs>
        <w:rPr>
          <w:rFonts w:ascii="Arial" w:eastAsia="Trebuchet MS" w:hAnsi="Arial" w:cs="Arial"/>
          <w:sz w:val="22"/>
          <w:szCs w:val="22"/>
          <w:lang w:eastAsia="en-US"/>
        </w:rPr>
      </w:pPr>
      <w:r>
        <w:rPr>
          <w:rFonts w:ascii="Arial" w:eastAsia="Trebuchet MS" w:hAnsi="Arial" w:cs="Arial"/>
          <w:sz w:val="22"/>
          <w:szCs w:val="22"/>
          <w:lang w:eastAsia="en-US"/>
        </w:rPr>
        <w:tab/>
        <w:t xml:space="preserve">Doplnkovosť opatrenia </w:t>
      </w:r>
      <w:r>
        <w:rPr>
          <w:rFonts w:ascii="Arial" w:eastAsia="Trebuchet MS" w:hAnsi="Arial" w:cs="Arial"/>
          <w:b/>
          <w:sz w:val="22"/>
          <w:szCs w:val="22"/>
          <w:lang w:eastAsia="en-US"/>
        </w:rPr>
        <w:t>LEADER</w:t>
      </w:r>
      <w:r>
        <w:rPr>
          <w:rFonts w:ascii="Arial" w:eastAsia="Trebuchet MS" w:hAnsi="Arial" w:cs="Arial"/>
          <w:sz w:val="22"/>
          <w:szCs w:val="22"/>
          <w:lang w:eastAsia="en-US"/>
        </w:rPr>
        <w:t xml:space="preserve"> v</w:t>
      </w:r>
      <w:r>
        <w:rPr>
          <w:rFonts w:ascii="Arial" w:eastAsia="Trebuchet MS" w:hAnsi="Arial" w:cs="Arial"/>
          <w:b/>
          <w:sz w:val="22"/>
          <w:szCs w:val="22"/>
          <w:lang w:eastAsia="en-US"/>
        </w:rPr>
        <w:t> PRV</w:t>
      </w:r>
      <w:r>
        <w:rPr>
          <w:rFonts w:ascii="Arial" w:eastAsia="Trebuchet MS" w:hAnsi="Arial" w:cs="Arial"/>
          <w:sz w:val="22"/>
          <w:szCs w:val="22"/>
          <w:lang w:eastAsia="en-US"/>
        </w:rPr>
        <w:t xml:space="preserve"> voči prioritnej osi č. 5 </w:t>
      </w:r>
      <w:r>
        <w:rPr>
          <w:rFonts w:ascii="Arial" w:eastAsia="Trebuchet MS" w:hAnsi="Arial" w:cs="Arial"/>
          <w:b/>
          <w:sz w:val="22"/>
          <w:szCs w:val="22"/>
          <w:lang w:eastAsia="en-US"/>
        </w:rPr>
        <w:t>IROP</w:t>
      </w:r>
      <w:r>
        <w:rPr>
          <w:rFonts w:ascii="Arial" w:eastAsia="Trebuchet MS" w:hAnsi="Arial" w:cs="Arial"/>
          <w:sz w:val="22"/>
          <w:szCs w:val="22"/>
          <w:lang w:eastAsia="en-US"/>
        </w:rPr>
        <w:t xml:space="preserve"> je zabezpečená rozdielnymi typmi oprávnených oblastí, príp. oprávnených žiadateľov. Oblasť podpory verejných výdavkov na obnovu a rozvoj obcí je oprávnená v rámci obidvoch fondov, pričom podpora IROP sa bude zameriavať na podporu udržateľných vzťahov medzi vidieckymi rozvojovými centrami a ich zázemím vo verejných službách a vo verejných infraštruktúrach, na úrovni stratégie </w:t>
      </w:r>
      <w:r>
        <w:rPr>
          <w:rFonts w:ascii="Arial" w:eastAsia="Trebuchet MS" w:hAnsi="Arial" w:cs="Arial"/>
          <w:b/>
          <w:sz w:val="22"/>
          <w:szCs w:val="22"/>
          <w:lang w:eastAsia="en-US"/>
        </w:rPr>
        <w:t>CLLD</w:t>
      </w:r>
      <w:r>
        <w:rPr>
          <w:rFonts w:ascii="Arial" w:eastAsia="Trebuchet MS" w:hAnsi="Arial" w:cs="Arial"/>
          <w:sz w:val="22"/>
          <w:szCs w:val="22"/>
          <w:lang w:eastAsia="en-US"/>
        </w:rPr>
        <w:t xml:space="preserve"> sa stanoví, z ktorého OP budú realizované aké typy aktivít. Komplementarita a synergia s </w:t>
      </w:r>
      <w:r>
        <w:rPr>
          <w:rFonts w:ascii="Arial" w:eastAsia="Trebuchet MS" w:hAnsi="Arial" w:cs="Arial"/>
          <w:b/>
          <w:sz w:val="22"/>
          <w:szCs w:val="22"/>
          <w:lang w:eastAsia="en-US"/>
        </w:rPr>
        <w:t>OP ĽZ</w:t>
      </w:r>
      <w:r>
        <w:rPr>
          <w:rFonts w:ascii="Arial" w:eastAsia="Trebuchet MS" w:hAnsi="Arial" w:cs="Arial"/>
          <w:sz w:val="22"/>
          <w:szCs w:val="22"/>
          <w:lang w:eastAsia="en-US"/>
        </w:rPr>
        <w:t xml:space="preserve"> medzi prioritnými osami Technická vybavenosť v obciach s prítomnosťou MRK (PO 5 – špecifický cieľ 5.2.1 Zvýšiť mieru zamestnanosti MRK v subjektoch sociálnej ekonomiky v územiach s prítomnosťou MRK a 5.1.3 Zlepšiť prístup ľudí z MRK k sociálnej infraštruktúre) v OP ĽZ a IROP (PO 5 – špecifický cieľ 5.1.2 a 5.1.3) je zabezpečená rozdielnymi typmi oprávnených oblastí, príp. oprávnených žiadateľov. Na úrovni stratégie CLLD sa stanoví, z ktorého OP budú realizované aké typy aktivít. Deliaca línia podpory aktivít špecifického cieľa 5.1.2 IROP a špecifického cieľa 3.1.1 a 3.3.1 </w:t>
      </w:r>
      <w:r>
        <w:rPr>
          <w:rFonts w:ascii="Arial" w:eastAsia="Trebuchet MS" w:hAnsi="Arial" w:cs="Arial"/>
          <w:b/>
          <w:sz w:val="22"/>
          <w:szCs w:val="22"/>
          <w:lang w:eastAsia="en-US"/>
        </w:rPr>
        <w:t>OPVaI</w:t>
      </w:r>
      <w:r>
        <w:rPr>
          <w:rFonts w:ascii="Arial" w:eastAsia="Trebuchet MS" w:hAnsi="Arial" w:cs="Arial"/>
          <w:sz w:val="22"/>
          <w:szCs w:val="22"/>
          <w:lang w:eastAsia="en-US"/>
        </w:rPr>
        <w:t xml:space="preserve"> je na úrovni rozhodnutí MAS. Aktivity podporené v rámci špecifického cieľa 5.1.2 IROP budú súvisieť s realizáciou miestnych stratégií.</w:t>
      </w:r>
    </w:p>
    <w:p>
      <w:pPr>
        <w:jc w:val="both"/>
        <w:rPr>
          <w:rFonts w:ascii="Arial" w:hAnsi="Arial" w:cs="Arial"/>
        </w:rPr>
      </w:pPr>
    </w:p>
    <w:p>
      <w:pPr>
        <w:jc w:val="both"/>
        <w:rPr>
          <w:rFonts w:ascii="Arial" w:hAnsi="Arial" w:cs="Arial"/>
          <w:b/>
        </w:rPr>
      </w:pPr>
      <w:r>
        <w:rPr>
          <w:rFonts w:ascii="Arial" w:hAnsi="Arial" w:cs="Arial"/>
          <w:b/>
        </w:rPr>
        <w:t>TC 10 Investovanie do vzdelávania, školení a odbornej prípravy, ako aj zručností a celoživotného vzdelávania</w:t>
      </w:r>
    </w:p>
    <w:p>
      <w:pPr>
        <w:jc w:val="both"/>
        <w:rPr>
          <w:rFonts w:ascii="Arial" w:hAnsi="Arial" w:cs="Arial"/>
          <w:b/>
        </w:rPr>
      </w:pPr>
      <w:r>
        <w:rPr>
          <w:rFonts w:ascii="Arial" w:hAnsi="Arial" w:cs="Arial"/>
          <w:b/>
        </w:rPr>
        <w:t>IP10(a)</w:t>
      </w:r>
    </w:p>
    <w:p>
      <w:pPr>
        <w:jc w:val="both"/>
        <w:rPr>
          <w:rFonts w:ascii="Arial" w:hAnsi="Arial" w:cs="Arial"/>
        </w:rPr>
      </w:pPr>
      <w:r>
        <w:rPr>
          <w:rFonts w:ascii="Arial" w:hAnsi="Arial" w:cs="Arial"/>
        </w:rPr>
        <w:t xml:space="preserve">V rámci </w:t>
      </w:r>
      <w:r>
        <w:rPr>
          <w:rFonts w:ascii="Arial" w:hAnsi="Arial" w:cs="Arial"/>
          <w:b/>
        </w:rPr>
        <w:t>vzdelávacej infraštruktúry IROP</w:t>
      </w:r>
      <w:r>
        <w:rPr>
          <w:rFonts w:ascii="Arial" w:hAnsi="Arial" w:cs="Arial"/>
        </w:rPr>
        <w:t xml:space="preserve"> podporí: investície do infraštruktúry a materiálno-technického vybavenia </w:t>
      </w:r>
      <w:r>
        <w:rPr>
          <w:rFonts w:ascii="Arial" w:hAnsi="Arial" w:cs="Arial"/>
          <w:b/>
        </w:rPr>
        <w:t>predškolských zariadení</w:t>
      </w:r>
      <w:r>
        <w:rPr>
          <w:rFonts w:ascii="Arial" w:hAnsi="Arial" w:cs="Arial"/>
        </w:rPr>
        <w:t xml:space="preserve"> (kapitálové výdavky); investície do infraštruktúry </w:t>
      </w:r>
      <w:r>
        <w:rPr>
          <w:rFonts w:ascii="Arial" w:hAnsi="Arial" w:cs="Arial"/>
          <w:b/>
        </w:rPr>
        <w:t>základných škôl</w:t>
      </w:r>
      <w:r>
        <w:rPr>
          <w:rFonts w:ascii="Arial" w:hAnsi="Arial" w:cs="Arial"/>
        </w:rPr>
        <w:t xml:space="preserve"> zabezpečením technických miestností, laboratórií na prírodovedné účely, jazykové účely (kapitálové výdavky); investície do infraštruktúry </w:t>
      </w:r>
      <w:r>
        <w:rPr>
          <w:rFonts w:ascii="Arial" w:hAnsi="Arial" w:cs="Arial"/>
          <w:b/>
        </w:rPr>
        <w:t>stredných odborných škôl, centier odborného vzdelávania</w:t>
      </w:r>
      <w:r>
        <w:rPr>
          <w:rFonts w:ascii="Arial" w:hAnsi="Arial" w:cs="Arial"/>
        </w:rPr>
        <w:t xml:space="preserve"> </w:t>
      </w:r>
      <w:r>
        <w:rPr>
          <w:rFonts w:ascii="Arial" w:hAnsi="Arial" w:cs="Arial"/>
          <w:b/>
        </w:rPr>
        <w:t>a prípravy</w:t>
      </w:r>
      <w:r>
        <w:rPr>
          <w:rFonts w:ascii="Arial" w:hAnsi="Arial" w:cs="Arial"/>
        </w:rPr>
        <w:t xml:space="preserve"> a do materiálno-technického vybavenia (kapitálové výdavky). Komplementárne k IROP sa </w:t>
      </w:r>
      <w:r>
        <w:rPr>
          <w:rFonts w:ascii="Arial" w:hAnsi="Arial" w:cs="Arial"/>
          <w:b/>
        </w:rPr>
        <w:t>OP ĽZ</w:t>
      </w:r>
      <w:r>
        <w:rPr>
          <w:rFonts w:ascii="Arial" w:hAnsi="Arial" w:cs="Arial"/>
        </w:rPr>
        <w:t xml:space="preserve"> zameria na: podporu vzdelávania pedagogických a odborných zamestnancov </w:t>
      </w:r>
      <w:r>
        <w:rPr>
          <w:rFonts w:ascii="Arial" w:hAnsi="Arial" w:cs="Arial"/>
          <w:b/>
        </w:rPr>
        <w:t>predškolských zariadení</w:t>
      </w:r>
      <w:r>
        <w:rPr>
          <w:rFonts w:ascii="Arial" w:hAnsi="Arial" w:cs="Arial"/>
        </w:rPr>
        <w:t xml:space="preserve">; na tvorbu, inováciu a realizáciu vzdelávacích programov s cieľom zvýšenia matematických, prírodovedných, finančných a jazykových zručností, zvýšenia podnikateľských vedomostí, zručností a ekonomického myslenia žiakov, ako aj na vypracovanie štandardov kvality </w:t>
      </w:r>
      <w:r>
        <w:rPr>
          <w:rFonts w:ascii="Arial" w:hAnsi="Arial" w:cs="Arial"/>
          <w:b/>
        </w:rPr>
        <w:t>primárneho vzdelávania</w:t>
      </w:r>
      <w:r>
        <w:rPr>
          <w:rFonts w:ascii="Arial" w:hAnsi="Arial" w:cs="Arial"/>
        </w:rPr>
        <w:t xml:space="preserve">; na podporu odborného vzdelávania v oblastiach tvorby, inovácii a realizácie obsahu vzdelávania, na podporu zavedenia prvkov duálneho školstva do systému odborného vzdelávania a prípravy, na zvýšenie podielu účasti žiakov na praktickom vyučovaní priamo na pracoviskách zamestnávateľa a systém partnerskej spolupráce so zamestnávateľmi. Systémovým krokom na zabezpečenie komplementarity podpory vzdelávania s investičnou podporou z IROP je členstvo zástupcu OP ĽZ (SO/RO - MŠVVŠ SR) v Rade Partnerstva pre RIÚS, ktoré schvaľuje RIÚS. Každá RIÚS bude obsahovať definovanú potrebu neinvestičnej podpory pre oblasť predprimárneho vzdelávania, primárneho vzdelávania a stredného odborného vzdelávania ako synergický prvok k plánovaným investičným aktivitám. Vyššie územné celky v spolupráci s regionálnymi partnermi definujú na základe regionálnej potreby územné rozloženie podpory. Pri príprave regionálnych potrieb vo vyššie uvedených oblastiach vzdelávania budú tieto konzultované s tvorcami OP ĽZ v oblasti vzdelávania. Cieľom tejto aktivity bude zabezpečenie informačného toku/prepojenia medzi tvorcami politiky vzdelávania a regionálnymi potrebami </w:t>
      </w:r>
      <w:r>
        <w:rPr>
          <w:rFonts w:ascii="Arial" w:hAnsi="Arial" w:cs="Arial"/>
        </w:rPr>
        <w:lastRenderedPageBreak/>
        <w:t xml:space="preserve">v tejto oblasti. V spolupráci so SO/RO OP ĽZ pripraví RO pre IROP výberové kritéria pre výber projektových zámerov.  </w:t>
      </w:r>
    </w:p>
    <w:p>
      <w:pPr>
        <w:spacing w:after="0"/>
        <w:jc w:val="both"/>
        <w:rPr>
          <w:rFonts w:ascii="Arial" w:hAnsi="Arial" w:cs="Arial"/>
        </w:rPr>
      </w:pPr>
      <w:r>
        <w:rPr>
          <w:rFonts w:ascii="Arial" w:hAnsi="Arial" w:cs="Arial"/>
        </w:rPr>
        <w:t>Na úrovni komplementarity a synergie investícií do infraštruktúry, je táto identifikovaná medzi prioritnými osami Technická vybavenosť v obciach s prítomnosťou MRK (PO 5 – špecifický cieľ 5.1.2) v OP ĽZ a IROP (PO 2 – špecifický cieľ 2.2.1.). Koordinácia a kooperácia s MV SR/ÚSVRK bude na úrovni prípravy relevantných častí RIÚS a schvaľovania RIÚS vo forme členstva v Rade Partnerstva pre RIÚS. Nadväzujúca spolupráca bude pri príprave samotných výziev MV SR/ÚSVRK, kde aktívna účasť bude zastrešená RO pre IROP, v spolupráci s RO pre OP ĽZ.</w:t>
      </w:r>
    </w:p>
    <w:p>
      <w:pPr>
        <w:spacing w:before="240" w:after="0"/>
        <w:jc w:val="both"/>
        <w:rPr>
          <w:rFonts w:ascii="Arial" w:hAnsi="Arial" w:cs="Arial"/>
        </w:rPr>
      </w:pPr>
      <w:r>
        <w:rPr>
          <w:rFonts w:ascii="Arial" w:hAnsi="Arial" w:cs="Arial"/>
        </w:rPr>
        <w:t xml:space="preserve">Aktivita - vytvorenie podnikateľského inkubátora pri COVP – v rámci špecifického cieľa 2.2.3 IROP je viazaná na podporu absolventov stredných odborných škôl pri rozbehu podnikateľskej činnosti, cieľová skupina podnikateľov bude limitovaná absolventmi daného COVP a ostatných stredných odborných škôl v odbore/odvetví zodpovedajúcom danému COVP. Aktivita - Rozvoj podnikateľských centier v regiónoch SR (NPC) – v rámci špecifického cieľa 3.1.1 </w:t>
      </w:r>
      <w:r>
        <w:rPr>
          <w:rFonts w:ascii="Arial" w:hAnsi="Arial" w:cs="Arial"/>
          <w:b/>
        </w:rPr>
        <w:t>OP VaI</w:t>
      </w:r>
      <w:r>
        <w:rPr>
          <w:rFonts w:ascii="Arial" w:hAnsi="Arial" w:cs="Arial"/>
        </w:rPr>
        <w:t xml:space="preserve"> je zameraná na realizáciu koncepcie komplexných centier typu one-stop-shop, v ktorých záujemcovia o podnikanie a podnikatelia získajú informácie, poradenstvo, technickú a finančnú podporu a priestor na vlastný rast, prípadne kooperáciu. Súčasťou podporných činností budú aj inkubačné služby. Služby podnikateľských centier budú prístupné pre všetky MSP. Je možné rozšíriť časť služieb NPC aj na inkubátory vytvorené v rámci IROP.</w:t>
      </w:r>
    </w:p>
    <w:p>
      <w:pPr>
        <w:jc w:val="both"/>
        <w:outlineLvl w:val="0"/>
        <w:rPr>
          <w:rFonts w:ascii="Arial" w:hAnsi="Arial" w:cs="Arial"/>
          <w:b/>
        </w:rPr>
      </w:pPr>
    </w:p>
    <w:p>
      <w:pPr>
        <w:jc w:val="both"/>
        <w:outlineLvl w:val="0"/>
        <w:rPr>
          <w:rFonts w:ascii="Arial" w:hAnsi="Arial" w:cs="Arial"/>
        </w:rPr>
      </w:pPr>
    </w:p>
    <w:p>
      <w:pPr>
        <w:outlineLvl w:val="0"/>
        <w:rPr>
          <w:rFonts w:ascii="Arial" w:hAnsi="Arial" w:cs="Arial"/>
          <w:b/>
        </w:rPr>
      </w:pPr>
    </w:p>
    <w:p>
      <w:pPr>
        <w:spacing w:after="0" w:line="240" w:lineRule="auto"/>
        <w:rPr>
          <w:rFonts w:ascii="Arial" w:hAnsi="Arial" w:cs="Arial"/>
          <w:b/>
        </w:rPr>
        <w:sectPr>
          <w:type w:val="continuous"/>
          <w:pgSz w:w="11906" w:h="16838"/>
          <w:pgMar w:top="1418" w:right="1418" w:bottom="1418" w:left="1418" w:header="709" w:footer="709" w:gutter="0"/>
          <w:cols w:space="708"/>
          <w:docGrid w:linePitch="360"/>
        </w:sectPr>
      </w:pPr>
    </w:p>
    <w:p>
      <w:pPr>
        <w:pStyle w:val="Nadpis1"/>
        <w:rPr>
          <w:rFonts w:ascii="Arial" w:hAnsi="Arial" w:cs="Arial"/>
        </w:rPr>
      </w:pPr>
      <w:bookmarkStart w:id="163" w:name="_Toc387154000"/>
      <w:r>
        <w:rPr>
          <w:rFonts w:ascii="Arial" w:hAnsi="Arial" w:cs="Arial"/>
        </w:rPr>
        <w:lastRenderedPageBreak/>
        <w:t>9 Ex ante kondicionality</w:t>
      </w:r>
      <w:bookmarkEnd w:id="163"/>
      <w:r>
        <w:rPr>
          <w:rFonts w:ascii="Arial" w:hAnsi="Arial" w:cs="Arial"/>
        </w:rPr>
        <w:t xml:space="preserve"> </w:t>
      </w:r>
    </w:p>
    <w:p>
      <w:pPr>
        <w:pStyle w:val="Nadpis2"/>
        <w:rPr>
          <w:rFonts w:ascii="Arial" w:hAnsi="Arial" w:cs="Arial"/>
        </w:rPr>
      </w:pPr>
      <w:bookmarkStart w:id="164" w:name="_Toc387154001"/>
      <w:r>
        <w:rPr>
          <w:rFonts w:ascii="Arial" w:hAnsi="Arial" w:cs="Arial"/>
        </w:rPr>
        <w:t>9.1 Identifikácia aplikovateľných ex-ante kondicionalít a vyhodnotenie ich splnenia</w:t>
      </w:r>
      <w:bookmarkEnd w:id="164"/>
    </w:p>
    <w:p>
      <w:pPr>
        <w:spacing w:before="120"/>
        <w:rPr>
          <w:rStyle w:val="Zvraznenie"/>
          <w:rFonts w:ascii="Arial" w:hAnsi="Arial" w:cs="Arial"/>
        </w:rPr>
      </w:pPr>
      <w:r>
        <w:rPr>
          <w:rStyle w:val="Siln"/>
          <w:rFonts w:ascii="Arial" w:hAnsi="Arial" w:cs="Arial"/>
        </w:rPr>
        <w:t xml:space="preserve">Tabuľka č. 57  </w:t>
      </w:r>
      <w:r>
        <w:rPr>
          <w:rStyle w:val="Zvraznenie"/>
          <w:rFonts w:ascii="Arial" w:hAnsi="Arial" w:cs="Arial"/>
        </w:rPr>
        <w:t>Identifikácia aplikovateľných ex-ante kondicionalít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spacing w:after="0"/>
              <w:jc w:val="center"/>
              <w:rPr>
                <w:rFonts w:ascii="Arial Narrow" w:hAnsi="Arial Narrow" w:cs="Arial"/>
                <w:sz w:val="16"/>
                <w:szCs w:val="16"/>
              </w:rPr>
            </w:pPr>
            <w:r>
              <w:rPr>
                <w:rFonts w:ascii="Arial Narrow" w:hAnsi="Arial Narrow" w:cs="Arial"/>
                <w:sz w:val="16"/>
                <w:szCs w:val="16"/>
              </w:rPr>
              <w:t>Ex ante kondicionalita</w:t>
            </w:r>
          </w:p>
        </w:tc>
        <w:tc>
          <w:tcPr>
            <w:tcW w:w="771"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Prioritná os</w:t>
            </w:r>
          </w:p>
        </w:tc>
        <w:tc>
          <w:tcPr>
            <w:tcW w:w="1406"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Splnená ex-ante kondicionalita: Áno/Nie</w:t>
            </w:r>
          </w:p>
        </w:tc>
        <w:tc>
          <w:tcPr>
            <w:tcW w:w="2501"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 xml:space="preserve">Kritériá </w:t>
            </w:r>
          </w:p>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p>
        </w:tc>
        <w:tc>
          <w:tcPr>
            <w:tcW w:w="1134"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Splnené kritéria (áno/ nie)</w:t>
            </w:r>
          </w:p>
        </w:tc>
        <w:tc>
          <w:tcPr>
            <w:tcW w:w="2150"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Odkazy</w:t>
            </w:r>
          </w:p>
        </w:tc>
        <w:tc>
          <w:tcPr>
            <w:tcW w:w="4678"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Vysvetlenie</w:t>
            </w:r>
          </w:p>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(v prípade vhodnosti)</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2,3</w:t>
            </w:r>
          </w:p>
        </w:tc>
        <w:tc>
          <w:tcPr>
            <w:tcW w:w="1406"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b/>
                <w:sz w:val="16"/>
                <w:szCs w:val="16"/>
              </w:rPr>
              <w:t>čiastočne</w:t>
            </w:r>
          </w:p>
        </w:tc>
        <w:tc>
          <w:tcPr>
            <w:tcW w:w="2501"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 xml:space="preserve">Zavedená je vnútroštátna alebo regionálna stratégia inteligentnej špecializácie, ktorá: </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lang w:eastAsia="sk-SK"/>
              </w:rPr>
              <w:t>- je založená na SWOT alebo podobnej analýze s cieľom sústrediť zdroje na obmedzený počet priorít v oblasti výskumu a inovácií,</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lang w:eastAsia="sk-SK"/>
              </w:rPr>
              <w:t>- opisuje opatrenia na podporu súkromných investícií do výskumu a vývoja,</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lang w:eastAsia="sk-SK"/>
              </w:rPr>
              <w:t>- obsahuje monitorovací mechanizmus.</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Bol prijatý rámec opisujúci dostupné rozpočtové zdroje na výskum a inovácie.</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t>Stratégia výskumu a inovácií pre inteligentnú špecializáciu SR (RIS3)</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left" w:pos="2302"/>
                <w:tab w:val="num" w:pos="2580"/>
              </w:tabs>
              <w:ind w:left="34"/>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Pr>
                  <w:rFonts w:ascii="Arial Narrow" w:hAnsi="Arial Narrow" w:cs="Arial"/>
                  <w:color w:val="0000FF"/>
                  <w:sz w:val="16"/>
                  <w:szCs w:val="16"/>
                  <w:u w:val="single"/>
                </w:rPr>
                <w:t>http://www.rokovania.sk/File.aspx/ViewDocumentHtml/Mater-Dokum-160513?prefixFile=m_</w:t>
              </w:r>
            </w:hyperlink>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RIS3 schválená uznesením vlády SR č. 665/2013 z 13. 11. 2013.</w:t>
            </w:r>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eastAsia="Calibri" w:hAnsi="Arial Narrow" w:cs="Arial"/>
                <w:sz w:val="16"/>
                <w:szCs w:val="16"/>
              </w:rPr>
              <w:t>RIS3 bola spracovaná v spolupráci s expertným tímom z EK a revidovaná v súlade s ich pripomienkami a odporúčaniami.</w:t>
            </w: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eastAsia="Calibri" w:hAnsi="Arial Narrow" w:cs="Arial"/>
                <w:sz w:val="16"/>
                <w:szCs w:val="16"/>
              </w:rPr>
              <w:t>RIS3 sa bude implementovať prostredníctvom akčných plánov. Prvý akčný plán pokrýva obdobie rokov 2014 – 2016. Bude vypracovaný v termíne do 31. 3. 2014. Najdôležitejšie oblasti a aktivity smerujúce k úspešnej implementácii RIS3 a naplneniu všetkých kritérií pre tematický cieľ, najmä:</w:t>
            </w: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eastAsia="Calibri" w:hAnsi="Arial Narrow" w:cs="Arial"/>
                <w:sz w:val="16"/>
                <w:szCs w:val="16"/>
              </w:rPr>
              <w:t>- dopracovanie finančných rámcov s indikatívnymi alokáciami podľa opatrení, zdrojov financovania a typov finančných nástrojov,</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eastAsia="Calibri" w:hAnsi="Arial Narrow" w:cs="Arial"/>
                <w:sz w:val="16"/>
                <w:szCs w:val="16"/>
              </w:rPr>
              <w:t>- SK Roadmap  pre budovanie ESFRI infraštruktúry, ktorá bude identifikovať doterajšie národné zariadenia infraštruktúr vhodné pre zapojenie sa do ESFRI, vrátane kritickej analýzy (ktoré VaV centrá, kompetenčné centrá a centrá excelentnosti sú dlhodobo udržateľné, majú potenciál pre vylepšenie a môžu sa stať súčasťou ESFRI projektov). Dôležitým špecifikom bude aj možnosť prepojení medzi RIS3 v prioritnom priemysle a participáciou v ESFRI iniciatívach.</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cs="Arial"/>
                <w:sz w:val="16"/>
                <w:szCs w:val="16"/>
              </w:rPr>
            </w:pPr>
            <w:r>
              <w:rPr>
                <w:rFonts w:ascii="Arial Narrow" w:hAnsi="Arial Narrow" w:cs="Arial"/>
                <w:sz w:val="16"/>
                <w:szCs w:val="16"/>
              </w:rPr>
              <w:t xml:space="preserve">4.1. Uskutočnili sa opatrenia na podporu nákladovo efektívnych zlepšení </w:t>
            </w:r>
            <w:r>
              <w:rPr>
                <w:rFonts w:ascii="Arial Narrow" w:hAnsi="Arial Narrow" w:cs="Arial"/>
                <w:sz w:val="16"/>
                <w:szCs w:val="16"/>
              </w:rPr>
              <w:lastRenderedPageBreak/>
              <w:t>efektívnosti koncového využívania energie a nákladovo efektívnych investícií do energetickej efektívnosti pri stavbe alebo renovácii budov.</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4</w:t>
            </w:r>
          </w:p>
        </w:tc>
        <w:tc>
          <w:tcPr>
            <w:tcW w:w="1406"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opatrenia na zabezpečenie minimálnych požiadaviek súvisiacich s energetickou hospodárnosťou budov v súlade s článkami 3, 4 a 5 smernice </w:t>
            </w:r>
            <w:r>
              <w:rPr>
                <w:rFonts w:ascii="Arial Narrow" w:hAnsi="Arial Narrow" w:cs="Arial"/>
                <w:sz w:val="16"/>
                <w:szCs w:val="16"/>
              </w:rPr>
              <w:lastRenderedPageBreak/>
              <w:t>Európskeho parlamentu a Rady 2010/31/EÚ,</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potrebné na zavedenie systému certifikácie energetickej hospodárnosti budov v súlade s článkom 11 smernice 2010/31/EÚ;</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i/>
                <w:sz w:val="16"/>
                <w:szCs w:val="16"/>
              </w:rPr>
              <w:lastRenderedPageBreak/>
              <w:t xml:space="preserve">Vyhláška MDVRR SR č. 364/2012 Z. z., ktorou sa vykonáva zákon č. 555/2005 Z. z. o energetickej hospodárnosti budov a o zmene a doplnení niektorých zákonov v znení </w:t>
            </w:r>
            <w:r>
              <w:rPr>
                <w:rFonts w:ascii="Arial Narrow" w:hAnsi="Arial Narrow" w:cs="Arial"/>
                <w:i/>
                <w:sz w:val="16"/>
                <w:szCs w:val="16"/>
              </w:rPr>
              <w:lastRenderedPageBreak/>
              <w:t>neskorších predpisov</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hyperlink r:id="rId20" w:history="1">
              <w:r>
                <w:rPr>
                  <w:rFonts w:ascii="Arial Narrow" w:hAnsi="Arial Narrow" w:cs="Arial"/>
                  <w:i/>
                  <w:color w:val="0000FF"/>
                  <w:sz w:val="16"/>
                  <w:szCs w:val="16"/>
                  <w:u w:val="single"/>
                </w:rPr>
                <w:t>http://www.telecom.gov.sk/index/index.php?ids=83478</w:t>
              </w:r>
            </w:hyperlink>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i/>
                <w:sz w:val="16"/>
                <w:szCs w:val="16"/>
              </w:rPr>
              <w:t>Národný program reforiem 2013</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1" w:history="1">
              <w:r>
                <w:rPr>
                  <w:rFonts w:ascii="Arial Narrow" w:hAnsi="Arial Narrow" w:cs="Arial"/>
                  <w:color w:val="0000FF"/>
                  <w:sz w:val="16"/>
                  <w:szCs w:val="16"/>
                  <w:u w:val="single"/>
                </w:rPr>
                <w:t>http://www.rokovania.sk/Rokovanie.aspx/BodRokovaniaDetail?idMaterial=22344</w:t>
              </w:r>
            </w:hyperlink>
            <w:r>
              <w:rPr>
                <w:rFonts w:ascii="Arial Narrow" w:hAnsi="Arial Narrow" w:cs="Arial"/>
                <w:sz w:val="16"/>
                <w:szCs w:val="16"/>
              </w:rPr>
              <w:t xml:space="preserve"> </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Schválený vládou SR dňa 24.4.2013.</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i/>
                <w:sz w:val="16"/>
                <w:szCs w:val="16"/>
              </w:rPr>
              <w:t>Štúdia Technické a ekonomické aspekty nákladovo optimálnych opatrení zabezpečenia energetickej hospodárnosti budov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bola notifikovaná Úradom vlády SR listom č. 08307/2013/B610-SV-28312.</w:t>
            </w:r>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 uvedenej norme STN sú stanovené požiadavky platné od 1. 1. 2013 v úrovni nízkoenergetickej výstavby. Uvedené odporúčané požiadavky budú platné pre uskutočňovanie novej výstavby od 1. 1. 2016 a cieľové odporúčané požiadavky budú platné pre uskutočňovanie novej výstavby od 1.1.2021 a pre verejné budovy od 1. 1. 2019.</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i/>
                <w:sz w:val="16"/>
                <w:szCs w:val="16"/>
              </w:rPr>
              <w:t>NPR 2013</w:t>
            </w:r>
            <w:r>
              <w:rPr>
                <w:rFonts w:ascii="Arial Narrow" w:hAnsi="Arial Narrow" w:cs="Arial"/>
                <w:sz w:val="16"/>
                <w:szCs w:val="16"/>
              </w:rPr>
              <w:t xml:space="preserve"> stanovil národný indikatívny cieľ energetickej efektívnosti, ktorý bol v súlade s požiadavkami čl. 3 smernice 2012/27/EU. Hodnoty cieľa sú uvedené NPR 2013 v tabuľke v kapitole 2.2 vlastného materiálu. Vzhľadom na to, že tieto ciele sú len indikatívne a ešte neboli k dispozícii údaje za rok 2012, je nemožné stanoviť pevnú referenčnú hodnotu. Pri stanovení cieľa boli zohľadnené vnútroštátne okolnosti ovplyvňujúce primárnu energetickú spotrebu.</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s rozlíšením medzi novými 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cs="Arial"/>
                <w:sz w:val="16"/>
                <w:szCs w:val="16"/>
              </w:rPr>
            </w:pPr>
            <w:r>
              <w:rPr>
                <w:rFonts w:ascii="Arial Narrow" w:hAnsi="Arial Narrow" w:cs="Arial"/>
                <w:sz w:val="16"/>
                <w:szCs w:val="16"/>
              </w:rPr>
              <w:lastRenderedPageBreak/>
              <w:t xml:space="preserve">7.1  Doprava: </w:t>
            </w:r>
          </w:p>
          <w:p>
            <w:pPr>
              <w:spacing w:after="0" w:line="240" w:lineRule="auto"/>
              <w:rPr>
                <w:rFonts w:ascii="Arial Narrow" w:hAnsi="Arial Narrow" w:cs="Arial"/>
                <w:sz w:val="16"/>
                <w:szCs w:val="16"/>
              </w:rPr>
            </w:pPr>
            <w:r>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miestnej úrovni), ktorý podporuje </w:t>
            </w:r>
            <w:r>
              <w:rPr>
                <w:rFonts w:ascii="Arial Narrow" w:hAnsi="Arial Narrow" w:cs="Arial"/>
                <w:sz w:val="16"/>
                <w:szCs w:val="16"/>
              </w:rPr>
              <w:lastRenderedPageBreak/>
              <w:t>rozvoj infraštruktúry a zlepšuje prepojenie na úplnú a základnú sieť TEN-T.</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w:t>
            </w:r>
          </w:p>
        </w:tc>
        <w:tc>
          <w:tcPr>
            <w:tcW w:w="1406"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základnej siete TEN-T a úplnej siete, pričom sa počíta s investíciami EFRR </w:t>
            </w:r>
            <w:r>
              <w:rPr>
                <w:rFonts w:ascii="Arial Narrow" w:hAnsi="Arial Narrow" w:cs="Arial"/>
                <w:sz w:val="16"/>
                <w:szCs w:val="16"/>
              </w:rPr>
              <w:lastRenderedPageBreak/>
              <w:t>a Kohézneho fondu,</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 realistickú a kvalitnú realizáciu projektov, pri ktorých sa počíta s podporou zo strany EFRR a Kohézneho fondu,</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lastRenderedPageBreak/>
              <w:t>Strategický plán rozvoja dopravnej infraštruktúry SR do roku 2020 (fáza I)</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2" w:history="1">
              <w:r>
                <w:rPr>
                  <w:rFonts w:ascii="Arial Narrow" w:hAnsi="Arial Narrow" w:cs="Arial"/>
                  <w:color w:val="0000FF"/>
                  <w:sz w:val="16"/>
                  <w:szCs w:val="16"/>
                  <w:u w:val="single"/>
                </w:rPr>
                <w:t>http://www.telecom.gov.sk/index/index.php?ids=147132</w:t>
              </w:r>
            </w:hyperlink>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Pr>
                  <w:rFonts w:ascii="Arial Narrow" w:hAnsi="Arial Narrow" w:cs="Arial"/>
                  <w:color w:val="0000FF"/>
                  <w:sz w:val="16"/>
                  <w:szCs w:val="16"/>
                  <w:u w:val="single"/>
                </w:rPr>
                <w:t>http://www.telecom.gov.sk/index/index.php?ids=147132</w:t>
              </w:r>
            </w:hyperlink>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24" w:history="1">
              <w:r>
                <w:rPr>
                  <w:rFonts w:ascii="Arial Narrow" w:hAnsi="Arial Narrow" w:cs="Arial"/>
                  <w:color w:val="0000FF"/>
                  <w:sz w:val="16"/>
                  <w:szCs w:val="16"/>
                  <w:u w:val="single"/>
                </w:rPr>
                <w:t>www.telecom.gov.sk</w:t>
              </w:r>
            </w:hyperlink>
            <w:r>
              <w:rPr>
                <w:rFonts w:ascii="Arial Narrow" w:hAnsi="Arial Narrow" w:cs="Arial"/>
                <w:sz w:val="16"/>
                <w:szCs w:val="16"/>
              </w:rPr>
              <w:t>. Zoznam projektov je súčasťou strategických dokumentov.</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Ukončenie procesu strategického environmentálneho posudzovania sa predpokladá v apríli 2014. Finálne verzie oboch strategických dokumentov budú </w:t>
            </w:r>
            <w:r>
              <w:rPr>
                <w:rFonts w:ascii="Arial Narrow" w:hAnsi="Arial Narrow" w:cs="Arial"/>
                <w:sz w:val="16"/>
                <w:szCs w:val="16"/>
              </w:rPr>
              <w:lastRenderedPageBreak/>
              <w:t>vypracované po ukončení SEA procesu a konzultáciách s EK a JASPERS. Úplné splnenie ex ante kondicionalít v sektore dopravy bude zabezpečené vypracovaním Strategického plánu rozvoja dopravnej infraštruktúry SR do roku 2030 (fáza II).</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Pripravuje sa aktualizácia analýzy.</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cs="Arial"/>
                <w:sz w:val="16"/>
                <w:szCs w:val="16"/>
              </w:rPr>
            </w:pPr>
            <w:r>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 xml:space="preserve"> čiastočne</w:t>
            </w:r>
          </w:p>
        </w:tc>
        <w:tc>
          <w:tcPr>
            <w:tcW w:w="2501" w:type="dxa"/>
          </w:tcPr>
          <w:p>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w:t>
            </w:r>
          </w:p>
          <w:p>
            <w:pPr>
              <w:pStyle w:val="Odsekzoznamu"/>
              <w:numPr>
                <w:ilvl w:val="0"/>
                <w:numId w:val="60"/>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poskytuje dostatok dôkazov, na základe ktorých sa dajú stanoviť politiky v oblasti znižovania chudoby a sledovať vývoj, </w:t>
            </w:r>
          </w:p>
          <w:p>
            <w:pPr>
              <w:pStyle w:val="Odsekzoznamu"/>
              <w:numPr>
                <w:ilvl w:val="0"/>
                <w:numId w:val="60"/>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p>
            <w:pPr>
              <w:pStyle w:val="Odsekzoznamu"/>
              <w:numPr>
                <w:ilvl w:val="0"/>
                <w:numId w:val="60"/>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zahŕňa príslušné strany zainteresované v oblasti boja proti chudobe, </w:t>
            </w:r>
          </w:p>
          <w:p>
            <w:pPr>
              <w:pStyle w:val="Odsekzoznamu"/>
              <w:numPr>
                <w:ilvl w:val="0"/>
                <w:numId w:val="60"/>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u w:val="single"/>
              </w:rPr>
              <w:t>obsahuje opatrenia pre prechod od inštitucionálnej starostlivosti k staro</w:t>
            </w:r>
            <w:r>
              <w:rPr>
                <w:rFonts w:ascii="Arial Narrow" w:hAnsi="Arial Narrow" w:cs="Arial"/>
                <w:color w:val="000000"/>
                <w:sz w:val="16"/>
                <w:szCs w:val="16"/>
              </w:rPr>
              <w:t xml:space="preserve"> Zavedený je národný alebo regionálny strategický politický rámec pre zdravie, ktorý zahŕňa:</w:t>
            </w:r>
          </w:p>
          <w:p>
            <w:pPr>
              <w:pStyle w:val="Odsekzoznamu"/>
              <w:spacing w:after="0" w:line="240" w:lineRule="auto"/>
              <w:ind w:left="459"/>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koordinované opatrenia na </w:t>
            </w:r>
            <w:r>
              <w:rPr>
                <w:rFonts w:ascii="Arial Narrow" w:hAnsi="Arial Narrow" w:cs="Arial"/>
                <w:color w:val="000000"/>
                <w:sz w:val="16"/>
                <w:szCs w:val="16"/>
              </w:rPr>
              <w:lastRenderedPageBreak/>
              <w:t xml:space="preserve">zlepšenie prístupu k zdravotným službám, </w:t>
            </w:r>
          </w:p>
          <w:p>
            <w:pPr>
              <w:pStyle w:val="Odsekzoznamu"/>
              <w:spacing w:after="0" w:line="240" w:lineRule="auto"/>
              <w:ind w:left="459"/>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p>
            <w:pPr>
              <w:pStyle w:val="Odsekzoznamu"/>
              <w:spacing w:after="0" w:line="240" w:lineRule="auto"/>
              <w:ind w:left="459"/>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p>
            <w:pPr>
              <w:pStyle w:val="Odsekzoznamu"/>
              <w:numPr>
                <w:ilvl w:val="0"/>
                <w:numId w:val="60"/>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u w:val="single"/>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r>
              <w:rPr>
                <w:rFonts w:ascii="Arial Narrow" w:hAnsi="Arial Narrow" w:cs="Arial"/>
                <w:color w:val="000000"/>
                <w:sz w:val="16"/>
                <w:szCs w:val="16"/>
                <w:u w:val="single"/>
              </w:rPr>
              <w:t xml:space="preserve">stlivosti na úrovni komunít v závislosti od zistených potrieb, </w:t>
            </w:r>
          </w:p>
          <w:p>
            <w:pPr>
              <w:contextualSpacing/>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p>
            <w:pPr>
              <w:contextualSpacing/>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rPr>
              <w:t>nie</w:t>
            </w:r>
          </w:p>
        </w:tc>
        <w:tc>
          <w:tcPr>
            <w:tcW w:w="2150"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5" w:history="1">
              <w:r>
                <w:rPr>
                  <w:rFonts w:ascii="Arial Narrow" w:hAnsi="Arial Narrow" w:cs="Arial"/>
                  <w:color w:val="0000FF"/>
                  <w:sz w:val="16"/>
                  <w:szCs w:val="16"/>
                  <w:u w:val="single"/>
                </w:rPr>
                <w:t>http://www.employment.gov.sk/sk/rodina-socialna-pomoc/socialne-sluzby/</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6" w:history="1">
              <w:r>
                <w:rPr>
                  <w:rFonts w:ascii="Arial Narrow" w:hAnsi="Arial Narrow" w:cs="Arial"/>
                  <w:color w:val="0000FF"/>
                  <w:sz w:val="16"/>
                  <w:szCs w:val="16"/>
                  <w:u w:val="single"/>
                </w:rPr>
                <w:t>http://www.rokovania.sk/Rokovanie.aspx/NezaradenyMaterialDetail?idMaterial=23195</w:t>
              </w:r>
            </w:hyperlink>
            <w:hyperlink r:id="rId27" w:history="1">
              <w:r>
                <w:rPr>
                  <w:rFonts w:ascii="Arial Narrow" w:hAnsi="Arial Narrow" w:cs="Arial"/>
                  <w:color w:val="0000FF"/>
                  <w:sz w:val="16"/>
                  <w:szCs w:val="16"/>
                  <w:u w:val="single"/>
                </w:rPr>
                <w:t>http://www.employment.gov.sk/files/legislativa/dokumenty-zoznamy-pod/strategia-deinstitucionalizacie-systemu-socialnych-sluzieb-nahradnej-starostlivosti-1.pdf</w:t>
              </w:r>
            </w:hyperlink>
            <w:r>
              <w:rPr>
                <w:rFonts w:ascii="Arial Narrow" w:hAnsi="Arial Narrow" w:cs="Arial"/>
                <w:sz w:val="16"/>
                <w:szCs w:val="16"/>
              </w:rPr>
              <w:t xml:space="preserve">  </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8" w:history="1">
              <w:r>
                <w:rPr>
                  <w:rFonts w:ascii="Arial Narrow" w:hAnsi="Arial Narrow" w:cs="Arial"/>
                  <w:color w:val="0000FF"/>
                  <w:sz w:val="16"/>
                  <w:szCs w:val="16"/>
                  <w:u w:val="single"/>
                </w:rPr>
                <w:t>http://www.upsvar.sk/buxus/docs//SSVaR/OVOZ/Koncepcia.pdf</w:t>
              </w:r>
            </w:hyperlink>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Národný projekt Národná rámcová stratégia sociálneho začlenenia a boja proti chudobe, bol podpísaný 8. októbra 2013, pričom v mesiaci december boli zrealizované tieto aktivity:</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Riešenie podaktivity Tvorba národnej rámcovej stratégie,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Špecifikácia teoretických a metodologických východísk tvorby Národnej rámcovej stratégie sociálneho začlenenia a boja proti chudobe,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Kompletizácia a dopĺňanie analýz v oblastiach sociálnych služieb, hodnotenia podmienok zosúlaďovania pracovného a rodinného života,</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Identifikácia rizík a rizikových skupín z hľadiska sociálneho začleňovania a boja proti chudobe,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Finalizácia výstupov jednotlivých expertov/iek pre komplexnú stratégiu,</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Identifikácia dosahu zainteresovaných strán vo vzťahu k príprave a implementácii opatrení zameraných na skupiny ohrozené chudobou,</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Príprava senzibilizácie- začatie procesu verejného obstarávania na služby súvisiace s touto podaktivitou.</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Národná rámcová stratégia sociálneho začlenenia a boja proti chudobe vytvorená v rámci národného projektu bude v analytickej časti vychádzať zo zdrojov EÚ SILC, vybraných štatistických zisťovaní a iných administratívnych </w:t>
            </w:r>
            <w:r>
              <w:rPr>
                <w:rFonts w:ascii="Arial Narrow" w:hAnsi="Arial Narrow" w:cs="Arial"/>
                <w:sz w:val="16"/>
                <w:szCs w:val="16"/>
              </w:rPr>
              <w:lastRenderedPageBreak/>
              <w:t>a ad hoc zdrojov.</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Vychádzajúc napríklad </w:t>
            </w:r>
            <w:r>
              <w:rPr>
                <w:rFonts w:ascii="Arial Narrow" w:hAnsi="Arial Narrow" w:cs="Arial"/>
                <w:i/>
                <w:sz w:val="16"/>
                <w:szCs w:val="16"/>
              </w:rPr>
              <w:t>zo Stratégie deinštitucionalizácie systému sociálnych služieb a náhradnej starostlivosti v SR</w:t>
            </w:r>
            <w:r>
              <w:rPr>
                <w:rFonts w:ascii="Arial Narrow" w:hAnsi="Arial Narrow" w:cs="Arial"/>
                <w:sz w:val="16"/>
                <w:szCs w:val="16"/>
              </w:rPr>
              <w:t xml:space="preserve"> budú podmienky stratégie zabezpečené prostredníctvom komplexu kvalitných alternatívnych služieb vo verejnom záujme (vytváranie nových služieb a opatrení a/alebo rozširovaním a využívaním existujúcej siete komunitných služieb). Kritérium bude splnené po vypracovaní Národnej rámcovej stratégie sociálneho začlenenia a boja proti chudobe.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zmysle uznesenia vlády SR č. 305/2012 z 27. 6.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Národná rámcová stratégia bude vychádzať a bude nadväzovať aj na už zavedenú „Stratégiu deinštitucionalizácie systému sociálnych služieb a náhradnej starostlivosti v Slovenskej republike“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Zvýšiť percentuálny podiel prijímateľov sociálnych služieb (detí so zdravotným postihnutím, osôb so zdravotným postihnutím, občanov v nepriaznivej sociálnej situácii, seniorov), ktorým sú poskytované sociálne služby v komunite a v prirodzenom domácom prostredí.</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Zvýšiť percentuálny podiel sociálnych služieb poskytovaných ambulantnou a terénnou formou na úrovni komunity.</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Znížiť percentuálny podiel sociálnych služieb poskytovaných pobytovou formou v zariadeniach sociálnych služieb s kapacitou vyššou ako 18 </w:t>
            </w:r>
            <w:r>
              <w:rPr>
                <w:rFonts w:ascii="Arial Narrow" w:hAnsi="Arial Narrow" w:cs="Arial"/>
                <w:sz w:val="16"/>
                <w:szCs w:val="16"/>
              </w:rPr>
              <w:lastRenderedPageBreak/>
              <w:t>pobytových miest.</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Zvýšiť percentuálny podiel detí mimo vlastnej rodiny umiestnených v náhradnom prostredí na komunitnej úrovni (v náhradnej osobnej starostlivosti, pestúnskej starostlivosti, predosvojiteľskej starostlivosti, v osobnej starostlivosti poručníka, v profesionálnych rodinách DeD a v samostatných skupinách /rodinných domoch, bytoch/ DeD) k deťom umiestnených v skupinách zariadení (detské domovy zriadené ako centrá detí, domovy sociálnych služieb, reedukačných zariadeniach) o YX %.</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Zvýšiť percentuálny podiel detských domovov zriadených ako domovy detí o YX % k detským domovom zriadených ako centrá detí.</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Znížiť počet prípadov/klientov na jedného pracovníka oddelenia sociálnoprávnej ochrany detí a sociálnej kurately o YX %.</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Do budúcnosti sa hľadajú rôzne ďalšie možnosti podpory.</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cs="Arial"/>
                <w:sz w:val="16"/>
                <w:szCs w:val="16"/>
              </w:rPr>
            </w:pPr>
            <w:r>
              <w:rPr>
                <w:rFonts w:ascii="Arial Narrow" w:hAnsi="Arial Narrow" w:cs="Arial"/>
                <w:sz w:val="16"/>
                <w:szCs w:val="16"/>
              </w:rPr>
              <w:lastRenderedPageBreak/>
              <w:t>9.3. Zdravie: existencia národného alebo regionálneho strategického politického rámca pre zdravie v medziach článku 168 ZFEÚ, ktorý zabezpečí ekonomickú udržateľnosť.</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pre zdravie, ktorý zahŕňa:</w:t>
            </w: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koordinované opatrenia na zlepšenie prístupu k zdravotným službám,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i/>
                <w:sz w:val="16"/>
                <w:szCs w:val="16"/>
              </w:rPr>
              <w:lastRenderedPageBreak/>
              <w:t>Strategický rámec starostlivosti o zdravie pre roky 2013 – 2030</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hyperlink r:id="rId29" w:history="1">
              <w:r>
                <w:rPr>
                  <w:rFonts w:ascii="Arial Narrow" w:hAnsi="Arial Narrow" w:cs="Arial"/>
                  <w:color w:val="0000FF"/>
                  <w:sz w:val="16"/>
                  <w:szCs w:val="16"/>
                  <w:u w:val="single"/>
                </w:rPr>
                <w:t>http://www.health.gov.sk/?strategia-v-zdravotnictve</w:t>
              </w:r>
            </w:hyperlink>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Dokument obsahuje samostatnú kapitolu, ktorá uvádza základné priority a opatrenia SR, ktoré reflektujú potrebu zlepšenia prístupu ku kvalitným zdravotným službám a zvýšenie efektivity slovenského zdravotníctva.</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Kľúčovými prioritnými oblasťami sú:</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podpora integrovanej </w:t>
            </w:r>
            <w:r>
              <w:rPr>
                <w:rFonts w:ascii="Arial Narrow" w:hAnsi="Arial Narrow" w:cs="Arial"/>
                <w:sz w:val="16"/>
                <w:szCs w:val="16"/>
              </w:rPr>
              <w:lastRenderedPageBreak/>
              <w:t>ambulantnej zdravotnej starostlivosti</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inovatívna modernizácia ústavnej zdravotnej starostlivosti</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zlepšenie intervencií v oblasti verejného zdravia</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(čiastkové stratégie/nástroje zmeny) na zlepšenie prístupu k zdravotným službám sú najmä: integrácia ambulantnej zdravotnej starostlivosti (s dôrazom na primárnu starostlivosť), e-Health, rezidentské programy, tvorba a inovácia klinických a preventívnych postupov, program na podporu zdravotného stavu MRK (program zdravotných asistentov), programy v oblasti nemedicínskej prevencie.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podporu efektívnosti/účinnosti sektoru zdravotníctva prostredníctvom zavádzania modelov poskytovania služieb a infraštruktúry sú najmä: nová infraštruktúra centier integrovanej zdravotnej starostlivosti, nová infraštruktúra nemocníc, platobný mechanizmus poisťovne - DRG, e-Health, kontrolné mechanizmy v manažmente univerzitných a fakultných nemocníc.</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K jednotlivým prioritným oblastiam zdravotníctva boli </w:t>
            </w:r>
            <w:r>
              <w:rPr>
                <w:rFonts w:ascii="Arial Narrow" w:hAnsi="Arial Narrow" w:cs="Arial"/>
                <w:sz w:val="16"/>
                <w:szCs w:val="16"/>
              </w:rPr>
              <w:lastRenderedPageBreak/>
              <w:t>identifikované kľúčové indikátory a boli stanovené cieľové hodnoty, ktoré prostredníctvom implementácie špecificky zameraných stratégií/nástrojov zmien plánuje SR dosiahnuť v časovom horizonte do roku 2030.</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Súčasne bol identifikovaný prínos všetkých stratégií/nástrojov zmien k zlepšeniu dostupnosti, kvality a efektívnosti zdravotnej starostlivosti.</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Dokument v samostatnej časti popisuje mechanizmus monitorovacieho a kontrolného systému plnenia jednotlivých stratégií. Monitorovací a kontrolný systém bude realizovaný na dvoch úrovniach:</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 úroveň – MZ SR prostredníctvom podrobného „Akčného plánu pre prípravu čiastkových stratégií/nástrojov zmien“, ktorého plnenie bude následne v stanovených termínoch kontrolované.</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2. úroveň - MZ SR zriadi monitorovaciu komisiu, ktorá bude zložená zo zástupcov relevantných partnerov. Komisia bude v pravidelných intervaloch monitorovať pokrok v strategickom rámci, navrhovať jeho prípadné doplnenia a dohliadať na plnenia jednotlivých čiastkových stratégií/nástrojov </w:t>
            </w:r>
            <w:r>
              <w:rPr>
                <w:rFonts w:ascii="Arial Narrow" w:hAnsi="Arial Narrow" w:cs="Arial"/>
                <w:sz w:val="16"/>
                <w:szCs w:val="16"/>
              </w:rPr>
              <w:lastRenderedPageBreak/>
              <w:t>zmien.</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MZ SR v spolupráci s partnermi bude vypracovávať v ročných intervaloch správy o dosahovanom pokroku na úrovni strategického rámca najmä formou aktualizácie dosiahnutých hodnôt ukazovateľov a formou informácie o stave plnenia stratégií/nástrojov na uskutočnenie zmien.</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Samostatná kapitola dokumentu popisuje možné zdroje financovania pre dosahovanie stanovených cieľov (zdroje štátneho rozpočtu, verejného zdravotného poistenia, PPP, komunitárneho programu pre oblasť zdravia a zdroje štrukturálnych fondov).</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Popis zdrojov financovania bude obsahovať aj indikatívne alokácie finančných zdrojov a identifikáciu opatrení (čiastkových kategórií/nástrojov zmeny), ktoré budú financované z uvedených zdrojov.</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Detailný rozpočet bude súčasťou každej čiastkovej stratégie/nástroja zmeny</w:t>
            </w:r>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Dokument bol schválený vládou SR dňa 18.12.2013 a následne 20.12.2013 predložený na posúdenie EK. Identifikuje hlavné oblasti zdravotníctva, ktoré budú prioritami slovenského zdravotníctva do roku 2030.</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MZ SR vyhodnotilo kritériá ako splnené. Vzhľadom na to, že EK považuje jednotlivé kritériá za „čiastočne splnené“, ďalšie špecifické informácie v zmysle požiadaviek EK budú poskytnuté v pripravovaných čiastkových stratégiách. </w:t>
            </w:r>
          </w:p>
          <w:p>
            <w:pPr>
              <w:pStyle w:val="Style30"/>
              <w:widowControl/>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nadväznosti na stanovisko EK pripravilo MZ SR Akčný plán pre naplnenie EAK. </w:t>
            </w:r>
          </w:p>
          <w:p>
            <w:pPr>
              <w:pStyle w:val="Style30"/>
              <w:widowControl/>
              <w:tabs>
                <w:tab w:val="left" w:pos="1035"/>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b/>
            </w:r>
          </w:p>
          <w:p>
            <w:pPr>
              <w:pStyle w:val="Style30"/>
              <w:widowControl/>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Odborné útvary MZ SR intenzívne pripravujú čiastkové stratégie, ktoré sú predmetom Akčného plánu pre naplnenie EAK.</w:t>
            </w:r>
          </w:p>
          <w:p>
            <w:pPr>
              <w:pStyle w:val="Style30"/>
              <w:widowControl/>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pStyle w:val="Style30"/>
              <w:widowControl/>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MZ SR sa obrátilo na relevantné útvary Komisie so žiadosťou o stanovisko k pripravovaným krokom na splnenie EAK.</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cs="Arial"/>
                <w:sz w:val="16"/>
                <w:szCs w:val="16"/>
              </w:rPr>
            </w:pPr>
            <w:r>
              <w:rPr>
                <w:rFonts w:ascii="Arial Narrow" w:hAnsi="Arial Narrow" w:cs="Arial"/>
                <w:sz w:val="16"/>
                <w:szCs w:val="16"/>
              </w:rPr>
              <w:lastRenderedPageBreak/>
              <w:t xml:space="preserve">10.1 Predčasné ukončovanie školskej dochádzky: existencia strategického </w:t>
            </w:r>
            <w:r>
              <w:rPr>
                <w:rFonts w:ascii="Arial Narrow" w:hAnsi="Arial Narrow" w:cs="Arial"/>
                <w:sz w:val="16"/>
                <w:szCs w:val="16"/>
              </w:rPr>
              <w:lastRenderedPageBreak/>
              <w:t>politického rámca na zníženie miery predčasného ukončenia školskej dochádzky v medziach článku 165 ZFEÚ.</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2</w:t>
            </w:r>
          </w:p>
        </w:tc>
        <w:tc>
          <w:tcPr>
            <w:tcW w:w="1406"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systém na zhromažďovanie a analýzu údajov a informácií o predčasnom ukončovaní školskej dochádzky na príslušných úrovniach, ktorý:</w:t>
            </w:r>
          </w:p>
          <w:p>
            <w:pPr>
              <w:pStyle w:val="Odsekzoznamu"/>
              <w:numPr>
                <w:ilvl w:val="0"/>
                <w:numId w:val="56"/>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lastRenderedPageBreak/>
              <w:t>poskytuje dostatok dôkazov, na základe ktorých sa dajú stanoviť cielené politiky, a sleduje vývoj.</w:t>
            </w:r>
          </w:p>
          <w:p>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strategický politický rámec týkajúci sa predčasného ukončovania školskej dochádzky, ktorý:</w:t>
            </w:r>
          </w:p>
          <w:p>
            <w:pPr>
              <w:pStyle w:val="Odsekzoznamu"/>
              <w:numPr>
                <w:ilvl w:val="0"/>
                <w:numId w:val="55"/>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je založený na dôkazoch,</w:t>
            </w:r>
          </w:p>
          <w:p>
            <w:pPr>
              <w:pStyle w:val="Odsekzoznamu"/>
              <w:numPr>
                <w:ilvl w:val="0"/>
                <w:numId w:val="55"/>
              </w:numPr>
              <w:spacing w:after="0" w:line="240" w:lineRule="auto"/>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color w:val="000000"/>
                <w:sz w:val="16"/>
                <w:szCs w:val="16"/>
              </w:rPr>
              <w:t>zahŕňa všetky oblasti politík a zainteresované strany, ktorých sa dotýka riešenie predčasného ukončovania školskej dochádzky.</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 xml:space="preserve">Rezortný informačný systém (RzIS) vytvorí systém monitoringu, na základe ktorého bude možné vykonať analýzy a zacieliť podporné opatrenia na zníženie predčasného ukončenia </w:t>
            </w:r>
            <w:r>
              <w:rPr>
                <w:rFonts w:ascii="Arial Narrow" w:hAnsi="Arial Narrow" w:cs="Arial"/>
                <w:sz w:val="16"/>
                <w:szCs w:val="16"/>
              </w:rPr>
              <w:lastRenderedPageBreak/>
              <w:t xml:space="preserve">školskej dochádzky na úrovni národnej, regionálnej a lokálnej. Predpoklad plného prechodu systému RzIS do prevádzky je v závere I. štvrťroku 2014. </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Revidovaný národný akčný plán Dekády začleňovania rómskej populácie 2005 - 2015 na roky 2011 – 2015</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0" w:history="1">
              <w:r>
                <w:rPr>
                  <w:rFonts w:ascii="Arial Narrow" w:hAnsi="Arial Narrow" w:cs="Arial"/>
                  <w:color w:val="0000FF"/>
                  <w:sz w:val="16"/>
                  <w:szCs w:val="16"/>
                  <w:u w:val="single"/>
                </w:rPr>
                <w:t>http://www.rokovania.sk/Rokovanie.aspx/BodRokovaniaDetail?idMaterial=19992</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SR pre integráciu Rómov do roku 2020</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1" w:history="1">
              <w:r>
                <w:rPr>
                  <w:rFonts w:ascii="Arial Narrow" w:hAnsi="Arial Narrow" w:cs="Arial"/>
                  <w:color w:val="0000FF"/>
                  <w:sz w:val="16"/>
                  <w:szCs w:val="16"/>
                  <w:u w:val="single"/>
                </w:rPr>
                <w:t>http://www.ksuza.sk/doc/metodika/bozp/20012012.pdf</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č. 324/2012 Z. z., ktorým sa mení a dopĺňa zákon č. 184/2009 Z. z. o odbornom vzdelávaní a príprave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2" w:history="1">
              <w:r>
                <w:rPr>
                  <w:rFonts w:ascii="Arial Narrow" w:hAnsi="Arial Narrow" w:cs="Arial"/>
                  <w:color w:val="0000FF"/>
                  <w:sz w:val="16"/>
                  <w:szCs w:val="16"/>
                  <w:u w:val="single"/>
                </w:rPr>
                <w:t>http://www.minedu.sk/zakon-o-odbornom-vzdelavani-a-priprave/</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projekt Metodicko-pedagogického centra „Inkluzívny model vzdelávania na predprimárnom stupni školskej sústavy“</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3" w:history="1">
              <w:r>
                <w:rPr>
                  <w:rFonts w:ascii="Arial Narrow" w:hAnsi="Arial Narrow" w:cs="Arial"/>
                  <w:color w:val="0000FF"/>
                  <w:sz w:val="16"/>
                  <w:szCs w:val="16"/>
                  <w:u w:val="single"/>
                </w:rPr>
                <w:t>http://www.npmrk2.sk/</w:t>
              </w:r>
            </w:hyperlink>
            <w:r>
              <w:rPr>
                <w:rFonts w:ascii="Arial Narrow" w:hAnsi="Arial Narrow" w:cs="Arial"/>
                <w:sz w:val="16"/>
                <w:szCs w:val="16"/>
              </w:rPr>
              <w:t xml:space="preserve">  (stránka NP)</w:t>
            </w:r>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cs="Arial"/>
                <w:sz w:val="16"/>
                <w:szCs w:val="16"/>
              </w:rPr>
            </w:pPr>
            <w:r>
              <w:rPr>
                <w:rFonts w:ascii="Arial Narrow" w:hAnsi="Arial Narrow" w:cs="Arial"/>
                <w:sz w:val="16"/>
                <w:szCs w:val="16"/>
              </w:rPr>
              <w:lastRenderedPageBreak/>
              <w:t xml:space="preserve">10.3 Celoživotné vzdelávanie: Existencia národného a/alebo </w:t>
            </w:r>
            <w:r>
              <w:rPr>
                <w:rFonts w:ascii="Arial Narrow" w:hAnsi="Arial Narrow" w:cs="Arial"/>
                <w:sz w:val="16"/>
                <w:szCs w:val="16"/>
              </w:rPr>
              <w:lastRenderedPageBreak/>
              <w:t>regionálneho strategického rámca politiky celoživotného vzdelávania, v rámci článku 165 ZEÚ</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2</w:t>
            </w:r>
          </w:p>
        </w:tc>
        <w:tc>
          <w:tcPr>
            <w:tcW w:w="1406"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Je zavedený národný alebo regionálny strategický politický rámec pre celoživotné vzdelávanie, ktorý zahŕňa </w:t>
            </w:r>
            <w:r>
              <w:rPr>
                <w:rFonts w:ascii="Arial Narrow" w:hAnsi="Arial Narrow" w:cs="Arial"/>
                <w:color w:val="000000"/>
                <w:sz w:val="16"/>
                <w:szCs w:val="16"/>
              </w:rPr>
              <w:lastRenderedPageBreak/>
              <w:t xml:space="preserve">opatrenia: </w:t>
            </w:r>
          </w:p>
          <w:p>
            <w:pPr>
              <w:pStyle w:val="Odsekzoznamu"/>
              <w:numPr>
                <w:ilvl w:val="0"/>
                <w:numId w:val="57"/>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na podporu rozvoja a prepájania služieb celoživotného vzdelávania vrátane ich vykonávania, rozširovania zručností (t. j. validácia, poradenstvo, vzdelávanie a odborná príprava) a zabezpečenia účasti a partnerstva s príslušnými zainteresovanými stranami, </w:t>
            </w:r>
          </w:p>
          <w:p>
            <w:pPr>
              <w:pStyle w:val="Odsekzoznamu"/>
              <w:numPr>
                <w:ilvl w:val="0"/>
                <w:numId w:val="57"/>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 </w:t>
            </w:r>
          </w:p>
          <w:p>
            <w:pPr>
              <w:pStyle w:val="Odsekzoznamu"/>
              <w:numPr>
                <w:ilvl w:val="0"/>
                <w:numId w:val="57"/>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 </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color w:val="000000"/>
                <w:sz w:val="16"/>
                <w:szCs w:val="16"/>
              </w:rPr>
              <w:t xml:space="preserve">na zlepšenie relevantnosti vzdelania a odbornej prípravy z hľadiska pracovného trhu a ich prispôsobenie potrebám identifikovaných cieľových skupín (napríklad mladí ľudia zapojení </w:t>
            </w:r>
            <w:r>
              <w:rPr>
                <w:rFonts w:ascii="Arial Narrow" w:hAnsi="Arial Narrow" w:cs="Arial"/>
                <w:color w:val="000000"/>
                <w:sz w:val="16"/>
                <w:szCs w:val="16"/>
              </w:rPr>
              <w:lastRenderedPageBreak/>
              <w:t>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lastRenderedPageBreak/>
              <w:t>Stratégia celoživotného vzdelávania a celoživotného poradenstva</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34" w:history="1">
              <w:r>
                <w:rPr>
                  <w:rFonts w:ascii="Arial Narrow" w:hAnsi="Arial Narrow" w:cs="Arial"/>
                  <w:color w:val="0000FF"/>
                  <w:sz w:val="16"/>
                  <w:szCs w:val="16"/>
                  <w:u w:val="single"/>
                </w:rPr>
                <w:t>http://www.rokovania.sk/Rokovanie.aspx/BodRokovaniaDetail?idMaterial=6639</w:t>
              </w:r>
            </w:hyperlink>
            <w:r>
              <w:rPr>
                <w:rFonts w:ascii="Arial Narrow" w:hAnsi="Arial Narrow" w:cs="Arial"/>
                <w:sz w:val="16"/>
                <w:szCs w:val="16"/>
              </w:rPr>
              <w:t xml:space="preserve"> </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t>Stratégia celoživotného vzdelávania 2011 a Akčný plán plnenia Stratégie celoživotného vzdelávania 2011</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hyperlink r:id="rId35" w:history="1">
              <w:r>
                <w:rPr>
                  <w:rFonts w:ascii="Arial Narrow" w:hAnsi="Arial Narrow" w:cs="Arial"/>
                  <w:color w:val="0000FF"/>
                  <w:sz w:val="16"/>
                  <w:szCs w:val="16"/>
                  <w:u w:val="single"/>
                </w:rPr>
                <w:t>http://www.minedu.sk/9772-sk/dokumenty-a-predpisy/</w:t>
              </w:r>
            </w:hyperlink>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FF"/>
                <w:sz w:val="16"/>
                <w:szCs w:val="16"/>
                <w:u w:val="single"/>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t xml:space="preserve">Stratégia celoživotného vzdelávania 2011 </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t>Akčný plán plnenia Stratégie celoživotného vzdelávania 2011</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36" w:history="1">
              <w:r>
                <w:rPr>
                  <w:rFonts w:ascii="Arial Narrow" w:hAnsi="Arial Narrow" w:cs="Arial"/>
                  <w:color w:val="0000FF"/>
                  <w:sz w:val="16"/>
                  <w:szCs w:val="16"/>
                  <w:u w:val="single"/>
                </w:rPr>
                <w:t>http://www.minedu.sk/9772-sk/dokumenty-a-predpisy/</w:t>
              </w:r>
            </w:hyperlink>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Celoživotné vzdelávanie zdravotníckych pracovníkov (ďalšie vzdelávanie zdravotníckych pracovníkov) je riadené a regulované z</w:t>
            </w:r>
            <w:r>
              <w:rPr>
                <w:rFonts w:ascii="Arial Narrow" w:hAnsi="Arial Narrow" w:cs="Arial"/>
                <w:i/>
                <w:sz w:val="16"/>
                <w:szCs w:val="16"/>
              </w:rPr>
              <w:t xml:space="preserve">ákonom č. 578/2004 Z. z. o poskytovateľoch zdravotnej starostlivosti, zdravotníckych pracovníkoch, stavovských organizáciách v zdravotníctve a o zmene a </w:t>
            </w:r>
            <w:r>
              <w:rPr>
                <w:rFonts w:ascii="Arial Narrow" w:hAnsi="Arial Narrow" w:cs="Arial"/>
                <w:i/>
                <w:sz w:val="16"/>
                <w:szCs w:val="16"/>
              </w:rPr>
              <w:lastRenderedPageBreak/>
              <w:t>doplnení niektorých zákonov v znení neskorších predpisov</w:t>
            </w:r>
            <w:r>
              <w:rPr>
                <w:rFonts w:ascii="Arial Narrow" w:hAnsi="Arial Narrow" w:cs="Arial"/>
                <w:sz w:val="16"/>
                <w:szCs w:val="16"/>
              </w:rPr>
              <w:t>. Kritériá ex ante kondicionality sú v podmienkach ďalšieho vzdelávania zdravotníckych pracovníkov splnené</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Je plánované prijatie zákona o uznávaní výsledkov neformálneho vzdelávania a informálneho učenia sa (do NR SR by mal byť predložený v II. polroku 2015). Prostredníctvom tohto zákona by mali absolventi zo školského systému vzdelávania, ako aj neformálneho systému vzdelávania získať rovnakú pozíciu na trhu práce.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Od roku 2013 do 2015 prebieha implementácia dvoch kľúčových národných projektov venovaných oblasti rozvoja vzdelávania dospelých v SR:</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Tvorba </w:t>
            </w:r>
            <w:r>
              <w:rPr>
                <w:rFonts w:ascii="Arial Narrow" w:hAnsi="Arial Narrow" w:cs="Arial"/>
                <w:i/>
                <w:sz w:val="16"/>
                <w:szCs w:val="16"/>
              </w:rPr>
              <w:t>Národnej sústavy kvalifikácií</w:t>
            </w:r>
            <w:r>
              <w:rPr>
                <w:rFonts w:ascii="Arial Narrow" w:hAnsi="Arial Narrow" w:cs="Arial"/>
                <w:sz w:val="16"/>
                <w:szCs w:val="16"/>
              </w:rPr>
              <w:t xml:space="preserve"> (projekt má prispieť k zvýšeniu účasti dospelých na ďalšom vzdelávaní rozvojom systému ďalšieho vzdelávania a poradenstva pre dospelých),</w:t>
            </w:r>
          </w:p>
          <w:p>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 xml:space="preserve">- </w:t>
            </w:r>
            <w:r>
              <w:rPr>
                <w:rFonts w:ascii="Arial Narrow" w:hAnsi="Arial Narrow" w:cs="Arial"/>
                <w:i/>
                <w:sz w:val="16"/>
                <w:szCs w:val="16"/>
              </w:rPr>
              <w:t>Ďalšie vzdelávanie a poradenstvo pre dospelých ako nástroj lepšej uplatniteľnosti na trhu práce</w:t>
            </w:r>
            <w:r>
              <w:rPr>
                <w:rFonts w:ascii="Arial Narrow" w:hAnsi="Arial Narrow" w:cs="Arial"/>
                <w:sz w:val="16"/>
                <w:szCs w:val="16"/>
              </w:rPr>
              <w:t xml:space="preserv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cs="Arial"/>
                <w:sz w:val="16"/>
                <w:szCs w:val="16"/>
              </w:rPr>
            </w:pPr>
            <w:r>
              <w:rPr>
                <w:rFonts w:ascii="Arial Narrow" w:hAnsi="Arial Narrow" w:cs="Arial"/>
                <w:color w:val="000000"/>
                <w:sz w:val="16"/>
                <w:szCs w:val="16"/>
              </w:rPr>
              <w:lastRenderedPageBreak/>
              <w:t>10.4. Existencia národného alebo regionálneho strategického politického rámca na zvýšenie kvality a účinnosti odborného vzdelávania a prípravy v medziach článku 165 ZFEÚ.</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w:t>
            </w:r>
          </w:p>
          <w:p>
            <w:pPr>
              <w:pStyle w:val="CM1"/>
              <w:numPr>
                <w:ilvl w:val="0"/>
                <w:numId w:val="58"/>
              </w:numPr>
              <w:ind w:left="459"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p>
            <w:pPr>
              <w:pStyle w:val="Odsekzoznamu"/>
              <w:numPr>
                <w:ilvl w:val="0"/>
                <w:numId w:val="58"/>
              </w:numPr>
              <w:tabs>
                <w:tab w:val="left" w:pos="3"/>
              </w:tabs>
              <w:ind w:left="267" w:firstLine="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color w:val="000000"/>
                <w:sz w:val="16"/>
                <w:szCs w:val="16"/>
              </w:rPr>
              <w:t xml:space="preserve">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w:t>
            </w:r>
            <w:r>
              <w:rPr>
                <w:rFonts w:ascii="Arial Narrow" w:hAnsi="Arial Narrow" w:cs="Arial"/>
                <w:color w:val="000000"/>
                <w:sz w:val="16"/>
                <w:szCs w:val="16"/>
              </w:rPr>
              <w:lastRenderedPageBreak/>
              <w:t>a prípravu.</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i/>
                <w:sz w:val="16"/>
                <w:szCs w:val="16"/>
              </w:rPr>
              <w:t>Zákon č. 184/2009 Z. z. o odbornom vzdelávaní a príprave a o zmene a doplnení niektorých zákonov</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7" w:history="1">
              <w:r>
                <w:rPr>
                  <w:rFonts w:ascii="Arial Narrow" w:hAnsi="Arial Narrow" w:cs="Arial"/>
                  <w:color w:val="0000FF"/>
                  <w:sz w:val="16"/>
                  <w:szCs w:val="16"/>
                  <w:u w:val="single"/>
                </w:rPr>
                <w:t>http://www.minedu.sk/zakon-o-odbornom-vzdelavani-a-priprave/</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i/>
                <w:sz w:val="16"/>
                <w:szCs w:val="16"/>
              </w:rPr>
              <w:t>Rada vlády SR pre odborné vzdelávanie a prípravu</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8" w:history="1">
              <w:r>
                <w:rPr>
                  <w:rFonts w:ascii="Arial Narrow" w:hAnsi="Arial Narrow" w:cs="Arial"/>
                  <w:color w:val="0000FF"/>
                  <w:sz w:val="16"/>
                  <w:szCs w:val="16"/>
                  <w:u w:val="single"/>
                </w:rPr>
                <w:t>http://www.radavladyovp.sk/</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39" w:history="1">
              <w:r>
                <w:rPr>
                  <w:rFonts w:ascii="Arial Narrow" w:hAnsi="Arial Narrow" w:cs="Arial"/>
                  <w:color w:val="0000FF"/>
                  <w:sz w:val="16"/>
                  <w:szCs w:val="16"/>
                  <w:u w:val="single"/>
                </w:rPr>
                <w:t>http://www.siov.sk/rozvoj-stredneho-odborneho-vzdelavania-rsov/24505s</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40" w:history="1">
              <w:r>
                <w:rPr>
                  <w:rFonts w:ascii="Arial Narrow" w:hAnsi="Arial Narrow" w:cs="Arial"/>
                  <w:color w:val="0000FF"/>
                  <w:sz w:val="16"/>
                  <w:szCs w:val="16"/>
                  <w:u w:val="single"/>
                </w:rPr>
                <w:t>http://www.siov.sk/narodny-projekt-/24512s</w:t>
              </w:r>
            </w:hyperlink>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Zákon č. 184/2009 Z. z. rieši postavenie a úlohy subjektov štvorstrannej spolupráce v oblasti odborného vzdelávania a prípravy, ktorými sú štátna správa, samospráva, zamestnávatelia a zamestnanci. Takisto vytvára podmienky motivujúce zamestnávateľov k podpore odborného školstva. Cieľom zákona je vytvoriť účinné nástroje pre prispôsobovanie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 </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Zvyšovanie atraktívnosti a kvality odborného vzdelávania a prípravy (OVP) je zabezpečené nasledovne: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zavádzanie prvkov duálneho systému vzdelávania do systému OVP (t.j. učebná zmluva medzi žiakom a zamestnávateľom, u ktorého sa žiak pripravuje na povolanie, finančné motivačné stimuly pre zamestnávateľov, ktorí majú záujem vstúpiť do OVP, výkon praktickej prípravy žiaka na pracovisku zamestnávateľa, finančné náklady na praktickú prípravu hradí zamestnávateľ),</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zvyšovanie atraktivity OVP prostredníctvom kariérneho poradenstva prostredníctvom aktivity č. 3 Národného projektu Rozvoj stredného odborného vzdelávania,</w:t>
            </w:r>
          </w:p>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lastRenderedPageBreak/>
              <w:t>- zvyšovanie atraktivity OVP prostredníctvom zavádzania polytechnickej výchovy na druhom stupni základných škôl v rámci Národného projektu Podpora technickej výchovy na základných školách.</w:t>
            </w:r>
          </w:p>
        </w:tc>
      </w:tr>
    </w:tbl>
    <w:p>
      <w:pPr>
        <w:spacing w:before="120"/>
        <w:jc w:val="both"/>
        <w:rPr>
          <w:rStyle w:val="Siln"/>
          <w:rFonts w:ascii="Arial" w:hAnsi="Arial" w:cs="Arial"/>
          <w:b w:val="0"/>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spacing w:after="0"/>
              <w:jc w:val="center"/>
              <w:rPr>
                <w:rFonts w:ascii="Arial Narrow" w:hAnsi="Arial Narrow" w:cs="Arial"/>
                <w:sz w:val="16"/>
                <w:szCs w:val="16"/>
              </w:rPr>
            </w:pPr>
            <w:r>
              <w:rPr>
                <w:rFonts w:ascii="Arial Narrow" w:hAnsi="Arial Narrow" w:cs="Arial"/>
                <w:sz w:val="16"/>
                <w:szCs w:val="16"/>
              </w:rPr>
              <w:t>Ex ante kondicionalita</w:t>
            </w:r>
          </w:p>
        </w:tc>
        <w:tc>
          <w:tcPr>
            <w:tcW w:w="771"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Prioritná os</w:t>
            </w:r>
          </w:p>
        </w:tc>
        <w:tc>
          <w:tcPr>
            <w:tcW w:w="1406"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Splnená ex-ante kondicionalita: Áno/Nie</w:t>
            </w:r>
          </w:p>
        </w:tc>
        <w:tc>
          <w:tcPr>
            <w:tcW w:w="2501"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 xml:space="preserve">Kritériá </w:t>
            </w:r>
          </w:p>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p>
        </w:tc>
        <w:tc>
          <w:tcPr>
            <w:tcW w:w="1134"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Splnené kritéria (áno/ nie)</w:t>
            </w:r>
          </w:p>
        </w:tc>
        <w:tc>
          <w:tcPr>
            <w:tcW w:w="2150"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Odkazy</w:t>
            </w:r>
          </w:p>
        </w:tc>
        <w:tc>
          <w:tcPr>
            <w:tcW w:w="4678"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Vysvetlenie</w:t>
            </w:r>
          </w:p>
          <w:p>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16"/>
                <w:szCs w:val="16"/>
              </w:rPr>
            </w:pPr>
            <w:r>
              <w:rPr>
                <w:rFonts w:ascii="Arial Narrow" w:hAnsi="Arial Narrow" w:cs="Arial"/>
                <w:sz w:val="16"/>
                <w:szCs w:val="16"/>
              </w:rPr>
              <w:t>(v prípade vhodnosti)</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sz w:val="16"/>
                <w:szCs w:val="16"/>
                <w:lang w:eastAsia="sk-SK"/>
              </w:rPr>
            </w:pPr>
            <w:r>
              <w:rPr>
                <w:rFonts w:ascii="Arial Narrow" w:hAnsi="Arial Narrow"/>
                <w:sz w:val="16"/>
                <w:szCs w:val="16"/>
                <w:lang w:eastAsia="sk-SK"/>
              </w:rPr>
              <w:t xml:space="preserve">1. Nediskriminácia </w:t>
            </w:r>
          </w:p>
          <w:p>
            <w:pPr>
              <w:spacing w:after="0" w:line="240" w:lineRule="auto"/>
              <w:rPr>
                <w:rFonts w:ascii="Arial Narrow" w:hAnsi="Arial Narrow" w:cs="Arial"/>
                <w:sz w:val="16"/>
                <w:szCs w:val="16"/>
              </w:rPr>
            </w:pPr>
            <w:r>
              <w:rPr>
                <w:rFonts w:ascii="Arial Narrow" w:hAnsi="Arial Narrow"/>
                <w:sz w:val="16"/>
                <w:szCs w:val="16"/>
                <w:lang w:eastAsia="sk-SK"/>
              </w:rPr>
              <w:t>Existencia administratívnej kapacity na vykonávanie a uplatn</w:t>
            </w:r>
            <w:r>
              <w:rPr>
                <w:rFonts w:ascii="Cambria Math" w:hAnsi="Cambria Math" w:cs="Cambria Math"/>
                <w:sz w:val="16"/>
                <w:szCs w:val="16"/>
                <w:lang w:eastAsia="sk-SK"/>
              </w:rPr>
              <w:t>̌</w:t>
            </w:r>
            <w:r>
              <w:rPr>
                <w:rFonts w:ascii="Arial Narrow" w:hAnsi="Arial Narrow"/>
                <w:sz w:val="16"/>
                <w:szCs w:val="16"/>
                <w:lang w:eastAsia="sk-SK"/>
              </w:rPr>
              <w:t>ovanie práva Únie v oblasti nediskriminácie a politiky v oblasti ES</w:t>
            </w:r>
            <w:r>
              <w:rPr>
                <w:rFonts w:ascii="Cambria Math" w:hAnsi="Cambria Math" w:cs="Cambria Math"/>
                <w:sz w:val="16"/>
                <w:szCs w:val="16"/>
                <w:lang w:eastAsia="sk-SK"/>
              </w:rPr>
              <w:t>̌</w:t>
            </w:r>
            <w:r>
              <w:rPr>
                <w:rFonts w:ascii="Arial Narrow" w:hAnsi="Arial Narrow"/>
                <w:sz w:val="16"/>
                <w:szCs w:val="16"/>
                <w:lang w:eastAsia="sk-SK"/>
              </w:rPr>
              <w:t>IF.</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nie</w:t>
            </w:r>
          </w:p>
        </w:tc>
        <w:tc>
          <w:tcPr>
            <w:tcW w:w="250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sz w:val="16"/>
                <w:szCs w:val="16"/>
                <w:lang w:eastAsia="sk-SK"/>
              </w:rPr>
              <w:t>Opatrenia na zabezpečenie odbornej prípravy pre zamestnancov orgánov zapojených do riadenia a kontroly EŠIF v oblasti práva a politiky Únie v oblasti nediskriminácie.</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bCs/>
                <w:i/>
                <w:spacing w:val="-3"/>
                <w:sz w:val="16"/>
                <w:szCs w:val="16"/>
                <w:lang w:eastAsia="fr-FR"/>
              </w:rPr>
            </w:pPr>
            <w:r>
              <w:rPr>
                <w:rFonts w:ascii="Arial Narrow" w:hAnsi="Arial Narrow"/>
                <w:bCs/>
                <w:i/>
                <w:spacing w:val="-3"/>
                <w:sz w:val="16"/>
                <w:szCs w:val="16"/>
                <w:lang w:eastAsia="fr-FR"/>
              </w:rPr>
              <w:lastRenderedPageBreak/>
              <w:t>Zákon č. 575/2001 Z. z. o organizácii činnosti vlády a organizácii ústrednej štátnej správy v znení neskorších predpisov</w:t>
            </w:r>
            <w:r>
              <w:rPr>
                <w:rFonts w:ascii="Arial Narrow" w:hAnsi="Arial Narrow"/>
                <w:i/>
                <w:sz w:val="16"/>
                <w:szCs w:val="16"/>
                <w:lang w:eastAsia="sk-SK"/>
              </w:rPr>
              <w:t xml:space="preserve"> </w:t>
            </w:r>
          </w:p>
          <w:p>
            <w:pPr>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41" w:history="1">
              <w:r>
                <w:rPr>
                  <w:rFonts w:ascii="Arial Narrow" w:hAnsi="Arial Narrow"/>
                  <w:bCs/>
                  <w:color w:val="0000FF"/>
                  <w:spacing w:val="-3"/>
                  <w:sz w:val="16"/>
                  <w:szCs w:val="16"/>
                  <w:u w:val="single"/>
                  <w:lang w:eastAsia="fr-FR"/>
                </w:rPr>
                <w:t>http://www.epi.sk/Main/Default.aspx?Template=~%2FMain%2FTArticles.ascx&amp;LngID=0&amp;zzsrlnkid=4654186&amp;phContent=~%2FZzSR%2FShowRule.ascx&amp;RuleId=14927&amp;pa=13597</w:t>
              </w:r>
            </w:hyperlink>
            <w:r>
              <w:rPr>
                <w:rFonts w:ascii="Arial Narrow" w:hAnsi="Arial Narrow"/>
                <w:bCs/>
                <w:spacing w:val="-3"/>
                <w:sz w:val="16"/>
                <w:szCs w:val="16"/>
                <w:lang w:eastAsia="fr-FR"/>
              </w:rPr>
              <w:t xml:space="preserve"> </w:t>
            </w:r>
          </w:p>
          <w:p>
            <w:pPr>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i/>
                <w:spacing w:val="-3"/>
                <w:sz w:val="16"/>
                <w:szCs w:val="16"/>
                <w:lang w:eastAsia="fr-FR"/>
              </w:rPr>
              <w:t>Antidiskriminačný zákon</w:t>
            </w:r>
            <w:r>
              <w:rPr>
                <w:rFonts w:ascii="Arial Narrow" w:hAnsi="Arial Narrow"/>
                <w:bCs/>
                <w:spacing w:val="-3"/>
                <w:sz w:val="16"/>
                <w:szCs w:val="16"/>
                <w:lang w:eastAsia="fr-FR"/>
              </w:rPr>
              <w:t xml:space="preserve"> (</w:t>
            </w:r>
            <w:r>
              <w:rPr>
                <w:rFonts w:ascii="Arial Narrow" w:hAnsi="Arial Narrow"/>
                <w:bCs/>
                <w:i/>
                <w:spacing w:val="-3"/>
                <w:sz w:val="16"/>
                <w:szCs w:val="16"/>
                <w:lang w:eastAsia="fr-FR"/>
              </w:rPr>
              <w:t>Zákon 365/2004 Z. z. o rovnakom zaobchádzaní v niektorých oblastiach a o ochrane pred diskrimináciou a o zmene a doplnení niektorých zákonov v znení neskorších predpisov</w:t>
            </w:r>
            <w:r>
              <w:rPr>
                <w:rFonts w:ascii="Arial Narrow" w:hAnsi="Arial Narrow"/>
                <w:bCs/>
                <w:spacing w:val="-3"/>
                <w:sz w:val="16"/>
                <w:szCs w:val="16"/>
                <w:lang w:eastAsia="fr-FR"/>
              </w:rPr>
              <w:t>)</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bCs/>
                <w:spacing w:val="-3"/>
                <w:sz w:val="16"/>
                <w:szCs w:val="16"/>
                <w:lang w:eastAsia="fr-FR"/>
              </w:rPr>
              <w:t xml:space="preserve"> </w:t>
            </w:r>
            <w:hyperlink r:id="rId42" w:history="1">
              <w:r>
                <w:rPr>
                  <w:rFonts w:ascii="Arial Narrow" w:hAnsi="Arial Narrow"/>
                  <w:bCs/>
                  <w:color w:val="0000FF"/>
                  <w:spacing w:val="-3"/>
                  <w:sz w:val="16"/>
                  <w:szCs w:val="16"/>
                  <w:u w:val="single"/>
                  <w:lang w:eastAsia="fr-FR"/>
                </w:rPr>
                <w:t>http://www.gender.gov.sk/?page_id=72</w:t>
              </w:r>
            </w:hyperlink>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 Odbor rodovej rovnosti a rovnosti príležitostí (ORRRP) je výkonným orgán pre implementáciu programov a za poskytovanie poradenstva je zodpovedné Slovenské národné stredisko pre ľudské práva (SNSĽP). V zmysle zákona 365/2004 Z. z. o rovnakom zaobchádzaní v niektorých oblastiach a o ochrane pred diskrimináciou a o zmene a doplnení niektorých zákonov (antidiskriminačný zákon) plní túto funkciu SNSĽP. Úlohou strediska je komplexné pôsobenie v oblasti ľudských práv a základných slobôd.  Svoju činnosť SNSĽP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pPr>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Pr>
                <w:rFonts w:ascii="Arial Narrow" w:hAnsi="Arial Narrow"/>
                <w:sz w:val="16"/>
                <w:szCs w:val="16"/>
                <w:lang w:eastAsia="sk-SK"/>
              </w:rPr>
              <w:t xml:space="preserve">Občiansku spoločnosť budú </w:t>
            </w:r>
            <w:r>
              <w:rPr>
                <w:rFonts w:ascii="Arial Narrow" w:hAnsi="Arial Narrow"/>
                <w:b/>
                <w:bCs/>
                <w:sz w:val="16"/>
                <w:szCs w:val="16"/>
                <w:lang w:eastAsia="sk-SK"/>
              </w:rPr>
              <w:t>reprezentovať</w:t>
            </w:r>
            <w:r>
              <w:rPr>
                <w:rFonts w:ascii="Arial Narrow" w:hAnsi="Arial Narrow"/>
                <w:sz w:val="16"/>
                <w:szCs w:val="16"/>
                <w:lang w:eastAsia="sk-SK"/>
              </w:rPr>
              <w:t xml:space="preserve"> </w:t>
            </w:r>
            <w:r>
              <w:rPr>
                <w:rFonts w:ascii="Arial Narrow" w:hAnsi="Arial Narrow"/>
                <w:b/>
                <w:bCs/>
                <w:sz w:val="16"/>
                <w:szCs w:val="16"/>
                <w:lang w:eastAsia="sk-SK"/>
              </w:rPr>
              <w:t xml:space="preserve">partneri zastupujúci </w:t>
            </w:r>
            <w:r>
              <w:rPr>
                <w:rFonts w:ascii="Arial Narrow" w:hAnsi="Arial Narrow"/>
                <w:sz w:val="16"/>
                <w:szCs w:val="16"/>
                <w:lang w:eastAsia="sk-SK"/>
              </w:rPr>
              <w:t xml:space="preserve">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w:t>
            </w:r>
            <w:r>
              <w:rPr>
                <w:rFonts w:ascii="Arial Narrow" w:hAnsi="Arial Narrow"/>
                <w:sz w:val="16"/>
                <w:szCs w:val="16"/>
                <w:lang w:eastAsia="sk-SK"/>
              </w:rPr>
              <w:lastRenderedPageBreak/>
              <w:t>Organizácia muskulárnych dystrofikov v SR, Slovenský Červený kríž, Združenie na pomoc ľuďom s mentálnym postihnutím v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lang w:eastAsia="sk-SK"/>
              </w:rPr>
            </w:pPr>
            <w:r>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43" w:history="1">
              <w:r>
                <w:rPr>
                  <w:rFonts w:ascii="Arial Narrow" w:hAnsi="Arial Narrow"/>
                  <w:color w:val="0000FF"/>
                  <w:sz w:val="16"/>
                  <w:szCs w:val="16"/>
                  <w:u w:val="single"/>
                  <w:lang w:eastAsia="sk-SK"/>
                </w:rPr>
                <w:t>http://www.gender.gov.sk/?page_id=347</w:t>
              </w:r>
            </w:hyperlink>
            <w:r>
              <w:rPr>
                <w:rFonts w:ascii="Arial Narrow" w:hAnsi="Arial Narrow"/>
                <w:color w:val="0000FF"/>
                <w:sz w:val="16"/>
                <w:szCs w:val="16"/>
                <w:u w:val="single"/>
                <w:lang w:eastAsia="sk-SK"/>
              </w:rPr>
              <w:t>.</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bCs/>
                <w:sz w:val="16"/>
                <w:szCs w:val="16"/>
                <w:lang w:eastAsia="sk-SK"/>
              </w:rPr>
              <w:t>Vypracovanie stratégie školenia a informovania zamestnancov zapojených do využívania fondov (vrátane hodnotiteľov) a následné podanie projektu z OP TP na finančné zabezpečenie školení; predpokladaný termín do 15. 2. 2014.</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sz w:val="16"/>
                <w:szCs w:val="16"/>
                <w:lang w:eastAsia="sk-SK"/>
              </w:rPr>
            </w:pPr>
            <w:r>
              <w:rPr>
                <w:rFonts w:ascii="Arial Narrow" w:hAnsi="Arial Narrow"/>
                <w:sz w:val="16"/>
                <w:szCs w:val="16"/>
                <w:lang w:eastAsia="sk-SK"/>
              </w:rPr>
              <w:lastRenderedPageBreak/>
              <w:t>2. Rodová rovnosť</w:t>
            </w:r>
          </w:p>
          <w:p>
            <w:pPr>
              <w:spacing w:after="0" w:line="240" w:lineRule="auto"/>
              <w:rPr>
                <w:rFonts w:ascii="Arial Narrow" w:hAnsi="Arial Narrow" w:cs="Arial"/>
                <w:sz w:val="16"/>
                <w:szCs w:val="16"/>
              </w:rPr>
            </w:pPr>
            <w:r>
              <w:rPr>
                <w:rFonts w:ascii="Arial Narrow" w:hAnsi="Arial Narrow"/>
                <w:sz w:val="16"/>
                <w:szCs w:val="16"/>
                <w:lang w:eastAsia="sk-SK"/>
              </w:rPr>
              <w:t>Existencia administratívnej kapacity na vykonávanie a uplatňovanie práva a politiky Únie týkajúcich sa rodovej rovnosti v oblasti EŠIF.</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nie</w:t>
            </w:r>
          </w:p>
        </w:tc>
        <w:tc>
          <w:tcPr>
            <w:tcW w:w="2501"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sz w:val="16"/>
                <w:szCs w:val="16"/>
                <w:lang w:eastAsia="sk-SK"/>
              </w:rPr>
              <w:t>Opatrenia na zabezpečenie odbornej prípravy pre zamestnancov orgánov zapojených do riadenia a kontroly EŠIF v oblasti práva a politiky Únie týkajúcich sa rodovej rovnosti a jej uplatňovania</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Ďalší zoznam a adresár spolupracujúcich mimovládnych organizácií v SR venujúcich sa právam žien a rodovej rovnosti</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44" w:history="1">
              <w:r>
                <w:rPr>
                  <w:rFonts w:ascii="Arial Narrow" w:hAnsi="Arial Narrow"/>
                  <w:color w:val="0000FF"/>
                  <w:sz w:val="16"/>
                  <w:szCs w:val="16"/>
                  <w:u w:val="single"/>
                  <w:lang w:eastAsia="sk-SK"/>
                </w:rPr>
                <w:t>http://www.gender.gov.sk/?page_id=347</w:t>
              </w:r>
            </w:hyperlink>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Národná stratégia rodovej rovnosti na roky 2009 – 2013</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w:t>
            </w:r>
            <w:hyperlink r:id="rId45" w:history="1">
              <w:r>
                <w:rPr>
                  <w:rFonts w:ascii="Arial Narrow" w:hAnsi="Arial Narrow"/>
                  <w:color w:val="0000FF"/>
                  <w:sz w:val="16"/>
                  <w:szCs w:val="16"/>
                  <w:u w:val="single"/>
                </w:rPr>
                <w:t>http://www.gender.gov.sk/?page_id=294</w:t>
              </w:r>
            </w:hyperlink>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Výbor pre rodovú rovnosť je stálym odborným orgánom Rady vlády SR pre ľudské práva, národnostné menšiny a rodovú rovnosť (ďalej len „rada“)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w:t>
            </w:r>
            <w:r>
              <w:rPr>
                <w:rFonts w:ascii="Arial Narrow" w:hAnsi="Arial Narrow"/>
                <w:sz w:val="16"/>
                <w:szCs w:val="16"/>
                <w:lang w:eastAsia="sk-SK"/>
              </w:rPr>
              <w:lastRenderedPageBreak/>
              <w:t xml:space="preserve">konzultatívneho orgánu vo veciach rodovej rovnosti v zmysle Ústavy SR, kde členovia sú zástupcovia štátnej správy, odborných inštitúcií a tretieho sektora.. </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2014.ň</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bCs/>
                <w:sz w:val="16"/>
                <w:szCs w:val="16"/>
                <w:lang w:eastAsia="sk-SK"/>
              </w:rPr>
              <w:t>Vypracovanie stratégie školenia a informovania zamestnancov zapojených do využívania fondov (vrátane hodnotiteľov) a následné podanie projektu z OP TP na finančné zabezpečenie školení; predpokladaný termín do 15.2.2014.</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sz w:val="16"/>
                <w:szCs w:val="16"/>
                <w:lang w:eastAsia="sk-SK"/>
              </w:rPr>
            </w:pPr>
            <w:r>
              <w:rPr>
                <w:rFonts w:ascii="Arial Narrow" w:hAnsi="Arial Narrow"/>
                <w:sz w:val="16"/>
                <w:szCs w:val="16"/>
                <w:lang w:eastAsia="sk-SK"/>
              </w:rPr>
              <w:lastRenderedPageBreak/>
              <w:t>3. Zdravotné postihnutie</w:t>
            </w:r>
          </w:p>
          <w:p>
            <w:pPr>
              <w:spacing w:after="0" w:line="240" w:lineRule="auto"/>
              <w:rPr>
                <w:rFonts w:ascii="Arial Narrow" w:hAnsi="Arial Narrow" w:cs="Arial"/>
                <w:sz w:val="16"/>
                <w:szCs w:val="16"/>
              </w:rPr>
            </w:pPr>
            <w:r>
              <w:rPr>
                <w:rFonts w:ascii="Arial Narrow" w:hAnsi="Arial Narrow"/>
                <w:sz w:val="16"/>
                <w:szCs w:val="16"/>
                <w:lang w:eastAsia="sk-SK"/>
              </w:rPr>
              <w:t>Existencia administratívnej kapacity na vykonávanie a uplatňovanie Dohovoru OSN o právach osôb so zdravotným postihnutím v oblasti EŠIF v súlade s rozhodnutím Rady 2010/48/ES.</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nie</w:t>
            </w:r>
          </w:p>
        </w:tc>
        <w:tc>
          <w:tcPr>
            <w:tcW w:w="250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Opatrenia na zabezpečenie odbornej </w:t>
            </w:r>
            <w:r>
              <w:rPr>
                <w:rFonts w:ascii="Arial Narrow" w:hAnsi="Arial Narrow"/>
                <w:sz w:val="16"/>
                <w:szCs w:val="16"/>
                <w:lang w:eastAsia="sk-SK"/>
              </w:rPr>
              <w:lastRenderedPageBreak/>
              <w:t>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Národný program rozvoja životných podmienok osôb so zdravotným postihnutím na roky 2014 – 2020.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46" w:history="1">
              <w:r>
                <w:rPr>
                  <w:rStyle w:val="Hypertextovprepojenie"/>
                  <w:rFonts w:ascii="Arial Narrow" w:hAnsi="Arial Narrow"/>
                  <w:sz w:val="16"/>
                  <w:szCs w:val="16"/>
                  <w:lang w:eastAsia="sk-SK"/>
                </w:rPr>
                <w:t>http://www.rokovania.sk/Rokovanie.aspx/BodRokovaniaDetail?idMaterial=23180</w:t>
              </w:r>
            </w:hyperlink>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Národný program rozvoja životných podmienok osôb so zdravotným postihnutím na roky 2014 – 2020 (uznesenie vlády SR č. 25/2014 z 15.1.2014) je zameraný na dosahovanie pokroku v oblasti ochrany práv osôb so zdravotným postihnutím uznaných Dohovorom OSN o právach osôb so zdravotným postihnutím (ďalej iba „Dohovor“) a pokroku pri ich používaní. Prostredníctvom Národného programu SR implementuje Dohovor, vrátane inštitucionálneho zabezpečenia procesu jeho implementácie a monitorovania. Materiál je zameraný na cieľovú skupinu – osoby so zdravotným postihnutí,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súčasnosti prebieha v SR novelizácia Stavebného zákona a jeho vykonávacích vyhlášok, ktoré upravujú podmienky prístupnosti. V rámci tohto zákona sa nanovo upravuje aj dodržiavanie a sankcionovanie predmetného zákona a jeho vyhlášok. Zákon je v stave pripomienkovania a </w:t>
            </w:r>
            <w:r>
              <w:rPr>
                <w:rFonts w:ascii="Arial Narrow" w:hAnsi="Arial Narrow"/>
                <w:sz w:val="16"/>
                <w:szCs w:val="16"/>
                <w:lang w:eastAsia="sk-SK"/>
              </w:rPr>
              <w:lastRenderedPageBreak/>
              <w:t>zapracovania pripomienok od leta 2013.</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r>
              <w:rPr>
                <w:rFonts w:ascii="Arial Narrow" w:hAnsi="Arial Narrow"/>
                <w:bCs/>
                <w:sz w:val="16"/>
                <w:szCs w:val="16"/>
                <w:lang w:eastAsia="sk-SK"/>
              </w:rPr>
              <w:t>Vypracovanie stratégie školenia a informovania zamestnancov zapojených do využívania fondov (vrátane hodnotiteľov) a následné podanie projektu z OP TP na finančné zabezpečenie školení; predpokladaný termín do 15.2.2014.</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Prostredníctvom </w:t>
            </w:r>
            <w:r>
              <w:rPr>
                <w:rFonts w:ascii="Arial Narrow" w:hAnsi="Arial Narrow"/>
                <w:i/>
                <w:sz w:val="16"/>
                <w:szCs w:val="16"/>
                <w:lang w:eastAsia="sk-SK"/>
              </w:rPr>
              <w:t>Národného programu</w:t>
            </w:r>
            <w:r>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k-SK"/>
              </w:rPr>
            </w:pPr>
            <w:r>
              <w:rPr>
                <w:rFonts w:ascii="Arial Narrow" w:hAnsi="Arial Narrow"/>
                <w:sz w:val="16"/>
                <w:szCs w:val="16"/>
                <w:lang w:eastAsia="sk-SK"/>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trPr>
          <w:cnfStyle w:val="000000010000" w:firstRow="0" w:lastRow="0" w:firstColumn="0" w:lastColumn="0" w:oddVBand="0" w:evenVBand="0" w:oddHBand="0" w:evenHBand="1"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sz w:val="16"/>
                <w:szCs w:val="16"/>
                <w:lang w:eastAsia="sk-SK"/>
              </w:rPr>
            </w:pPr>
            <w:r>
              <w:rPr>
                <w:rFonts w:ascii="Arial Narrow" w:hAnsi="Arial Narrow"/>
                <w:sz w:val="16"/>
                <w:szCs w:val="16"/>
                <w:lang w:eastAsia="sk-SK"/>
              </w:rPr>
              <w:lastRenderedPageBreak/>
              <w:t>4. Verejné obstarávanie</w:t>
            </w:r>
          </w:p>
          <w:p>
            <w:pPr>
              <w:spacing w:after="0" w:line="240" w:lineRule="auto"/>
              <w:rPr>
                <w:rFonts w:ascii="Arial Narrow" w:hAnsi="Arial Narrow" w:cs="Arial"/>
                <w:sz w:val="16"/>
                <w:szCs w:val="16"/>
              </w:rPr>
            </w:pPr>
            <w:r>
              <w:rPr>
                <w:rFonts w:ascii="Arial Narrow" w:hAnsi="Arial Narrow"/>
                <w:sz w:val="16"/>
                <w:szCs w:val="16"/>
                <w:lang w:eastAsia="sk-SK"/>
              </w:rPr>
              <w:t>Existencia pravidiel na efektívnu aplikáciu legislatívy Únie v oblasti verejného obstarávania.</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áno</w:t>
            </w:r>
          </w:p>
        </w:tc>
        <w:tc>
          <w:tcPr>
            <w:tcW w:w="2501"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účinné uplatňovanie pravidiel Únie o verejnom obstarávaní prostredníctvom primeraných mechanizmov.</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ktorými sa zabezpečia transparentné postupy prideľovania zákaziek.</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zabezpečenie odbornej prípravy a informovanie zamestnancov zapojených do vykonávania EŠIF.</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zabezpečenie administratívnej kapacity na vykonávanie a uplatňovanie pravidiel Únie o verejnom obstarávaní.</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sk-SK"/>
              </w:rPr>
            </w:pPr>
            <w:r>
              <w:rPr>
                <w:rFonts w:ascii="Arial Narrow" w:hAnsi="Arial Narrow"/>
                <w:i/>
                <w:sz w:val="16"/>
                <w:szCs w:val="16"/>
                <w:lang w:eastAsia="sk-SK"/>
              </w:rPr>
              <w:lastRenderedPageBreak/>
              <w:t>Zákon č. 25/2006 Z. z. o verejnom obstarávaní a o zmene a doplnení niektorých zákonov v znení neskorších predpisov</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47" w:history="1">
              <w:r>
                <w:rPr>
                  <w:rFonts w:ascii="Arial Narrow" w:hAnsi="Arial Narrow"/>
                  <w:color w:val="0000FF"/>
                  <w:sz w:val="16"/>
                  <w:szCs w:val="16"/>
                  <w:u w:val="single"/>
                  <w:lang w:eastAsia="sk-SK"/>
                </w:rPr>
                <w:t>http://www.uvo.gov.sk/legislativa/-/document_library_display/74gW/view/706651?_110_INSTANCE_74gW_redirect=http%3A%2F%2Fwww.uvo.gov.sk%2Flegislativa%3Fp_p_id%3D110_INSTANC</w:t>
              </w:r>
              <w:r>
                <w:rPr>
                  <w:rFonts w:ascii="Arial Narrow" w:hAnsi="Arial Narrow"/>
                  <w:color w:val="0000FF"/>
                  <w:sz w:val="16"/>
                  <w:szCs w:val="16"/>
                  <w:u w:val="single"/>
                  <w:lang w:eastAsia="sk-SK"/>
                </w:rPr>
                <w:lastRenderedPageBreak/>
                <w:t>E_74gW%26p_p_lifecycle%3D0%26p_p_state%3Dnormal%26p_p_mode%3Dview%26p_p_col_id%3Dcolumn-2%26p_p_col_count%3D1</w:t>
              </w:r>
            </w:hyperlink>
            <w:r>
              <w:rPr>
                <w:rFonts w:ascii="Arial Narrow" w:hAnsi="Arial Narrow"/>
                <w:sz w:val="16"/>
                <w:szCs w:val="16"/>
                <w:lang w:eastAsia="sk-SK"/>
              </w:rPr>
              <w:t xml:space="preserve">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8" w:history="1">
              <w:r>
                <w:rPr>
                  <w:rFonts w:ascii="Arial Narrow" w:hAnsi="Arial Narrow"/>
                  <w:color w:val="0000FF"/>
                  <w:sz w:val="16"/>
                  <w:szCs w:val="16"/>
                  <w:u w:val="single"/>
                </w:rPr>
                <w:t>http://www.upsvar.sk/buxus/docs//urady/VK/vo/13-z095.pdf</w:t>
              </w:r>
            </w:hyperlink>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9" w:history="1">
              <w:r>
                <w:rPr>
                  <w:rFonts w:ascii="Arial Narrow" w:hAnsi="Arial Narrow"/>
                  <w:color w:val="0000FF"/>
                  <w:sz w:val="16"/>
                  <w:szCs w:val="16"/>
                  <w:u w:val="single"/>
                </w:rPr>
                <w:t>http://www.rokovania.sk/Rokovanie.aspx/BodRokovaniaDetail?idMaterial=21941</w:t>
              </w:r>
            </w:hyperlink>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50" w:history="1">
              <w:r>
                <w:rPr>
                  <w:rFonts w:ascii="Arial Narrow" w:hAnsi="Arial Narrow"/>
                  <w:color w:val="0000FF"/>
                  <w:sz w:val="16"/>
                  <w:szCs w:val="16"/>
                  <w:u w:val="single"/>
                  <w:lang w:eastAsia="sk-SK"/>
                </w:rPr>
                <w:t>http://www.opzp.sk/dokumenty/projektove-dokumenty/rozhodnutia-uvo-sr-v-procesoch-vo-v-ramci-projketov-</w:t>
              </w:r>
              <w:r>
                <w:rPr>
                  <w:rFonts w:ascii="Arial Narrow" w:hAnsi="Arial Narrow"/>
                  <w:color w:val="0000FF"/>
                  <w:sz w:val="16"/>
                  <w:szCs w:val="16"/>
                  <w:u w:val="single"/>
                  <w:lang w:eastAsia="sk-SK"/>
                </w:rPr>
                <w:lastRenderedPageBreak/>
                <w:t>op-zp-v-programovom-obdobi-2007-2013/</w:t>
              </w:r>
            </w:hyperlink>
            <w:r>
              <w:rPr>
                <w:rFonts w:ascii="Arial Narrow" w:hAnsi="Arial Narrow"/>
                <w:sz w:val="16"/>
                <w:szCs w:val="16"/>
                <w:lang w:eastAsia="sk-SK"/>
              </w:rPr>
              <w:t>) alebo (</w:t>
            </w:r>
            <w:hyperlink r:id="rId51" w:history="1">
              <w:r>
                <w:rPr>
                  <w:rFonts w:ascii="Arial Narrow" w:hAnsi="Arial Narrow"/>
                  <w:color w:val="0000FF"/>
                  <w:sz w:val="16"/>
                  <w:szCs w:val="16"/>
                  <w:u w:val="single"/>
                  <w:lang w:eastAsia="sk-SK"/>
                </w:rPr>
                <w:t>http://www.ropka.sk/sk/verejne-obstaravania/</w:t>
              </w:r>
            </w:hyperlink>
            <w:r>
              <w:rPr>
                <w:rFonts w:ascii="Arial Narrow" w:hAnsi="Arial Narrow"/>
                <w:sz w:val="16"/>
                <w:szCs w:val="16"/>
                <w:lang w:eastAsia="sk-SK"/>
              </w:rPr>
              <w:t>)</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52" w:history="1">
              <w:r>
                <w:rPr>
                  <w:rFonts w:ascii="Arial Narrow" w:hAnsi="Arial Narrow"/>
                  <w:color w:val="0000FF"/>
                  <w:sz w:val="16"/>
                  <w:szCs w:val="16"/>
                  <w:u w:val="single"/>
                </w:rPr>
                <w:t>http://www.uvo.gov.sk/najcastejsie-nedostatky-stene-uvo</w:t>
              </w:r>
            </w:hyperlink>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sk-SK"/>
              </w:rPr>
            </w:pPr>
            <w:r>
              <w:rPr>
                <w:rFonts w:ascii="Arial Narrow" w:hAnsi="Arial Narrow"/>
                <w:i/>
                <w:sz w:val="16"/>
                <w:szCs w:val="16"/>
                <w:lang w:eastAsia="sk-SK"/>
              </w:rPr>
              <w:t>Úrad pre verejné obstarávanie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53" w:history="1">
              <w:r>
                <w:rPr>
                  <w:rFonts w:ascii="Arial Narrow" w:hAnsi="Arial Narrow"/>
                  <w:color w:val="0000FF"/>
                  <w:sz w:val="16"/>
                  <w:szCs w:val="16"/>
                  <w:u w:val="single"/>
                  <w:lang w:eastAsia="sk-SK"/>
                </w:rPr>
                <w:t>http://www.uvo.gov.sk/domov</w:t>
              </w:r>
            </w:hyperlink>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sk-SK"/>
              </w:rPr>
            </w:pPr>
            <w:r>
              <w:rPr>
                <w:rFonts w:ascii="Arial Narrow" w:hAnsi="Arial Narrow"/>
                <w:i/>
                <w:sz w:val="16"/>
                <w:szCs w:val="16"/>
                <w:lang w:eastAsia="sk-SK"/>
              </w:rPr>
              <w:t>Metodické usmernenia (ÚVO)</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w:t>
            </w:r>
            <w:hyperlink r:id="rId54" w:history="1">
              <w:r>
                <w:rPr>
                  <w:rFonts w:ascii="Arial Narrow" w:hAnsi="Arial Narrow"/>
                  <w:color w:val="0000FF"/>
                  <w:sz w:val="16"/>
                  <w:szCs w:val="16"/>
                  <w:u w:val="single"/>
                  <w:lang w:eastAsia="sk-SK"/>
                </w:rPr>
                <w:t>http://www.uvo.gov.sk/metodicke-usmernenia</w:t>
              </w:r>
            </w:hyperlink>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V oblasti legislatívy sú v súčasnom platnom a účinnom zákone o verejnom obstarávaní transponované všetky platné smernice EÚ v oblasti verejného obstarávania (VO).</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 V nadväznosti na novelizácie zákona o VO v roku 2013 boli alebo budú zavedené viaceré postupy a inštitúty, ktoré slúžia k posilneniu súťažného princípu a transparentnosti procesov VO a to napr. - zavedenie centrálnej evidencie referencií jednotlivých uchádzačov využívaných na preukazovanie technickej spôsobilosti; obmedzenie pre uzatváranie dodatkov zvyšujúcich cenu plnenia zmluvy;možnosť zrušenia VO ak neboli predložené viac ako 2 ponuky; povinnosť verejného obstarávateľa zverejňovať príslušné informácie a dokumentáciu k verejnému obstarávaniu na svojom profile; zavedenie elektronického trhoviska; vznik Rady ÚVO riešiacej odvolania uchádzačov </w:t>
            </w:r>
            <w:r>
              <w:rPr>
                <w:rFonts w:ascii="Arial Narrow" w:hAnsi="Arial Narrow"/>
                <w:sz w:val="16"/>
                <w:szCs w:val="16"/>
                <w:lang w:eastAsia="sk-SK"/>
              </w:rPr>
              <w:lastRenderedPageBreak/>
              <w:t>voči rozhodnutiam o námietkach vydaných ÚVO; zavedenie povinnej certifikácie zariadení a systémov e-aukcie; zavedenie možnosti ex-ante kontroly dokumentácie pred jej zverejnením verejným obstarávateľom; zavedenie registra osôb so zákazom účasti vo VO.</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Ako všeobecné opatrenia na riešenie nedostatkov zistených pri kontrolách sú:</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zvýšená podpora ÚVO pre subjekty vykonávajúce kontrolu VO prostredníctvom Dohody o spolupráci (ex-ante kontrola, stanoviská, konzultácie, metodická podpora, spolupráca pri riešení zistení auditov),</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zavedenie analýzy rizík pri výkone kontroly VO zo strany RO, ktorá identifikuje riziko zákazky z pohľadu potrebnej spolupráce s ÚVO,</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vypracovanie vzorových dokumentov využívaných v procese VO (napr. súťažné podklady, návrhy oznámení využívaných v procesoch VO),</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 zavedenie povinnej ex-ante kontroly dokumentácie zo strany RO (kontrola návrhu súťažných podkladov a oznámenia o vyhlásení VO pred jej vyhlásením),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zvedenie spolupráce s Protimonopolným úradom SR za účelom nastavenia opatrení na posilnenie ochrany hospodárskej súťaže.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hlavné typy konkrétnych nedostatkov zistených EK sú nasledovné:</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 Dodatky: úpravou zákona o VO je zabezpečený zákaz uzatvárania dodatkov v prípadoch, že tieto menia podstatným spôsobom predmet zákazky, alebo podmienky pôvodnej súťaže, alebo ktorými sa zvyšuje cena plnenia zákazky.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 Konflikt záujmov: problematika bude riešená na úrovni legislatívnej a úrovni systémovej. Na legislatívnej úrovni SR v transpozičnej lehote plne transponuje úpravu konfliktu záujmov vychádzajúcu z novej smernice EÚ k verejnému obstarávaniu. Na úrovni Systému riadenia a kontroly na PO 2014 – 2020 budú zadefinované postupy výkonu administratívnej kontroly RO pre identifikovanie konfliktu záujmov a jeho ďalšie posúdenie a spracovanie.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- 1 ponuka: Tento nedostatok bol riešený na úrovni legislatívnej a systémovej. Na úrovni legislatívnej bola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Lehota na vyžiadanie súťažných podkladov: Boli upravené elektronické formuláre na vyžiadanie súťažných podkladov tak aby bola lehota na vyžiadanie SP zhodná s lehotou na predkladanie ponúk a tiež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CKO už v súčasnosti zabezpečuje školenia pre RO/SORO týkajúce sa postupov administratívnej kontroly VO v rámci systému riadenia, prezentovanie najčastejších nedostatkov identifikovaných pri kontrolách VO, výklad k metodike CKO týkajúcej sa VO. Za rok 2013 bolo takto vyškolených 179 zamestnancov. V roku 2014 CKO rovnako plánuje organizovať a zabezpečovať školenia tohto zamerania. </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novom Systéme riadenia a kontroly EŠIF, resp. v inom záväznom dokumente bude zadefinovaný všeobecný systém vzdelávania zamestnancov, pričom v rámci neho bude určená povinnosť RO zabezpečiť pre všetkých zamestnancov zúčastnených na implementácii fondov pravidelnú odbornú prípravu a školenia, pričom títo zamestnanci budú povinní sa tohto vzdelávania zúčastniť. RO bude zasielať CKO zoznam zamestnancov vykonávajúcich kontrolu VO, ktorí budú pravidelne školení. Uvedená odborná príprava sa týka školení CKO, školení ÚVO resp. iných subjektov realizujúcich školenia v oblasti zákona o VO a tiež školení organizovaných Protimonopolným úradom SR vo veci ochrany hospodárskej </w:t>
            </w:r>
            <w:r>
              <w:rPr>
                <w:rFonts w:ascii="Arial Narrow" w:hAnsi="Arial Narrow"/>
                <w:sz w:val="16"/>
                <w:szCs w:val="16"/>
                <w:lang w:eastAsia="sk-SK"/>
              </w:rPr>
              <w:lastRenderedPageBreak/>
              <w:t>súťaže.</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uznesenia vlády SR č. 21/2013 ÚVO v spolupráci s každým riadiacim orgánom v periodicite pol roka vypracováva a zverejňuje správu o výsledkoch kontrol a auditov v oblasti VO.</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Riadiace orgány zverejňujú na svojich stránkach najčastejšie porušenia pravidiel VO.</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ÚVO zverejňuje na svojej stránke najčastejšie pochybenia vo VO.</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Tieto formy zverejňovania šírenia informácií o nedostatkoch zistených pri kontrole VO budú využívané aj v programovom období 2014 - 2020.</w:t>
            </w:r>
          </w:p>
          <w:p>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Zároveň CKO pravidelne organizuje a bude organizovať a zabezpečovať školenia zamerané na oboznámenie zástupcov RO, SORO, CO a OA s identifikovanými nedostatkami pri verejnom obstarávaní (viď predošlé kritérium).</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Navrhuje sa tiež v gescii CKO zriadenie Koordinačného výboru pre spoluprácu pri VO. Zloženie tohto výboru bude pozostávať najmä z CKO, ÚVO, CO, OA, RO čím sa zabezpečí spoločný postup v rámci aplikácie pravidiel VO (jeho úlohou bude okrem prípravy jednotnej metodiky v rámci posudzovania VO aj vydávanie metodických  výkladov, pokynov a usmernení „šitých“ pre potreby implementácie fondov EÚ). Jednoznačnou výhodou zriadenia tohto orgánu bude okamžité identifikovanie prípadných závažných pochybení (systémových nezrovnalostí) v postupoch RO pri kontrole VO a efektívna možnosť prijatia adekvátnych nápravných opatrení na ich odstránenie.</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ÚVO metodicky usmerňuje všetkých, ktorí sa zúčastňujú na VO.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eastAsia="Times New Roman" w:hAnsi="Arial Narrow"/>
                <w:sz w:val="16"/>
                <w:szCs w:val="16"/>
                <w:lang w:eastAsia="sk-SK"/>
              </w:rPr>
              <w:t xml:space="preserve">V priebehu roku 2014 si zvýšené nároky na spoluprácu a kontrolnú činnosť ÚVO vyžiadajú potrebu navýšenia personálnych kapacít o cca 25 zamestnancov, ktorí budú prijímaní postupne v závislosti od množstva požadovanej činnosti zo strany CKO a RO.  </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sz w:val="16"/>
                <w:szCs w:val="16"/>
                <w:lang w:eastAsia="sk-SK"/>
              </w:rPr>
            </w:pPr>
            <w:r>
              <w:rPr>
                <w:rFonts w:ascii="Arial Narrow" w:hAnsi="Arial Narrow"/>
                <w:sz w:val="16"/>
                <w:szCs w:val="16"/>
                <w:lang w:eastAsia="sk-SK"/>
              </w:rPr>
              <w:lastRenderedPageBreak/>
              <w:t>5. Štátna pomoc</w:t>
            </w:r>
          </w:p>
          <w:p>
            <w:pPr>
              <w:spacing w:after="0" w:line="240" w:lineRule="auto"/>
              <w:rPr>
                <w:rFonts w:ascii="Arial Narrow" w:hAnsi="Arial Narrow" w:cs="Arial"/>
                <w:sz w:val="16"/>
                <w:szCs w:val="16"/>
              </w:rPr>
            </w:pPr>
            <w:r>
              <w:rPr>
                <w:rFonts w:ascii="Arial Narrow" w:hAnsi="Arial Narrow"/>
                <w:sz w:val="16"/>
                <w:szCs w:val="16"/>
                <w:lang w:eastAsia="sk-SK"/>
              </w:rPr>
              <w:t>Existencia pravidiel na efektívne uplatňovanie práva Únie o štátnej pomoci v oblasti EŠIF</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čiastočne</w:t>
            </w:r>
          </w:p>
        </w:tc>
        <w:tc>
          <w:tcPr>
            <w:tcW w:w="250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zabezpečenie účinného uplatňovania pravidiel Únie o štátnej pomoci.</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zabezpečenie odbornej prípravy a informovania zamestnancov zapojených do vykonávania EŠIF.</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zabezpečenie administratívnej kapacity na vykonávanie a uplatňovanie pravidiel Únie o štátnej pomoci</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Koordinátor štátnej pomoci požiadal RO, aby predložili výsledky analýz hodnotenia dostatočnosti administratívnych kapacít v oblasti štátnej pomoci MF SR do konca septembra 2013. Vypracovaná analýza bola predložená na MF SR listom ministra pôdohospodárstva č. MPRV-2013-2470/20776-56 a elektronicky na adresu: valeria.kukuckova@mfsr.sk dňa 27.9.2013.</w:t>
            </w:r>
          </w:p>
        </w:tc>
        <w:tc>
          <w:tcPr>
            <w:tcW w:w="4678" w:type="dxa"/>
            <w:shd w:val="clear" w:color="auto" w:fill="auto"/>
          </w:tcPr>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Riadiaci orgán v programovom období 2007-2013 pri poskytovaní štátnej pomoci prostredníctvom príslušných schém štátnej pomoci plne zohľadňuje základné pravidlá, a to najmä pokiaľ ide o definíciu „podnik“ a nadväzne o definíciu pojmu „hospodárska činnosť“. Problematika štátnej pomoci je posudzovaná aj pri príprave výziev na predkladanie žiadostí o nenávratný finančný príspevok (ďalej len „výzva“) z hľadiska potreby vypracovania schém štátnej pomoci. </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Riadiaci orgán využije takto nastavený systém aj v budúcom programovom období, pričom štruktúra schém ostáva zachovaná. Riadiaci orgán na základe aktivít operačného programu vypracoval zoznam investičných priorít s existenciou prvkov štátnej pomoci. Ide o nasledovné investičné priority: </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1 Špecifický cieľ 1.2.1  Zabezpečenie udržateľnej formy mobility prostredníctvom zvyšovania atraktivity a konkurencieschopnosti verejnej osobnej dopravy – služby vo verejnom záujme v zmysle nariadenia EP a Rady (ES) č. 1370/2007</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2 Špecifický cieľ 2.1.1 Podporiť prechod poskytovania sociálnych služieb a zabezpečenia výkonu opatrení sociálnoprávnej ochrany detí a sociálnej kurately v zariadení z inštitucionálnej formy na komunitnú (poskytovanú na komunitnej úrovni) – náhrada za služby vo všeobecnom hospodárskom záujme</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Prioritná os 2 Špecifický cieľ 2.1.2 Modernizovať zdravotnícku infraštruktúru za účelom integrácie zdravotnej starostlivosti a zlepšenia dostupnosti ku kvalitným zdravotníckym službám – schéma št. pomoci / schéma pomoci de </w:t>
            </w:r>
            <w:r>
              <w:rPr>
                <w:rFonts w:ascii="Arial Narrow" w:hAnsi="Arial Narrow"/>
                <w:sz w:val="16"/>
                <w:szCs w:val="16"/>
              </w:rPr>
              <w:lastRenderedPageBreak/>
              <w:t>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2 Špecifický cieľ 2.2.3 Zvýšenie počtu žiakov na odbornom výcviku – schéma št. pomoci / schéma pomoci de minimis (v prípade oprávnených prijímateľov vykonávajúcich hosp. činnosť)</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3 Špecifický cieľ 3.1 Stimulovanie podpory udržateľnej zamestnanosti v kultúrnom a kreatívnom sektore prostredníctvom vytvorenia priaznivého prostredia  vo forme tvrdej a mäkkej infraštruktúry pre rozvoj kreativity a netechnologických inovácií - schéma št. pomoci / schéma pomoci de 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4 Špecifický cieľ 4.1 Zvýšenie energetickej efektívnosti budov na bývanie - schéma št. pomoci / schéma pomoci de 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4 Špecifický cieľ 4.3.1 Zlepšenie environmentálnych aspektov v mestách a mestských oblastiach prostredníctvom budovania prvkov zelenej infraštruktúry a adaptácia urbanizovaného prostredia na zmeny klímy - schéma št. pomoci / schéma pomoci de 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4 Špecifický cieľ 4.3.2 Regenerácia a využitie nevyužívaných objektov a areálov (brownfields) s cieľom zlepšenia kvality života obyvateľov v obciach, mestách a mestských oblastiach - schéma št. pomoci / schéma pomoci de 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Prioritná os 5 Miestny rozvoj vedený komunitou - schéma št. pomoci / schéma pomoci de minimis</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 tom, či sa použije schéma štátnej pomoci alebo schéma pomoci de minimis sa bude rozhodovať počas programového obdobia.</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 schválení operačného programu budú vypracované návrhy schém, ktoré budú predkladané na posúdenie Ministerstvu financií SR ako koordinátorovi štátnej pomoci. Plánované schémy štátnej pomoci budú v zmysle príslušných ustanovení notifikované Európskou komisiou (v prípade schém pre skupinové výnimky a v prípade schém spĺňajúcich podmienky Rozhodnutia Komisie o uplatňovaní čl. 106 ods. 2 Zmluvy o fungovaní EÚ budú zaslané informácie o príslušnej schéme). </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Povinnosť dodržať pravidlá týkajúce sa kumulácie pomoci (ak sa poskytuje pomoc na rovnaké oprávnené náklady z rôznych verejných zdrojov, resp. minimálna pomoc) a dodržanie povinnosti „Deggendorf“ budú upravené v </w:t>
            </w:r>
            <w:r>
              <w:rPr>
                <w:rFonts w:ascii="Arial Narrow" w:hAnsi="Arial Narrow"/>
                <w:sz w:val="16"/>
                <w:szCs w:val="16"/>
              </w:rPr>
              <w:lastRenderedPageBreak/>
              <w:t>schémach pomoci aj v programovom období 2014 – 2020. Kontrolu zavedenia opatrení na dodržiavanie pravidiel kumulácie a dodržania povinnosti „Deggendorf“ bude zabezpečovať koordinátor štátnej pomoci formou pripomienkovania schém štátnej pomoci a schém minimálnej pomoci. Podmienky poskytnutia pomoci v jednotlivých schémach budú zahŕňať aj podmienky predloženia čestného prehlásenia prijímateľa príjemcu týkajúceho sa kumulácie pomoci vo vzťahu k rovnakým oprávneným výdavkom a čestného prehlásenia o tom, že od prijímateľa nie je žiadané vrátenie pomoci a že nie je podnikom v ťažkostiach. Zároveň bude možné preveriť duplicitné financovanie prostredníctvom centrálneho registra projektov.</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Návratná pomoc prostredníctvom finančných nástrojov je poskytovaná v rámci schém štátnej pomoci, resp. schém minimálnej pomoci. Takéto schémy pripomienkuje koordinátor štátnej pomoci, pričom pravidlá EÚ pre štátnu pomoc musia byť dodržiavané na úrovni správcu holdingového fondu, finančných sprostredkovateľov, spoluinvestorov a konečných prijímateľov pomoci.</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Mechanizmus vymáhania neoprávnenej štátnej pomoci sa v SR reformoval zákonom č. 102/2011 Z. z. (novela zákona č. 231/1999 Z. z. o štátnej pomoci v znení neskorších predpisov), ktorý nadobudol účinnosť 1.6.2011. Týmto zákonom sa ustanovilo, že rozhodnutie EK o neoprávnenej štátnej pomoci predstavuje priamo exekučný titul, na základe ktorého sa bude neoprávnená štátna pomoc vymáhať v exekučnom konaní. </w:t>
            </w:r>
          </w:p>
          <w:p>
            <w:pPr>
              <w:spacing w:line="28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Existujú aj opatrenia na zabezpečenie výkonu kontrol dodržania nariadenia GBER, rozhodnutia Komisie o uplatňovaní čl. 106 ods. 2 Zmluvy o fungovaní EÚ a schválených schém. Poskytovatelia štátnej pomoci si môžu overiť podmienky oprávnenosti a zlučiteľnosti pomoci (napríklad stimulačný účinok, obmedzenie pomoci na maximálnu intenzitu pomoci, podmienky oprávnenosti schém, štatút MSP ako prijímateľov) napr. na základe zákona o štátnej pomoci ako aj legislatívy týkajúcej sa pomoci a podpore poskytovanej z fondov EÚ alebo inej platnej legislatívy.</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Evidencia minimálnej pomoci sa na MF SR realizuje prostredníctvom informačného systému Slovak Aid Monitoring Authority – IS SAMA. V súčasnosti je do IS SAMA umožnený prístup len koordinátorovi štátnej pomoci (MF SR). Po dobudovaní IS SAMA bude zabezpečené portálové riešenie tohto informačného systému. Prístup na webovú lokalitu a prehliadanie údajov o poskytnutej pomoci bude verejne prístupné. Dobudovaný informačný systém bude obsahovať aj register štátnej pomoci, do ktorého sa budú zadávať súhrnné informácie o každom opatrení. </w:t>
            </w:r>
            <w:r>
              <w:rPr>
                <w:rFonts w:ascii="Arial Narrow" w:hAnsi="Arial Narrow"/>
                <w:sz w:val="16"/>
                <w:szCs w:val="16"/>
              </w:rPr>
              <w:lastRenderedPageBreak/>
              <w:t>Dobudovanie IS SAMA sa predpokladá do konca roka 2014.</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Zamestnanci prehlbujú svoje poznatky z oblasti štátnej pomoci najmä formou priebežného vzdelávania  a účasťou na školeniach. Príslušné školenia pracovníkov na tému uplatňovania pravidiel EÚ o štátnej pomoci na všetkých relevantných úrovniach (t.j., príslušné oddelenia) sa už konali alebo sú naplánované.</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 februári 2013 CKO pripravil školenie na tému „Uplatňovanie pravidiel štátnej pomoci v EÚ, systém riadenia ŠF a KF na programové obdobie 2007 - 2013 a zákon č. 528/2008 Z. z. o pomoci a podpore poskytovanej z fondov EÚ v praxi“ pre všetky riadiace orgány, ako aj sprostredkovateľské orgány pod riadiacimi orgánmi. V roku 2013 bolo prostredníctvom školení CKO vyškolených 53 zamestnancov ÚOŠS. Zamestnanci sa zúčastňujú aj na školeniach v oblasti štátnej pomoci organizovaných aj inými inštitúciami.</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Priebežné vzdelávanie sa uskutočňuje aj formou samoštúdia legislatívy v oblasti štátnej pomoci. </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Zaviedol sa systém šírenia a výmeny informácií pre všetkých pracovníkov zodpovedných za uplatňovanie pravidiel štátnej pomoci v spojení s implementáciou a riadením EŠIF (riadiace orgány, sprostredkovateľské orgány, certifikačný orgán, orgán auditu, a v prípade finančných nástrojov aj holdingový fond a orgány zodpovedné za implementáciu finančných nástrojov (napr. prostredníctvom webových stránok, reklamných adresovaných zásielok (direct mail), atď.).</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Riadiaci orgán v septembri 2013 vyhodnotil administratívne kapacity pre oblasť štátnej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Po schválení návrhu operačného programu a zároveň v súlade s novým právnym rámcom v oblasti štátnej pomoci bude predmetná analýza administratívnych kapacít aktualizovaná.</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rPr>
                <w:rFonts w:ascii="Arial Narrow" w:hAnsi="Arial Narrow"/>
                <w:sz w:val="16"/>
                <w:szCs w:val="16"/>
                <w:lang w:eastAsia="sk-SK"/>
              </w:rPr>
            </w:pPr>
            <w:r>
              <w:rPr>
                <w:rFonts w:ascii="Arial Narrow" w:hAnsi="Arial Narrow"/>
                <w:sz w:val="16"/>
                <w:szCs w:val="16"/>
                <w:lang w:eastAsia="sk-SK"/>
              </w:rPr>
              <w:lastRenderedPageBreak/>
              <w:t xml:space="preserve">6. Právne predpisy v oblasti </w:t>
            </w:r>
            <w:r>
              <w:rPr>
                <w:rFonts w:ascii="Arial Narrow" w:hAnsi="Arial Narrow"/>
                <w:sz w:val="16"/>
                <w:szCs w:val="16"/>
                <w:lang w:eastAsia="sk-SK"/>
              </w:rPr>
              <w:lastRenderedPageBreak/>
              <w:t>životného prostredia týkajúce sa posudzovania vplyvov na životné prostredie (EIA) a strategického environmentálneho posudzovania (SEA)</w:t>
            </w:r>
          </w:p>
          <w:p>
            <w:pPr>
              <w:spacing w:after="0" w:line="240" w:lineRule="auto"/>
              <w:rPr>
                <w:rFonts w:ascii="Arial Narrow" w:hAnsi="Arial Narrow" w:cs="Arial"/>
                <w:sz w:val="16"/>
                <w:szCs w:val="16"/>
              </w:rPr>
            </w:pPr>
            <w:r>
              <w:rPr>
                <w:rFonts w:ascii="Arial Narrow" w:hAnsi="Arial Narrow"/>
                <w:sz w:val="16"/>
                <w:szCs w:val="16"/>
                <w:lang w:eastAsia="sk-SK"/>
              </w:rPr>
              <w:t>Existencia pravidiel na efektívne uplatňovanie právnych predpisov Únie v oblasti životného prostredia týkajúcich sa EIA a SEA</w:t>
            </w:r>
          </w:p>
        </w:tc>
        <w:tc>
          <w:tcPr>
            <w:tcW w:w="771" w:type="dxa"/>
          </w:tcPr>
          <w:p>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tcPr>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čiastočne</w:t>
            </w:r>
          </w:p>
        </w:tc>
        <w:tc>
          <w:tcPr>
            <w:tcW w:w="2501"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Opatrenia na zabezpečenie účinného uplatňovania smernice Európskeho </w:t>
            </w:r>
            <w:r>
              <w:rPr>
                <w:rFonts w:ascii="Arial Narrow" w:hAnsi="Arial Narrow"/>
                <w:sz w:val="16"/>
                <w:szCs w:val="16"/>
                <w:lang w:eastAsia="sk-SK"/>
              </w:rPr>
              <w:lastRenderedPageBreak/>
              <w:t>parlamentu a Rady 2011/92/EÚ (EIA) a smernice Európskeho parlamentu a Rady 2001/42/ES (SEA).</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Opatrenia v oblasti odbornej prípravy a informovania zamestnancov zapojených do vykonávania smerníc </w:t>
            </w:r>
            <w:r>
              <w:rPr>
                <w:rFonts w:ascii="Arial Narrow" w:hAnsi="Arial Narrow"/>
                <w:sz w:val="16"/>
                <w:szCs w:val="16"/>
                <w:lang w:eastAsia="sk-SK"/>
              </w:rPr>
              <w:lastRenderedPageBreak/>
              <w:t>EIA a SEA.</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sz w:val="16"/>
                <w:szCs w:val="16"/>
                <w:lang w:eastAsia="sk-SK"/>
              </w:rPr>
              <w:t>Opatrenia na zabezpečenie dostatočnej administratívnej kapacity.</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Zákon 24/2006 Z. z. o posudzovaní vplyvov na životné </w:t>
            </w:r>
            <w:r>
              <w:rPr>
                <w:rFonts w:ascii="Arial Narrow" w:hAnsi="Arial Narrow"/>
                <w:sz w:val="16"/>
                <w:szCs w:val="16"/>
              </w:rPr>
              <w:lastRenderedPageBreak/>
              <w:t>prostredie a o zmene a doplnení niektorých zákonov v znení neskorších predpisov</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Zákon je uverejnený na stránke </w:t>
            </w:r>
            <w:hyperlink r:id="rId55" w:history="1">
              <w:r>
                <w:rPr>
                  <w:rFonts w:ascii="Arial Narrow" w:hAnsi="Arial Narrow"/>
                  <w:sz w:val="16"/>
                  <w:szCs w:val="16"/>
                </w:rPr>
                <w:t>www.jaspi.justice.gov.sk</w:t>
              </w:r>
            </w:hyperlink>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56" w:history="1">
              <w:r>
                <w:rPr>
                  <w:rFonts w:ascii="Arial Narrow" w:hAnsi="Arial Narrow"/>
                  <w:color w:val="0000FF"/>
                  <w:sz w:val="16"/>
                  <w:szCs w:val="16"/>
                  <w:u w:val="single"/>
                </w:rPr>
                <w:t>http://www.sazp.sk/public/index/go.php?id=81&amp;prm3=686</w:t>
              </w:r>
            </w:hyperlink>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Analýza administratívnych kapacít v oblasti posudzovania vplyvov na životné prostredie (vykonávania smerníc EIA a SEA), vrátane návrhu opatrení na zabezpečenie ich </w:t>
            </w:r>
            <w:r>
              <w:rPr>
                <w:rFonts w:ascii="Arial Narrow" w:hAnsi="Arial Narrow"/>
                <w:sz w:val="16"/>
                <w:szCs w:val="16"/>
              </w:rPr>
              <w:lastRenderedPageBreak/>
              <w:t>dostatočného stavu schválená rokovaním 3. porady vedenia MŽP SR, ktorá sa konala dňa 24.1.2013.</w:t>
            </w:r>
          </w:p>
        </w:tc>
        <w:tc>
          <w:tcPr>
            <w:tcW w:w="4678"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Listom zo dňa 21.3.2013 bola začatá procedúra infringementu vo veci transpozičného deficitu vo vzťahu k smernici Európskeho parlamentu a Rady </w:t>
            </w:r>
            <w:r>
              <w:rPr>
                <w:rFonts w:ascii="Arial Narrow" w:hAnsi="Arial Narrow"/>
                <w:sz w:val="16"/>
                <w:szCs w:val="16"/>
              </w:rPr>
              <w:lastRenderedPageBreak/>
              <w:t>2011/92/EÚ z 13. decembra 2011 o posudzovaní vplyvov určitých verejných a súkromných projektov na životné prostredie (smernica EIA).</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Vo výzve sú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EK adresovanej ministrovi zahraničných vecí a európskych záležitostí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Dňa 12.7.2013 bola zaslaná finálna odpoveď SR na formálne oznámenie EK,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súčasnému zneniu smernice EIA, t.j. dva a pol roka.</w:t>
            </w:r>
          </w:p>
          <w:p>
            <w:pPr>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Príprava príslušných legislatívnych úprav na úrovni rezortu prebiehala v nasledovných krokoch: </w:t>
            </w:r>
          </w:p>
          <w:p>
            <w:pPr>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dňa 5.12.2013 technické konzultácie k prvému návrhu paragrafového znenia so zástupcami DG Environment,</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od 17.1.2014 do 6.2.2014 medzirezortné pripomienkové konanie návrhu zákona, ktorým sa mení zákon č. 24/2006 Z. z. o posudzovaní vplyvov na životné prostredie a o zmene a doplnení niektorých zákonov v znení neskorších predpisov a o zmene a doplnení niektorých zákonov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S ohľadom na skutočnosť, že bola začatá procedúra </w:t>
            </w:r>
            <w:r>
              <w:rPr>
                <w:rFonts w:ascii="Arial Narrow" w:hAnsi="Arial Narrow"/>
                <w:sz w:val="16"/>
                <w:szCs w:val="16"/>
              </w:rPr>
              <w:lastRenderedPageBreak/>
              <w:t>infringementu vo veci transpozičného deficitu vo vzťahu k smernici Európskeho parlamentu a Rady 2011/92/EÚ bude potrebné vykonať aktualizáciu Stratégie školení, ktorá bude reflektovať na potrebu metodického usmernenia v „prechodnom“ období (do schválenia a nadobudnutia účinnosti príslušných legislatívnych úprav) a na príslušné legislatívne úpravy.</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 plánovaných aktivít podľa schválenej Stratégie sa zrealizovali tieto aktivity:</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dňa 24.10.2013 workshop v spolupráci s MDVRR SR zameraný na zmeny v projektoch,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pravidelné školenie zamestnancov okresných úradov so zameraním na výkon štátnej správy v oblasti posudzovania vplyvov na životné prostredie: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 rámci Prešovského a Košického kraja dňa 29.10.2013,</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Banskobystrického, Žilinského a Trenčianskeho kraja dňa 06.11.2013,</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Nitrianskeho, Trnavského a Bratislavského kraja dňa 13.11.2013,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dňa 3.12. 2013 Záverečná konferencia projektu e-MAT "Vývoj nástrojov manažmentu v rámci posudzovania vplyvov na životné prostredie v hraničných regiónoch medzi Rakúskom a Slovenskom",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 dňoch 10.-11.12.2013 školenie fyzických a právnických osôb pre získanie odbornej spôsobilosti v oblasti posudzovania vplyvov na životné prostredie,- dňa 17.12.2013 preverenie znalostí fyzických a právnických osôb za účelom získania odbornej spôsobilosti v oblasti posudzovania vplyvov na životné prostredie.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Záver Analýzy poukazuje na skutočnosť, že súčasný stav administratívnych kapacít v oblasti posudzovania vplyvov na životné prostredie je dostatočný. </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rPr>
                <w:rFonts w:ascii="Arial Narrow" w:hAnsi="Arial Narrow"/>
                <w:sz w:val="16"/>
                <w:szCs w:val="16"/>
                <w:lang w:eastAsia="sk-SK"/>
              </w:rPr>
            </w:pPr>
            <w:r>
              <w:rPr>
                <w:rFonts w:ascii="Arial Narrow" w:hAnsi="Arial Narrow"/>
                <w:sz w:val="16"/>
                <w:szCs w:val="16"/>
                <w:lang w:eastAsia="sk-SK"/>
              </w:rPr>
              <w:lastRenderedPageBreak/>
              <w:t>7. Štatistické systémy a ukazovatele výsledkov</w:t>
            </w:r>
          </w:p>
          <w:p>
            <w:pPr>
              <w:rPr>
                <w:rFonts w:ascii="Arial Narrow" w:hAnsi="Arial Narrow"/>
                <w:sz w:val="16"/>
                <w:szCs w:val="16"/>
                <w:lang w:eastAsia="sk-SK"/>
              </w:rPr>
            </w:pPr>
            <w:r>
              <w:rPr>
                <w:rFonts w:ascii="Arial Narrow" w:hAnsi="Arial Narrow"/>
                <w:sz w:val="16"/>
                <w:szCs w:val="16"/>
                <w:lang w:eastAsia="sk-SK"/>
              </w:rPr>
              <w:t xml:space="preserve">Existencia štatistického základu potrebného na uskutočnenie hodnotení pre posúdenie účinnosti a vplyvu programov. </w:t>
            </w:r>
          </w:p>
          <w:p>
            <w:pPr>
              <w:rPr>
                <w:rFonts w:ascii="Arial Narrow" w:hAnsi="Arial Narrow"/>
                <w:sz w:val="16"/>
                <w:szCs w:val="16"/>
                <w:lang w:eastAsia="sk-SK"/>
              </w:rPr>
            </w:pPr>
          </w:p>
          <w:p>
            <w:pPr>
              <w:spacing w:after="0" w:line="240" w:lineRule="auto"/>
              <w:rPr>
                <w:rFonts w:ascii="Arial Narrow" w:hAnsi="Arial Narrow" w:cs="Arial"/>
                <w:sz w:val="16"/>
                <w:szCs w:val="16"/>
              </w:rPr>
            </w:pPr>
            <w:r>
              <w:rPr>
                <w:rFonts w:ascii="Arial Narrow" w:hAnsi="Arial Narrow"/>
                <w:sz w:val="16"/>
                <w:szCs w:val="16"/>
                <w:lang w:eastAsia="sk-SK"/>
              </w:rPr>
              <w:t xml:space="preserve">Existencia systému ukazovateľov výsledkov nevyhnutných pre výber opatrení, ktoré čo najúčinnejšie prispievajú k dosiahnutiu želaných výsledkov, pre monitorovanie pokroku pri dosahovaní </w:t>
            </w:r>
            <w:r>
              <w:rPr>
                <w:rFonts w:ascii="Arial Narrow" w:hAnsi="Arial Narrow"/>
                <w:sz w:val="16"/>
                <w:szCs w:val="16"/>
                <w:lang w:eastAsia="sk-SK"/>
              </w:rPr>
              <w:lastRenderedPageBreak/>
              <w:t>výsledkov a vykonanie posúdenia vplyvu.</w:t>
            </w:r>
          </w:p>
        </w:tc>
        <w:tc>
          <w:tcPr>
            <w:tcW w:w="771"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nie</w:t>
            </w:r>
          </w:p>
        </w:tc>
        <w:tc>
          <w:tcPr>
            <w:tcW w:w="250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Zavedené sú opatrenia na zabezpečenie včasného zhromaždenia a konsolidácie štatistických údajov s týmito prvkami:</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identifikácia zdrojov a mechanizmov na zaručenie validácie štatistických údajov,</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opatrenia na uverejnenie konsolidovaných údajov a ich sprístupnenie verejnosti.</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Účinný systém ukazovateľov výsledkov vrátane:</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Cambria Math" w:hAnsi="Cambria Math" w:cs="Cambria Math"/>
                <w:sz w:val="16"/>
                <w:szCs w:val="16"/>
                <w:lang w:eastAsia="sk-SK"/>
              </w:rPr>
              <w:t>‒</w:t>
            </w:r>
            <w:r>
              <w:rPr>
                <w:rFonts w:ascii="Arial Narrow" w:hAnsi="Arial Narrow"/>
                <w:sz w:val="16"/>
                <w:szCs w:val="16"/>
                <w:lang w:eastAsia="sk-SK"/>
              </w:rPr>
              <w:t xml:space="preserve"> výberu ukazovateľov výsledkov pre každý program poskytujúcich informácie o tom, čo motivuje výber politických opatrení financovaných programom,</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Cambria Math" w:hAnsi="Cambria Math" w:cs="Cambria Math"/>
                <w:sz w:val="16"/>
                <w:szCs w:val="16"/>
                <w:lang w:eastAsia="sk-SK"/>
              </w:rPr>
              <w:t>‒</w:t>
            </w:r>
            <w:r>
              <w:rPr>
                <w:rFonts w:ascii="Arial Narrow" w:hAnsi="Arial Narrow"/>
                <w:sz w:val="16"/>
                <w:szCs w:val="16"/>
                <w:lang w:eastAsia="sk-SK"/>
              </w:rPr>
              <w:t xml:space="preserve"> stanovenia cieľov týchto ukazovateľov,</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Cambria Math" w:hAnsi="Cambria Math" w:cs="Cambria Math"/>
                <w:sz w:val="16"/>
                <w:szCs w:val="16"/>
                <w:lang w:eastAsia="sk-SK"/>
              </w:rPr>
              <w:t>‒</w:t>
            </w:r>
            <w:r>
              <w:rPr>
                <w:rFonts w:ascii="Arial Narrow" w:hAnsi="Arial Narrow"/>
                <w:sz w:val="16"/>
                <w:szCs w:val="16"/>
                <w:lang w:eastAsia="sk-SK"/>
              </w:rPr>
              <w:t xml:space="preserve"> súladu každého ukazovateľa s týmito náležitosťami: odolnosť a štatistická validácia, jasný normatívny výklad, citlivosť voči politike a včasné zhromažďovanie údajov.</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sz w:val="16"/>
                <w:szCs w:val="16"/>
                <w:lang w:eastAsia="sk-SK"/>
              </w:rPr>
              <w:t>Postupy zavedené na zaručenie toho, aby všetky operácie financované z programu prijali účinný systém ukazovateľov</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Nie </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V zmysle  </w:t>
            </w:r>
            <w:r>
              <w:rPr>
                <w:rFonts w:ascii="Arial Narrow" w:hAnsi="Arial Narrow"/>
                <w:i/>
                <w:sz w:val="16"/>
                <w:szCs w:val="16"/>
                <w:lang w:eastAsia="sk-SK"/>
              </w:rPr>
              <w:t>návrhu Usmernenia CKO k tvorbe merateľných ukazovateľov na programovej a projektovej úrovni</w:t>
            </w:r>
            <w:r>
              <w:rPr>
                <w:rFonts w:ascii="Arial Narrow" w:hAnsi="Arial Narrow"/>
                <w:sz w:val="16"/>
                <w:szCs w:val="16"/>
                <w:lang w:eastAsia="sk-SK"/>
              </w:rPr>
              <w:t>, ktoré bolo prezentované na 4. zasadnutí pracovnej skupiny k ex-ante kondicionalite štatistické systémy a ukazovatele výsledku, každý subjekt zodpovedný za prípravu operačných programov zabezpečí, aby v súvislosti s vypracovaním návrhu OP bol vypracovaný  samostatný dokument obsahujúci opis systémov monitorovania a hodnotenia na úrovni príslušného OP, ktorý bude obsahovať:</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1.Definovanie ukazovateľov, ich zber a monitorovanie: identifikáciu relevantných prioritných osí operačného programu, zodpovedajúcich výstupových a výsledkových ukazovateľov, pri každom ukazovateli jeho definíciu a metódu výpočtu, mernú jednotku, východiskovú (v prípade merateľných </w:t>
            </w:r>
            <w:r>
              <w:rPr>
                <w:rFonts w:ascii="Arial Narrow" w:hAnsi="Arial Narrow"/>
                <w:sz w:val="16"/>
                <w:szCs w:val="16"/>
                <w:lang w:eastAsia="sk-SK"/>
              </w:rPr>
              <w:lastRenderedPageBreak/>
              <w:t>ukazovateľov výsledku) a cieľovú hodnotu a rovnako aj zdroj, z ktorého budú čerpané údaje pre účely monitorovania jednotlivých ukazovateľov a periodicitu ich monitorovania.</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2. Definovanie výkonnostného rámca: zdôvodnenie výberu ukazovateľov (definovaných v časti 1)  do výkonnostného rámca, stanovenie míľnikov a cieľových hodnôt, popis/výpočet stanovenia míľnikov a cieľových hodnôt (exaktné výpočty, použité metódy).</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3. Definovanie údajov potrebných pre účely hodnotenia :  definovanie zamerania hodnotenia,  identifikácia predpokladanej metódy hodnotenia (kvalitatívna/kvantitatívna), identifikácia dát a údajov potrebných pre účely hodnotenia, spôsob ich zberu, archivácia, Uvedená časť bude rovnako obsahovať informáciu o skutočnosti, či dáta podliehajú ochrane citlivých údajov a spôsob zabezpečenia ochrany citlivých údajov.</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CKO pripravilo návrh metodického pokynu pre riadiace orgány k výkonnostnej rezerve a výkonnostnému rámcu. Cieľom metodického pokynu je stanoviť základné pravidlá pre určenie výkonnostnej rezervy a fungovanie výkonnostného </w:t>
            </w:r>
            <w:r>
              <w:rPr>
                <w:rFonts w:ascii="Arial Narrow" w:hAnsi="Arial Narrow"/>
                <w:sz w:val="16"/>
                <w:szCs w:val="16"/>
                <w:lang w:eastAsia="cs-CZ"/>
              </w:rPr>
              <w:lastRenderedPageBreak/>
              <w:t>rámca v rámci EŠIF v programovom období 2014 – 2020 v podmienkach SR s priemetom na všetky operačné programy. Zároveň sa prostredníctvom metodického pokynu zabezpečí súlad pri nastavení pravidiel výkonnostného rámca naprieč OP.</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CKO v súvislosti so zabezpečením maximálnej informovanosti subjektov zodpovedných za prípravu systému ukazovateľov poskytuje metodickú a informačnú pomoc vo forme zriadenej pracovnej skupiny. Tieto aktivity plánuje rozšíriť vzhľadom na zabezpečenie čo najväčšej miery a súladu postupov zorganizovaním širšieho pracovného stretnutia za účasti zodpovedných subjektov. Toto stretnutie sa uskutočnilo dňa 16.12.2013, pričom bol relevantným subjektom predstavený  návrh metodického usmernenia popisujúceho jednotné postupy pri tvorbe systému ukazovateľov.</w:t>
            </w:r>
          </w:p>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CKO predstavilo </w:t>
            </w:r>
            <w:r>
              <w:rPr>
                <w:rFonts w:ascii="Arial Narrow" w:hAnsi="Arial Narrow"/>
                <w:i/>
                <w:sz w:val="16"/>
                <w:szCs w:val="16"/>
                <w:lang w:eastAsia="cs-CZ"/>
              </w:rPr>
              <w:t>návrhu Usmernenia CKO k tvorbe merateľných ukazovateľov na programovej a projektovej úrovni</w:t>
            </w:r>
            <w:r>
              <w:rPr>
                <w:rFonts w:ascii="Arial Narrow" w:hAnsi="Arial Narrow"/>
                <w:sz w:val="16"/>
                <w:szCs w:val="16"/>
                <w:lang w:eastAsia="cs-CZ"/>
              </w:rPr>
              <w:t xml:space="preserve">. Stanovuje pravidlá a postupy pre nastavenie efektívneho systému ukazovateľov na úrovni financovaných projektov, ktorý </w:t>
            </w:r>
            <w:r>
              <w:rPr>
                <w:rFonts w:ascii="Arial Narrow" w:hAnsi="Arial Narrow"/>
                <w:sz w:val="16"/>
                <w:szCs w:val="16"/>
                <w:lang w:eastAsia="cs-CZ"/>
              </w:rPr>
              <w:lastRenderedPageBreak/>
              <w:t>má zabezpečiť prepojenie na úroveň programu a viesť k nastaveniu účinného systému projektových ukazovateľov na národnej úrovni</w:t>
            </w:r>
          </w:p>
        </w:tc>
        <w:tc>
          <w:tcPr>
            <w:tcW w:w="4678"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lastRenderedPageBreak/>
              <w:t>V súvislosti so zabezpečením koordinačnej činnosti vo vzťahu k splneniu predmetných kritérií ex-ante kondicionality bola zo strany CKO poskytnutá v prípravnej fáze jednotlivým subjektom možnosť zabezpečenia nezávislej externej expertízy, ktorá má napomôcť pri definovaní relevantných ukazovateľov výsledku a to overením, či jednotlivé ukazovatele výsledku priradené k zadefinovaným špecifickým cieľom predstavujú adekvátny spôsob merania dosahovania zadefinovaného špecifického cieľa a tiež či navrhovaný zdroj informácií pre monitorovanie daného ukazovateľa je relevantný a dostačujúci pre jeho adekvátne posúdenie. Uvedená možnosť pre jednotlivé subjekty v procese prípravy operačných programov má zabezpečiť, spolu s výsledkami ex ante hodnotenia, zvýšenie miery uistenia o vhodnosti nastavenia systému merateľných ukazovateľov výsledku.</w:t>
            </w:r>
          </w:p>
        </w:tc>
      </w:tr>
    </w:tbl>
    <w:p>
      <w:pPr>
        <w:spacing w:before="120"/>
        <w:jc w:val="both"/>
        <w:rPr>
          <w:rStyle w:val="Siln"/>
          <w:rFonts w:ascii="Arial" w:hAnsi="Arial" w:cs="Arial"/>
          <w:b w:val="0"/>
        </w:rPr>
      </w:pPr>
    </w:p>
    <w:p>
      <w:pPr>
        <w:spacing w:before="120"/>
        <w:jc w:val="both"/>
        <w:rPr>
          <w:rStyle w:val="Siln"/>
          <w:rFonts w:ascii="Arial" w:hAnsi="Arial" w:cs="Arial"/>
          <w:b w:val="0"/>
        </w:rPr>
      </w:pPr>
    </w:p>
    <w:p>
      <w:pPr>
        <w:spacing w:before="120"/>
        <w:jc w:val="both"/>
        <w:rPr>
          <w:rStyle w:val="Siln"/>
          <w:rFonts w:ascii="Arial" w:hAnsi="Arial" w:cs="Arial"/>
          <w:b w:val="0"/>
        </w:rPr>
      </w:pPr>
    </w:p>
    <w:p>
      <w:pPr>
        <w:spacing w:before="120"/>
        <w:jc w:val="both"/>
        <w:rPr>
          <w:rStyle w:val="Siln"/>
          <w:rFonts w:ascii="Arial" w:hAnsi="Arial" w:cs="Arial"/>
          <w:b w:val="0"/>
        </w:rPr>
      </w:pPr>
    </w:p>
    <w:p>
      <w:pPr>
        <w:spacing w:before="120"/>
        <w:jc w:val="both"/>
        <w:rPr>
          <w:rStyle w:val="Siln"/>
          <w:rFonts w:ascii="Arial" w:hAnsi="Arial" w:cs="Arial"/>
          <w:b w:val="0"/>
        </w:rPr>
      </w:pPr>
    </w:p>
    <w:p>
      <w:pPr>
        <w:spacing w:before="120"/>
        <w:jc w:val="both"/>
        <w:rPr>
          <w:rStyle w:val="Siln"/>
          <w:rFonts w:ascii="Arial" w:hAnsi="Arial" w:cs="Arial"/>
          <w:b w:val="0"/>
        </w:rPr>
      </w:pPr>
    </w:p>
    <w:p>
      <w:pPr>
        <w:spacing w:before="120"/>
        <w:jc w:val="both"/>
        <w:rPr>
          <w:rStyle w:val="Siln"/>
          <w:rFonts w:ascii="Arial" w:hAnsi="Arial" w:cs="Arial"/>
          <w:b w:val="0"/>
        </w:rPr>
      </w:pPr>
    </w:p>
    <w:p>
      <w:pPr>
        <w:rPr>
          <w:rFonts w:ascii="Arial" w:hAnsi="Arial" w:cs="Arial"/>
          <w:color w:val="FF0000"/>
        </w:rPr>
        <w:sectPr>
          <w:pgSz w:w="16838" w:h="11906" w:orient="landscape"/>
          <w:pgMar w:top="1418" w:right="1418" w:bottom="1418" w:left="1418" w:header="709" w:footer="709" w:gutter="0"/>
          <w:cols w:space="708"/>
          <w:docGrid w:linePitch="360"/>
        </w:sectPr>
      </w:pPr>
    </w:p>
    <w:p>
      <w:pPr>
        <w:pStyle w:val="Nadpis2"/>
        <w:spacing w:after="240"/>
        <w:rPr>
          <w:rFonts w:ascii="Arial" w:hAnsi="Arial" w:cs="Arial"/>
        </w:rPr>
      </w:pPr>
      <w:bookmarkStart w:id="165" w:name="_Toc387154002"/>
      <w:r>
        <w:rPr>
          <w:rFonts w:ascii="Arial" w:hAnsi="Arial" w:cs="Arial"/>
        </w:rPr>
        <w:lastRenderedPageBreak/>
        <w:t>9.2 Opis opatrení na splnenie ex ante kondicionalít, zodpovedné orgány a časový plán týchto opatrení</w:t>
      </w:r>
      <w:bookmarkEnd w:id="165"/>
    </w:p>
    <w:p>
      <w:pPr>
        <w:rPr>
          <w:rStyle w:val="Zvraznenie"/>
          <w:rFonts w:ascii="Arial" w:hAnsi="Arial" w:cs="Arial"/>
        </w:rPr>
      </w:pPr>
      <w:r>
        <w:rPr>
          <w:rStyle w:val="Siln"/>
          <w:rFonts w:ascii="Arial" w:hAnsi="Arial" w:cs="Arial"/>
        </w:rPr>
        <w:t xml:space="preserve">Tabuľka č. 58 </w:t>
      </w: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3510"/>
        <w:gridCol w:w="3119"/>
        <w:gridCol w:w="4252"/>
        <w:gridCol w:w="1382"/>
        <w:gridCol w:w="15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spacing w:after="0" w:line="240" w:lineRule="auto"/>
              <w:rPr>
                <w:rFonts w:ascii="Arial Narrow" w:hAnsi="Arial Narrow" w:cs="Arial"/>
                <w:bCs w:val="0"/>
                <w:sz w:val="16"/>
                <w:szCs w:val="16"/>
              </w:rPr>
            </w:pPr>
            <w:r>
              <w:rPr>
                <w:rFonts w:ascii="Arial Narrow" w:hAnsi="Arial Narrow" w:cs="Arial"/>
                <w:sz w:val="16"/>
                <w:szCs w:val="16"/>
              </w:rPr>
              <w:t>Aplikovateľné tematické ex-ante kondicionality, ktoré sú nesplnené alebo čiastočne splnené</w:t>
            </w:r>
          </w:p>
        </w:tc>
        <w:tc>
          <w:tcPr>
            <w:tcW w:w="3119"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sz w:val="16"/>
                <w:szCs w:val="16"/>
              </w:rPr>
              <w:t>Nesplnené kritériá</w:t>
            </w:r>
          </w:p>
        </w:tc>
        <w:tc>
          <w:tcPr>
            <w:tcW w:w="4252"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sz w:val="16"/>
                <w:szCs w:val="16"/>
              </w:rPr>
              <w:t>Plánované opatrenia</w:t>
            </w:r>
          </w:p>
        </w:tc>
        <w:tc>
          <w:tcPr>
            <w:tcW w:w="1382"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sz w:val="16"/>
                <w:szCs w:val="16"/>
              </w:rPr>
              <w:t>Termín (dátum)</w:t>
            </w:r>
          </w:p>
        </w:tc>
        <w:tc>
          <w:tcPr>
            <w:tcW w:w="1559"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sz w:val="16"/>
                <w:szCs w:val="16"/>
              </w:rPr>
              <w:t>Orgán zodpovedný za splnenie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jc w:val="center"/>
              <w:rPr>
                <w:rFonts w:ascii="Arial Narrow" w:hAnsi="Arial Narrow"/>
                <w:b w:val="0"/>
                <w:bCs w:val="0"/>
                <w:sz w:val="16"/>
                <w:szCs w:val="16"/>
                <w:lang w:eastAsia="cs-CZ"/>
              </w:rPr>
            </w:pPr>
            <w:r>
              <w:rPr>
                <w:rFonts w:ascii="Arial Narrow" w:hAnsi="Arial Narrow"/>
                <w:sz w:val="16"/>
                <w:szCs w:val="16"/>
                <w:lang w:eastAsia="cs-CZ"/>
              </w:rPr>
              <w:t>1. Nediskriminácia</w:t>
            </w:r>
          </w:p>
          <w:p>
            <w:pPr>
              <w:spacing w:after="0" w:line="240" w:lineRule="auto"/>
              <w:jc w:val="center"/>
              <w:rPr>
                <w:rFonts w:ascii="Arial Narrow"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311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i/>
                <w:sz w:val="16"/>
                <w:szCs w:val="16"/>
                <w:lang w:eastAsia="cs-CZ"/>
              </w:rPr>
              <w:t>Navýšenie administratívnych kapacít odboru rodovej rovnosti a rovnosti príležitostí</w:t>
            </w:r>
            <w:r>
              <w:rPr>
                <w:rFonts w:ascii="Arial Narrow" w:hAnsi="Arial Narrow"/>
                <w:sz w:val="16"/>
                <w:szCs w:val="16"/>
                <w:lang w:eastAsia="cs-CZ"/>
              </w:rPr>
              <w:t xml:space="preserve"> MPSVR SR.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horizontálnych princípov. Prierezovosť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tc>
        <w:tc>
          <w:tcPr>
            <w:tcW w:w="138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polrok 2014</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4. 2014 - navýšenie stavu administratívnych kapacít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 6. 2014 - dosiahnutie optimalizovaného stavu administratívnych kapacít</w:t>
            </w:r>
          </w:p>
        </w:tc>
        <w:tc>
          <w:tcPr>
            <w:tcW w:w="1559" w:type="dxa"/>
            <w:shd w:val="clear" w:color="auto" w:fill="auto"/>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MPSVR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rPr>
                <w:rFonts w:ascii="Arial Narrow"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252"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i/>
                <w:sz w:val="16"/>
                <w:szCs w:val="16"/>
                <w:lang w:eastAsia="cs-CZ"/>
              </w:rPr>
              <w:t>Vypracovanie stratégie školenia a informovania zamestnancov zapojených do využívania fondov</w:t>
            </w:r>
            <w:r>
              <w:rPr>
                <w:rFonts w:ascii="Arial Narrow" w:hAnsi="Arial Narrow"/>
                <w:sz w:val="16"/>
                <w:szCs w:val="16"/>
                <w:lang w:eastAsia="cs-CZ"/>
              </w:rPr>
              <w:t xml:space="preserve"> a následné podanie projektu z OP TP na finančné zabezpečenie školení.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o rodovej rovnosti rovnako ako aj o „gender mainstreaming“ a o zdravotnom postihnutí. Školenia sa budú  týkať spôsobu hodnotenia, procesu implementácie, monitorovania, kontroly.</w:t>
            </w:r>
          </w:p>
        </w:tc>
        <w:tc>
          <w:tcPr>
            <w:tcW w:w="138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máj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jc w:val="center"/>
              <w:rPr>
                <w:rFonts w:ascii="Arial Narrow" w:hAnsi="Arial Narrow"/>
                <w:b w:val="0"/>
                <w:bCs w:val="0"/>
                <w:sz w:val="16"/>
                <w:szCs w:val="16"/>
                <w:lang w:eastAsia="cs-CZ"/>
              </w:rPr>
            </w:pPr>
            <w:r>
              <w:rPr>
                <w:rFonts w:ascii="Arial Narrow" w:hAnsi="Arial Narrow"/>
                <w:sz w:val="16"/>
                <w:szCs w:val="16"/>
                <w:lang w:eastAsia="cs-CZ"/>
              </w:rPr>
              <w:lastRenderedPageBreak/>
              <w:t>2. Rodová rovnosť</w:t>
            </w:r>
          </w:p>
          <w:p>
            <w:pPr>
              <w:spacing w:after="0" w:line="240" w:lineRule="auto"/>
              <w:jc w:val="center"/>
              <w:rPr>
                <w:rFonts w:ascii="Arial Narrow"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311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i/>
                <w:sz w:val="16"/>
                <w:szCs w:val="16"/>
                <w:lang w:eastAsia="cs-CZ"/>
              </w:rPr>
              <w:t>Navýšenie administratívnych kapacít odboru rodovej rovnosti a rovnosti príležitostí</w:t>
            </w:r>
            <w:r>
              <w:rPr>
                <w:rFonts w:ascii="Arial Narrow" w:hAnsi="Arial Narrow"/>
                <w:sz w:val="16"/>
                <w:szCs w:val="16"/>
                <w:lang w:eastAsia="cs-CZ"/>
              </w:rPr>
              <w:t xml:space="preserve"> MPSVR SR.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horizontálnych princípov. Prierezovosť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i/>
                <w:sz w:val="16"/>
                <w:szCs w:val="16"/>
                <w:lang w:eastAsia="cs-CZ"/>
              </w:rPr>
              <w:t>Nová Stratégia rodovej rovnosti na roky 2014 - 2020</w:t>
            </w:r>
            <w:r>
              <w:rPr>
                <w:rFonts w:ascii="Arial Narrow" w:hAnsi="Arial Narrow"/>
                <w:sz w:val="16"/>
                <w:szCs w:val="16"/>
                <w:lang w:eastAsia="cs-CZ"/>
              </w:rPr>
              <w:t xml:space="preserve"> </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Pripravuje sa na základe vyhodnotenia súčasnej Národnej stratégia rodovej rovnosti na roky 2009 – 2013.</w:t>
            </w:r>
          </w:p>
        </w:tc>
        <w:tc>
          <w:tcPr>
            <w:tcW w:w="1382" w:type="dxa"/>
            <w:shd w:val="clear" w:color="auto" w:fill="auto"/>
          </w:tcPr>
          <w:p>
            <w:pPr>
              <w:tabs>
                <w:tab w:val="left" w:pos="2302"/>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rPr>
              <w:t>1. polrok 2014</w:t>
            </w:r>
            <w:r>
              <w:rPr>
                <w:rFonts w:ascii="Arial Narrow" w:hAnsi="Arial Narrow"/>
                <w:sz w:val="16"/>
                <w:szCs w:val="16"/>
                <w:lang w:eastAsia="cs-CZ"/>
              </w:rPr>
              <w:t xml:space="preserve"> </w:t>
            </w:r>
          </w:p>
          <w:p>
            <w:pPr>
              <w:pStyle w:val="Style31"/>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4. 2014 - navýšenie stavu administratívnych kapacít.</w:t>
            </w:r>
          </w:p>
          <w:p>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 6. 2014 - dosiahnutie optimalizovaného stavu administratívnych kapacít</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september 2014</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sk-SK"/>
              </w:rPr>
              <w:t>MPSVR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rPr>
                <w:rFonts w:ascii="Arial Narrow"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252"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i/>
                <w:sz w:val="16"/>
                <w:szCs w:val="16"/>
                <w:lang w:eastAsia="cs-CZ"/>
              </w:rPr>
              <w:t>Vypracovanie stratégie školenia a informovania zamestnancov zapojených do využívania fondov</w:t>
            </w:r>
            <w:r>
              <w:rPr>
                <w:rFonts w:ascii="Arial Narrow" w:hAnsi="Arial Narrow"/>
                <w:sz w:val="16"/>
                <w:szCs w:val="16"/>
                <w:lang w:eastAsia="cs-CZ"/>
              </w:rPr>
              <w:t xml:space="preserve"> a následné podanie projektu z OP TP na finančné zabezpečenie školení.</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o rodovej rovnosti rovnako ako aj o „gender mainstreaming“ . Školenia sa budú  týkať spôsobu hodnotenia, procesu implementácie, monitorovania, kontroly.</w:t>
            </w:r>
          </w:p>
        </w:tc>
        <w:tc>
          <w:tcPr>
            <w:tcW w:w="138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 xml:space="preserve">máj 2014 </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jc w:val="center"/>
              <w:rPr>
                <w:rFonts w:ascii="Arial Narrow" w:hAnsi="Arial Narrow"/>
                <w:b w:val="0"/>
                <w:bCs w:val="0"/>
                <w:sz w:val="16"/>
                <w:szCs w:val="16"/>
                <w:lang w:eastAsia="cs-CZ"/>
              </w:rPr>
            </w:pPr>
            <w:r>
              <w:rPr>
                <w:rFonts w:ascii="Arial Narrow" w:hAnsi="Arial Narrow"/>
                <w:sz w:val="16"/>
                <w:szCs w:val="16"/>
                <w:lang w:eastAsia="cs-CZ"/>
              </w:rPr>
              <w:t>3. Zdravotné postihnutie</w:t>
            </w:r>
          </w:p>
          <w:p>
            <w:pPr>
              <w:spacing w:after="0" w:line="240" w:lineRule="auto"/>
              <w:jc w:val="center"/>
              <w:rPr>
                <w:rFonts w:ascii="Arial Narrow" w:hAnsi="Arial Narrow" w:cs="Arial"/>
                <w:b w:val="0"/>
                <w:bCs w:val="0"/>
                <w:sz w:val="16"/>
                <w:szCs w:val="16"/>
              </w:rPr>
            </w:pPr>
            <w:r>
              <w:rPr>
                <w:rFonts w:ascii="Arial Narrow" w:hAnsi="Arial Narrow"/>
                <w:sz w:val="16"/>
                <w:szCs w:val="16"/>
                <w:lang w:eastAsia="cs-CZ"/>
              </w:rPr>
              <w:t xml:space="preserve">Existencia administratívnej kapacity na vykonávanie </w:t>
            </w:r>
            <w:r>
              <w:rPr>
                <w:rFonts w:ascii="Arial Narrow" w:hAnsi="Arial Narrow"/>
                <w:sz w:val="16"/>
                <w:szCs w:val="16"/>
                <w:lang w:eastAsia="cs-CZ"/>
              </w:rPr>
              <w:lastRenderedPageBreak/>
              <w:t>a uplatňovanie Dohovoru OSN o právach osôb so zdravotným postihnutím v oblasti EŠIF v súlade s rozhodnutím Rady 2010/48/ES</w:t>
            </w: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lastRenderedPageBreak/>
              <w:t xml:space="preserve">Opatrenia v súlade s inštitucionálnym a právnym rámcom členských štátov na vykonávanie konzultácií a zapojenie orgánov, ktoré sú </w:t>
            </w:r>
            <w:r>
              <w:rPr>
                <w:rFonts w:ascii="Arial Narrow" w:hAnsi="Arial Narrow"/>
                <w:sz w:val="16"/>
                <w:szCs w:val="16"/>
                <w:lang w:eastAsia="cs-CZ"/>
              </w:rPr>
              <w:lastRenderedPageBreak/>
              <w:t>zodpovedné  za ochranu práv osôb so zdravotným postihnutím, alebo organizácií zastupujúcich osoby so zdravotným postihnutím, a ďalšie príslušné zainteresované osoby počas prípravy a vykonávania programov.</w:t>
            </w:r>
          </w:p>
        </w:tc>
        <w:tc>
          <w:tcPr>
            <w:tcW w:w="4252" w:type="dxa"/>
            <w:shd w:val="clear" w:color="auto" w:fill="auto"/>
          </w:tcPr>
          <w:p>
            <w:pPr>
              <w:tabs>
                <w:tab w:val="left" w:pos="2302"/>
              </w:tabs>
              <w:spacing w:after="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eastAsia="en-GB"/>
              </w:rPr>
            </w:pPr>
            <w:r>
              <w:rPr>
                <w:rFonts w:ascii="Arial Narrow" w:hAnsi="Arial Narrow" w:cs="Calibri"/>
                <w:sz w:val="16"/>
                <w:szCs w:val="16"/>
              </w:rPr>
              <w:lastRenderedPageBreak/>
              <w:t xml:space="preserve">Navýšenie administratívnych kapacít odboru rodovej rovnosti a rovnosti príležitostí MPSVR SR ako aj odboru integrácie osôb so </w:t>
            </w:r>
            <w:r>
              <w:rPr>
                <w:rFonts w:ascii="Arial Narrow" w:hAnsi="Arial Narrow" w:cs="Calibri"/>
                <w:sz w:val="16"/>
                <w:szCs w:val="16"/>
              </w:rPr>
              <w:lastRenderedPageBreak/>
              <w:t>zdravotným postihnutím, ktoré plní úlohy Hlavného kontaktného miesta pre vykonávanie dohovoru OSN o právach osôb so zdravotným postihnutím. Novo vytvorené miesta budú zamerané na metodické vedenie, analytickú, strategickú, legislatívnu a vzdelávaciu činnosť súvisiacu s implementáciou horizontálnych princípov v EŠIF. Ich náplň práce bude zameraná na aktivity súvisiace s povinnosťami každého subjektu fondov so zameraním na tematickú prierezovosť horizontálnych princípov. Prierezovosť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tc>
        <w:tc>
          <w:tcPr>
            <w:tcW w:w="138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1. polrok 2014</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59" w:type="dxa"/>
            <w:shd w:val="clear" w:color="auto" w:fill="auto"/>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MPSVR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rPr>
                <w:rFonts w:ascii="Arial Narrow"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252" w:type="dxa"/>
          </w:tcPr>
          <w:p>
            <w:pPr>
              <w:widowControl w:val="0"/>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Pr>
                <w:rFonts w:ascii="Arial Narrow" w:hAnsi="Arial Narrow" w:cs="Calibri"/>
                <w:sz w:val="16"/>
                <w:szCs w:val="16"/>
              </w:rPr>
              <w:t>Vypracovanie stratégie školenia a informovania zamestnancov zapojených do využívania fondov a následné podanie projektu z OP TP na finančné zabezpečenie školení. Školenia sa budú týkať spôsobu hodnotenia, procesu implementácie, monitorovania, kontroly.</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382"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máj 2014</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rPr>
                <w:rFonts w:ascii="Arial Narrow" w:hAnsi="Arial Narrow" w:cs="Arial"/>
                <w:b w:val="0"/>
                <w:bCs w:val="0"/>
                <w:sz w:val="16"/>
                <w:szCs w:val="16"/>
              </w:rPr>
            </w:pP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 – príloha HP.</w:t>
            </w:r>
          </w:p>
        </w:tc>
        <w:tc>
          <w:tcPr>
            <w:tcW w:w="1382" w:type="dxa"/>
            <w:shd w:val="clear" w:color="auto" w:fill="auto"/>
          </w:tcPr>
          <w:p>
            <w:pPr>
              <w:tabs>
                <w:tab w:val="left" w:pos="2302"/>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31. 10. 2014</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do júna 2014 - zapracovanie článku 9 Dohovoru OSN do všetkých OP. </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jún - október 2014 - následné zapracovanie do riadiacej dokumentácie, proces uplatňovania v hodnotení , monitorovaní a kontrole, príprava assessment grid. </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rPr>
                <w:rFonts w:ascii="Arial Narrow" w:hAnsi="Arial Narrow"/>
                <w:sz w:val="16"/>
                <w:szCs w:val="16"/>
                <w:lang w:eastAsia="cs-CZ"/>
              </w:rPr>
            </w:pPr>
            <w:r>
              <w:rPr>
                <w:rFonts w:ascii="Arial Narrow" w:hAnsi="Arial Narrow"/>
                <w:sz w:val="16"/>
                <w:szCs w:val="16"/>
                <w:lang w:eastAsia="cs-CZ"/>
              </w:rPr>
              <w:t>5. Štátna pomoc</w:t>
            </w:r>
          </w:p>
          <w:p>
            <w:pPr>
              <w:spacing w:after="0" w:line="240" w:lineRule="auto"/>
              <w:rPr>
                <w:rFonts w:ascii="Arial Narrow" w:hAnsi="Arial Narrow" w:cs="Arial"/>
                <w:b w:val="0"/>
                <w:bCs w:val="0"/>
                <w:sz w:val="16"/>
                <w:szCs w:val="16"/>
              </w:rPr>
            </w:pPr>
            <w:r>
              <w:rPr>
                <w:rFonts w:ascii="Arial Narrow" w:hAnsi="Arial Narrow"/>
                <w:sz w:val="16"/>
                <w:szCs w:val="16"/>
                <w:lang w:eastAsia="cs-CZ"/>
              </w:rPr>
              <w:t>Existencia pravidiel na efektívne uplatňovanie práva Únie o štátnej pomoci v oblasti EŠIF.</w:t>
            </w: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sk-SK"/>
              </w:rPr>
              <w:t>Opatrenia na zabezpečenie účinného uplatňovania pravidiel Únie o štátnej pomoci.</w:t>
            </w:r>
          </w:p>
        </w:tc>
        <w:tc>
          <w:tcPr>
            <w:tcW w:w="425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rPr>
              <w:t xml:space="preserve">Návrh uznesenia vlády SR s cieľom posilniť úlohu národného koordinátora, aby bol zabezpečený súlad v implementácii pravidiel štátnej pomoci. </w:t>
            </w:r>
          </w:p>
        </w:tc>
        <w:tc>
          <w:tcPr>
            <w:tcW w:w="138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rPr>
              <w:t>apríl 2014</w:t>
            </w:r>
          </w:p>
        </w:tc>
        <w:tc>
          <w:tcPr>
            <w:tcW w:w="1559"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ÚV SR (CKO)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MF SR </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jc w:val="center"/>
              <w:rPr>
                <w:rFonts w:ascii="Arial Narrow"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pPr>
              <w:spacing w:after="0" w:line="240" w:lineRule="auto"/>
              <w:jc w:val="center"/>
              <w:rPr>
                <w:rFonts w:ascii="Arial Narrow"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sk-SK"/>
              </w:rPr>
              <w:t>Opatrenia na zabezpečenie účinného uplatňovania smernice Európskeho parlamentu a Rady 2011/92/EÚ (EIA) a smernice Európskeho parlamentu a Rady 2001/42/ES (SEA).</w:t>
            </w: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Plánovaná účinnosť novely zákona</w:t>
            </w:r>
          </w:p>
        </w:tc>
        <w:tc>
          <w:tcPr>
            <w:tcW w:w="138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1. 12. 2014</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MŽP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rPr>
                <w:rFonts w:ascii="Arial Narrow" w:hAnsi="Arial Narrow" w:cs="Arial"/>
                <w:b w:val="0"/>
                <w:bCs w:val="0"/>
                <w:sz w:val="16"/>
                <w:szCs w:val="16"/>
              </w:rPr>
            </w:pPr>
          </w:p>
        </w:tc>
        <w:tc>
          <w:tcPr>
            <w:tcW w:w="3119"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pPr>
              <w:numPr>
                <w:ilvl w:val="0"/>
                <w:numId w:val="63"/>
              </w:numPr>
              <w:spacing w:after="0"/>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pPr>
              <w:numPr>
                <w:ilvl w:val="0"/>
                <w:numId w:val="63"/>
              </w:numPr>
              <w:spacing w:after="0"/>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w:t>
            </w:r>
          </w:p>
          <w:p>
            <w:pPr>
              <w:numPr>
                <w:ilvl w:val="0"/>
                <w:numId w:val="63"/>
              </w:numPr>
              <w:spacing w:after="0"/>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povoľujúce orgány ako sa zverejní upovedomenie o začatí povoľovacieho konania, z ktorého bude jednoznačne vyplývať právo k prístupu k úplnej žiadosti o povolenie.</w:t>
            </w:r>
          </w:p>
        </w:tc>
        <w:tc>
          <w:tcPr>
            <w:tcW w:w="1382"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december 2013 </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 nadväznosti na postup prípravy legislatívnych úprav, môže dôjsť k posunu termínu na marec 2014)</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59"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rPr>
                <w:rFonts w:ascii="Arial Narrow" w:hAnsi="Arial Narrow" w:cs="Arial"/>
                <w:b w:val="0"/>
                <w:bCs w:val="0"/>
                <w:sz w:val="16"/>
                <w:szCs w:val="16"/>
              </w:rPr>
            </w:pP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príslušných legislatívnych úprav na medzirezortnej úrovni.</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szCs w:val="16"/>
              </w:rPr>
              <w:t>Predloženie príslušných legislatívnych úprav na schválenie vláde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Predloženie príslušných legislatívnych úprav na schválenie Národnej rade SR.</w:t>
            </w:r>
          </w:p>
        </w:tc>
        <w:tc>
          <w:tcPr>
            <w:tcW w:w="1382"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január - máj 2014</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szCs w:val="16"/>
              </w:rPr>
              <w:t>jún 2014</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september 2014</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rPr>
                <w:rFonts w:ascii="Arial Narrow" w:hAnsi="Arial Narrow" w:cs="Arial"/>
                <w:b w:val="0"/>
                <w:bCs w:val="0"/>
                <w:sz w:val="16"/>
                <w:szCs w:val="16"/>
              </w:rPr>
            </w:pPr>
          </w:p>
        </w:tc>
        <w:tc>
          <w:tcPr>
            <w:tcW w:w="3119"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Príprava III. ročníka konferencie s medzinárodnou účasťou SEA/EIA 2014 http://www.enviroportal.sk/kalendar-udalosti/den/27-05-2014</w:t>
            </w:r>
          </w:p>
        </w:tc>
        <w:tc>
          <w:tcPr>
            <w:tcW w:w="1382"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27. - 28. máj 2014 </w:t>
            </w:r>
          </w:p>
        </w:tc>
        <w:tc>
          <w:tcPr>
            <w:tcW w:w="1559"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rPr>
                <w:rFonts w:ascii="Arial Narrow" w:hAnsi="Arial Narrow" w:cs="Arial"/>
                <w:b w:val="0"/>
                <w:bCs w:val="0"/>
                <w:sz w:val="16"/>
                <w:szCs w:val="16"/>
              </w:rPr>
            </w:pP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sk-SK"/>
              </w:rPr>
              <w:t>Opatrenia v oblasti odbornej prípravy a informovania zamestnancov zapojených do vykonávania smerníc EIA a SEA.</w:t>
            </w:r>
          </w:p>
        </w:tc>
        <w:tc>
          <w:tcPr>
            <w:tcW w:w="4252"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Vykonanie školení reflektujúcich na príslušné legislatívne úpravy.</w:t>
            </w:r>
          </w:p>
        </w:tc>
        <w:tc>
          <w:tcPr>
            <w:tcW w:w="1382"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druhá polovica roka 2014</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pPr>
              <w:rPr>
                <w:rFonts w:ascii="Arial Narrow" w:hAnsi="Arial Narrow"/>
                <w:sz w:val="16"/>
                <w:szCs w:val="16"/>
                <w:lang w:eastAsia="cs-CZ"/>
              </w:rPr>
            </w:pPr>
            <w:r>
              <w:rPr>
                <w:rFonts w:ascii="Arial Narrow" w:hAnsi="Arial Narrow"/>
                <w:sz w:val="16"/>
                <w:szCs w:val="16"/>
                <w:lang w:eastAsia="cs-CZ"/>
              </w:rPr>
              <w:t>7. Štatistické systémy a ukazovatele výsledkov</w:t>
            </w:r>
          </w:p>
          <w:p>
            <w:pPr>
              <w:rPr>
                <w:rFonts w:ascii="Arial Narrow" w:hAnsi="Arial Narrow"/>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pPr>
              <w:spacing w:after="0" w:line="240" w:lineRule="auto"/>
              <w:rPr>
                <w:rFonts w:ascii="Arial Narrow" w:hAnsi="Arial Narrow" w:cs="Arial"/>
                <w:b w:val="0"/>
                <w:bCs w:val="0"/>
                <w:sz w:val="16"/>
                <w:szCs w:val="16"/>
              </w:rPr>
            </w:pPr>
            <w:r>
              <w:rPr>
                <w:rFonts w:ascii="Arial Narrow" w:hAnsi="Arial Narrow"/>
                <w:sz w:val="16"/>
                <w:szCs w:val="16"/>
                <w:lang w:eastAsia="cs-CZ"/>
              </w:rPr>
              <w:t xml:space="preserve">Existencia systému ukazovateľov výsledkov nevyhnutných pre výber opatrení, ktoré čo najúčinnejšie prispievajú k dosiahnutiu želaných </w:t>
            </w:r>
            <w:r>
              <w:rPr>
                <w:rFonts w:ascii="Arial Narrow" w:hAnsi="Arial Narrow"/>
                <w:sz w:val="16"/>
                <w:szCs w:val="16"/>
                <w:lang w:eastAsia="cs-CZ"/>
              </w:rPr>
              <w:lastRenderedPageBreak/>
              <w:t>výsledkov, pre monitorovanie pokroku pri dosahovaní výsledkov a vykonanie posúdenia vplyvu.</w:t>
            </w:r>
          </w:p>
        </w:tc>
        <w:tc>
          <w:tcPr>
            <w:tcW w:w="311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Zavedené sú opatrenia na zabezpečenie včasného zhromaždenia a konsolidácie štatistických údajov s týmito prvkami:</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identifikácia zdrojov a mechanizmov na zaručenie validácie štatistických údajov,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cs-CZ"/>
              </w:rPr>
              <w:t>- opatrenia na uverejnenie konsolidovaných údajov a ich sprístupnenie verejnosti.</w:t>
            </w:r>
          </w:p>
        </w:tc>
        <w:tc>
          <w:tcPr>
            <w:tcW w:w="4252"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Na základe dokumentu </w:t>
            </w:r>
            <w:r>
              <w:rPr>
                <w:rFonts w:ascii="Arial Narrow" w:hAnsi="Arial Narrow"/>
                <w:i/>
                <w:sz w:val="16"/>
                <w:szCs w:val="16"/>
              </w:rPr>
              <w:t>návrh Usmernenia CKO k tvorbe merateľných ukazovateľov na programovej a projektovej úrovni</w:t>
            </w:r>
            <w:r>
              <w:rPr>
                <w:rFonts w:ascii="Arial Narrow" w:hAnsi="Arial Narrow"/>
                <w:sz w:val="16"/>
                <w:szCs w:val="16"/>
              </w:rPr>
              <w:t xml:space="preserve"> vo vzťahu k identifikácii zdrojov a mechanizmov na zaručenie validácie štatistických údajov sú navrhované nasledujúce opatrenia:</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i/>
                <w:sz w:val="16"/>
                <w:szCs w:val="16"/>
              </w:rPr>
              <w:t>1. Zhrnutie potrebných údajov s ohľadom na nastavený systém ukazovateľov na úrovni jednotlivých OP a identifikácia zdrojov údajov a ich nositeľov</w:t>
            </w:r>
            <w:r>
              <w:rPr>
                <w:rFonts w:ascii="Arial Narrow" w:hAnsi="Arial Narrow"/>
                <w:sz w:val="16"/>
                <w:szCs w:val="16"/>
              </w:rPr>
              <w:t>:</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Po vypracovaní opisu systémov monitorovania a hodnotenia na úrovni jednotlivých operačných programov bude jasné, aké údaje je potrebné mať k dispozícii (vrátane identifikovania rozsahu subjektov, o ktorých bude potrebné údaje zbierať) a z akých zdrojov je možné predmetné údaje získať. Zhrnutie týchto informácií bude vykonané na centrálnej úrovni.</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So Štatistickým úradom SR a Sociálnou poisťovňou boli realizované predbežné konzultácie o možnosti poskytovania/zbierania potrebných dát. Po identifikácii konkrétnych údajov budú s relevantnými inštitúciami uzavreté dohody o spolupráci. </w:t>
            </w:r>
          </w:p>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2. Prijatie adekvátnych opatrení na uchovávanie dát v elektronickej podobe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 nadväznosti na zadefinovanie rozsahu údajov a charakteru dát, ktoré sú potrebné na vykazovanie jednotlivých ukazovateľov, ktoré budú identifikované v rámci jednotlivých operačných programov  bude zabezpečené, aby ich uchovávanie v rámci elektronického systému spĺňalo požiadavky na dostatočnú ochranu pred stratou a znehodnotením, vrátane schopnosti prenosu údajov prostredníctvom SFC 2014. Uvedené skutočnosti sú už aktuálne zohľadnené v rámci požiadaviek na  informačný systém.</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i/>
                <w:sz w:val="16"/>
                <w:szCs w:val="16"/>
              </w:rPr>
              <w:t>3. Nastavenie pravidiel pre dodržiavanie ustanovení o ochrane osobných údajov</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Rešpektovanie pravidiel ochrany osobných údajov vychádzajúce z ustanovenia zákona č. 122/2013 Z. z. o ochrane osobných údajov a o zmene a doplnení niektorých zákonov bude zapracované do záväzných podmienok pre riadiace orgány v súvislosti s implementáciou operačných programov prostredníctvom povinností uložených Systémom riadenia a kontroly pre programové obdobie 2014 – 2020, s osobitnou identifikáciou fázy zberu údajov pre monitorovanie a hodnotenie merateľných ukazovateľov.</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Pr>
                <w:rFonts w:ascii="Arial Narrow" w:hAnsi="Arial Narrow"/>
                <w:sz w:val="16"/>
                <w:szCs w:val="16"/>
                <w:u w:val="single"/>
              </w:rPr>
              <w:t>Definovanie záväzných pravidiel v oblasti zverejňovania informácií na centrálnej úrovni</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Dostupnosť údajov o vykonávaní jednotlivých operačných programov, vrátane dostupnosti informácií o ukazovateľoch a ich dosahovaní, bude zakotvené ako povinnosť pre jednotlivé riadiace </w:t>
            </w:r>
            <w:r>
              <w:rPr>
                <w:rFonts w:ascii="Arial Narrow" w:hAnsi="Arial Narrow"/>
                <w:sz w:val="16"/>
                <w:szCs w:val="16"/>
              </w:rPr>
              <w:lastRenderedPageBreak/>
              <w:t>orgány v Systéme riadenia a kontroly pre programové  obdobie 2014 – 2020. Dostupnosť údajov pre verejnosť bude v podobe povinnosti riadiacich orgánov zakotvenej v predmetnom dokumente vo forme povinného zverejňovania výročných správ o implementácii operačných programov na internetových stránkach riadiacich orgánov, ktorých súčasťou budú aj informácie o ukazovateľoch.</w:t>
            </w:r>
          </w:p>
        </w:tc>
        <w:tc>
          <w:tcPr>
            <w:tcW w:w="1382"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 xml:space="preserve">Termín predloženia opisov monitorovania a hodnotenia 15. 1. 2014 (OP ĽZ, 20. 1. 2014)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Finálny návrh - pri finálnej verzii OP </w:t>
            </w:r>
            <w:r>
              <w:rPr>
                <w:rFonts w:ascii="Arial Narrow" w:hAnsi="Arial Narrow"/>
                <w:sz w:val="16"/>
                <w:szCs w:val="16"/>
                <w:lang w:eastAsia="cs-CZ"/>
              </w:rPr>
              <w:lastRenderedPageBreak/>
              <w:t>zaslaných na schválenie do 30. 4. 2014, v prípade OP RH 31. 10. 2014.</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Finalizácia opisov monitorovania a hodnotenia v OP do 30. 4. 2014, v prípade OP RH 31.10.2014.</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 4. 2014 (predpokladaný dátum schválenia Systému riadenia a kontroly pre programové obdobie 2014 - 2020)</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cs-CZ"/>
              </w:rPr>
              <w:t>30. 4. 2014 (predpokladaný dátum schválenia Systému riadenia a kontroly pre programové obdobie 2014 -2020)</w:t>
            </w:r>
          </w:p>
        </w:tc>
        <w:tc>
          <w:tcPr>
            <w:tcW w:w="155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MDVRR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MŽP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MPRV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MV SR</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ÚV SR</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(subjekty zodpovedné za prípravu operačných programov pre programové obdobie 2014 – 2020, vrátane ÚV SR ako CKO)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pPr>
              <w:spacing w:after="0" w:line="240" w:lineRule="auto"/>
              <w:rPr>
                <w:rFonts w:ascii="Arial Narrow" w:hAnsi="Arial Narrow" w:cs="Arial"/>
                <w:b w:val="0"/>
                <w:bCs w:val="0"/>
                <w:sz w:val="16"/>
                <w:szCs w:val="16"/>
              </w:rPr>
            </w:pPr>
          </w:p>
        </w:tc>
        <w:tc>
          <w:tcPr>
            <w:tcW w:w="3119" w:type="dxa"/>
            <w:shd w:val="clear" w:color="auto" w:fill="auto"/>
          </w:tcPr>
          <w:p>
            <w:pPr>
              <w:keepNext/>
              <w:widowControl w:val="0"/>
              <w:cnfStyle w:val="000000100000" w:firstRow="0" w:lastRow="0" w:firstColumn="0" w:lastColumn="0" w:oddVBand="0" w:evenVBand="0" w:oddHBand="1" w:evenHBand="0" w:firstRowFirstColumn="0" w:firstRowLastColumn="0" w:lastRowFirstColumn="0" w:lastRowLastColumn="0"/>
              <w:rPr>
                <w:rFonts w:ascii="Arial Narrow" w:hAnsi="Arial Narrow"/>
                <w:noProof/>
                <w:sz w:val="16"/>
                <w:szCs w:val="16"/>
              </w:rPr>
            </w:pPr>
            <w:r>
              <w:rPr>
                <w:rFonts w:ascii="Arial Narrow" w:hAnsi="Arial Narrow"/>
                <w:noProof/>
                <w:sz w:val="16"/>
                <w:szCs w:val="16"/>
              </w:rPr>
              <w:t>Účinný systém ukazovateľov výsledkov vrátane:</w:t>
            </w:r>
          </w:p>
          <w:p>
            <w:pPr>
              <w:keepNext/>
              <w:widowControl w:val="0"/>
              <w:contextual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rPr>
              <w:t>- výberu ukazovateľov výsledkov pre každý program poskytujúcich informácie o tom, čo motivuje výber politických opatrení financovaných programom,</w:t>
            </w:r>
          </w:p>
          <w:p>
            <w:pPr>
              <w:keepNext/>
              <w:widowControl w:val="0"/>
              <w:contextual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rPr>
              <w:t>- stanovenia cieľov týchto ukazovateľov,</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rPr>
              <w:t>- súladu každého ukazovateľa s týmito náležitosťami: odolnosť a štatistická validácia, jasný normatívny výklad, citlivosť voči politike a  včasné zhromažďovanie údajov.</w:t>
            </w:r>
          </w:p>
        </w:tc>
        <w:tc>
          <w:tcPr>
            <w:tcW w:w="425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Metodická podpora a harmonizácia pravidiel v oblasti tvorby systému ukazovateľov na úrovni jednotlivých OP</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Splnenie kvalitatívnych kritérií vzťahujúcich sa na jednotlivé ukazovatele výsledku bude zabezpečené na úrovni jednotlivých operačných programov, pričom je nevyhnutné, aby každý merateľný ukazovateľ pred jeho navrhnutím na schválenie v rámci operačného programu, poskytoval dostatočné údaje na uistenie sa o splnení požadovaných kritérií. Plnenie kritérií týkajúcich sa efektívneho systému ukazovateľov výsledku predpokladá preto ich plnenie na úrovni jednotlivých operačných programov.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2. Kvalitatívne posúdenie návrhu ukazovateľov výsledku na úrovni jednotlivých OP</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Posúdenie merateľných ukazovateľov, nastavenie systému monitorovania a hodnotenia (vrátane nastavenia systému riadenia OP) bude súčasťou ex ante hodnotenia operačného programu. Uvedené odporúčanie na zahrnutie vyššie uvedenej požiadavky do ex ante hodnotenia je súčasťou Metodického pokynu CKO č. 1 pre programové obdobie 2014 – 2020 k vykonaniu ex ante hodnotení pre programové obdobie 2014 – 2020.</w:t>
            </w:r>
          </w:p>
        </w:tc>
        <w:tc>
          <w:tcPr>
            <w:tcW w:w="1382"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30. 4. 2014 (predpokladaný termín schválenia OP, v prípade OP RH 31. 10. 2014, pričom plnenie jednotlivých úloh spojených s prípravou návrhu efektívneho  systému ukazovateľov výsledku prebieha priebežne spolu s prípravou OP)</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spacing w:after="0" w:line="240" w:lineRule="auto"/>
              <w:rPr>
                <w:rFonts w:ascii="Arial Narrow"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cs-CZ"/>
              </w:rPr>
              <w:t>Postupy zavedené na zaručenie toho, aby všetky operácie financované z programu prijali účinný systém ukazovateľov.</w:t>
            </w:r>
          </w:p>
        </w:tc>
        <w:tc>
          <w:tcPr>
            <w:tcW w:w="4252"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cs-CZ"/>
              </w:rPr>
            </w:pPr>
            <w:r>
              <w:rPr>
                <w:rFonts w:ascii="Arial Narrow" w:hAnsi="Arial Narrow"/>
                <w:i/>
                <w:sz w:val="16"/>
                <w:szCs w:val="16"/>
                <w:lang w:eastAsia="cs-CZ"/>
              </w:rPr>
              <w:t>Identifikácia nositeľov údajov potrebných pre sledovanie dosahovania indikátorov na úrovni jednotlivých OP a uzavretie dohôd o spolupráci s týmito subjektmi</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cs-CZ"/>
              </w:rPr>
              <w:t xml:space="preserve">V nadväznosti na zadefinovanie systému merateľných ukazovateľov a predovšetkým identifikovaných zdrojov údajov budú navrhnuté konkrétne postupy potrebné pre zabezpečenie dostupnosti údajov nevyhnutných pre vykonávanie hodnotenia na úrovni operačných programov. Bude zabezpečená identifikácia subjektov, ktoré sú spôsobilé na zber potrebných informácií a následne sa v prípade potreby pristúpi k uzavretiu osobitných dohôd s identifikovaným subjektom za účelom získavania daných údajov (ak tieto údaje nevie ich nositeľ poskytnúť z dôvodu, že takéto informácie doposiaľ nezbieral alebo ich nemá v potrebnej podobe). Uvedená povinnosť </w:t>
            </w:r>
            <w:r>
              <w:rPr>
                <w:rFonts w:ascii="Arial Narrow" w:hAnsi="Arial Narrow"/>
                <w:sz w:val="16"/>
                <w:szCs w:val="16"/>
                <w:lang w:eastAsia="cs-CZ"/>
              </w:rPr>
              <w:lastRenderedPageBreak/>
              <w:t xml:space="preserve">bude zastrešená na úrovni CKO v nadväznosti na identifikáciu potrebných údajov v rámci opisov systému monitorovania a hodnotenia od jednotlivých subjektov zodpovedných za prípravu operačných programov. CKO v rámci pracovnej skupiny k tejto ex ante kondicionalite spolupracuje, o. i. aj so ŠÚ SR, ktorého zástupca sa zasadnutí zúčastňuje ako riadny člen. V rámci nadviazanej spolupráce je dohodnuté, že po identifikácii rozsahu potrebných údajov sa pristúpi k uzavretiu relevantných dohôd potrebných na získavanie takýchto údajov. Rovnakým spôsobom bude pristupované aj k iným inštitúciám, ktoré budú disponovať potrebnými informáciami, ktorých identifikácia bude vykonaná na základe potrieb identifikovaných na úrovni jednotlivých OP (ide predovšetkým o Sociálnu poisťovňu, Finančné riaditeľstvo a pod.).   </w:t>
            </w:r>
          </w:p>
        </w:tc>
        <w:tc>
          <w:tcPr>
            <w:tcW w:w="1382"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30. 4. 2014</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cs-CZ"/>
              </w:rPr>
              <w:t>v prípade OP RH 31. 10.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r>
    </w:tbl>
    <w:p>
      <w:pPr>
        <w:rPr>
          <w:rStyle w:val="Siln"/>
          <w:rFonts w:ascii="Arial" w:hAnsi="Arial" w:cs="Arial"/>
        </w:rPr>
      </w:pPr>
    </w:p>
    <w:p>
      <w:pPr>
        <w:rPr>
          <w:rStyle w:val="Zvraznenie"/>
          <w:rFonts w:ascii="Arial" w:hAnsi="Arial" w:cs="Arial"/>
        </w:rPr>
      </w:pPr>
      <w:r>
        <w:rPr>
          <w:rStyle w:val="Siln"/>
          <w:rFonts w:ascii="Arial" w:hAnsi="Arial" w:cs="Arial"/>
        </w:rPr>
        <w:t xml:space="preserve">Tabuľka č. 59 </w:t>
      </w:r>
      <w:r>
        <w:rPr>
          <w:rStyle w:val="Zvraznenie"/>
          <w:rFonts w:ascii="Arial" w:hAnsi="Arial" w:cs="Arial"/>
        </w:rPr>
        <w:t>Opatrenia na splnenie aplikovateľných tematických ex ante kondicionalít</w:t>
      </w:r>
    </w:p>
    <w:tbl>
      <w:tblPr>
        <w:tblStyle w:val="Svetlmriekazvraznenie111"/>
        <w:tblW w:w="13716" w:type="dxa"/>
        <w:tblLook w:val="04A0" w:firstRow="1" w:lastRow="0" w:firstColumn="1" w:lastColumn="0" w:noHBand="0" w:noVBand="1"/>
      </w:tblPr>
      <w:tblGrid>
        <w:gridCol w:w="3085"/>
        <w:gridCol w:w="3402"/>
        <w:gridCol w:w="4536"/>
        <w:gridCol w:w="1134"/>
        <w:gridCol w:w="15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spacing w:after="0" w:line="240" w:lineRule="auto"/>
              <w:rPr>
                <w:rFonts w:ascii="Arial Narrow" w:hAnsi="Arial Narrow" w:cs="Arial"/>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402"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bCs w:val="0"/>
                <w:sz w:val="16"/>
                <w:szCs w:val="16"/>
              </w:rPr>
              <w:t>Nesplnené kritériá</w:t>
            </w:r>
          </w:p>
        </w:tc>
        <w:tc>
          <w:tcPr>
            <w:tcW w:w="4536"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bCs w:val="0"/>
                <w:sz w:val="16"/>
                <w:szCs w:val="16"/>
              </w:rPr>
              <w:t>Plánované opatrenia</w:t>
            </w:r>
          </w:p>
        </w:tc>
        <w:tc>
          <w:tcPr>
            <w:tcW w:w="1134"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bCs w:val="0"/>
                <w:sz w:val="16"/>
                <w:szCs w:val="16"/>
              </w:rPr>
              <w:t>Termín (dátum)</w:t>
            </w:r>
          </w:p>
        </w:tc>
        <w:tc>
          <w:tcPr>
            <w:tcW w:w="1559"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Pr>
                <w:rFonts w:ascii="Arial Narrow" w:hAnsi="Arial Narrow" w:cs="Arial"/>
                <w:bCs w:val="0"/>
                <w:sz w:val="16"/>
                <w:szCs w:val="16"/>
              </w:rPr>
              <w:t>Orgán zodpovedný za splnenie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pPr>
              <w:spacing w:after="0" w:line="240" w:lineRule="auto"/>
              <w:rPr>
                <w:rFonts w:ascii="Arial Narrow" w:hAnsi="Arial Narrow" w:cs="Arial"/>
                <w:bCs w:val="0"/>
                <w:sz w:val="16"/>
                <w:szCs w:val="16"/>
              </w:rPr>
            </w:pPr>
            <w:r>
              <w:rPr>
                <w:rFonts w:ascii="Arial Narrow" w:hAnsi="Arial Narrow"/>
                <w:sz w:val="16"/>
                <w:szCs w:val="16"/>
                <w:lang w:eastAsia="cs-CZ"/>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3402"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Bol prijatý rámec opisujúci dostupné rozpočtové zdroje na výskum a inovácie.</w:t>
            </w:r>
          </w:p>
        </w:tc>
        <w:tc>
          <w:tcPr>
            <w:tcW w:w="4536"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Vypracovanie Akčného plánu implementácie RIS3 pre roky 2014 – 2016.</w:t>
            </w:r>
          </w:p>
        </w:tc>
        <w:tc>
          <w:tcPr>
            <w:tcW w:w="1134"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31. 3. 2014</w:t>
            </w: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MH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pPr>
              <w:jc w:val="center"/>
              <w:rPr>
                <w:rFonts w:ascii="Arial Narrow" w:hAnsi="Arial Narrow"/>
                <w:sz w:val="16"/>
                <w:szCs w:val="16"/>
              </w:rPr>
            </w:pPr>
            <w:r>
              <w:rPr>
                <w:rFonts w:ascii="Arial Narrow" w:hAnsi="Arial Narrow"/>
                <w:sz w:val="16"/>
                <w:szCs w:val="16"/>
              </w:rPr>
              <w:t>7.1.  Doprava:</w:t>
            </w:r>
          </w:p>
          <w:p>
            <w:pPr>
              <w:spacing w:after="0" w:line="240" w:lineRule="auto"/>
              <w:jc w:val="center"/>
              <w:rPr>
                <w:rFonts w:ascii="Arial Narrow" w:hAnsi="Arial Narrow" w:cs="Arial"/>
                <w:b w:val="0"/>
                <w:bCs w:val="0"/>
                <w:sz w:val="16"/>
                <w:szCs w:val="16"/>
              </w:rPr>
            </w:pPr>
            <w:r>
              <w:rPr>
                <w:rFonts w:ascii="Arial Narrow" w:hAnsi="Arial Narrow"/>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402" w:type="dxa"/>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536"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pPr>
              <w:spacing w:before="60"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134"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apríl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pPr>
              <w:spacing w:after="0" w:line="240" w:lineRule="auto"/>
              <w:rPr>
                <w:rFonts w:ascii="Arial Narrow" w:hAnsi="Arial Narrow" w:cs="Arial"/>
                <w:bCs w:val="0"/>
                <w:sz w:val="16"/>
                <w:szCs w:val="16"/>
              </w:rPr>
            </w:pPr>
          </w:p>
        </w:tc>
        <w:tc>
          <w:tcPr>
            <w:tcW w:w="340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53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Zabezpečenie dopravného modelu SR za účelom účinnejšieho posúdenia potrieb a efektívnejšieho plánovania ďalšieho rozvoja dopravnej infraštruktúry SR.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 Vykonanie strategického environmentálneho hodnotenia. </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Predloženie EK za účelom posúdenia úplného splnenia ex ante kondicionalít stanovených pre sektor dopravy.</w:t>
            </w:r>
          </w:p>
        </w:tc>
        <w:tc>
          <w:tcPr>
            <w:tcW w:w="1134"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október 2015</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jún 2016</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október 2016</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november 2016</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december 2016</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december 2016</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MDVRR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pPr>
              <w:spacing w:after="0" w:line="240" w:lineRule="auto"/>
              <w:rPr>
                <w:rFonts w:ascii="Arial Narrow" w:hAnsi="Arial Narrow" w:cs="Arial"/>
                <w:bCs w:val="0"/>
                <w:sz w:val="16"/>
                <w:szCs w:val="16"/>
              </w:rPr>
            </w:pPr>
          </w:p>
        </w:tc>
        <w:tc>
          <w:tcPr>
            <w:tcW w:w="340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realistickú a kvalitnú realizáciu projektov, pri ktorých sa počíta s podporou zo strany EFRR a Kohézneho fondu,</w:t>
            </w:r>
          </w:p>
        </w:tc>
        <w:tc>
          <w:tcPr>
            <w:tcW w:w="4536"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 xml:space="preserve">Vypracovanie </w:t>
            </w:r>
            <w:r>
              <w:rPr>
                <w:rFonts w:ascii="Arial Narrow" w:hAnsi="Arial Narrow"/>
                <w:i/>
                <w:sz w:val="16"/>
                <w:szCs w:val="16"/>
              </w:rPr>
              <w:t>implementačného plánu projektov financovaných z KF, EFRR a CEF</w:t>
            </w:r>
            <w:r>
              <w:rPr>
                <w:rFonts w:ascii="Arial Narrow" w:hAnsi="Arial Narrow"/>
                <w:sz w:val="16"/>
                <w:szCs w:val="16"/>
              </w:rPr>
              <w:t xml:space="preserve"> (názov projektu, náklady, EIA proces, stupeň projektovej prípravy, termín realizácie, predpokladaný finančný plán, plánované termíny prípravy žiadosti o podporu, schválenia projektu RO, predloženia ŽoPP na EK atď.). Súčasťou implementačného plánu bude opis každého navrhovaného projektu, ktorý bude poskytovať súhrnné informácie o projekte (lokalizácia, súčasná dopravná situácia, technické parametre projektu, výstupové/výsledkové ukazovatele projektu atď.). </w:t>
            </w:r>
          </w:p>
        </w:tc>
        <w:tc>
          <w:tcPr>
            <w:tcW w:w="1134"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máj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pPr>
              <w:spacing w:after="0" w:line="240" w:lineRule="auto"/>
              <w:rPr>
                <w:rFonts w:ascii="Arial Narrow" w:hAnsi="Arial Narrow" w:cs="Arial"/>
                <w:bCs w:val="0"/>
                <w:sz w:val="16"/>
                <w:szCs w:val="16"/>
              </w:rPr>
            </w:pPr>
          </w:p>
        </w:tc>
        <w:tc>
          <w:tcPr>
            <w:tcW w:w="340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53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134"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máj 2014</w:t>
            </w: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spacing w:after="0" w:line="240" w:lineRule="auto"/>
              <w:rPr>
                <w:rFonts w:ascii="Arial Narrow" w:hAnsi="Arial Narrow" w:cs="Arial"/>
                <w:bCs w:val="0"/>
                <w:sz w:val="16"/>
                <w:szCs w:val="16"/>
              </w:rPr>
            </w:pPr>
          </w:p>
        </w:tc>
        <w:tc>
          <w:tcPr>
            <w:tcW w:w="340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536"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134"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október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tcPr>
          <w:p>
            <w:pPr>
              <w:spacing w:after="0" w:line="240" w:lineRule="auto"/>
              <w:rPr>
                <w:rFonts w:ascii="Arial Narrow" w:hAnsi="Arial Narrow" w:cs="Arial"/>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402"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Zavedený je národný strategický politický rámec pre znižovanie chudoby, zameraný na aktívne začleňovanie, ktorý:</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 - poskytuje dostatok dôkazov, na základe ktorých sa dajú stanoviť politiky v oblasti znižovania chudoby a sledovať vývoj,</w:t>
            </w:r>
          </w:p>
        </w:tc>
        <w:tc>
          <w:tcPr>
            <w:tcW w:w="453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august 2013 – február 2014</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lang w:eastAsia="cs-CZ"/>
              </w:rPr>
              <w:t>august 2013 – február 2014</w:t>
            </w: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pPr>
              <w:spacing w:after="0" w:line="240" w:lineRule="auto"/>
              <w:rPr>
                <w:rFonts w:ascii="Arial Narrow" w:hAnsi="Arial Narrow" w:cs="Arial"/>
                <w:bCs w:val="0"/>
                <w:sz w:val="16"/>
                <w:szCs w:val="16"/>
              </w:rPr>
            </w:pPr>
          </w:p>
        </w:tc>
        <w:tc>
          <w:tcPr>
            <w:tcW w:w="340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536"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134" w:type="dxa"/>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pPr>
              <w:spacing w:after="0" w:line="240" w:lineRule="auto"/>
              <w:rPr>
                <w:rFonts w:ascii="Arial Narrow" w:hAnsi="Arial Narrow" w:cs="Arial"/>
                <w:bCs w:val="0"/>
                <w:sz w:val="16"/>
                <w:szCs w:val="16"/>
              </w:rPr>
            </w:pPr>
          </w:p>
        </w:tc>
        <w:tc>
          <w:tcPr>
            <w:tcW w:w="340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Na žiadosť a podľa potreby sa príslušným zainteresovaným stranám poskytne podpora pri predkladaní žiadostí o projekty a pri vykonávaní a riadení vybraných projektov.</w:t>
            </w:r>
          </w:p>
        </w:tc>
        <w:tc>
          <w:tcPr>
            <w:tcW w:w="453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134"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spacing w:after="0" w:line="240" w:lineRule="auto"/>
              <w:rPr>
                <w:rFonts w:ascii="Arial Narrow" w:hAnsi="Arial Narrow" w:cs="Arial"/>
                <w:bCs w:val="0"/>
                <w:sz w:val="16"/>
                <w:szCs w:val="16"/>
              </w:rPr>
            </w:pPr>
            <w:r>
              <w:rPr>
                <w:rFonts w:ascii="Arial Narrow" w:hAnsi="Arial Narrow"/>
                <w:sz w:val="16"/>
                <w:szCs w:val="16"/>
              </w:rPr>
              <w:t xml:space="preserve">9.3. Zdravie: existencia národného alebo regionálneho strategického politického rámca pre zdravie v medziach článku 168 ZFEÚ, </w:t>
            </w:r>
            <w:r>
              <w:rPr>
                <w:rFonts w:ascii="Arial Narrow" w:hAnsi="Arial Narrow"/>
                <w:sz w:val="16"/>
                <w:szCs w:val="16"/>
              </w:rPr>
              <w:lastRenderedPageBreak/>
              <w:t>ktorý zabezpečí ekonomickú udržateľnosť.</w:t>
            </w:r>
          </w:p>
        </w:tc>
        <w:tc>
          <w:tcPr>
            <w:tcW w:w="3402" w:type="dxa"/>
          </w:tcPr>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lastRenderedPageBreak/>
              <w:t xml:space="preserve">Koordinované opatrenia na zlepšenie prístupu </w:t>
            </w:r>
            <w:r>
              <w:rPr>
                <w:rFonts w:ascii="Arial Narrow" w:eastAsia="Times New Roman" w:hAnsi="Arial Narrow"/>
                <w:sz w:val="16"/>
                <w:szCs w:val="16"/>
                <w:lang w:eastAsia="cs-CZ"/>
              </w:rPr>
              <w:lastRenderedPageBreak/>
              <w:t>k zdravotným službám</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Opatrenia na podporu efektívnosti sektora zdravotníctva prostredníctvom zavádzania modelov poskytovania služieb a infraštruktúry</w:t>
            </w:r>
          </w:p>
          <w:p>
            <w:pPr>
              <w:tabs>
                <w:tab w:val="left" w:pos="3"/>
                <w:tab w:val="num" w:pos="2580"/>
              </w:tabs>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Systém monitorovania a kontroly</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Členský štát alebo región prijal rámec orientačne opisujúci dostupné rozpočtové prostriedky a nákladovo efektívnu koncentráciu prostriedkov na prioritné potreby pre zdravotnú starostlivosť</w:t>
            </w:r>
          </w:p>
        </w:tc>
        <w:tc>
          <w:tcPr>
            <w:tcW w:w="4536" w:type="dxa"/>
          </w:tcPr>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lastRenderedPageBreak/>
              <w:t>Vypracovanie realizačnej stratégie v oblasti integrovanej zdravotnej starostlivosti.</w:t>
            </w: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lastRenderedPageBreak/>
              <w:t>Vypracovanie realizačnej stratégie v oblasti implementácie štandardizovaných preventívnych a klinických postupov.</w:t>
            </w: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Vypracovanie dokumentu popisujúceho systém monitorovania a kontroly realizácie a napĺňanie čiastkových  implementačných stratégií.</w:t>
            </w: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p>
          <w:p>
            <w:pPr>
              <w:pStyle w:val="Obyajnt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Predloženie dokumentov na EK za účelom posúdenia úplného splnenia ex ante kondicionality.</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134" w:type="dxa"/>
          </w:tcPr>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lastRenderedPageBreak/>
              <w:t>Do 31. 7. 2014</w:t>
            </w:r>
          </w:p>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lastRenderedPageBreak/>
              <w:t>Do 31. 7. 2014</w:t>
            </w:r>
          </w:p>
          <w:p>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Do 31.8.2014</w:t>
            </w:r>
          </w:p>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Najneskôr do 31. 12. 2014</w:t>
            </w:r>
          </w:p>
        </w:tc>
        <w:tc>
          <w:tcPr>
            <w:tcW w:w="155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lastRenderedPageBreak/>
              <w:t>MZ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pPr>
              <w:spacing w:after="0" w:line="240" w:lineRule="auto"/>
              <w:rPr>
                <w:rFonts w:ascii="Arial Narrow" w:hAnsi="Arial Narrow" w:cs="Arial"/>
                <w:bCs w:val="0"/>
                <w:sz w:val="16"/>
                <w:szCs w:val="16"/>
              </w:rPr>
            </w:pPr>
            <w:r>
              <w:rPr>
                <w:rFonts w:ascii="Arial Narrow" w:hAnsi="Arial Narrow"/>
                <w:sz w:val="16"/>
                <w:szCs w:val="16"/>
                <w:lang w:eastAsia="cs-CZ"/>
              </w:rPr>
              <w:lastRenderedPageBreak/>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402" w:type="dxa"/>
            <w:shd w:val="clear" w:color="auto" w:fill="auto"/>
          </w:tcPr>
          <w:p>
            <w:pPr>
              <w:tabs>
                <w:tab w:val="left" w:pos="3"/>
                <w:tab w:val="num" w:pos="2580"/>
              </w:tabs>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Zavedený je systém na zhromažďovanie a analýzu údajov a informácií o predčasnom ukončovaní školskej dochádzky na príslušných úrovniach, ktorý: </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poskytuje dostatok dôkazov, na základe ktorých sa dajú stanoviť cielené politiky, a sleduje vývoj.</w:t>
            </w:r>
          </w:p>
        </w:tc>
        <w:tc>
          <w:tcPr>
            <w:tcW w:w="453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(RzIS)</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Harmonogram</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Boli identifikované požiadavky na zmeny vyplývajúce zo zmien legislatívy a procesov. Bol vykonaný návrh klasifikácie a začiatkom roka 2014 budú zmeny predložené na schválenie.</w:t>
            </w: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2. Predpoklad plného prechodu systému </w:t>
            </w:r>
            <w:r>
              <w:rPr>
                <w:rFonts w:ascii="Arial Narrow" w:hAnsi="Arial Narrow"/>
                <w:i/>
                <w:sz w:val="16"/>
                <w:szCs w:val="16"/>
                <w:lang w:eastAsia="cs-CZ"/>
              </w:rPr>
              <w:t>RzIS</w:t>
            </w:r>
            <w:r>
              <w:rPr>
                <w:rFonts w:ascii="Arial Narrow" w:hAnsi="Arial Narrow"/>
                <w:sz w:val="16"/>
                <w:szCs w:val="16"/>
                <w:lang w:eastAsia="cs-CZ"/>
              </w:rPr>
              <w:t xml:space="preserve"> do prevádzky je koniec prvého štvrťroku 2014, pričom je potrebné uzavrieť zmeny vo funkčných moduloch, vykonať školenia budúcich používateľov a správcov systému </w:t>
            </w:r>
            <w:r>
              <w:rPr>
                <w:rFonts w:ascii="Arial Narrow" w:hAnsi="Arial Narrow"/>
                <w:i/>
                <w:sz w:val="16"/>
                <w:szCs w:val="16"/>
                <w:lang w:eastAsia="cs-CZ"/>
              </w:rPr>
              <w:t>RzIS</w:t>
            </w:r>
            <w:r>
              <w:rPr>
                <w:rFonts w:ascii="Arial Narrow" w:hAnsi="Arial Narrow"/>
                <w:sz w:val="16"/>
                <w:szCs w:val="16"/>
                <w:lang w:eastAsia="cs-CZ"/>
              </w:rPr>
              <w:t>, ako aj zabezpečiť servisné pokrytie systému po nasadení do prevádzky.</w:t>
            </w:r>
          </w:p>
        </w:tc>
        <w:tc>
          <w:tcPr>
            <w:tcW w:w="113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marec 2014</w:t>
            </w:r>
          </w:p>
          <w:p>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5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pPr>
              <w:spacing w:after="0" w:line="240" w:lineRule="auto"/>
              <w:rPr>
                <w:rFonts w:ascii="Arial Narrow" w:hAnsi="Arial Narrow" w:cs="Arial"/>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402" w:type="dxa"/>
          </w:tcPr>
          <w:p>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Je zavedený národný alebo regionálny strategický politický rámec pre celoživotné vzdelávanie, ktorý zahŕňa opatrenia:</w:t>
            </w:r>
          </w:p>
          <w:p>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p>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 na rozšírenie prístupu k celoživotnému vzdelávaniu, a to aj prostredníctvom úsilia o účinné zavádzanie transparentných nástrojov (napríklad Európskeho kvalifikačného rámca, Národného kvalifikačného rámca, Európskeho systému kreditov pre odborné </w:t>
            </w:r>
            <w:r>
              <w:rPr>
                <w:rFonts w:ascii="Arial Narrow" w:hAnsi="Arial Narrow"/>
                <w:sz w:val="16"/>
                <w:szCs w:val="16"/>
                <w:lang w:eastAsia="sk-SK"/>
              </w:rPr>
              <w:lastRenderedPageBreak/>
              <w:t>vzdelávanie a prípravu, Európskeho referenčného rámca zabezpečenia kvality odborného vzdelávania a prípravy).</w:t>
            </w:r>
          </w:p>
          <w:p>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 </w:t>
            </w:r>
          </w:p>
        </w:tc>
        <w:tc>
          <w:tcPr>
            <w:tcW w:w="4536"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cs-CZ"/>
              </w:rPr>
            </w:pPr>
            <w:r>
              <w:rPr>
                <w:rFonts w:ascii="Arial Narrow" w:hAnsi="Arial Narrow"/>
                <w:i/>
                <w:sz w:val="16"/>
                <w:szCs w:val="16"/>
                <w:lang w:eastAsia="cs-CZ"/>
              </w:rPr>
              <w:lastRenderedPageBreak/>
              <w:t>Zákon o uznávaní výsledkov neformálneho vzdelávania a neformálneho učenia sa</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(z dôvodu nutnosti finalizácie výstupov národného projektu ŠIOV Tvorba národnej sústavy kvalifikácií) predložiť návrh zákona o uznávaní výsledkov neformálneho vzdelávania a informálneho učenia sa do NR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Implementácia 2 kľúčových národných projektov:</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cs-CZ"/>
              </w:rPr>
            </w:pPr>
            <w:r>
              <w:rPr>
                <w:rFonts w:ascii="Arial Narrow" w:hAnsi="Arial Narrow"/>
                <w:i/>
                <w:sz w:val="16"/>
                <w:szCs w:val="16"/>
                <w:lang w:eastAsia="cs-CZ"/>
              </w:rPr>
              <w:lastRenderedPageBreak/>
              <w:t>Tvorba Národnej sústavy kvalifikácií</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hyperlink r:id="rId57" w:history="1">
              <w:r>
                <w:rPr>
                  <w:rFonts w:ascii="Arial Narrow" w:hAnsi="Arial Narrow"/>
                  <w:color w:val="0000FF"/>
                  <w:sz w:val="16"/>
                  <w:szCs w:val="16"/>
                  <w:u w:val="single"/>
                  <w:lang w:eastAsia="cs-CZ"/>
                </w:rPr>
                <w:t>http://www.tvorbansk.sk/</w:t>
              </w:r>
            </w:hyperlink>
            <w:r>
              <w:rPr>
                <w:rFonts w:ascii="Arial Narrow" w:hAnsi="Arial Narrow"/>
                <w:sz w:val="16"/>
                <w:szCs w:val="16"/>
                <w:lang w:eastAsia="cs-CZ"/>
              </w:rPr>
              <w:t xml:space="preserve">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tvorba a vytvorenie informačného systému Národného kvalifikačného rámca a Národnej sústavy kvalifikácií,</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ďalšie vzdelávanie cieľovej skupiny na tvorbu a používanie Národného kvalifikačného rámca, Národnej sústavy kvalifikácií a Informačného systému.</w:t>
            </w:r>
          </w:p>
          <w:p>
            <w:pP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lang w:eastAsia="cs-CZ"/>
              </w:rPr>
            </w:pPr>
            <w:r>
              <w:rPr>
                <w:rFonts w:ascii="Arial Narrow" w:hAnsi="Arial Narrow"/>
                <w:i/>
                <w:sz w:val="16"/>
                <w:szCs w:val="16"/>
                <w:lang w:eastAsia="cs-CZ"/>
              </w:rPr>
              <w:t>Ďalšie vzdelávanie a poradenstvo pre dospelých ako nástroj lepšej uplatniteľnosti na trhu práce</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hyperlink r:id="rId58" w:history="1">
              <w:r>
                <w:rPr>
                  <w:rFonts w:ascii="Arial Narrow" w:hAnsi="Arial Narrow"/>
                  <w:color w:val="0000FF"/>
                  <w:sz w:val="16"/>
                  <w:szCs w:val="16"/>
                  <w:u w:val="single"/>
                  <w:lang w:eastAsia="cs-CZ"/>
                </w:rPr>
                <w:t>http://nuczv.sk/dalsie-vzdelavanie-a-poradenstvo-pre-dospelych-ako-nastroj-lepsej-uplatnitelnosti-na-trhu-prace/</w:t>
              </w:r>
            </w:hyperlink>
            <w:r>
              <w:rPr>
                <w:rFonts w:ascii="Arial Narrow" w:hAnsi="Arial Narrow"/>
                <w:sz w:val="16"/>
                <w:szCs w:val="16"/>
                <w:lang w:eastAsia="cs-CZ"/>
              </w:rPr>
              <w:t xml:space="preserve">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zadefinovanie požiadaviek a vytvorenie vzdelávacích programov pre lektorov, manažérov, členov a predsedov skúšobných komisií, vypracovanie štandardov kvality inštitúcií ďalšieho vzdelávania,</w:t>
            </w: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lang w:eastAsia="cs-CZ"/>
              </w:rPr>
              <w:t>- 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134"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2. polroku 2015</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3. 2013 – 31. 10. 2015</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31. 10. 2015</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30. 6. 2015</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15. 3. 2013 – 30. 9. 2015 </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28. 2. 2014</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lang w:eastAsia="cs-CZ"/>
              </w:rPr>
              <w:t>do 30. 9. 2015</w:t>
            </w:r>
          </w:p>
        </w:tc>
        <w:tc>
          <w:tcPr>
            <w:tcW w:w="1559" w:type="dxa"/>
          </w:tcPr>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Štátny inštitút odborného vzdelávania</w:t>
            </w: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Národný ústav celoživotného vzdelávania</w:t>
            </w:r>
          </w:p>
        </w:tc>
      </w:tr>
    </w:tbl>
    <w:p>
      <w:pPr>
        <w:rPr>
          <w:rStyle w:val="Siln"/>
          <w:rFonts w:ascii="Arial" w:hAnsi="Arial" w:cs="Arial"/>
        </w:rPr>
      </w:pPr>
    </w:p>
    <w:p>
      <w:pPr>
        <w:sectPr>
          <w:pgSz w:w="16838" w:h="11906" w:orient="landscape"/>
          <w:pgMar w:top="1418" w:right="1418" w:bottom="1418" w:left="1418" w:header="709" w:footer="709" w:gutter="0"/>
          <w:cols w:space="708"/>
          <w:docGrid w:linePitch="360"/>
        </w:sectPr>
      </w:pPr>
    </w:p>
    <w:p>
      <w:pPr>
        <w:pStyle w:val="Nadpis1"/>
        <w:rPr>
          <w:rFonts w:ascii="Arial" w:hAnsi="Arial" w:cs="Arial"/>
        </w:rPr>
      </w:pPr>
      <w:bookmarkStart w:id="166" w:name="_Toc387154003"/>
      <w:r>
        <w:rPr>
          <w:rFonts w:ascii="Arial" w:hAnsi="Arial" w:cs="Arial"/>
        </w:rPr>
        <w:lastRenderedPageBreak/>
        <w:t>10 Zníženie administratívnej záťaže pre prijímateľov</w:t>
      </w:r>
      <w:bookmarkEnd w:id="166"/>
    </w:p>
    <w:p>
      <w:pPr>
        <w:rPr>
          <w:rFonts w:ascii="Arial" w:hAnsi="Arial" w:cs="Arial"/>
          <w:i/>
          <w:color w:val="4EACF3"/>
        </w:rPr>
      </w:pPr>
    </w:p>
    <w:p>
      <w:pPr>
        <w:spacing w:after="0"/>
        <w:jc w:val="both"/>
        <w:rPr>
          <w:rFonts w:ascii="Arial" w:hAnsi="Arial" w:cs="Arial"/>
          <w:bCs/>
          <w:iCs/>
        </w:rPr>
      </w:pPr>
      <w:r>
        <w:rPr>
          <w:rFonts w:ascii="Arial" w:hAnsi="Arial" w:cs="Arial"/>
          <w:bCs/>
          <w:iCs/>
        </w:rPr>
        <w:t>V súvislosti s opatreniami na dosiahnutie zníženia administratívnej záťaže všeobecne je potrebné identifikovať a odstrániť bariéry aj na úrovni žiadateľov o poskytnutie pomoci z EŠI fondov. Viaceré opatrenia v tejto oblasti boli, alebo v  programovom období 2007 – 2013 sú priebežne prijímané (ako napr. vyžadovanie oficiálnych potvrdení preukazujúcich splnenie podmienok poskytnutia pomoci až vo fáze pred vydaním rozhodnutia o schválení a bez nutnosti ich predkladania zo strany väčšiny neúspešných žiadateľov, spustenie testovacej verzie centrálneho dožadovania dokladov preukazujúcich splnenie niektorých podmienok poskytnutia pomoci). V programovom období 2014 – 2020 sa počíta so zavedením ďalších opatrení, ktorými sa zvýši efektívnosť poskytovania finančných prostriedkov z EFRR/IROP. V zmysle Partnerskej dohody SR sa potenciál znižovania administratívnej záťaže pri poskytovaní finančných prostriedkov z EŠI fondov v programovom období 2014 – 2020 týka najmä nasledujúcich oblastí:</w:t>
      </w:r>
    </w:p>
    <w:p>
      <w:pPr>
        <w:pStyle w:val="Odsekzoznamu"/>
        <w:numPr>
          <w:ilvl w:val="0"/>
          <w:numId w:val="52"/>
        </w:numPr>
        <w:spacing w:after="0"/>
        <w:jc w:val="both"/>
        <w:rPr>
          <w:rFonts w:ascii="Arial" w:hAnsi="Arial" w:cs="Arial"/>
          <w:bCs/>
          <w:iCs/>
        </w:rPr>
      </w:pPr>
      <w:r>
        <w:rPr>
          <w:rFonts w:ascii="Arial" w:hAnsi="Arial" w:cs="Arial"/>
          <w:bCs/>
          <w:iCs/>
        </w:rPr>
        <w:t>potreba zjednodušenia, sprehľadnenia a zjednotenia formy a obsahu vyhlasovaných výziev na predkladanie žiadostí o NFP;</w:t>
      </w:r>
    </w:p>
    <w:p>
      <w:pPr>
        <w:pStyle w:val="Odsekzoznamu"/>
        <w:numPr>
          <w:ilvl w:val="0"/>
          <w:numId w:val="52"/>
        </w:numPr>
        <w:spacing w:after="0"/>
        <w:jc w:val="both"/>
        <w:rPr>
          <w:rFonts w:ascii="Arial" w:hAnsi="Arial" w:cs="Arial"/>
          <w:bCs/>
          <w:iCs/>
        </w:rPr>
      </w:pPr>
      <w:r>
        <w:rPr>
          <w:rFonts w:ascii="Arial" w:hAnsi="Arial" w:cs="Arial"/>
          <w:bCs/>
          <w:iCs/>
        </w:rPr>
        <w:t xml:space="preserve">potreba zavedenia možnosti dvojkolového výberu žiadostí o NFP s dôrazom </w:t>
      </w:r>
      <w:r>
        <w:rPr>
          <w:rFonts w:ascii="Arial" w:hAnsi="Arial" w:cs="Arial"/>
          <w:bCs/>
          <w:iCs/>
        </w:rPr>
        <w:br/>
        <w:t>na minimalizáciu administratívnej a finančnej náročnosti prvého kola výberu;</w:t>
      </w:r>
    </w:p>
    <w:p>
      <w:pPr>
        <w:pStyle w:val="Odsekzoznamu"/>
        <w:numPr>
          <w:ilvl w:val="0"/>
          <w:numId w:val="52"/>
        </w:numPr>
        <w:spacing w:after="0"/>
        <w:jc w:val="both"/>
        <w:rPr>
          <w:rFonts w:ascii="Arial" w:hAnsi="Arial" w:cs="Arial"/>
          <w:bCs/>
          <w:iCs/>
        </w:rPr>
      </w:pPr>
      <w:r>
        <w:rPr>
          <w:rFonts w:ascii="Arial" w:hAnsi="Arial" w:cs="Arial"/>
          <w:bCs/>
          <w:iCs/>
        </w:rPr>
        <w:t>potreba zvýšenia dostupnosti informácií o možnostiach a podmienkach získania pomoci z EŠI fondov a centralizovaného poskytnutia kvalitného a odborného poradenstva v danej oblasti, vrátane zvýšenia informovanosti a publicity o EŠI fondov prostredníctvom printových a elektronických médií;</w:t>
      </w:r>
    </w:p>
    <w:p>
      <w:pPr>
        <w:pStyle w:val="Odsekzoznamu"/>
        <w:numPr>
          <w:ilvl w:val="0"/>
          <w:numId w:val="52"/>
        </w:numPr>
        <w:spacing w:after="0"/>
        <w:jc w:val="both"/>
        <w:rPr>
          <w:rFonts w:ascii="Arial" w:hAnsi="Arial" w:cs="Arial"/>
          <w:bCs/>
          <w:iCs/>
        </w:rPr>
      </w:pPr>
      <w:r>
        <w:rPr>
          <w:rFonts w:ascii="Arial" w:hAnsi="Arial" w:cs="Arial"/>
          <w:bCs/>
          <w:iCs/>
        </w:rPr>
        <w:t xml:space="preserve">potreba štandardizácie dokumentov týkajúcich sa podmienok poskytnutia pomoci </w:t>
      </w:r>
      <w:r>
        <w:rPr>
          <w:rFonts w:ascii="Arial" w:hAnsi="Arial" w:cs="Arial"/>
          <w:bCs/>
          <w:iCs/>
        </w:rPr>
        <w:br/>
        <w:t>a ich koncipovania s dôrazom na „</w:t>
      </w:r>
      <w:r>
        <w:rPr>
          <w:rFonts w:ascii="Arial" w:hAnsi="Arial" w:cs="Arial"/>
          <w:bCs/>
          <w:i/>
          <w:iCs/>
        </w:rPr>
        <w:t>user-friendly</w:t>
      </w:r>
      <w:r>
        <w:rPr>
          <w:rFonts w:ascii="Arial" w:hAnsi="Arial" w:cs="Arial"/>
          <w:bCs/>
          <w:iCs/>
        </w:rPr>
        <w:t>“ formát;</w:t>
      </w:r>
    </w:p>
    <w:p>
      <w:pPr>
        <w:pStyle w:val="Odsekzoznamu"/>
        <w:numPr>
          <w:ilvl w:val="0"/>
          <w:numId w:val="52"/>
        </w:numPr>
        <w:spacing w:after="0"/>
        <w:jc w:val="both"/>
        <w:rPr>
          <w:rFonts w:ascii="Arial" w:hAnsi="Arial" w:cs="Arial"/>
          <w:bCs/>
          <w:iCs/>
        </w:rPr>
      </w:pPr>
      <w:r>
        <w:rPr>
          <w:rFonts w:ascii="Arial" w:hAnsi="Arial" w:cs="Arial"/>
          <w:bCs/>
          <w:iCs/>
        </w:rPr>
        <w:t>potreba zabezpečenia výmeny relevantných informácií o žiadateľoch a projektoch, ktorými disponujú štátne orgány priamou vzájomnou komunikáciou, bez ich vyžadovania od žiadateľov a maximalizácia pozitívnych efektov spojených so zavedením efektívneho IT systému aj pri komunikácii vo väzbe poskytovateľ – prijímateľ;</w:t>
      </w:r>
    </w:p>
    <w:p>
      <w:pPr>
        <w:pStyle w:val="Odsekzoznamu"/>
        <w:numPr>
          <w:ilvl w:val="0"/>
          <w:numId w:val="52"/>
        </w:numPr>
        <w:spacing w:after="0"/>
        <w:jc w:val="both"/>
        <w:rPr>
          <w:rFonts w:ascii="Arial" w:hAnsi="Arial" w:cs="Arial"/>
          <w:bCs/>
          <w:iCs/>
        </w:rPr>
      </w:pPr>
      <w:r>
        <w:rPr>
          <w:rFonts w:ascii="Arial" w:hAnsi="Arial" w:cs="Arial"/>
          <w:bCs/>
          <w:iCs/>
        </w:rPr>
        <w:t>úprava jestvujúcich informačných systémov v kontexte princípov e-kohézie, ktoré umožnia výrazné zníženie administratívnej záťaže a prácnosti implementácie IROP na strane žiadateľa, prijímateľa, poskytovateľa, auditu a kontroly. Bližšie očakávané prínosy zavedenia princípov e-kohézie sú popísané v Partnerskej dohode SR.</w:t>
      </w:r>
    </w:p>
    <w:p>
      <w:pPr>
        <w:spacing w:before="120" w:after="0"/>
        <w:jc w:val="both"/>
        <w:rPr>
          <w:rFonts w:ascii="Arial" w:hAnsi="Arial" w:cs="Arial"/>
          <w:bCs/>
          <w:iCs/>
        </w:rPr>
      </w:pPr>
      <w:r>
        <w:rPr>
          <w:rFonts w:ascii="Arial" w:hAnsi="Arial" w:cs="Arial"/>
          <w:bCs/>
          <w:iCs/>
        </w:rPr>
        <w:t>Na tieto oblasti je žiaduce  nadviazať aj pri nastavovaní procesov implementácie projektov a nárokov kladených na administratívu vo vzťahu k prijímateľom (najmä dostupné, kvalitné a zrozumiteľné informácie v podobe umožňujúcej jednoduchú prácu s nimi, overovanie informácií o prijímateľoch a projektoch priamou komunikáciou s relevantnými štátnymi organizáciami bez ich vyžadovania od prijímateľov a pod.). Okrem uvedených oblastí, sú navrhované nasledujúce opatrenia smerované na znižovanie administratívnej záťaže prijímateľov:</w:t>
      </w:r>
    </w:p>
    <w:p>
      <w:pPr>
        <w:spacing w:before="120" w:after="0"/>
        <w:jc w:val="both"/>
        <w:rPr>
          <w:rFonts w:ascii="Arial" w:hAnsi="Arial" w:cs="Arial"/>
          <w:bCs/>
          <w:iCs/>
        </w:rPr>
      </w:pPr>
    </w:p>
    <w:p>
      <w:pPr>
        <w:spacing w:before="120" w:after="0"/>
        <w:jc w:val="both"/>
        <w:rPr>
          <w:rFonts w:ascii="Arial" w:hAnsi="Arial" w:cs="Arial"/>
          <w:bCs/>
          <w:iCs/>
        </w:rPr>
      </w:pPr>
    </w:p>
    <w:p>
      <w:pPr>
        <w:spacing w:before="120" w:after="0"/>
        <w:jc w:val="both"/>
        <w:rPr>
          <w:rFonts w:ascii="Arial" w:hAnsi="Arial" w:cs="Arial"/>
          <w:bCs/>
          <w:iCs/>
        </w:rPr>
      </w:pPr>
    </w:p>
    <w:tbl>
      <w:tblPr>
        <w:tblStyle w:val="Svetlmriekazvraznenie11"/>
        <w:tblW w:w="9180" w:type="dxa"/>
        <w:tblLook w:val="04A0" w:firstRow="1" w:lastRow="0" w:firstColumn="1" w:lastColumn="0" w:noHBand="0" w:noVBand="1"/>
      </w:tblPr>
      <w:tblGrid>
        <w:gridCol w:w="4077"/>
        <w:gridCol w:w="2836"/>
        <w:gridCol w:w="226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pPr>
              <w:tabs>
                <w:tab w:val="left" w:pos="709"/>
              </w:tabs>
              <w:ind w:right="567"/>
              <w:rPr>
                <w:rFonts w:ascii="Arial" w:eastAsia="Calibri" w:hAnsi="Arial" w:cs="Arial"/>
                <w:b w:val="0"/>
                <w:bCs w:val="0"/>
                <w:sz w:val="18"/>
                <w:szCs w:val="18"/>
              </w:rPr>
            </w:pPr>
            <w:r>
              <w:rPr>
                <w:rFonts w:ascii="Arial" w:hAnsi="Arial" w:cs="Arial"/>
                <w:sz w:val="18"/>
                <w:szCs w:val="18"/>
              </w:rPr>
              <w:lastRenderedPageBreak/>
              <w:t>Plánované opatrenia</w:t>
            </w:r>
          </w:p>
        </w:tc>
        <w:tc>
          <w:tcPr>
            <w:tcW w:w="2836" w:type="dxa"/>
            <w:hideMark/>
          </w:tcPr>
          <w:p>
            <w:pPr>
              <w:tabs>
                <w:tab w:val="left" w:pos="709"/>
              </w:tabs>
              <w:ind w:right="56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Pr>
                <w:rFonts w:ascii="Arial" w:hAnsi="Arial" w:cs="Arial"/>
                <w:sz w:val="18"/>
                <w:szCs w:val="18"/>
              </w:rPr>
              <w:t>Začiatok realizácie opatrenia</w:t>
            </w:r>
          </w:p>
        </w:tc>
        <w:tc>
          <w:tcPr>
            <w:tcW w:w="2267" w:type="dxa"/>
            <w:hideMark/>
          </w:tcPr>
          <w:p>
            <w:pPr>
              <w:tabs>
                <w:tab w:val="left" w:pos="709"/>
              </w:tabs>
              <w:ind w:right="56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Pr>
                <w:rFonts w:ascii="Arial" w:hAnsi="Arial" w:cs="Arial"/>
                <w:sz w:val="18"/>
                <w:szCs w:val="18"/>
              </w:rPr>
              <w:t>Plná realizácia opatrenia</w:t>
            </w:r>
          </w:p>
        </w:tc>
      </w:tr>
      <w:tr>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Zapojenie zamestnancov do systému nepretržitého vzdelávania subjektov zapojených do implementácie EŠI fondov, s dopadom na zefektívnenie procesov implementácie a priame zníženie administratívnej záťaže prijímateľov</w:t>
            </w:r>
          </w:p>
        </w:tc>
        <w:tc>
          <w:tcPr>
            <w:tcW w:w="2836"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31. 12. 2014 a následne priebežne počas celého programového obdobia 2014 – 2020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Používanie prebudovaného súčasného informačného systému ITMS II na systém plne zohľadňujúci požiadavky e-kohézie, ktorého dizajn a funkcionality budú zodpovedať súčasným svetovým štandardom inteligentných otvorených informačných systémov</w:t>
            </w:r>
          </w:p>
        </w:tc>
        <w:tc>
          <w:tcPr>
            <w:tcW w:w="2836" w:type="dxa"/>
            <w:shd w:val="clear" w:color="auto" w:fill="auto"/>
            <w:hideMark/>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 12. 2015 a následne</w:t>
            </w:r>
          </w:p>
        </w:tc>
      </w:tr>
      <w:tr>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Aplikovanie jednotných, jasných a efektívnych pravidiel zmenového konania umožňujúceho optimálne reagovať na zmenené podmienky realizácie projektu, zverejnených zo strany CKO</w:t>
            </w:r>
          </w:p>
        </w:tc>
        <w:tc>
          <w:tcPr>
            <w:tcW w:w="2836"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31. 12. 2014 a následne</w:t>
            </w:r>
          </w:p>
        </w:tc>
      </w:tr>
      <w:tr>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077" w:type="dxa"/>
          </w:tcPr>
          <w:p>
            <w:pPr>
              <w:tabs>
                <w:tab w:val="left" w:pos="709"/>
              </w:tabs>
              <w:ind w:right="567"/>
              <w:rPr>
                <w:rFonts w:ascii="Arial" w:hAnsi="Arial" w:cs="Arial"/>
                <w:b w:val="0"/>
                <w:sz w:val="18"/>
                <w:szCs w:val="18"/>
              </w:rPr>
            </w:pPr>
            <w:r>
              <w:rPr>
                <w:rFonts w:ascii="Arial" w:hAnsi="Arial" w:cs="Arial"/>
                <w:b w:val="0"/>
                <w:sz w:val="18"/>
                <w:szCs w:val="18"/>
              </w:rPr>
              <w:t xml:space="preserve">Aplikovanie modelových vzorov dokumentácie k verejnému obstarávaniu zverejnených zo strany Úradu pre verejné obstarávanie v užívateľsky jednoduchom on-line prostredí s cieľom šírenia príkladov dobrej praxe v oblasti verejného obstarávania </w:t>
            </w:r>
          </w:p>
        </w:tc>
        <w:tc>
          <w:tcPr>
            <w:tcW w:w="2836" w:type="dxa"/>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1.11.2013</w:t>
            </w:r>
          </w:p>
        </w:tc>
        <w:tc>
          <w:tcPr>
            <w:tcW w:w="2267" w:type="dxa"/>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1.7.2014 a následne</w:t>
            </w:r>
          </w:p>
        </w:tc>
      </w:tr>
    </w:tbl>
    <w:p>
      <w:pPr>
        <w:spacing w:before="120" w:after="0"/>
        <w:jc w:val="both"/>
        <w:rPr>
          <w:rFonts w:ascii="Arial" w:hAnsi="Arial" w:cs="Arial"/>
        </w:rPr>
      </w:pPr>
    </w:p>
    <w:p>
      <w:pPr>
        <w:spacing w:before="120" w:after="0"/>
        <w:jc w:val="both"/>
        <w:rPr>
          <w:rFonts w:ascii="Arial" w:hAnsi="Arial" w:cs="Arial"/>
        </w:rPr>
      </w:pPr>
      <w:r>
        <w:rPr>
          <w:rFonts w:ascii="Arial" w:hAnsi="Arial" w:cs="Arial"/>
        </w:rPr>
        <w:t>Zároveň boli identifikované aj nasledujúce oblasti s významným potenciálom ďalšieho znižovania administratívnej záťaže prijímateľov:</w:t>
      </w:r>
    </w:p>
    <w:p>
      <w:pPr>
        <w:pStyle w:val="Odsekzoznamu"/>
        <w:numPr>
          <w:ilvl w:val="0"/>
          <w:numId w:val="53"/>
        </w:numPr>
        <w:spacing w:before="120" w:after="0"/>
        <w:jc w:val="both"/>
        <w:rPr>
          <w:rFonts w:ascii="Arial" w:hAnsi="Arial" w:cs="Arial"/>
        </w:rPr>
      </w:pPr>
      <w:r>
        <w:rPr>
          <w:rFonts w:ascii="Arial" w:hAnsi="Arial" w:cs="Arial"/>
        </w:rPr>
        <w:t>zabezpečenie čo najširšieho využitia zjednodušeného vykazovania výdavkov projektov;</w:t>
      </w:r>
    </w:p>
    <w:p>
      <w:pPr>
        <w:pStyle w:val="Odsekzoznamu"/>
        <w:numPr>
          <w:ilvl w:val="0"/>
          <w:numId w:val="53"/>
        </w:numPr>
        <w:spacing w:before="120" w:after="0"/>
        <w:jc w:val="both"/>
        <w:rPr>
          <w:rFonts w:ascii="Arial" w:hAnsi="Arial" w:cs="Arial"/>
        </w:rPr>
      </w:pPr>
      <w:r>
        <w:rPr>
          <w:rFonts w:ascii="Arial" w:hAnsi="Arial" w:cs="Arial"/>
        </w:rPr>
        <w:t>používanie jednotnej a unifikovanej dokumentácie upravujúcej spôsob a postupy implementácie projektov, vrátane pravidelnej aktualizácie zoznamov opakujúcich sa nedostatkov a pochybení a šírenia príkladov dobrej praxe v implementácii projektov;</w:t>
      </w:r>
    </w:p>
    <w:p>
      <w:pPr>
        <w:pStyle w:val="Odsekzoznamu"/>
        <w:numPr>
          <w:ilvl w:val="0"/>
          <w:numId w:val="53"/>
        </w:numPr>
        <w:spacing w:before="120" w:after="0"/>
        <w:jc w:val="both"/>
        <w:rPr>
          <w:rFonts w:ascii="Arial" w:hAnsi="Arial" w:cs="Arial"/>
        </w:rPr>
      </w:pPr>
      <w:r>
        <w:rPr>
          <w:rFonts w:ascii="Arial" w:hAnsi="Arial" w:cs="Arial"/>
        </w:rPr>
        <w:t>využívanie jednotnej siete subjektov poskytujúcich poradenské a informačné služby s cieľom zvýšiť dostupnosť informácií pre prijímateľov, uľahčiť prípravu podkladov spojených s implementáciou projektu a znížiť finančnú náročnosť riadenia projektov spojenú s potrebou externe zabezpečovaných poradenských služieb pri implementácii projektov;</w:t>
      </w:r>
    </w:p>
    <w:p>
      <w:pPr>
        <w:pStyle w:val="Odsekzoznamu"/>
        <w:numPr>
          <w:ilvl w:val="0"/>
          <w:numId w:val="53"/>
        </w:numPr>
        <w:spacing w:before="120" w:after="0"/>
        <w:jc w:val="both"/>
        <w:rPr>
          <w:rFonts w:ascii="Arial" w:hAnsi="Arial" w:cs="Arial"/>
        </w:rPr>
      </w:pPr>
      <w:r>
        <w:rPr>
          <w:rFonts w:ascii="Arial" w:hAnsi="Arial" w:cs="Arial"/>
        </w:rPr>
        <w:t>zavedenie dodržiavania pravidiel prehľadného a efektívneho projektového riadenia a poskytnutie odborného poradenstva v danej oblasti pre prijímateľov v rámci štruktúr jednotnej siete informačných a poradenských centier vrátane Národnej siete rozvoja vidieka SR.</w:t>
      </w:r>
    </w:p>
    <w:p>
      <w:pPr>
        <w:spacing w:before="120" w:after="0"/>
        <w:jc w:val="both"/>
        <w:rPr>
          <w:rFonts w:ascii="Arial" w:hAnsi="Arial" w:cs="Arial"/>
        </w:rPr>
      </w:pPr>
    </w:p>
    <w:p>
      <w:pPr>
        <w:pStyle w:val="Nadpis1"/>
        <w:rPr>
          <w:rFonts w:ascii="Arial" w:hAnsi="Arial" w:cs="Arial"/>
        </w:rPr>
      </w:pPr>
      <w:bookmarkStart w:id="167" w:name="_Toc387154004"/>
      <w:r>
        <w:rPr>
          <w:rFonts w:ascii="Arial" w:hAnsi="Arial" w:cs="Arial"/>
        </w:rPr>
        <w:lastRenderedPageBreak/>
        <w:t>11 Horizontálne princípy</w:t>
      </w:r>
      <w:bookmarkEnd w:id="167"/>
    </w:p>
    <w:p>
      <w:pPr>
        <w:pStyle w:val="Nadpis2"/>
        <w:rPr>
          <w:rFonts w:ascii="Arial" w:hAnsi="Arial" w:cs="Arial"/>
        </w:rPr>
      </w:pPr>
      <w:bookmarkStart w:id="168" w:name="_Toc387154005"/>
      <w:r>
        <w:rPr>
          <w:rFonts w:ascii="Arial" w:hAnsi="Arial" w:cs="Arial"/>
        </w:rPr>
        <w:t>11.1 Udržateľný rozvoj</w:t>
      </w:r>
      <w:bookmarkEnd w:id="168"/>
    </w:p>
    <w:p>
      <w:pPr>
        <w:rPr>
          <w:rFonts w:ascii="Arial" w:hAnsi="Arial" w:cs="Arial"/>
        </w:rPr>
      </w:pPr>
    </w:p>
    <w:p>
      <w:pPr>
        <w:spacing w:after="0"/>
        <w:jc w:val="both"/>
        <w:rPr>
          <w:rFonts w:ascii="Arial" w:hAnsi="Arial" w:cs="Arial"/>
          <w:bCs/>
          <w:iCs/>
        </w:rPr>
      </w:pPr>
      <w:r>
        <w:rPr>
          <w:rFonts w:ascii="Arial" w:hAnsi="Arial" w:cs="Arial"/>
          <w:bCs/>
          <w:iCs/>
        </w:rPr>
        <w:t xml:space="preserve">Hlavným cieľom horizontálneho princípu udržateľného rozvoja (ďalej aj „HP UR“) je zabezpečenie environmentálnej, ekonomickej a sociálnej udržateľnosti rastu s osobitným dôrazom na ochranu a zlepšenie životného prostredia pri zohľadnení zásady „znečisťovateľ platí“. Uvedené tri piliere udržateľného rozvoja budú špecifickými cieľmi HP. Tie sa budú ďalej členiť na čiastkové ciele, ktoré budú zahŕňať vecne príslušné tematické ciele stanovené pre EŠI fondy 2014 – 2020. </w:t>
      </w:r>
    </w:p>
    <w:p>
      <w:pPr>
        <w:spacing w:before="240" w:after="0"/>
        <w:jc w:val="both"/>
        <w:rPr>
          <w:rFonts w:ascii="Arial" w:hAnsi="Arial" w:cs="Arial"/>
          <w:bCs/>
          <w:iCs/>
        </w:rPr>
      </w:pPr>
      <w:r>
        <w:rPr>
          <w:rFonts w:ascii="Arial" w:hAnsi="Arial" w:cs="Arial"/>
          <w:bCs/>
          <w:iCs/>
        </w:rPr>
        <w:t>Zásada „znečisťovateľ platí“ je obsiahnutá v legislatíve SR, napr. v zákone č. 364/2004 Z. z. o vodách a o zmene zákona SNR č. 372/1990 Zb. o priestupkoch v znení neskorších predpisov (vodný zákon), podľa ktorej je pôvodca poškodenia povinný vykonať opatrenia na nápravu alebo uhradiť s tým spojené náklady. Ďalej v zákone č. 359/2007 Z. z. o prevencii a náprave environmentálnych škôd a o zmene a doplnení niektorých zákonov, v zákone č. 401/1998 Z. z. o poplatkoch za znečisťovanie ovzdušia v znení  neskorších predpisov, v zákone č. 223/2001 Z. z. o odpadoch a zmene a doplnení niektorých zákonov v znení neskorších predpisov, v zákone č. 409/2011 Z. z. o niektorých opatreniach na úseku environmentálnej záťaže a o zmene a doplnení niektorých zákonov, ktoré vymedzujú pôvodcu environmentálnej záťaže v súlade s princípom „znečisťovateľ platí“ a stanovujú mechanizmus určenia povinnej osoby. V rámci starostlivosti o ŽP sa v SR využívajú predovšetkým dva horizontálne nástroje – integrovaná prevencia a kontrola znečisťovania a posudzovanie vplyvov na životné prostredie (EIA). Z hľadiska podpory efektívneho využívania zdrojov je v  odpadovom hospodárstve je potrebné vyvinúť úsilie pri budovaní zariadení na energetické a materiálové spracovávanie odpadov a zariadení na spracovanie nebezpečných odpadov. V sektore vodného hospodárstva sa pozornosť zameria na splnenie požiadaviek vyplývajúcich z rámcovej smernice o vodách (investície do znižovania obsahu škodlivých látok vo vodách, budovanie kanalizácií a zariadení na čistenie odpadových vôd, budovanie vodovodov, atď.). V oblasti ochrany ovzdušia je potrebné podporovať nové BAT technológie, ktoré umožnia znížiť emisie a zabezpečiť okrem iného i súlad so smernicou o priemyselných emisiách a zároveň prispejú k plneniu požiadaviek vyplývajúcich zo smernice o kvalite okolitého ovzdušia a čistejšom ovzduší v Európe. V  energetike je dôležitá podpora energetickej efektívnosti a zvyšovanie využívania obnoviteľnej energie, nízkouhlíkových technológií a eko-inovačných prístupov, ako aj zvyšovanie informovanosti o možnostiach úspory energetických zdrojov. Podporovať sa bude prechod na vysoko účinnú výrobu tepla a elektriny, systémové investície do diaľkových sietí vykurovania/chladenia, energetické úspory a optimalizácia využitia energie na miestnej/obecnej úrovni podporovaním nízkouhlíkových stratégií/akčných plánov pre udržateľnú energiu, ako aj zavádzanie inteligentných meracích systémov a sietí.</w:t>
      </w:r>
    </w:p>
    <w:p>
      <w:pPr>
        <w:spacing w:after="0"/>
        <w:jc w:val="both"/>
        <w:rPr>
          <w:rFonts w:ascii="Arial" w:hAnsi="Arial" w:cs="Arial"/>
          <w:bCs/>
          <w:iCs/>
        </w:rPr>
      </w:pPr>
      <w:r>
        <w:rPr>
          <w:rFonts w:ascii="Arial" w:hAnsi="Arial" w:cs="Arial"/>
          <w:bCs/>
          <w:iCs/>
        </w:rPr>
        <w:t>V súvislosti s potrebou identifikovať možnosti proaktívnej adaptácie na dôsledky zmeny klímy bola na národnej úrovni vypracovaná komplexná Stratégia adaptácie SR na nepriaznivé dôsledky zmeny klímy, ktorá navrhuje princípy, ktorými by sa adaptačné procesy mali riadiť, kritériá pre výber prioritných opatrení a súbor adaptačných opatrení, ktoré by mali viesť k zníženiu negatívnych sociálnych a ekonomických nákladov. V súlade so závermi Rady EÚ z februára 2013 boli aktivity v oblasti zmeny klímy (mitigácie a adaptácie) priamo začlenené aj do relevantných OP s vyčlenením indikatívnej alokácie na identifikované opatrenia.</w:t>
      </w:r>
    </w:p>
    <w:p>
      <w:pPr>
        <w:spacing w:after="0"/>
        <w:jc w:val="both"/>
        <w:rPr>
          <w:rFonts w:ascii="Arial" w:hAnsi="Arial" w:cs="Arial"/>
          <w:bCs/>
          <w:iCs/>
        </w:rPr>
      </w:pPr>
      <w:r>
        <w:rPr>
          <w:rFonts w:ascii="Arial" w:hAnsi="Arial" w:cs="Arial"/>
          <w:bCs/>
          <w:iCs/>
        </w:rPr>
        <w:lastRenderedPageBreak/>
        <w:t>Dokument Aktualizovaná národná stratégia ochrany biodiverzity pre roky 2012 – 2020</w:t>
      </w:r>
      <w:r>
        <w:rPr>
          <w:rFonts w:ascii="Arial" w:hAnsi="Arial" w:cs="Arial"/>
          <w:bCs/>
          <w:iCs/>
          <w:vertAlign w:val="superscript"/>
        </w:rPr>
        <w:footnoteReference w:id="72"/>
      </w:r>
      <w:r>
        <w:rPr>
          <w:rFonts w:ascii="Arial" w:hAnsi="Arial" w:cs="Arial"/>
          <w:bCs/>
          <w:iCs/>
        </w:rPr>
        <w:t xml:space="preserve"> bol schválený uznesením vlády SR č. 12/2014. Kľúčovým cieľom zostáva zastavenie straty biodiverzity a degradácie ekosystémov v SR, čo najlepšie zabezpečenie ich revitalizácie a racionálneho využívania ekosystémových služieb. Biodiverzita bude zachovaná kombináciou synergických efektov s poľnohospodárstvom, lesným hospodárstvom, vodným hospodárstvom a turizmom a posilnením ekonomických nástrojov a stimulov. </w:t>
      </w:r>
    </w:p>
    <w:p>
      <w:pPr>
        <w:spacing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 Zákon č. 7/2010 Z. z. o ochrane pred povodňami ustanovil povinnosť vyhotovovať a pravidelne aktualizovať plány riadenia povodňového rizika, vrátane predbežného hodnotenia povodňového rizika a vyhotovovania máp povodňového ohrozenia a máp povodňového rizika. Program prevencie a manažmentu zosuvných rizík (2014 - 2020)“ bol už schválený uznesením vlády SR č. 738/2013.</w:t>
      </w:r>
      <w:r>
        <w:rPr>
          <w:rFonts w:ascii="Times New Roman" w:hAnsi="Times New Roman"/>
          <w:sz w:val="20"/>
          <w:szCs w:val="20"/>
        </w:rPr>
        <w:t xml:space="preserve"> </w:t>
      </w:r>
      <w:r>
        <w:rPr>
          <w:rFonts w:ascii="Arial" w:hAnsi="Arial" w:cs="Arial"/>
          <w:bCs/>
          <w:iCs/>
        </w:rPr>
        <w:t xml:space="preserve">Pripravuje sa Program prevencie a riadenia rizík na uzavretých a opustených úložiskách ťažobného odpadu, ktorý má byť predložený na rokovanie vlády SR v máji 2014. aV r. 2011 MŽP SR pripravilo Národný akčný plán pre zelené verejné obstarávanie v SR na roky 2011 až 2015. Strategickým cieľom je „zvýšiť úroveň uplatňovania zeleného verejného obstarávania v SR na úrovni ústredných orgánov štátnej správnej správy na 65% a na úrovni samosprávnych krajov a miest na 50% do roku 2015“. Zeleným VO možno dosiahnuť okrem environmentálnych prínosov (napr. znížená spotreba energie, znížená spotreba vody, znížená spotreba surovín z neudržateľných zdrojov, znížené množstvo nebezpečných látok pre ŽP, znížená tvorba znečisťujúcich látok, ochrana ovzdušia, pôdy a vody, vyššie využitie OZE, environmentálne nakladanie s odpadmi, znížený vplyv na biodiverzitu, atď.) aj sociálne/zdravotné prínosy (zlepšenie kvality života, zdravšie pracovné prostredie, ochrana zdravia) a ekonomické prínosy (šetrenie nákladov na elektrinu, vodu, zneškodňovanie odpadov a iné). </w:t>
      </w:r>
    </w:p>
    <w:p>
      <w:pPr>
        <w:spacing w:after="0"/>
        <w:jc w:val="both"/>
        <w:rPr>
          <w:rFonts w:ascii="Arial" w:hAnsi="Arial" w:cs="Arial"/>
          <w:bCs/>
          <w:iCs/>
        </w:rPr>
      </w:pPr>
      <w:r>
        <w:rPr>
          <w:rFonts w:ascii="Arial" w:eastAsia="Times New Roman" w:hAnsi="Arial" w:cs="Arial"/>
        </w:rPr>
        <w:t xml:space="preserve">V </w:t>
      </w:r>
      <w:r>
        <w:rPr>
          <w:rFonts w:ascii="Arial" w:hAnsi="Arial" w:cs="Arial"/>
          <w:szCs w:val="24"/>
        </w:rPr>
        <w:t>súlade so znením PD SR z</w:t>
      </w:r>
      <w:r>
        <w:rPr>
          <w:rFonts w:ascii="Arial" w:eastAsia="Times New Roman" w:hAnsi="Arial" w:cs="Arial"/>
        </w:rPr>
        <w:t>a účelom znižovania negatívnych vplyvov na klímu, znižovania znečistenia ovzdušia a ostatných zložiek životného prostredia sa budú v rámci implementácie OP uplatňovať pravidlá zeleného verejného obstarávania</w:t>
      </w:r>
      <w:r>
        <w:rPr>
          <w:rStyle w:val="Odkaznapoznmkupodiarou"/>
          <w:rFonts w:ascii="Arial" w:eastAsia="Times New Roman" w:hAnsi="Arial" w:cs="Arial"/>
        </w:rPr>
        <w:footnoteReference w:id="73"/>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operačné programy spolufinancované z EŠIF</w:t>
      </w:r>
      <w:r>
        <w:rPr>
          <w:rStyle w:val="Odkaznapoznmkupodiarou"/>
          <w:rFonts w:ascii="Arial" w:eastAsia="Times New Roman" w:hAnsi="Arial" w:cs="Arial"/>
        </w:rPr>
        <w:footnoteReference w:id="74"/>
      </w:r>
      <w:r>
        <w:rPr>
          <w:rFonts w:ascii="Arial" w:eastAsia="Times New Roman" w:hAnsi="Arial" w:cs="Arial"/>
        </w:rPr>
        <w:t>.</w:t>
      </w:r>
      <w:r>
        <w:rPr>
          <w:rFonts w:ascii="Arial" w:hAnsi="Arial" w:cs="Arial"/>
          <w:bCs/>
          <w:iCs/>
        </w:rPr>
        <w:t xml:space="preserve">Vzhľadom na úzku väzbu týchto prínosov na ciele HP UR bude koordinátor zohľadňovať aj využívanie tohto dobrovoľného nástroja environmentálnej politiky. </w:t>
      </w:r>
    </w:p>
    <w:p>
      <w:pPr>
        <w:spacing w:after="0"/>
        <w:jc w:val="both"/>
        <w:rPr>
          <w:rFonts w:ascii="Arial" w:hAnsi="Arial" w:cs="Arial"/>
          <w:bCs/>
          <w:iCs/>
        </w:rPr>
      </w:pPr>
      <w:r>
        <w:rPr>
          <w:rFonts w:ascii="Arial" w:hAnsi="Arial" w:cs="Arial"/>
          <w:bCs/>
          <w:iCs/>
        </w:rPr>
        <w:t xml:space="preserve">Základný rámec HP UR bude integrálnou súčasťou  IROP,  programového manuálu a príručky pre žiadateľa/prijímateľa NFP ap. V hodnotiacom a výberovom procese bude HP UR stanovené ako diskvalifikačné kritérium. Proces monitorovania plnenia HP UR bude v projektoch  sledovaný prostredníctvom monitorovacích správ a následne hodnotením príspevku k cieľom HP. Samostatný výstup obsahujúci informácie o uplatňovaní </w:t>
      </w:r>
      <w:r>
        <w:rPr>
          <w:rFonts w:ascii="Arial" w:hAnsi="Arial" w:cs="Arial"/>
          <w:bCs/>
          <w:iCs/>
        </w:rPr>
        <w:lastRenderedPageBreak/>
        <w:t xml:space="preserve">horizontálneho princípu bude podkladom pre proces hodnotenia príspevku EŠIF k plneniu cieľov HP UR. </w:t>
      </w:r>
    </w:p>
    <w:p>
      <w:pPr>
        <w:spacing w:after="0"/>
        <w:jc w:val="both"/>
        <w:rPr>
          <w:rFonts w:ascii="Arial" w:hAnsi="Arial" w:cs="Arial"/>
          <w:bCs/>
          <w:iCs/>
        </w:rPr>
      </w:pPr>
      <w:r>
        <w:rPr>
          <w:rFonts w:ascii="Arial" w:hAnsi="Arial" w:cs="Arial"/>
          <w:bCs/>
          <w:iCs/>
        </w:rPr>
        <w:t>RO IROP bude predkladať orgánu zodpovednému za uplatňovanie  HP UR pravidelnú informáciu o jeho plnení, a to vyhodnotením monitorovacích správ, ako aj  kontrol na mieste v pravidelných časových intervaloch. V rámci jednotlivých pilierov sa budú v prípade vhodnosti sledovať na úrovni projektov príslušné ukazovatele výstupov napr. dodatočná kapacita pre výrobu obnoviteľnej energie, zníženie ročnej spotreby primárnej energie v podporených budovách, počet nových a udržaných pracovných miest, nárast tržieb podporených MSP, počet IKT zariadení/systémov, počet novovzniknutých podnikateľských subjektov (SZČO, právnické osoby, ...). Analytickú, hodnotiacu, strategickú a  metodickú  činnosť pre uplatňovanie  HP UR bude na národnej úrovni zabezpečovať ÚV SR. Rovnako bude zabezpečovať vzdelávacie a školiace aktivity subjektom zapojeným do implementácie EŠIF, ako aj relevantným sociálno-ekonomickým partnerom. Koordinátor HP UR má zastúpenie v MV IROP a pracovnej skupine pre prípravu  IROP.</w:t>
      </w:r>
    </w:p>
    <w:p>
      <w:pPr>
        <w:spacing w:after="0"/>
        <w:jc w:val="both"/>
        <w:rPr>
          <w:rFonts w:ascii="Arial" w:hAnsi="Arial" w:cs="Arial"/>
          <w:bCs/>
          <w:iCs/>
        </w:rPr>
      </w:pPr>
      <w:r>
        <w:rPr>
          <w:rFonts w:ascii="Arial" w:hAnsi="Arial" w:cs="Arial"/>
          <w:bCs/>
          <w:iCs/>
        </w:rPr>
        <w:t xml:space="preserve">  </w:t>
      </w:r>
    </w:p>
    <w:p>
      <w:pPr>
        <w:pStyle w:val="Nadpis2"/>
        <w:rPr>
          <w:rFonts w:ascii="Arial" w:hAnsi="Arial" w:cs="Arial"/>
        </w:rPr>
      </w:pPr>
      <w:bookmarkStart w:id="169" w:name="_Toc387154006"/>
      <w:r>
        <w:rPr>
          <w:rFonts w:ascii="Arial" w:hAnsi="Arial" w:cs="Arial"/>
        </w:rPr>
        <w:t>11.2 Rovnosť príležitostí a nediskriminácia</w:t>
      </w:r>
      <w:bookmarkEnd w:id="169"/>
    </w:p>
    <w:p>
      <w:pPr>
        <w:rPr>
          <w:rFonts w:ascii="Arial" w:hAnsi="Arial" w:cs="Arial"/>
        </w:rPr>
      </w:pPr>
    </w:p>
    <w:p>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 fondy definujú povinnosť prijať primerané opatrenia na zabránenie akejkoľvek diskriminácii na základe spomínaných kategórií.</w:t>
      </w:r>
      <w:r>
        <w:rPr>
          <w:rFonts w:ascii="Arial" w:hAnsi="Arial" w:cs="Arial"/>
        </w:rPr>
        <w:t xml:space="preserve"> Tieto princípy uplatňujú v IROP, a to prostredníctvom zavádzania vyrovnávacích opatrení a aktivít cielených na podporu znevýhodnených skupín.</w:t>
      </w:r>
    </w:p>
    <w:p>
      <w:pPr>
        <w:jc w:val="both"/>
        <w:rPr>
          <w:rFonts w:ascii="Arial" w:hAnsi="Arial" w:cs="Arial"/>
        </w:rPr>
      </w:pPr>
      <w:r>
        <w:rPr>
          <w:rFonts w:ascii="Arial" w:hAnsi="Arial" w:cs="Arial"/>
        </w:rPr>
        <w:t>Hlavným cieľom HP rovnosť príležitostí a nediskriminácia pre IROP je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pPr>
        <w:jc w:val="both"/>
        <w:rPr>
          <w:rFonts w:ascii="Arial" w:hAnsi="Arial" w:cs="Arial"/>
        </w:rPr>
      </w:pPr>
      <w:r>
        <w:rPr>
          <w:rFonts w:ascii="Arial" w:hAnsi="Arial" w:cs="Arial"/>
          <w:bCs/>
          <w:iCs/>
        </w:rPr>
        <w:t>Hlavné zásady, princípy a požiadavky, ktorými sa zabezpečuje bezbariérové riešenie prostredia a prístupnosť stavieb v SR sú zapracované v stavebnom zákone a vo vyhláške, ktorou sa ustanovujú podrobnosti o všeobecných technických požiadavkách na výstavbu a o všeobecných technických požiadavkách na stavby užívané osobami s obmedzenou schopnosťou pohybu a orientácie. Aktuálne  sa pripravuje novelizácia Stavebného zákona, ktorá má zabezpečiť osobám so zdravotným postihnutím na rovnakom základe s ostatnými prístup k fyzickému prostrediu a pohyb v ňom. Ustanovenia stavebného zákona týkajúce sa základných požiadaviek na stavby sú prevzaté z Nariadenia Európskeho parlamentu a Rady (EÚ) č. 305/2011 z 9. marca 2011, ktorým sa ustanovujú harmonizované podmienky uvádzania stavebných výrobkov na trh a ktorým sa ustanovujú harmonizované podmienky uvádzania stavebných výrobkov na</w:t>
      </w:r>
      <w:r>
        <w:rPr>
          <w:rFonts w:ascii="Arial" w:hAnsi="Arial" w:cs="Arial"/>
        </w:rPr>
        <w:t xml:space="preserve"> trh a ktorým sa zrušuje smernica Rady 89/106/EHS.</w:t>
      </w:r>
    </w:p>
    <w:p>
      <w:pPr>
        <w:jc w:val="both"/>
        <w:rPr>
          <w:rFonts w:ascii="Arial" w:hAnsi="Arial" w:cs="Arial"/>
        </w:rPr>
      </w:pPr>
      <w:r>
        <w:rPr>
          <w:rFonts w:ascii="Arial" w:hAnsi="Arial" w:cs="Arial"/>
        </w:rPr>
        <w:lastRenderedPageBreak/>
        <w:t xml:space="preserve">Jedným </w:t>
      </w:r>
      <w:r>
        <w:rPr>
          <w:rFonts w:ascii="Arial" w:hAnsi="Arial" w:cs="Arial"/>
          <w:bCs/>
          <w:iCs/>
        </w:rPr>
        <w:t>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prostredníctvom novely stavebného zákona zakotviť podmienky na aplikovanie princípov tvorby bezbariérového prostredia metódou univerzálneho navrhovania</w:t>
      </w:r>
      <w:r>
        <w:rPr>
          <w:rFonts w:ascii="Arial" w:hAnsi="Arial" w:cs="Arial"/>
        </w:rPr>
        <w:t>.</w:t>
      </w:r>
    </w:p>
    <w:p>
      <w:pPr>
        <w:jc w:val="both"/>
        <w:rPr>
          <w:rFonts w:ascii="Arial" w:hAnsi="Arial" w:cs="Arial"/>
        </w:rPr>
      </w:pPr>
      <w:r>
        <w:rPr>
          <w:rFonts w:ascii="Arial" w:hAnsi="Arial" w:cs="Arial"/>
        </w:rPr>
        <w:t>Hlavné zásady, princípy a požiadavky, ktorými sa zabezpečuje prístupnosť informácií sú obsiahnuté vo výnose MF SR č. 312/2010 Z.z. o štandardoch pre informačné systémy verejnej správy. Národný program rozvoja životných podmienok osôb so zdravotným postihnutím na roky 2014 – 2020 tiež obsahuje opatrenia 4.3.1, 4.3.2, 4.3.3 a 4.3.10 na zabezpečenie prístupnosti informácií.</w:t>
      </w:r>
    </w:p>
    <w:p>
      <w:pPr>
        <w:jc w:val="both"/>
        <w:rPr>
          <w:rFonts w:ascii="Arial" w:hAnsi="Arial" w:cs="Arial"/>
        </w:rPr>
      </w:pPr>
      <w:r>
        <w:rPr>
          <w:rFonts w:ascii="Arial" w:hAnsi="Arial" w:cs="Arial"/>
        </w:rPr>
        <w:t>Pre účinné uplatňovanie HP Rovnosť príležitostí a nediskriminácia bude v hodnotiacom a výberovom procese žiadostí o ne/návratný finančný príspevok stanovené diskvalifikačné kritérium.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w:t>
      </w:r>
    </w:p>
    <w:p>
      <w:pPr>
        <w:jc w:val="both"/>
        <w:rPr>
          <w:rFonts w:ascii="Arial" w:hAnsi="Arial" w:cs="Arial"/>
        </w:rPr>
      </w:pPr>
      <w:r>
        <w:rPr>
          <w:rFonts w:ascii="Arial" w:hAnsi="Arial" w:cs="Arial"/>
        </w:rPr>
        <w:t>RO pre IROP bude predkladať orgánu zodpovednému za uplatňovanie HP rovnosť príležitostí a nediskriminácia pravidelnú informáciu o ich plnení, a to vyhodnotením monitorovacích správ a kontrol na mieste v pravidelných časových intervaloch. Analytickú, hodnotiacu, strategickú a legislatívnu činnosť pre uplatňovanie HP rovnosť príležitostí a nediskriminácia bude na národnej úrovni zabezpečovať Ministerstvo práce, sociálnych vecí a rodiny SR (ďalej len „MPSVR SR“), ktoré je zodpovedné za štátnu politiku v tejto oblasti. Rovnako bude zabezpečovať vzdelávacie a školiace aktivity pre uplatňovanie HP rovnosť príležitostí a nediskriminácia subjektom zapojeným do implementácie EŠI fondov, ako aj relevantným sociálno-ekonomickým partnerom.</w:t>
      </w:r>
    </w:p>
    <w:p>
      <w:pPr>
        <w:jc w:val="both"/>
        <w:rPr>
          <w:rFonts w:ascii="Arial" w:hAnsi="Arial" w:cs="Arial"/>
        </w:rPr>
      </w:pPr>
      <w:r>
        <w:rPr>
          <w:rFonts w:ascii="Arial" w:hAnsi="Arial" w:cs="Arial"/>
        </w:rPr>
        <w:t>Na efektívne a účinné uplatňovanie HP rovnosť príležitostí a nediskriminácia bude na úrovni IROP potrebné zvýšiť, resp. optimalizovať počet zamestnancov, ktorí budú zabezpečovať vykonávanie vymenovaných činností.</w:t>
      </w:r>
    </w:p>
    <w:p>
      <w:pPr>
        <w:jc w:val="both"/>
        <w:rPr>
          <w:rFonts w:ascii="Arial" w:hAnsi="Arial" w:cs="Arial"/>
        </w:rPr>
      </w:pPr>
      <w:r>
        <w:rPr>
          <w:rFonts w:ascii="Arial" w:hAnsi="Arial" w:cs="Arial"/>
        </w:rPr>
        <w:t>Vecne príslušní zástupcovia MPSVR SR za uplatňovanie HP rovnosť príležitostí a nediskriminácia budú mať zabezpečené zastúpenie v Monitorovacom výbore pre IROP. MPSVR SR má zastúpenie aj v pracovnej skupine na prípravu IROP.</w:t>
      </w:r>
    </w:p>
    <w:p>
      <w:pPr>
        <w:jc w:val="both"/>
        <w:rPr>
          <w:rFonts w:ascii="Arial" w:hAnsi="Arial" w:cs="Arial"/>
        </w:rPr>
      </w:pPr>
    </w:p>
    <w:p>
      <w:pPr>
        <w:jc w:val="both"/>
        <w:rPr>
          <w:rFonts w:ascii="Arial" w:hAnsi="Arial" w:cs="Arial"/>
        </w:rPr>
      </w:pPr>
    </w:p>
    <w:p>
      <w:pPr>
        <w:pStyle w:val="Nadpis2"/>
        <w:rPr>
          <w:rFonts w:ascii="Arial" w:hAnsi="Arial" w:cs="Arial"/>
        </w:rPr>
      </w:pPr>
      <w:bookmarkStart w:id="170" w:name="_Toc387154007"/>
      <w:r>
        <w:rPr>
          <w:rFonts w:ascii="Arial" w:hAnsi="Arial" w:cs="Arial"/>
        </w:rPr>
        <w:lastRenderedPageBreak/>
        <w:t>11.3 Rovnosť medzi mužmi a ženami</w:t>
      </w:r>
      <w:bookmarkEnd w:id="170"/>
    </w:p>
    <w:p>
      <w:pPr>
        <w:rPr>
          <w:rFonts w:ascii="Arial" w:hAnsi="Arial" w:cs="Arial"/>
          <w:i/>
          <w:color w:val="4EACF3"/>
        </w:rPr>
      </w:pPr>
    </w:p>
    <w:p>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pPr>
        <w:jc w:val="both"/>
        <w:rPr>
          <w:rFonts w:ascii="Arial" w:hAnsi="Arial" w:cs="Arial"/>
        </w:rPr>
      </w:pPr>
      <w:r>
        <w:rPr>
          <w:rFonts w:ascii="Arial" w:hAnsi="Arial" w:cs="Arial"/>
        </w:rPr>
        <w:t>Hlavné ciele pre HP Rodová rovnosť sú zadefinované v závislosti od EŠI fondu, z ktorého je operačný program a jeho prioritné osi podporované. Keďže IROP je financovaný z EFRR, jeho príspevok k HP Rodová rovnosť je cielený v kontexte zníženia horizontálnej a vertikálnej rodovej segregácie. Tieto princípy sa uplatňujú v IROP, a to prostredníctvom zavádzania vyrovnávacích opatrení a aktivít cielených na podporu znevýhodnených skupín.</w:t>
      </w:r>
    </w:p>
    <w:p>
      <w:pPr>
        <w:jc w:val="both"/>
        <w:rPr>
          <w:rFonts w:ascii="Arial" w:hAnsi="Arial" w:cs="Arial"/>
        </w:rPr>
      </w:pPr>
      <w:r>
        <w:rPr>
          <w:rFonts w:ascii="Arial" w:hAnsi="Arial" w:cs="Arial"/>
        </w:rPr>
        <w:t>Pre účinné uplatňovanie HP Rodová rovnosť, nediskriminácia a prístupnosť bude v hodnotiacom a výberovom procese žiadostí o ne/návratný finančný príspevok stanovené diskvalifikačné kritérium.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w:t>
      </w:r>
    </w:p>
    <w:p>
      <w:pPr>
        <w:jc w:val="both"/>
        <w:rPr>
          <w:rFonts w:ascii="Arial" w:hAnsi="Arial" w:cs="Arial"/>
        </w:rPr>
      </w:pPr>
      <w:r>
        <w:rPr>
          <w:rFonts w:ascii="Arial" w:hAnsi="Arial" w:cs="Arial"/>
        </w:rPr>
        <w:t>RO pre IROP bude predkladať orgánu zodpovednému za uplatňovanie HP Rodová rovnosť pravidelnú informáciu o ich plnení, a to vyhodnotením monitorovacích správ a kontrol na mieste v pravidelných časových intervaloch. Analytickú, hodnotiacu, strategickú a legislatívnu činnosť pre uplatňovanie HP Rodová rovnosť bude na národnej úrovni zabezpečovať Ministerstvo práce, sociálnych vecí a rodiny SR (ďalej len „MPSVR SR“), ktoré je zodpovedné za štátnu politiku v tejto oblasti. Rovnako bude zabezpečovať vzdelávacie a školiace aktivity pre uplatňovanie HP Rodová rovnosť subjektom zapojeným do implementácie EŠI fondov, ako aj relevantným sociálno-ekonomickým partnerom.</w:t>
      </w:r>
    </w:p>
    <w:p>
      <w:pPr>
        <w:jc w:val="both"/>
        <w:rPr>
          <w:rFonts w:ascii="Arial" w:hAnsi="Arial" w:cs="Arial"/>
        </w:rPr>
      </w:pPr>
      <w:r>
        <w:rPr>
          <w:rFonts w:ascii="Arial" w:hAnsi="Arial" w:cs="Arial"/>
        </w:rPr>
        <w:t>Na efektívne a účinné uplatňovanie HP Rodová rovnosť bude na úrovni IROP potrebné zvýšiť, resp. optimalizovať počet zamestnancov, ktorí budú zabezpečovať vykonávanie vymenovaných činností.</w:t>
      </w:r>
    </w:p>
    <w:p>
      <w:pPr>
        <w:jc w:val="both"/>
        <w:rPr>
          <w:rFonts w:ascii="Arial" w:hAnsi="Arial" w:cs="Arial"/>
        </w:rPr>
      </w:pPr>
      <w:r>
        <w:rPr>
          <w:rFonts w:ascii="Arial" w:hAnsi="Arial" w:cs="Arial"/>
        </w:rPr>
        <w:t>Vecne príslušní zástupcovia MPSVR SR za uplatňovanie HP Rodová rovnosť budú mať zabezpečené zastúpenie v Monitorovacom výbore pre IROP. MPSVR SR má zastúpenie aj v pracovnej skupine na prípravu IROP.</w:t>
      </w:r>
    </w:p>
    <w:p>
      <w:pPr>
        <w:pStyle w:val="Nadpis1"/>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pPr>
      <w:bookmarkStart w:id="171" w:name="_Toc387154008"/>
      <w:r>
        <w:rPr>
          <w:rFonts w:ascii="Arial" w:hAnsi="Arial" w:cs="Arial"/>
        </w:rPr>
        <w:lastRenderedPageBreak/>
        <w:t>12 Prílohy</w:t>
      </w:r>
      <w:bookmarkEnd w:id="171"/>
    </w:p>
    <w:p>
      <w:pPr>
        <w:pStyle w:val="Nadpis2"/>
      </w:pPr>
      <w:bookmarkStart w:id="172" w:name="_Toc387154009"/>
      <w:r>
        <w:t>Použité skratky</w:t>
      </w:r>
      <w:bookmarkEnd w:id="172"/>
    </w:p>
    <w:tbl>
      <w:tblPr>
        <w:tblW w:w="0" w:type="auto"/>
        <w:tblLook w:val="04A0" w:firstRow="1" w:lastRow="0" w:firstColumn="1" w:lastColumn="0" w:noHBand="0" w:noVBand="1"/>
      </w:tblPr>
      <w:tblGrid>
        <w:gridCol w:w="1668"/>
        <w:gridCol w:w="7544"/>
      </w:tblGrid>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AK</w:t>
            </w:r>
          </w:p>
        </w:tc>
        <w:tc>
          <w:tcPr>
            <w:tcW w:w="7544" w:type="dxa"/>
            <w:hideMark/>
          </w:tcPr>
          <w:p>
            <w:pPr>
              <w:spacing w:after="0"/>
              <w:jc w:val="both"/>
              <w:rPr>
                <w:rFonts w:ascii="Arial" w:eastAsia="Calibri" w:hAnsi="Arial" w:cs="Arial"/>
                <w:sz w:val="20"/>
                <w:szCs w:val="20"/>
              </w:rPr>
            </w:pPr>
            <w:r>
              <w:rPr>
                <w:rFonts w:ascii="Arial" w:hAnsi="Arial" w:cs="Arial"/>
                <w:sz w:val="20"/>
                <w:szCs w:val="20"/>
              </w:rPr>
              <w:t>Administratívne kapacity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pPr>
              <w:spacing w:after="0"/>
              <w:jc w:val="both"/>
              <w:rPr>
                <w:rFonts w:ascii="Arial" w:eastAsia="Calibri" w:hAnsi="Arial" w:cs="Arial"/>
                <w:sz w:val="20"/>
                <w:szCs w:val="20"/>
              </w:rPr>
            </w:pPr>
            <w:r>
              <w:rPr>
                <w:rFonts w:ascii="Arial" w:hAnsi="Arial" w:cs="Arial"/>
                <w:sz w:val="20"/>
                <w:szCs w:val="20"/>
              </w:rPr>
              <w:t>Najlepšie dostupné techniky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pPr>
              <w:spacing w:after="0"/>
              <w:jc w:val="both"/>
              <w:rPr>
                <w:rFonts w:ascii="Arial" w:eastAsia="Calibri" w:hAnsi="Arial" w:cs="Arial"/>
                <w:sz w:val="20"/>
                <w:szCs w:val="20"/>
              </w:rPr>
            </w:pPr>
            <w:r>
              <w:rPr>
                <w:rFonts w:ascii="Arial" w:hAnsi="Arial" w:cs="Arial"/>
                <w:sz w:val="20"/>
                <w:szCs w:val="20"/>
              </w:rPr>
              <w:t>Bratislavská integrovaná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pPr>
              <w:spacing w:after="0"/>
              <w:jc w:val="both"/>
              <w:rPr>
                <w:rFonts w:ascii="Arial" w:eastAsia="Calibri" w:hAnsi="Arial" w:cs="Arial"/>
                <w:sz w:val="20"/>
                <w:szCs w:val="20"/>
              </w:rPr>
            </w:pPr>
            <w:r>
              <w:rPr>
                <w:rFonts w:ascii="Arial" w:hAnsi="Arial" w:cs="Arial"/>
                <w:sz w:val="20"/>
                <w:szCs w:val="20"/>
              </w:rPr>
              <w:t>Banskobystrický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pPr>
              <w:spacing w:after="0"/>
              <w:jc w:val="both"/>
              <w:rPr>
                <w:rFonts w:ascii="Arial" w:eastAsia="Calibri" w:hAnsi="Arial" w:cs="Arial"/>
                <w:sz w:val="20"/>
                <w:szCs w:val="20"/>
              </w:rPr>
            </w:pPr>
            <w:r>
              <w:rPr>
                <w:rFonts w:ascii="Arial" w:hAnsi="Arial" w:cs="Arial"/>
                <w:sz w:val="20"/>
                <w:szCs w:val="20"/>
              </w:rPr>
              <w:t>Bratislavský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únia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pPr>
              <w:spacing w:after="0"/>
              <w:jc w:val="both"/>
              <w:rPr>
                <w:rFonts w:ascii="Arial" w:eastAsia="Calibri" w:hAnsi="Arial" w:cs="Arial"/>
                <w:sz w:val="20"/>
                <w:szCs w:val="20"/>
              </w:rPr>
            </w:pPr>
            <w:r>
              <w:rPr>
                <w:rFonts w:ascii="Arial" w:hAnsi="Arial" w:cs="Arial"/>
                <w:sz w:val="20"/>
                <w:szCs w:val="20"/>
              </w:rPr>
              <w:t>Centrálny koordinačný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pPr>
              <w:spacing w:after="0"/>
              <w:jc w:val="both"/>
              <w:rPr>
                <w:rFonts w:ascii="Arial" w:eastAsia="Calibri" w:hAnsi="Arial" w:cs="Arial"/>
                <w:sz w:val="20"/>
                <w:szCs w:val="20"/>
              </w:rPr>
            </w:pPr>
            <w:r>
              <w:rPr>
                <w:rFonts w:ascii="Arial" w:hAnsi="Arial" w:cs="Arial"/>
                <w:sz w:val="20"/>
                <w:szCs w:val="20"/>
              </w:rPr>
              <w:t>Miestny rozvoj vedený komunitou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CO</w:t>
            </w:r>
          </w:p>
        </w:tc>
        <w:tc>
          <w:tcPr>
            <w:tcW w:w="7544" w:type="dxa"/>
            <w:hideMark/>
          </w:tcPr>
          <w:p>
            <w:pPr>
              <w:spacing w:after="0"/>
              <w:jc w:val="both"/>
              <w:rPr>
                <w:rFonts w:ascii="Arial" w:eastAsia="Calibri" w:hAnsi="Arial" w:cs="Arial"/>
                <w:sz w:val="20"/>
                <w:szCs w:val="20"/>
              </w:rPr>
            </w:pPr>
            <w:r>
              <w:rPr>
                <w:rFonts w:ascii="Arial" w:hAnsi="Arial" w:cs="Arial"/>
                <w:sz w:val="20"/>
                <w:szCs w:val="20"/>
              </w:rPr>
              <w:t>Certifikačný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pPr>
              <w:spacing w:after="0"/>
              <w:ind w:left="176" w:hanging="176"/>
              <w:jc w:val="both"/>
              <w:rPr>
                <w:rFonts w:ascii="Arial" w:eastAsia="Calibri" w:hAnsi="Arial" w:cs="Arial"/>
                <w:sz w:val="20"/>
                <w:szCs w:val="20"/>
              </w:rPr>
            </w:pPr>
            <w:r>
              <w:rPr>
                <w:rFonts w:ascii="Arial" w:hAnsi="Arial" w:cs="Arial"/>
                <w:sz w:val="20"/>
                <w:szCs w:val="20"/>
              </w:rPr>
              <w:t>Centrum vedecko-technických informácií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pPr>
              <w:spacing w:after="0"/>
              <w:jc w:val="both"/>
              <w:rPr>
                <w:rFonts w:ascii="Arial" w:eastAsia="Calibri" w:hAnsi="Arial" w:cs="Arial"/>
                <w:sz w:val="20"/>
                <w:szCs w:val="20"/>
              </w:rPr>
            </w:pPr>
            <w:r>
              <w:rPr>
                <w:rFonts w:ascii="Arial" w:hAnsi="Arial" w:cs="Arial"/>
                <w:sz w:val="20"/>
                <w:szCs w:val="20"/>
              </w:rPr>
              <w:t>Členský štát</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iCs/>
                <w:sz w:val="20"/>
                <w:szCs w:val="20"/>
              </w:rPr>
              <w:t>DeD</w:t>
            </w:r>
          </w:p>
        </w:tc>
        <w:tc>
          <w:tcPr>
            <w:tcW w:w="7544" w:type="dxa"/>
            <w:hideMark/>
          </w:tcPr>
          <w:p>
            <w:pPr>
              <w:spacing w:after="0"/>
              <w:jc w:val="both"/>
              <w:rPr>
                <w:rFonts w:ascii="Arial" w:eastAsia="Calibri" w:hAnsi="Arial" w:cs="Arial"/>
                <w:sz w:val="20"/>
                <w:szCs w:val="20"/>
              </w:rPr>
            </w:pPr>
            <w:r>
              <w:rPr>
                <w:rFonts w:ascii="Arial" w:hAnsi="Arial" w:cs="Arial"/>
                <w:sz w:val="20"/>
                <w:szCs w:val="20"/>
              </w:rPr>
              <w:t>Detský domov</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EF</w:t>
            </w:r>
          </w:p>
        </w:tc>
        <w:tc>
          <w:tcPr>
            <w:tcW w:w="7544" w:type="dxa"/>
            <w:hideMark/>
          </w:tcPr>
          <w:p>
            <w:pPr>
              <w:spacing w:after="0"/>
              <w:jc w:val="both"/>
              <w:rPr>
                <w:rFonts w:ascii="Arial" w:eastAsia="Calibri" w:hAnsi="Arial" w:cs="Arial"/>
                <w:sz w:val="20"/>
                <w:szCs w:val="20"/>
              </w:rPr>
            </w:pPr>
            <w:r>
              <w:rPr>
                <w:rFonts w:ascii="Arial" w:hAnsi="Arial" w:cs="Arial"/>
                <w:sz w:val="20"/>
                <w:szCs w:val="20"/>
              </w:rPr>
              <w:t>Environmentálny fond</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Európsky fond regionálneho rozvoja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Európske hlavné mesto kultúry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pPr>
              <w:spacing w:after="0"/>
              <w:jc w:val="both"/>
              <w:rPr>
                <w:rFonts w:ascii="Arial" w:eastAsia="Calibri" w:hAnsi="Arial" w:cs="Arial"/>
                <w:sz w:val="20"/>
                <w:szCs w:val="20"/>
              </w:rPr>
            </w:pPr>
            <w:r>
              <w:rPr>
                <w:rFonts w:ascii="Arial" w:hAnsi="Arial" w:cs="Arial"/>
                <w:sz w:val="20"/>
                <w:szCs w:val="20"/>
              </w:rPr>
              <w:t>Posudzovanie vplyvov na životné prostredie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investičná banka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EK</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komisia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EO</w:t>
            </w:r>
          </w:p>
        </w:tc>
        <w:tc>
          <w:tcPr>
            <w:tcW w:w="7544" w:type="dxa"/>
            <w:hideMark/>
          </w:tcPr>
          <w:p>
            <w:pPr>
              <w:spacing w:after="0"/>
              <w:jc w:val="both"/>
              <w:rPr>
                <w:rFonts w:ascii="Arial" w:eastAsia="Calibri" w:hAnsi="Arial" w:cs="Arial"/>
                <w:sz w:val="20"/>
                <w:szCs w:val="20"/>
              </w:rPr>
            </w:pPr>
            <w:r>
              <w:rPr>
                <w:rFonts w:ascii="Arial" w:hAnsi="Arial" w:cs="Arial"/>
                <w:sz w:val="20"/>
                <w:szCs w:val="20"/>
              </w:rPr>
              <w:t>Ekvivalentný obyvateľ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EP</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Európsky parlament</w:t>
            </w:r>
          </w:p>
        </w:tc>
      </w:tr>
      <w:tr>
        <w:trPr>
          <w:trHeight w:val="170"/>
        </w:trPr>
        <w:tc>
          <w:tcPr>
            <w:tcW w:w="1668" w:type="dxa"/>
            <w:hideMark/>
          </w:tcPr>
          <w:p>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EZ</w:t>
            </w:r>
          </w:p>
        </w:tc>
        <w:tc>
          <w:tcPr>
            <w:tcW w:w="7544" w:type="dxa"/>
            <w:hideMark/>
          </w:tcPr>
          <w:p>
            <w:pPr>
              <w:spacing w:after="0"/>
              <w:jc w:val="both"/>
              <w:rPr>
                <w:rFonts w:ascii="Arial" w:eastAsia="Calibri" w:hAnsi="Arial" w:cs="Arial"/>
                <w:sz w:val="20"/>
                <w:szCs w:val="20"/>
              </w:rPr>
            </w:pPr>
            <w:r>
              <w:rPr>
                <w:rFonts w:ascii="Arial" w:hAnsi="Arial" w:cs="Arial"/>
                <w:sz w:val="20"/>
                <w:szCs w:val="20"/>
              </w:rPr>
              <w:t>Environmentálna záťaž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pPr>
              <w:spacing w:after="0"/>
              <w:jc w:val="both"/>
              <w:rPr>
                <w:rFonts w:ascii="Arial" w:eastAsia="Calibri" w:hAnsi="Arial" w:cs="Arial"/>
                <w:sz w:val="20"/>
                <w:szCs w:val="20"/>
              </w:rPr>
            </w:pPr>
            <w:r>
              <w:rPr>
                <w:rFonts w:ascii="Arial" w:hAnsi="Arial" w:cs="Arial"/>
                <w:sz w:val="20"/>
                <w:szCs w:val="20"/>
              </w:rPr>
              <w:t>Často kladené otázky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FO</w:t>
            </w:r>
          </w:p>
        </w:tc>
        <w:tc>
          <w:tcPr>
            <w:tcW w:w="7544" w:type="dxa"/>
            <w:hideMark/>
          </w:tcPr>
          <w:p>
            <w:pPr>
              <w:spacing w:after="0"/>
              <w:jc w:val="both"/>
              <w:rPr>
                <w:rFonts w:ascii="Arial" w:eastAsia="Calibri" w:hAnsi="Arial" w:cs="Arial"/>
                <w:sz w:val="20"/>
                <w:szCs w:val="20"/>
              </w:rPr>
            </w:pPr>
            <w:r>
              <w:rPr>
                <w:rFonts w:ascii="Arial" w:hAnsi="Arial" w:cs="Arial"/>
                <w:sz w:val="20"/>
                <w:szCs w:val="20"/>
              </w:rPr>
              <w:t>Fyzické osoby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pPr>
              <w:spacing w:after="0"/>
              <w:jc w:val="both"/>
              <w:rPr>
                <w:rFonts w:ascii="Arial" w:eastAsia="Calibri" w:hAnsi="Arial" w:cs="Arial"/>
                <w:sz w:val="20"/>
                <w:szCs w:val="20"/>
              </w:rPr>
            </w:pPr>
            <w:r>
              <w:rPr>
                <w:rFonts w:ascii="Arial" w:hAnsi="Arial" w:cs="Arial"/>
                <w:sz w:val="20"/>
                <w:szCs w:val="20"/>
              </w:rPr>
              <w:t>Hrubý domáci produkt</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HP</w:t>
            </w:r>
          </w:p>
        </w:tc>
        <w:tc>
          <w:tcPr>
            <w:tcW w:w="7544" w:type="dxa"/>
            <w:hideMark/>
          </w:tcPr>
          <w:p>
            <w:pPr>
              <w:spacing w:after="0"/>
              <w:jc w:val="both"/>
              <w:rPr>
                <w:rFonts w:ascii="Arial" w:eastAsia="Calibri" w:hAnsi="Arial" w:cs="Arial"/>
                <w:sz w:val="20"/>
                <w:szCs w:val="20"/>
              </w:rPr>
            </w:pPr>
            <w:r>
              <w:rPr>
                <w:rFonts w:ascii="Arial" w:hAnsi="Arial" w:cs="Arial"/>
                <w:sz w:val="20"/>
                <w:szCs w:val="20"/>
              </w:rPr>
              <w:t>Horizontálny princíp</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pPr>
              <w:spacing w:after="0"/>
              <w:jc w:val="both"/>
              <w:rPr>
                <w:rFonts w:ascii="Arial" w:eastAsia="Calibri" w:hAnsi="Arial" w:cs="Arial"/>
                <w:sz w:val="20"/>
                <w:szCs w:val="20"/>
              </w:rPr>
            </w:pPr>
            <w:r>
              <w:rPr>
                <w:rFonts w:ascii="Arial" w:hAnsi="Arial" w:cs="Arial"/>
                <w:sz w:val="20"/>
                <w:szCs w:val="20"/>
              </w:rPr>
              <w:t>Individuálna automobilová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integrovaný dopravný systém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pPr>
              <w:spacing w:after="0"/>
              <w:jc w:val="both"/>
              <w:rPr>
                <w:rFonts w:ascii="Arial" w:eastAsia="Calibri" w:hAnsi="Arial" w:cs="Arial"/>
                <w:sz w:val="20"/>
                <w:szCs w:val="20"/>
              </w:rPr>
            </w:pPr>
            <w:r>
              <w:rPr>
                <w:rFonts w:ascii="Arial" w:hAnsi="Arial" w:cs="Arial"/>
                <w:sz w:val="20"/>
                <w:szCs w:val="20"/>
              </w:rPr>
              <w:t>Informačno-komunikačné technológie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IP</w:t>
            </w:r>
          </w:p>
        </w:tc>
        <w:tc>
          <w:tcPr>
            <w:tcW w:w="7544" w:type="dxa"/>
            <w:hideMark/>
          </w:tcPr>
          <w:p>
            <w:pPr>
              <w:spacing w:after="0"/>
              <w:jc w:val="both"/>
              <w:rPr>
                <w:rFonts w:ascii="Arial" w:eastAsia="Calibri" w:hAnsi="Arial" w:cs="Arial"/>
                <w:sz w:val="20"/>
                <w:szCs w:val="20"/>
              </w:rPr>
            </w:pPr>
            <w:r>
              <w:rPr>
                <w:rFonts w:ascii="Arial" w:hAnsi="Arial" w:cs="Arial"/>
                <w:sz w:val="20"/>
                <w:szCs w:val="20"/>
              </w:rPr>
              <w:t>Investičná priorita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Integrovaný regionálny 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Integrované územné investície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KF</w:t>
            </w:r>
          </w:p>
        </w:tc>
        <w:tc>
          <w:tcPr>
            <w:tcW w:w="7544" w:type="dxa"/>
            <w:hideMark/>
          </w:tcPr>
          <w:p>
            <w:pPr>
              <w:spacing w:after="0"/>
              <w:jc w:val="both"/>
              <w:rPr>
                <w:rFonts w:ascii="Arial" w:eastAsia="Calibri" w:hAnsi="Arial" w:cs="Arial"/>
                <w:sz w:val="20"/>
                <w:szCs w:val="20"/>
              </w:rPr>
            </w:pPr>
            <w:r>
              <w:rPr>
                <w:rFonts w:ascii="Arial" w:hAnsi="Arial" w:cs="Arial"/>
                <w:sz w:val="20"/>
                <w:szCs w:val="20"/>
              </w:rPr>
              <w:t>Kohézny fond</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pPr>
              <w:spacing w:after="0"/>
              <w:jc w:val="both"/>
              <w:rPr>
                <w:rFonts w:ascii="Arial" w:eastAsia="Calibri" w:hAnsi="Arial" w:cs="Arial"/>
                <w:sz w:val="20"/>
                <w:szCs w:val="20"/>
              </w:rPr>
            </w:pPr>
            <w:r>
              <w:rPr>
                <w:rFonts w:ascii="Arial" w:hAnsi="Arial" w:cs="Arial"/>
                <w:sz w:val="20"/>
                <w:szCs w:val="20"/>
              </w:rPr>
              <w:t>Kultúrny a kreatívny sektor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KS</w:t>
            </w:r>
          </w:p>
        </w:tc>
        <w:tc>
          <w:tcPr>
            <w:tcW w:w="7544" w:type="dxa"/>
            <w:hideMark/>
          </w:tcPr>
          <w:p>
            <w:pPr>
              <w:spacing w:after="0"/>
              <w:jc w:val="both"/>
              <w:rPr>
                <w:rFonts w:ascii="Arial" w:eastAsia="Calibri" w:hAnsi="Arial" w:cs="Arial"/>
                <w:sz w:val="20"/>
                <w:szCs w:val="20"/>
              </w:rPr>
            </w:pPr>
            <w:r>
              <w:rPr>
                <w:rFonts w:ascii="Arial" w:hAnsi="Arial" w:cs="Arial"/>
                <w:sz w:val="20"/>
                <w:szCs w:val="20"/>
              </w:rPr>
              <w:t>Krízové stredisko</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pPr>
              <w:spacing w:after="0"/>
              <w:jc w:val="both"/>
              <w:rPr>
                <w:rFonts w:ascii="Arial" w:eastAsia="Calibri" w:hAnsi="Arial" w:cs="Arial"/>
                <w:sz w:val="20"/>
                <w:szCs w:val="20"/>
              </w:rPr>
            </w:pPr>
            <w:r>
              <w:rPr>
                <w:rFonts w:ascii="Arial" w:hAnsi="Arial" w:cs="Arial"/>
                <w:sz w:val="20"/>
                <w:szCs w:val="20"/>
              </w:rPr>
              <w:t>Košický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pPr>
              <w:spacing w:after="0"/>
              <w:jc w:val="both"/>
              <w:rPr>
                <w:rFonts w:ascii="Arial" w:eastAsia="Calibri" w:hAnsi="Arial" w:cs="Arial"/>
                <w:sz w:val="20"/>
                <w:szCs w:val="20"/>
              </w:rPr>
            </w:pPr>
            <w:r>
              <w:rPr>
                <w:rFonts w:ascii="Arial" w:hAnsi="Arial" w:cs="Arial"/>
                <w:sz w:val="20"/>
                <w:szCs w:val="20"/>
              </w:rPr>
              <w:t>Koncepcia územného rozvoja Slovenska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MAS</w:t>
            </w:r>
          </w:p>
        </w:tc>
        <w:tc>
          <w:tcPr>
            <w:tcW w:w="7544" w:type="dxa"/>
            <w:hideMark/>
          </w:tcPr>
          <w:p>
            <w:pPr>
              <w:spacing w:after="0"/>
              <w:jc w:val="both"/>
              <w:rPr>
                <w:rFonts w:ascii="Arial" w:eastAsia="Calibri" w:hAnsi="Arial" w:cs="Arial"/>
                <w:sz w:val="20"/>
                <w:szCs w:val="20"/>
              </w:rPr>
            </w:pPr>
            <w:r>
              <w:rPr>
                <w:rFonts w:ascii="Arial" w:hAnsi="Arial" w:cs="Arial"/>
                <w:sz w:val="20"/>
                <w:szCs w:val="20"/>
              </w:rPr>
              <w:t>Miestna akčná skupina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MDVRR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financií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pPr>
              <w:spacing w:after="0"/>
              <w:jc w:val="both"/>
              <w:rPr>
                <w:rFonts w:ascii="Arial" w:eastAsia="Calibri" w:hAnsi="Arial" w:cs="Arial"/>
                <w:sz w:val="20"/>
                <w:szCs w:val="20"/>
              </w:rPr>
            </w:pPr>
            <w:r>
              <w:rPr>
                <w:rFonts w:ascii="Arial" w:hAnsi="Arial" w:cs="Arial"/>
                <w:sz w:val="20"/>
                <w:szCs w:val="20"/>
              </w:rPr>
              <w:t>Mestská hromadná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lastRenderedPageBreak/>
              <w:t>MH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obrany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pPr>
              <w:spacing w:after="0"/>
              <w:jc w:val="both"/>
              <w:rPr>
                <w:rFonts w:ascii="Arial" w:eastAsia="Calibri" w:hAnsi="Arial" w:cs="Arial"/>
                <w:sz w:val="20"/>
                <w:szCs w:val="20"/>
              </w:rPr>
            </w:pPr>
            <w:r>
              <w:rPr>
                <w:rFonts w:ascii="Arial" w:hAnsi="Arial" w:cs="Arial"/>
                <w:sz w:val="20"/>
                <w:szCs w:val="20"/>
              </w:rPr>
              <w:t>Marginalizované rómske komunity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pPr>
              <w:spacing w:after="0"/>
              <w:jc w:val="both"/>
              <w:rPr>
                <w:rFonts w:ascii="Arial" w:eastAsia="Calibri" w:hAnsi="Arial" w:cs="Arial"/>
                <w:sz w:val="20"/>
                <w:szCs w:val="20"/>
              </w:rPr>
            </w:pPr>
            <w:r>
              <w:rPr>
                <w:rFonts w:ascii="Arial" w:hAnsi="Arial" w:cs="Arial"/>
                <w:sz w:val="20"/>
                <w:szCs w:val="20"/>
              </w:rPr>
              <w:t>Malé a stredné podniky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pPr>
              <w:spacing w:after="0"/>
              <w:jc w:val="both"/>
              <w:rPr>
                <w:rFonts w:ascii="Arial" w:eastAsia="Calibri" w:hAnsi="Arial" w:cs="Arial"/>
                <w:sz w:val="20"/>
                <w:szCs w:val="20"/>
              </w:rPr>
            </w:pPr>
            <w:r>
              <w:rPr>
                <w:rFonts w:ascii="Arial" w:hAnsi="Arial" w:cs="Arial"/>
                <w:sz w:val="20"/>
                <w:szCs w:val="20"/>
              </w:rPr>
              <w:t>Materská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pPr>
              <w:spacing w:after="0"/>
              <w:jc w:val="both"/>
              <w:rPr>
                <w:rFonts w:ascii="Arial" w:eastAsia="Calibri" w:hAnsi="Arial" w:cs="Arial"/>
                <w:sz w:val="20"/>
                <w:szCs w:val="20"/>
              </w:rPr>
            </w:pPr>
            <w:r>
              <w:rPr>
                <w:rFonts w:ascii="Arial" w:hAnsi="Arial" w:cs="Arial"/>
                <w:sz w:val="20"/>
                <w:szCs w:val="20"/>
              </w:rPr>
              <w:t>Nenávratný finančný príspevok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pPr>
              <w:spacing w:after="0"/>
              <w:jc w:val="both"/>
              <w:rPr>
                <w:rFonts w:ascii="Arial" w:eastAsia="Calibri" w:hAnsi="Arial" w:cs="Arial"/>
                <w:sz w:val="20"/>
                <w:szCs w:val="20"/>
              </w:rPr>
            </w:pPr>
            <w:r>
              <w:rPr>
                <w:rFonts w:ascii="Arial" w:hAnsi="Arial" w:cs="Arial"/>
                <w:sz w:val="20"/>
                <w:szCs w:val="20"/>
              </w:rPr>
              <w:t>Národná rada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pPr>
              <w:spacing w:after="0"/>
              <w:jc w:val="both"/>
              <w:rPr>
                <w:rFonts w:ascii="Arial" w:eastAsia="Calibri" w:hAnsi="Arial" w:cs="Arial"/>
                <w:sz w:val="20"/>
                <w:szCs w:val="20"/>
              </w:rPr>
            </w:pPr>
            <w:r>
              <w:rPr>
                <w:rFonts w:ascii="Arial" w:hAnsi="Arial" w:cs="Arial"/>
                <w:sz w:val="20"/>
                <w:szCs w:val="20"/>
              </w:rPr>
              <w:t>Nitriansky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OA</w:t>
            </w:r>
          </w:p>
        </w:tc>
        <w:tc>
          <w:tcPr>
            <w:tcW w:w="7544" w:type="dxa"/>
            <w:hideMark/>
          </w:tcPr>
          <w:p>
            <w:pPr>
              <w:spacing w:after="0"/>
              <w:jc w:val="both"/>
              <w:rPr>
                <w:rFonts w:ascii="Arial" w:eastAsia="Calibri" w:hAnsi="Arial" w:cs="Arial"/>
                <w:sz w:val="20"/>
                <w:szCs w:val="20"/>
              </w:rPr>
            </w:pPr>
            <w:r>
              <w:rPr>
                <w:rFonts w:ascii="Arial" w:hAnsi="Arial" w:cs="Arial"/>
                <w:sz w:val="20"/>
                <w:szCs w:val="20"/>
              </w:rPr>
              <w:t>Orgán auditu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Bratislavský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Ľudské zdroje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KaHR</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Technická pomoc</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VaI</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Výskum a inovácie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pPr>
              <w:spacing w:after="0"/>
              <w:jc w:val="both"/>
              <w:rPr>
                <w:rFonts w:ascii="Arial" w:eastAsia="Calibri" w:hAnsi="Arial" w:cs="Arial"/>
                <w:sz w:val="20"/>
                <w:szCs w:val="20"/>
              </w:rPr>
            </w:pPr>
            <w:r>
              <w:rPr>
                <w:rFonts w:ascii="Arial" w:hAnsi="Arial" w:cs="Arial"/>
                <w:sz w:val="20"/>
                <w:szCs w:val="20"/>
              </w:rPr>
              <w:t>Odborné vzdelávanie a príprava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pPr>
              <w:spacing w:after="0"/>
              <w:jc w:val="both"/>
              <w:rPr>
                <w:rFonts w:ascii="Arial" w:eastAsia="Calibri" w:hAnsi="Arial" w:cs="Arial"/>
                <w:sz w:val="20"/>
                <w:szCs w:val="20"/>
              </w:rPr>
            </w:pPr>
            <w:r>
              <w:rPr>
                <w:rFonts w:ascii="Arial" w:hAnsi="Arial" w:cs="Arial"/>
                <w:sz w:val="20"/>
                <w:szCs w:val="20"/>
              </w:rPr>
              <w:t>Obnoviteľné zdroje energie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PO</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Programové obdobie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 odpadového hospodárstva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 rozvoja vidieka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pPr>
              <w:spacing w:after="0"/>
              <w:jc w:val="both"/>
              <w:rPr>
                <w:rFonts w:ascii="Arial" w:eastAsia="Calibri" w:hAnsi="Arial" w:cs="Arial"/>
                <w:sz w:val="20"/>
                <w:szCs w:val="20"/>
              </w:rPr>
            </w:pPr>
            <w:r>
              <w:rPr>
                <w:rFonts w:ascii="Arial" w:hAnsi="Arial" w:cs="Arial"/>
                <w:sz w:val="20"/>
                <w:szCs w:val="20"/>
              </w:rPr>
              <w:t>Prešovský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RD</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Rodinný dom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Regionálna inovačná stratégia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Regionálna integrovaná územná stratégia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RO</w:t>
            </w:r>
          </w:p>
        </w:tc>
        <w:tc>
          <w:tcPr>
            <w:tcW w:w="7544" w:type="dxa"/>
            <w:hideMark/>
          </w:tcPr>
          <w:p>
            <w:pPr>
              <w:spacing w:after="0"/>
              <w:jc w:val="both"/>
              <w:rPr>
                <w:rFonts w:ascii="Arial" w:eastAsia="Calibri" w:hAnsi="Arial" w:cs="Arial"/>
                <w:sz w:val="20"/>
                <w:szCs w:val="20"/>
              </w:rPr>
            </w:pPr>
            <w:r>
              <w:rPr>
                <w:rFonts w:ascii="Arial" w:hAnsi="Arial" w:cs="Arial"/>
                <w:sz w:val="20"/>
                <w:szCs w:val="20"/>
              </w:rPr>
              <w:t>Riadiaci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Regionálny 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RS</w:t>
            </w:r>
          </w:p>
        </w:tc>
        <w:tc>
          <w:tcPr>
            <w:tcW w:w="7544" w:type="dxa"/>
            <w:hideMark/>
          </w:tcPr>
          <w:p>
            <w:pPr>
              <w:spacing w:after="0"/>
              <w:jc w:val="both"/>
              <w:rPr>
                <w:rFonts w:ascii="Arial" w:eastAsia="Calibri" w:hAnsi="Arial" w:cs="Arial"/>
                <w:sz w:val="20"/>
                <w:szCs w:val="20"/>
              </w:rPr>
            </w:pPr>
            <w:r>
              <w:rPr>
                <w:rFonts w:ascii="Arial" w:hAnsi="Arial" w:cs="Arial"/>
                <w:sz w:val="20"/>
                <w:szCs w:val="20"/>
              </w:rPr>
              <w:t>resocializačné stredisko</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SARIO</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Slovenská agentúra pre rozvoj investícií a obchodu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SHMÚ</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SHR</w:t>
            </w:r>
          </w:p>
        </w:tc>
        <w:tc>
          <w:tcPr>
            <w:tcW w:w="7544" w:type="dxa"/>
            <w:hideMark/>
          </w:tcPr>
          <w:p>
            <w:pPr>
              <w:spacing w:after="0"/>
              <w:jc w:val="both"/>
              <w:rPr>
                <w:rFonts w:ascii="Arial" w:eastAsia="Calibri" w:hAnsi="Arial" w:cs="Arial"/>
                <w:sz w:val="20"/>
                <w:szCs w:val="20"/>
              </w:rPr>
            </w:pPr>
            <w:r>
              <w:rPr>
                <w:rFonts w:ascii="Arial" w:hAnsi="Arial" w:cs="Arial"/>
                <w:sz w:val="20"/>
                <w:szCs w:val="20"/>
              </w:rPr>
              <w:t>Samostatne hospodáriaci roľník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pPr>
              <w:spacing w:after="0"/>
              <w:jc w:val="both"/>
              <w:rPr>
                <w:rFonts w:ascii="Arial" w:eastAsia="Calibri" w:hAnsi="Arial" w:cs="Arial"/>
                <w:sz w:val="20"/>
                <w:szCs w:val="20"/>
              </w:rPr>
            </w:pPr>
            <w:r>
              <w:rPr>
                <w:rFonts w:ascii="Arial" w:hAnsi="Arial" w:cs="Arial"/>
                <w:sz w:val="20"/>
                <w:szCs w:val="20"/>
              </w:rPr>
              <w:t>Štátny fond rozvoja bývania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Stredisko odbornej praxe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lastRenderedPageBreak/>
              <w:t>SOŠ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odborná škola</w:t>
            </w:r>
          </w:p>
        </w:tc>
      </w:tr>
      <w:tr>
        <w:trPr>
          <w:trHeight w:val="170"/>
        </w:trPr>
        <w:tc>
          <w:tcPr>
            <w:tcW w:w="1668" w:type="dxa"/>
          </w:tcPr>
          <w:p>
            <w:pPr>
              <w:spacing w:after="0"/>
              <w:jc w:val="both"/>
              <w:rPr>
                <w:rFonts w:ascii="Arial" w:hAnsi="Arial" w:cs="Arial"/>
                <w:sz w:val="20"/>
                <w:szCs w:val="20"/>
              </w:rPr>
            </w:pPr>
            <w:r>
              <w:rPr>
                <w:rFonts w:ascii="Arial" w:hAnsi="Arial" w:cs="Arial"/>
                <w:sz w:val="20"/>
                <w:szCs w:val="20"/>
              </w:rPr>
              <w:t>SPOaSK</w:t>
            </w:r>
          </w:p>
        </w:tc>
        <w:tc>
          <w:tcPr>
            <w:tcW w:w="7544" w:type="dxa"/>
          </w:tcPr>
          <w:p>
            <w:pPr>
              <w:spacing w:after="0"/>
              <w:jc w:val="both"/>
              <w:rPr>
                <w:rFonts w:ascii="Arial" w:hAnsi="Arial" w:cs="Arial"/>
                <w:sz w:val="20"/>
                <w:szCs w:val="20"/>
              </w:rPr>
            </w:pPr>
            <w:r>
              <w:rPr>
                <w:rFonts w:ascii="Arial" w:hAnsi="Arial" w:cs="Arial"/>
                <w:sz w:val="20"/>
                <w:szCs w:val="20"/>
              </w:rPr>
              <w:t>Sociálnoprávna ochrana detí a sociálna kuratela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SPV</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Stredisko praktického vyučovania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Slovenská republika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umelecká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pPr>
              <w:spacing w:after="0"/>
              <w:jc w:val="both"/>
              <w:rPr>
                <w:rFonts w:ascii="Arial" w:eastAsia="Calibri" w:hAnsi="Arial" w:cs="Arial"/>
                <w:sz w:val="20"/>
                <w:szCs w:val="20"/>
              </w:rPr>
            </w:pPr>
            <w:r>
              <w:rPr>
                <w:rFonts w:ascii="Arial" w:hAnsi="Arial" w:cs="Arial"/>
                <w:sz w:val="20"/>
                <w:szCs w:val="20"/>
              </w:rPr>
              <w:t>Samostatne zárobkovo činná osoba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pPr>
              <w:spacing w:after="0"/>
              <w:jc w:val="both"/>
              <w:rPr>
                <w:rFonts w:ascii="Arial" w:eastAsia="Calibri" w:hAnsi="Arial" w:cs="Arial"/>
                <w:sz w:val="20"/>
                <w:szCs w:val="20"/>
              </w:rPr>
            </w:pPr>
            <w:r>
              <w:rPr>
                <w:rFonts w:ascii="Arial" w:hAnsi="Arial" w:cs="Arial"/>
                <w:sz w:val="20"/>
                <w:szCs w:val="20"/>
              </w:rPr>
              <w:t>Štatistický úrad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TC</w:t>
            </w:r>
          </w:p>
        </w:tc>
        <w:tc>
          <w:tcPr>
            <w:tcW w:w="7544" w:type="dxa"/>
            <w:hideMark/>
          </w:tcPr>
          <w:p>
            <w:pPr>
              <w:spacing w:after="0"/>
              <w:jc w:val="both"/>
              <w:rPr>
                <w:rFonts w:ascii="Arial" w:eastAsia="Calibri" w:hAnsi="Arial" w:cs="Arial"/>
                <w:sz w:val="20"/>
                <w:szCs w:val="20"/>
              </w:rPr>
            </w:pPr>
            <w:r>
              <w:rPr>
                <w:rFonts w:ascii="Arial" w:hAnsi="Arial" w:cs="Arial"/>
                <w:sz w:val="20"/>
                <w:szCs w:val="20"/>
              </w:rPr>
              <w:t>Tematický cieľ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pPr>
              <w:spacing w:after="0"/>
              <w:jc w:val="both"/>
              <w:rPr>
                <w:rFonts w:ascii="Arial" w:eastAsia="Calibri" w:hAnsi="Arial" w:cs="Arial"/>
                <w:sz w:val="20"/>
                <w:szCs w:val="20"/>
              </w:rPr>
            </w:pPr>
            <w:r>
              <w:rPr>
                <w:rFonts w:ascii="Arial" w:hAnsi="Arial" w:cs="Arial"/>
                <w:sz w:val="20"/>
                <w:szCs w:val="20"/>
              </w:rPr>
              <w:t>Transeurópska dopravná sieť</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pPr>
              <w:spacing w:after="0"/>
              <w:jc w:val="both"/>
              <w:rPr>
                <w:rFonts w:ascii="Arial" w:eastAsia="Calibri" w:hAnsi="Arial" w:cs="Arial"/>
                <w:sz w:val="20"/>
                <w:szCs w:val="20"/>
              </w:rPr>
            </w:pPr>
            <w:r>
              <w:rPr>
                <w:rFonts w:ascii="Arial" w:hAnsi="Arial" w:cs="Arial"/>
                <w:sz w:val="20"/>
                <w:szCs w:val="20"/>
              </w:rPr>
              <w:t>Takmer nulové budovy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pPr>
              <w:spacing w:after="0"/>
              <w:jc w:val="both"/>
              <w:rPr>
                <w:rFonts w:ascii="Arial" w:eastAsia="Calibri" w:hAnsi="Arial" w:cs="Arial"/>
                <w:sz w:val="20"/>
                <w:szCs w:val="20"/>
              </w:rPr>
            </w:pPr>
            <w:r>
              <w:rPr>
                <w:rFonts w:ascii="Arial" w:hAnsi="Arial" w:cs="Arial"/>
                <w:sz w:val="20"/>
                <w:szCs w:val="20"/>
              </w:rPr>
              <w:t>Trenčiansky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TP</w:t>
            </w:r>
          </w:p>
        </w:tc>
        <w:tc>
          <w:tcPr>
            <w:tcW w:w="7544" w:type="dxa"/>
            <w:hideMark/>
          </w:tcPr>
          <w:p>
            <w:pPr>
              <w:spacing w:after="0"/>
              <w:jc w:val="both"/>
              <w:rPr>
                <w:rFonts w:ascii="Arial" w:eastAsia="Calibri" w:hAnsi="Arial" w:cs="Arial"/>
                <w:sz w:val="20"/>
                <w:szCs w:val="20"/>
              </w:rPr>
            </w:pPr>
            <w:r>
              <w:rPr>
                <w:rFonts w:ascii="Arial" w:hAnsi="Arial" w:cs="Arial"/>
                <w:sz w:val="20"/>
                <w:szCs w:val="20"/>
              </w:rPr>
              <w:t>Technická pomoc</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pPr>
              <w:spacing w:after="0"/>
              <w:jc w:val="both"/>
              <w:rPr>
                <w:rFonts w:ascii="Arial" w:eastAsia="Calibri" w:hAnsi="Arial" w:cs="Arial"/>
                <w:sz w:val="20"/>
                <w:szCs w:val="20"/>
              </w:rPr>
            </w:pPr>
            <w:r>
              <w:rPr>
                <w:rFonts w:ascii="Arial" w:hAnsi="Arial" w:cs="Arial"/>
                <w:sz w:val="20"/>
                <w:szCs w:val="20"/>
              </w:rPr>
              <w:t>Trnavský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pPr>
              <w:spacing w:after="0"/>
              <w:jc w:val="both"/>
              <w:rPr>
                <w:rFonts w:ascii="Arial" w:eastAsia="Calibri" w:hAnsi="Arial" w:cs="Arial"/>
                <w:sz w:val="20"/>
                <w:szCs w:val="20"/>
              </w:rPr>
            </w:pPr>
            <w:r>
              <w:rPr>
                <w:rFonts w:ascii="Arial" w:hAnsi="Arial" w:cs="Arial"/>
                <w:sz w:val="20"/>
                <w:szCs w:val="20"/>
              </w:rPr>
              <w:t>Tuhé znečisťujúce látky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lang w:eastAsia="sk-SK"/>
              </w:rPr>
              <w:t>UIPŠ</w:t>
            </w:r>
          </w:p>
        </w:tc>
        <w:tc>
          <w:tcPr>
            <w:tcW w:w="7544" w:type="dxa"/>
            <w:hideMark/>
          </w:tcPr>
          <w:p>
            <w:pPr>
              <w:spacing w:after="0"/>
              <w:jc w:val="both"/>
              <w:rPr>
                <w:rFonts w:ascii="Arial" w:eastAsia="Calibri" w:hAnsi="Arial" w:cs="Arial"/>
                <w:sz w:val="20"/>
                <w:szCs w:val="20"/>
              </w:rPr>
            </w:pPr>
            <w:r>
              <w:rPr>
                <w:rFonts w:ascii="Arial" w:hAnsi="Arial" w:cs="Arial"/>
                <w:sz w:val="20"/>
                <w:szCs w:val="20"/>
              </w:rPr>
              <w:t>Ústav informácií a prognóz školstva</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pPr>
              <w:spacing w:after="0"/>
              <w:jc w:val="both"/>
              <w:rPr>
                <w:rFonts w:ascii="Arial" w:eastAsia="Calibri" w:hAnsi="Arial" w:cs="Arial"/>
                <w:sz w:val="20"/>
                <w:szCs w:val="20"/>
              </w:rPr>
            </w:pPr>
            <w:r>
              <w:rPr>
                <w:rFonts w:ascii="Arial" w:hAnsi="Arial" w:cs="Arial"/>
                <w:sz w:val="20"/>
                <w:szCs w:val="20"/>
              </w:rPr>
              <w:t>Udržateľný mestský rozvoj</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pPr>
              <w:spacing w:after="0"/>
              <w:jc w:val="both"/>
              <w:rPr>
                <w:rFonts w:ascii="Arial" w:eastAsia="Calibri" w:hAnsi="Arial" w:cs="Arial"/>
                <w:sz w:val="20"/>
                <w:szCs w:val="20"/>
              </w:rPr>
            </w:pPr>
            <w:r>
              <w:rPr>
                <w:rFonts w:ascii="Arial" w:hAnsi="Arial" w:cs="Arial"/>
                <w:sz w:val="20"/>
                <w:szCs w:val="20"/>
              </w:rPr>
              <w:t>Ústredie práce, sociálnych vecí a rodiny</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pPr>
              <w:spacing w:after="0"/>
              <w:jc w:val="both"/>
              <w:rPr>
                <w:rFonts w:ascii="Arial" w:eastAsia="Calibri" w:hAnsi="Arial" w:cs="Arial"/>
                <w:sz w:val="20"/>
                <w:szCs w:val="20"/>
              </w:rPr>
            </w:pPr>
            <w:r>
              <w:rPr>
                <w:rFonts w:ascii="Arial" w:hAnsi="Arial" w:cs="Arial"/>
                <w:sz w:val="20"/>
                <w:szCs w:val="20"/>
              </w:rPr>
              <w:t>Udržateľný rozvoj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pre verejné obstarávanie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vlády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VO</w:t>
            </w:r>
          </w:p>
        </w:tc>
        <w:tc>
          <w:tcPr>
            <w:tcW w:w="7544" w:type="dxa"/>
            <w:hideMark/>
          </w:tcPr>
          <w:p>
            <w:pPr>
              <w:spacing w:after="0"/>
              <w:jc w:val="both"/>
              <w:rPr>
                <w:rFonts w:ascii="Arial" w:eastAsia="Calibri" w:hAnsi="Arial" w:cs="Arial"/>
                <w:sz w:val="20"/>
                <w:szCs w:val="20"/>
              </w:rPr>
            </w:pPr>
            <w:r>
              <w:rPr>
                <w:rFonts w:ascii="Arial" w:hAnsi="Arial" w:cs="Arial"/>
                <w:sz w:val="20"/>
                <w:szCs w:val="20"/>
              </w:rPr>
              <w:t>Verejné obstarávanie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pPr>
              <w:spacing w:after="0"/>
              <w:jc w:val="both"/>
              <w:rPr>
                <w:rFonts w:ascii="Arial" w:eastAsia="Calibri" w:hAnsi="Arial" w:cs="Arial"/>
                <w:sz w:val="20"/>
                <w:szCs w:val="20"/>
              </w:rPr>
            </w:pPr>
            <w:r>
              <w:rPr>
                <w:rFonts w:ascii="Arial" w:hAnsi="Arial" w:cs="Arial"/>
                <w:sz w:val="20"/>
                <w:szCs w:val="20"/>
              </w:rPr>
              <w:t>Verejná osobná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pPr>
              <w:spacing w:after="0"/>
              <w:jc w:val="both"/>
              <w:rPr>
                <w:rFonts w:ascii="Arial" w:eastAsia="Calibri" w:hAnsi="Arial" w:cs="Arial"/>
                <w:sz w:val="20"/>
                <w:szCs w:val="20"/>
              </w:rPr>
            </w:pPr>
            <w:r>
              <w:rPr>
                <w:rFonts w:ascii="Arial" w:hAnsi="Arial" w:cs="Arial"/>
                <w:sz w:val="20"/>
                <w:szCs w:val="20"/>
              </w:rPr>
              <w:t>Vysoká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Vyšší územný celok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ZI</w:t>
            </w:r>
          </w:p>
        </w:tc>
        <w:tc>
          <w:tcPr>
            <w:tcW w:w="7544" w:type="dxa"/>
            <w:hideMark/>
          </w:tcPr>
          <w:p>
            <w:pPr>
              <w:spacing w:after="0"/>
              <w:jc w:val="both"/>
              <w:rPr>
                <w:rFonts w:ascii="Arial" w:eastAsia="Calibri" w:hAnsi="Arial" w:cs="Arial"/>
                <w:sz w:val="20"/>
                <w:szCs w:val="20"/>
              </w:rPr>
            </w:pPr>
            <w:r>
              <w:rPr>
                <w:rFonts w:ascii="Arial" w:hAnsi="Arial" w:cs="Arial"/>
                <w:sz w:val="20"/>
                <w:szCs w:val="20"/>
              </w:rPr>
              <w:t>Zelená infraštruktúra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pPr>
              <w:spacing w:after="0"/>
              <w:jc w:val="both"/>
              <w:rPr>
                <w:rFonts w:ascii="Arial" w:eastAsia="Calibri" w:hAnsi="Arial" w:cs="Arial"/>
                <w:sz w:val="20"/>
                <w:szCs w:val="20"/>
              </w:rPr>
            </w:pPr>
            <w:r>
              <w:rPr>
                <w:rFonts w:ascii="Arial" w:hAnsi="Arial" w:cs="Arial"/>
                <w:sz w:val="20"/>
                <w:szCs w:val="20"/>
              </w:rPr>
              <w:t>Združenie miest a obcí Slovenska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pPr>
              <w:spacing w:after="0"/>
              <w:jc w:val="both"/>
              <w:rPr>
                <w:rFonts w:ascii="Arial" w:eastAsia="Calibri" w:hAnsi="Arial" w:cs="Arial"/>
                <w:sz w:val="20"/>
                <w:szCs w:val="20"/>
              </w:rPr>
            </w:pPr>
            <w:r>
              <w:rPr>
                <w:rFonts w:ascii="Arial" w:hAnsi="Arial" w:cs="Arial"/>
                <w:sz w:val="20"/>
                <w:szCs w:val="20"/>
              </w:rPr>
              <w:t>Základná umelecká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pPr>
              <w:spacing w:after="0"/>
              <w:jc w:val="both"/>
              <w:rPr>
                <w:rFonts w:ascii="Arial" w:eastAsia="Calibri" w:hAnsi="Arial" w:cs="Arial"/>
                <w:sz w:val="20"/>
                <w:szCs w:val="20"/>
              </w:rPr>
            </w:pPr>
            <w:r>
              <w:rPr>
                <w:rFonts w:ascii="Arial" w:hAnsi="Arial" w:cs="Arial"/>
                <w:sz w:val="20"/>
                <w:szCs w:val="20"/>
              </w:rPr>
              <w:t>Základná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ŽoNFP</w:t>
            </w:r>
          </w:p>
        </w:tc>
        <w:tc>
          <w:tcPr>
            <w:tcW w:w="7544" w:type="dxa"/>
            <w:hideMark/>
          </w:tcPr>
          <w:p>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pPr>
              <w:spacing w:after="0"/>
              <w:jc w:val="both"/>
              <w:rPr>
                <w:rFonts w:ascii="Arial" w:eastAsia="Calibri" w:hAnsi="Arial" w:cs="Arial"/>
                <w:sz w:val="20"/>
                <w:szCs w:val="20"/>
              </w:rPr>
            </w:pPr>
            <w:r>
              <w:rPr>
                <w:rFonts w:ascii="Arial" w:hAnsi="Arial" w:cs="Arial"/>
                <w:sz w:val="20"/>
                <w:szCs w:val="20"/>
              </w:rPr>
              <w:t>Životné prostredie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pPr>
              <w:spacing w:after="0"/>
              <w:jc w:val="both"/>
              <w:rPr>
                <w:rFonts w:ascii="Arial" w:eastAsia="Calibri" w:hAnsi="Arial" w:cs="Arial"/>
                <w:sz w:val="20"/>
                <w:szCs w:val="20"/>
              </w:rPr>
            </w:pPr>
            <w:r>
              <w:rPr>
                <w:rFonts w:ascii="Arial" w:hAnsi="Arial" w:cs="Arial"/>
                <w:sz w:val="20"/>
                <w:szCs w:val="20"/>
              </w:rPr>
              <w:t>Žilinský samosprávny kraj</w:t>
            </w:r>
          </w:p>
        </w:tc>
      </w:tr>
    </w:tbl>
    <w:p>
      <w:pPr>
        <w:pStyle w:val="Nadpis2"/>
        <w:rPr>
          <w:rFonts w:ascii="Arial" w:hAnsi="Arial" w:cs="Arial"/>
        </w:rPr>
      </w:pPr>
    </w:p>
    <w:p>
      <w:pPr>
        <w:pStyle w:val="Nadpis2"/>
        <w:rPr>
          <w:rFonts w:ascii="Arial" w:hAnsi="Arial" w:cs="Arial"/>
        </w:rPr>
      </w:pPr>
      <w:bookmarkStart w:id="173" w:name="_Toc387154010"/>
      <w:r>
        <w:rPr>
          <w:rFonts w:ascii="Arial" w:hAnsi="Arial" w:cs="Arial"/>
        </w:rPr>
        <w:t>12.1 Zoznam veľkých projektov</w:t>
      </w:r>
      <w:bookmarkEnd w:id="173"/>
    </w:p>
    <w:p>
      <w:pPr>
        <w:rPr>
          <w:rFonts w:ascii="Arial" w:hAnsi="Arial" w:cs="Arial"/>
        </w:rPr>
      </w:pPr>
    </w:p>
    <w:p>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Nadpis2"/>
        <w:rPr>
          <w:rFonts w:ascii="Arial" w:hAnsi="Arial" w:cs="Arial"/>
        </w:rPr>
      </w:pPr>
      <w:bookmarkStart w:id="174" w:name="_Toc387154011"/>
      <w:r>
        <w:rPr>
          <w:rFonts w:ascii="Arial" w:hAnsi="Arial" w:cs="Arial"/>
        </w:rPr>
        <w:lastRenderedPageBreak/>
        <w:t>12.2 Výkonnostný rámec</w:t>
      </w:r>
      <w:bookmarkEnd w:id="174"/>
    </w:p>
    <w:p>
      <w:pPr>
        <w:rPr>
          <w:rFonts w:ascii="Arial" w:hAnsi="Arial" w:cs="Arial"/>
          <w:b/>
          <w:bCs/>
        </w:rPr>
      </w:pPr>
    </w:p>
    <w:p>
      <w:pPr>
        <w:rPr>
          <w:rStyle w:val="Zvraznenie"/>
          <w:rFonts w:ascii="Arial" w:hAnsi="Arial" w:cs="Arial"/>
        </w:rPr>
      </w:pPr>
      <w:r>
        <w:rPr>
          <w:rStyle w:val="Siln"/>
          <w:rFonts w:ascii="Arial" w:hAnsi="Arial" w:cs="Arial"/>
        </w:rPr>
        <w:t xml:space="preserve">Tabuľka č. 60 </w:t>
      </w:r>
      <w:r>
        <w:rPr>
          <w:rStyle w:val="Zvraznenie"/>
          <w:rFonts w:ascii="Arial" w:hAnsi="Arial" w:cs="Arial"/>
        </w:rPr>
        <w:t>Výkonnostný rámec</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1101"/>
        <w:gridCol w:w="1275"/>
        <w:gridCol w:w="14"/>
        <w:gridCol w:w="979"/>
        <w:gridCol w:w="1701"/>
        <w:gridCol w:w="1134"/>
        <w:gridCol w:w="850"/>
        <w:gridCol w:w="709"/>
        <w:gridCol w:w="709"/>
        <w:gridCol w:w="816"/>
      </w:tblGrid>
      <w:tr>
        <w:trPr>
          <w:trHeight w:val="278"/>
        </w:trPr>
        <w:tc>
          <w:tcPr>
            <w:tcW w:w="110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1289" w:type="dxa"/>
            <w:gridSpan w:val="2"/>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9"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70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113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85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34"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trPr>
          <w:trHeight w:val="277"/>
        </w:trPr>
        <w:tc>
          <w:tcPr>
            <w:tcW w:w="110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89" w:type="dxa"/>
            <w:gridSpan w:val="2"/>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79"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81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trPr>
          <w:trHeight w:val="42"/>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Dĺžka nových úsekov cyklistických komunikácií</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Dĺžka nových úsekov cyklistických komunikácií</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nahradených autobusov MHD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Vozidlo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nahradených autobusov MHD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Vozidlo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w:hAnsi="Arial" w:cs="Arial"/>
                <w:sz w:val="14"/>
                <w:szCs w:val="14"/>
              </w:rPr>
              <w:t>Počet štandardizovaných terminálov (veľkosť, štandard)</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w:hAnsi="Arial" w:cs="Arial"/>
                <w:sz w:val="14"/>
                <w:szCs w:val="14"/>
              </w:rPr>
              <w:t>Terminál typu X</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7"/>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w:hAnsi="Arial" w:cs="Arial"/>
                <w:sz w:val="14"/>
                <w:szCs w:val="14"/>
              </w:rPr>
              <w:t>Počet štandardizovaných terminálov (veľkosť, štandard)</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w:hAnsi="Arial" w:cs="Arial"/>
                <w:sz w:val="14"/>
                <w:szCs w:val="14"/>
              </w:rPr>
              <w:t>Terminál typu X</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5"/>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1 200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3 200</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180</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výkonu opatrení sociálnoprávnej ochrany detí a sociálnej kurately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Osoba v náhradnej starostlivosti</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675</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výkonu opatrení sociálnoprávnej ochrany detí a sociálnej kurately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Osoba v náhradnej starostlivosti</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135</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Dieťa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3521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4 929</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Dieťa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3980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5 575</w:t>
            </w: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lastRenderedPageBreak/>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centier odborného vzdelávania a prípravy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Žiak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centier odborného vzdelávania a prípravy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Žiak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rPr>
          <w:trHeight w:val="34"/>
        </w:trP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w:hAnsi="Arial" w:cs="Arial"/>
                <w:sz w:val="14"/>
                <w:szCs w:val="14"/>
              </w:rPr>
              <w:t>Počet vytvorených centier integrovanej zdravotnej starostlivosti</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w:hAnsi="Arial" w:cs="Arial"/>
                <w:sz w:val="14"/>
                <w:szCs w:val="14"/>
              </w:rPr>
              <w:t>centrum integrovanej zdravotnej starostlivosti</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134</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26</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26</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Počet vybudovaných </w:t>
            </w:r>
            <w:r>
              <w:rPr>
                <w:rFonts w:ascii="Arial" w:hAnsi="Arial" w:cs="Arial"/>
                <w:sz w:val="16"/>
                <w:szCs w:val="16"/>
              </w:rPr>
              <w:t xml:space="preserve">zriadených a fungujúcich </w:t>
            </w:r>
            <w:r>
              <w:rPr>
                <w:rFonts w:ascii="Arial Narrow" w:hAnsi="Arial Narrow" w:cs="Arial"/>
                <w:sz w:val="16"/>
                <w:szCs w:val="16"/>
              </w:rPr>
              <w:t>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Zníženie spotreby PEZ v budovách na bývanie</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MWh</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270 000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425 000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Zníženie spotreby PEZ v budovách na bývanie</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MWh</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50 000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Dodatočné obyvateľstvo napojené na zlepšenú vodovodnú sieť</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Obyvateľ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tcPr>
          <w:p>
            <w:pPr>
              <w:jc w:val="center"/>
              <w:rPr>
                <w:rFonts w:ascii="Arial Narrow" w:hAnsi="Arial Narrow"/>
                <w:sz w:val="16"/>
                <w:szCs w:val="16"/>
              </w:rPr>
            </w:pPr>
            <w:r>
              <w:rPr>
                <w:rFonts w:ascii="Arial" w:hAnsi="Arial" w:cs="Arial"/>
                <w:b/>
                <w:bCs/>
                <w:sz w:val="14"/>
                <w:szCs w:val="14"/>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jc w:val="center"/>
              <w:rPr>
                <w:rFonts w:ascii="Arial Narrow" w:hAnsi="Arial Narrow" w:cs="Arial"/>
                <w:sz w:val="16"/>
                <w:szCs w:val="16"/>
              </w:rPr>
            </w:pPr>
            <w:r>
              <w:rPr>
                <w:rFonts w:ascii="Arial" w:hAnsi="Arial" w:cs="Arial"/>
                <w:b/>
                <w:bCs/>
                <w:sz w:val="14"/>
                <w:szCs w:val="14"/>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w:hAnsi="Arial" w:cs="Arial"/>
                <w:sz w:val="14"/>
                <w:szCs w:val="14"/>
              </w:rPr>
              <w:t>Zvýšený počet obyvateľov so zlepšenou dodávkou pitnej vody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vybudovaných prvkov zelenej infraštruktúry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Prvok zelenej infraštruktúry</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Rozloha revitalizovaných objektov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Plocha v m</w:t>
            </w:r>
            <w:r>
              <w:rPr>
                <w:rFonts w:ascii="Arial Narrow" w:hAnsi="Arial Narrow" w:cs="Arial"/>
                <w:sz w:val="16"/>
                <w:szCs w:val="16"/>
                <w:vertAlign w:val="superscript"/>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26</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čerpania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26</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podporených podnikov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Podnik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podporených podnikov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Podnik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nových služieb a prvkov verejnej infraštruktúry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Služba/ prvok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2 300</w:t>
            </w:r>
          </w:p>
        </w:tc>
      </w:tr>
      <w:tr>
        <w:tc>
          <w:tcPr>
            <w:tcW w:w="1101"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3" w:type="dxa"/>
            <w:gridSpan w:val="2"/>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nových služieb a prvkov verejnej infraštruktúry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Služba/ prvok</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81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20</w:t>
            </w:r>
          </w:p>
        </w:tc>
      </w:tr>
    </w:tbl>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Nadpis2"/>
        <w:rPr>
          <w:rFonts w:ascii="Arial" w:hAnsi="Arial" w:cs="Arial"/>
        </w:rPr>
      </w:pPr>
      <w:bookmarkStart w:id="175" w:name="_Toc387154012"/>
      <w:r>
        <w:rPr>
          <w:rFonts w:ascii="Arial" w:hAnsi="Arial" w:cs="Arial"/>
        </w:rPr>
        <w:lastRenderedPageBreak/>
        <w:t>12.3 Zoznam relevantných partnerov zapojených do prípravy IROP</w:t>
      </w:r>
      <w:bookmarkEnd w:id="175"/>
    </w:p>
    <w:p>
      <w:pPr>
        <w:rPr>
          <w:rFonts w:ascii="Arial" w:hAnsi="Arial" w:cs="Arial"/>
        </w:rPr>
      </w:pPr>
    </w:p>
    <w:p>
      <w:pPr>
        <w:pStyle w:val="Odsekzoznamu"/>
        <w:numPr>
          <w:ilvl w:val="0"/>
          <w:numId w:val="5"/>
        </w:numPr>
        <w:rPr>
          <w:rFonts w:ascii="Arial" w:hAnsi="Arial" w:cs="Arial"/>
        </w:rPr>
      </w:pPr>
      <w:r>
        <w:rPr>
          <w:rFonts w:ascii="Arial" w:hAnsi="Arial" w:cs="Arial"/>
        </w:rPr>
        <w:t>Centrálny koordinačný orgán,</w:t>
      </w:r>
    </w:p>
    <w:p>
      <w:pPr>
        <w:pStyle w:val="Odsekzoznamu"/>
        <w:numPr>
          <w:ilvl w:val="0"/>
          <w:numId w:val="5"/>
        </w:numPr>
        <w:rPr>
          <w:rFonts w:ascii="Arial" w:hAnsi="Arial" w:cs="Arial"/>
        </w:rPr>
      </w:pPr>
      <w:r>
        <w:rPr>
          <w:rFonts w:ascii="Arial" w:hAnsi="Arial" w:cs="Arial"/>
        </w:rPr>
        <w:t>Ministerstvo financií SR,</w:t>
      </w:r>
    </w:p>
    <w:p>
      <w:pPr>
        <w:pStyle w:val="Odsekzoznamu"/>
        <w:numPr>
          <w:ilvl w:val="0"/>
          <w:numId w:val="5"/>
        </w:numPr>
        <w:rPr>
          <w:rFonts w:ascii="Arial" w:hAnsi="Arial" w:cs="Arial"/>
        </w:rPr>
      </w:pPr>
      <w:r>
        <w:rPr>
          <w:rFonts w:ascii="Arial" w:hAnsi="Arial" w:cs="Arial"/>
        </w:rPr>
        <w:t>Ministerstvo zahraničných vecí a európskych záležitostí SR,</w:t>
      </w:r>
    </w:p>
    <w:p>
      <w:pPr>
        <w:pStyle w:val="Odsekzoznamu"/>
        <w:numPr>
          <w:ilvl w:val="0"/>
          <w:numId w:val="5"/>
        </w:numPr>
        <w:rPr>
          <w:rFonts w:ascii="Arial" w:hAnsi="Arial" w:cs="Arial"/>
        </w:rPr>
      </w:pPr>
      <w:r>
        <w:rPr>
          <w:rFonts w:ascii="Arial" w:hAnsi="Arial" w:cs="Arial"/>
        </w:rPr>
        <w:t>Ministerstvo práce, sociálnych vecí a rodiny SR,</w:t>
      </w:r>
    </w:p>
    <w:p>
      <w:pPr>
        <w:pStyle w:val="Odsekzoznamu"/>
        <w:numPr>
          <w:ilvl w:val="0"/>
          <w:numId w:val="5"/>
        </w:numPr>
        <w:rPr>
          <w:rFonts w:ascii="Arial" w:hAnsi="Arial" w:cs="Arial"/>
        </w:rPr>
      </w:pPr>
      <w:r>
        <w:rPr>
          <w:rFonts w:ascii="Arial" w:hAnsi="Arial" w:cs="Arial"/>
        </w:rPr>
        <w:t>Ministerstvo pôdohospodárstva a rozvoja vidieka SR, sekcia rozvoja vidieka</w:t>
      </w:r>
    </w:p>
    <w:p>
      <w:pPr>
        <w:pStyle w:val="Odsekzoznamu"/>
        <w:numPr>
          <w:ilvl w:val="0"/>
          <w:numId w:val="5"/>
        </w:numPr>
        <w:rPr>
          <w:rFonts w:ascii="Arial" w:hAnsi="Arial" w:cs="Arial"/>
        </w:rPr>
      </w:pPr>
      <w:r>
        <w:rPr>
          <w:rFonts w:ascii="Arial" w:hAnsi="Arial" w:cs="Arial"/>
        </w:rPr>
        <w:t>Ministerstvo dopravy, výstavby a regionálneho rozvoja SR, sekcia bytovej politiky a mestského rozvoja,</w:t>
      </w:r>
    </w:p>
    <w:p>
      <w:pPr>
        <w:pStyle w:val="Odsekzoznamu"/>
        <w:numPr>
          <w:ilvl w:val="0"/>
          <w:numId w:val="5"/>
        </w:numPr>
        <w:rPr>
          <w:rFonts w:ascii="Arial" w:hAnsi="Arial" w:cs="Arial"/>
        </w:rPr>
      </w:pPr>
      <w:r>
        <w:rPr>
          <w:rFonts w:ascii="Arial" w:hAnsi="Arial" w:cs="Arial"/>
        </w:rPr>
        <w:t>Ministerstvo dopravy, výstavby a regionálneho rozvoja SR, OP Integrovaná infraštruktúra,</w:t>
      </w:r>
    </w:p>
    <w:p>
      <w:pPr>
        <w:pStyle w:val="Odsekzoznamu"/>
        <w:numPr>
          <w:ilvl w:val="0"/>
          <w:numId w:val="5"/>
        </w:numPr>
        <w:rPr>
          <w:rFonts w:ascii="Arial" w:hAnsi="Arial" w:cs="Arial"/>
        </w:rPr>
      </w:pPr>
      <w:r>
        <w:rPr>
          <w:rFonts w:ascii="Arial" w:hAnsi="Arial" w:cs="Arial"/>
        </w:rPr>
        <w:t>Ministerstvo školstva, vedy, výskumu a športu SR,</w:t>
      </w:r>
    </w:p>
    <w:p>
      <w:pPr>
        <w:pStyle w:val="Odsekzoznamu"/>
        <w:numPr>
          <w:ilvl w:val="0"/>
          <w:numId w:val="5"/>
        </w:numPr>
        <w:rPr>
          <w:rFonts w:ascii="Arial" w:hAnsi="Arial" w:cs="Arial"/>
        </w:rPr>
      </w:pPr>
      <w:r>
        <w:rPr>
          <w:rFonts w:ascii="Arial" w:hAnsi="Arial" w:cs="Arial"/>
        </w:rPr>
        <w:t>Ministerstvo životného prostredia SR,</w:t>
      </w:r>
    </w:p>
    <w:p>
      <w:pPr>
        <w:pStyle w:val="Odsekzoznamu"/>
        <w:numPr>
          <w:ilvl w:val="0"/>
          <w:numId w:val="5"/>
        </w:numPr>
        <w:rPr>
          <w:rFonts w:ascii="Arial" w:hAnsi="Arial" w:cs="Arial"/>
        </w:rPr>
      </w:pPr>
      <w:r>
        <w:rPr>
          <w:rFonts w:ascii="Arial" w:hAnsi="Arial" w:cs="Arial"/>
        </w:rPr>
        <w:t>Ministerstvo kultúry SR,</w:t>
      </w:r>
    </w:p>
    <w:p>
      <w:pPr>
        <w:pStyle w:val="Odsekzoznamu"/>
        <w:numPr>
          <w:ilvl w:val="0"/>
          <w:numId w:val="5"/>
        </w:numPr>
        <w:rPr>
          <w:rFonts w:ascii="Arial" w:hAnsi="Arial" w:cs="Arial"/>
        </w:rPr>
      </w:pPr>
      <w:r>
        <w:rPr>
          <w:rFonts w:ascii="Arial" w:hAnsi="Arial" w:cs="Arial"/>
        </w:rPr>
        <w:t>Ministerstvo vnútra SR,</w:t>
      </w:r>
    </w:p>
    <w:p>
      <w:pPr>
        <w:pStyle w:val="Odsekzoznamu"/>
        <w:numPr>
          <w:ilvl w:val="0"/>
          <w:numId w:val="5"/>
        </w:numPr>
        <w:rPr>
          <w:rFonts w:ascii="Arial" w:hAnsi="Arial" w:cs="Arial"/>
        </w:rPr>
      </w:pPr>
      <w:r>
        <w:rPr>
          <w:rFonts w:ascii="Arial" w:hAnsi="Arial" w:cs="Arial"/>
        </w:rPr>
        <w:t>Úrad splnomocnenca vlády SR pre rómske komunity,</w:t>
      </w:r>
    </w:p>
    <w:p>
      <w:pPr>
        <w:pStyle w:val="Odsekzoznamu"/>
        <w:numPr>
          <w:ilvl w:val="0"/>
          <w:numId w:val="5"/>
        </w:numPr>
        <w:rPr>
          <w:rFonts w:ascii="Arial" w:hAnsi="Arial" w:cs="Arial"/>
        </w:rPr>
      </w:pPr>
      <w:r>
        <w:rPr>
          <w:rFonts w:ascii="Arial" w:hAnsi="Arial" w:cs="Arial"/>
        </w:rPr>
        <w:t>Úrad splnomocnenca vlády SR pre rozvoj občianskej spoločnosti,</w:t>
      </w:r>
    </w:p>
    <w:p>
      <w:pPr>
        <w:pStyle w:val="Odsekzoznamu"/>
        <w:numPr>
          <w:ilvl w:val="0"/>
          <w:numId w:val="5"/>
        </w:numPr>
        <w:rPr>
          <w:rFonts w:ascii="Arial" w:hAnsi="Arial" w:cs="Arial"/>
        </w:rPr>
      </w:pPr>
      <w:r>
        <w:rPr>
          <w:rFonts w:ascii="Arial" w:hAnsi="Arial" w:cs="Arial"/>
        </w:rPr>
        <w:t>Úrad vlády SR, koordinátor horizontálnej priority trvalo udržateľný rozvoj</w:t>
      </w:r>
    </w:p>
    <w:p>
      <w:pPr>
        <w:pStyle w:val="Odsekzoznamu"/>
        <w:numPr>
          <w:ilvl w:val="0"/>
          <w:numId w:val="5"/>
        </w:numPr>
        <w:rPr>
          <w:rFonts w:ascii="Arial" w:hAnsi="Arial" w:cs="Arial"/>
        </w:rPr>
      </w:pPr>
      <w:r>
        <w:rPr>
          <w:rFonts w:ascii="Arial" w:hAnsi="Arial" w:cs="Arial"/>
        </w:rPr>
        <w:t xml:space="preserve">Úrad vlády SR, podpredseda vlády SR pre investície </w:t>
      </w:r>
    </w:p>
    <w:p>
      <w:pPr>
        <w:pStyle w:val="Odsekzoznamu"/>
        <w:numPr>
          <w:ilvl w:val="0"/>
          <w:numId w:val="5"/>
        </w:numPr>
        <w:rPr>
          <w:rFonts w:ascii="Arial" w:hAnsi="Arial" w:cs="Arial"/>
        </w:rPr>
      </w:pPr>
      <w:r>
        <w:rPr>
          <w:rFonts w:ascii="Arial" w:hAnsi="Arial" w:cs="Arial"/>
        </w:rPr>
        <w:t>Bratislavský samosprávny kraj,</w:t>
      </w:r>
    </w:p>
    <w:p>
      <w:pPr>
        <w:pStyle w:val="Odsekzoznamu"/>
        <w:numPr>
          <w:ilvl w:val="0"/>
          <w:numId w:val="5"/>
        </w:numPr>
        <w:rPr>
          <w:rFonts w:ascii="Arial" w:hAnsi="Arial" w:cs="Arial"/>
        </w:rPr>
      </w:pPr>
      <w:r>
        <w:rPr>
          <w:rFonts w:ascii="Arial" w:hAnsi="Arial" w:cs="Arial"/>
        </w:rPr>
        <w:t>Banskobystrický samosprávny kraj,</w:t>
      </w:r>
    </w:p>
    <w:p>
      <w:pPr>
        <w:pStyle w:val="Odsekzoznamu"/>
        <w:numPr>
          <w:ilvl w:val="0"/>
          <w:numId w:val="5"/>
        </w:numPr>
        <w:rPr>
          <w:rFonts w:ascii="Arial" w:hAnsi="Arial" w:cs="Arial"/>
        </w:rPr>
      </w:pPr>
      <w:r>
        <w:rPr>
          <w:rFonts w:ascii="Arial" w:hAnsi="Arial" w:cs="Arial"/>
        </w:rPr>
        <w:t>Trnavský samosprávny kraj,</w:t>
      </w:r>
    </w:p>
    <w:p>
      <w:pPr>
        <w:pStyle w:val="Odsekzoznamu"/>
        <w:numPr>
          <w:ilvl w:val="0"/>
          <w:numId w:val="5"/>
        </w:numPr>
        <w:rPr>
          <w:rFonts w:ascii="Arial" w:hAnsi="Arial" w:cs="Arial"/>
        </w:rPr>
      </w:pPr>
      <w:r>
        <w:rPr>
          <w:rFonts w:ascii="Arial" w:hAnsi="Arial" w:cs="Arial"/>
        </w:rPr>
        <w:t>Trenčiansky samosprávny kraj,</w:t>
      </w:r>
    </w:p>
    <w:p>
      <w:pPr>
        <w:pStyle w:val="Odsekzoznamu"/>
        <w:numPr>
          <w:ilvl w:val="0"/>
          <w:numId w:val="5"/>
        </w:numPr>
        <w:rPr>
          <w:rFonts w:ascii="Arial" w:hAnsi="Arial" w:cs="Arial"/>
        </w:rPr>
      </w:pPr>
      <w:r>
        <w:rPr>
          <w:rFonts w:ascii="Arial" w:hAnsi="Arial" w:cs="Arial"/>
        </w:rPr>
        <w:t>Žilinský samosprávny kraj,</w:t>
      </w:r>
    </w:p>
    <w:p>
      <w:pPr>
        <w:pStyle w:val="Odsekzoznamu"/>
        <w:numPr>
          <w:ilvl w:val="0"/>
          <w:numId w:val="5"/>
        </w:numPr>
        <w:rPr>
          <w:rFonts w:ascii="Arial" w:hAnsi="Arial" w:cs="Arial"/>
        </w:rPr>
      </w:pPr>
      <w:r>
        <w:rPr>
          <w:rFonts w:ascii="Arial" w:hAnsi="Arial" w:cs="Arial"/>
        </w:rPr>
        <w:t>Nitriansky samosprávny kraj,</w:t>
      </w:r>
    </w:p>
    <w:p>
      <w:pPr>
        <w:pStyle w:val="Odsekzoznamu"/>
        <w:numPr>
          <w:ilvl w:val="0"/>
          <w:numId w:val="5"/>
        </w:numPr>
        <w:rPr>
          <w:rFonts w:ascii="Arial" w:hAnsi="Arial" w:cs="Arial"/>
        </w:rPr>
      </w:pPr>
      <w:r>
        <w:rPr>
          <w:rFonts w:ascii="Arial" w:hAnsi="Arial" w:cs="Arial"/>
        </w:rPr>
        <w:t>Prešovský samosprávny kraj,</w:t>
      </w:r>
    </w:p>
    <w:p>
      <w:pPr>
        <w:pStyle w:val="Odsekzoznamu"/>
        <w:numPr>
          <w:ilvl w:val="0"/>
          <w:numId w:val="5"/>
        </w:numPr>
        <w:rPr>
          <w:rFonts w:ascii="Arial" w:hAnsi="Arial" w:cs="Arial"/>
        </w:rPr>
      </w:pPr>
      <w:r>
        <w:rPr>
          <w:rFonts w:ascii="Arial" w:hAnsi="Arial" w:cs="Arial"/>
        </w:rPr>
        <w:t>Košický samosprávny kraj,</w:t>
      </w:r>
    </w:p>
    <w:p>
      <w:pPr>
        <w:pStyle w:val="Odsekzoznamu"/>
        <w:numPr>
          <w:ilvl w:val="0"/>
          <w:numId w:val="5"/>
        </w:numPr>
        <w:rPr>
          <w:rFonts w:ascii="Arial" w:hAnsi="Arial" w:cs="Arial"/>
        </w:rPr>
      </w:pPr>
      <w:r>
        <w:rPr>
          <w:rFonts w:ascii="Arial" w:hAnsi="Arial" w:cs="Arial"/>
        </w:rPr>
        <w:t>Združenie miest a obcí Slovenska,</w:t>
      </w:r>
    </w:p>
    <w:p>
      <w:pPr>
        <w:pStyle w:val="Odsekzoznamu"/>
        <w:numPr>
          <w:ilvl w:val="0"/>
          <w:numId w:val="5"/>
        </w:numPr>
        <w:rPr>
          <w:rFonts w:ascii="Arial" w:hAnsi="Arial" w:cs="Arial"/>
        </w:rPr>
      </w:pPr>
      <w:r>
        <w:rPr>
          <w:rFonts w:ascii="Arial" w:hAnsi="Arial" w:cs="Arial"/>
        </w:rPr>
        <w:t>Únia miest Slovenska,</w:t>
      </w:r>
    </w:p>
    <w:p>
      <w:pPr>
        <w:pStyle w:val="Odsekzoznamu"/>
        <w:numPr>
          <w:ilvl w:val="0"/>
          <w:numId w:val="5"/>
        </w:numPr>
        <w:rPr>
          <w:rFonts w:ascii="Arial" w:hAnsi="Arial" w:cs="Arial"/>
        </w:rPr>
      </w:pPr>
      <w:r>
        <w:rPr>
          <w:rFonts w:ascii="Arial" w:hAnsi="Arial" w:cs="Arial"/>
        </w:rPr>
        <w:t>Slovenská obchodná a priemyselná komory,</w:t>
      </w:r>
    </w:p>
    <w:p>
      <w:pPr>
        <w:pStyle w:val="Odsekzoznamu"/>
        <w:numPr>
          <w:ilvl w:val="0"/>
          <w:numId w:val="5"/>
        </w:numPr>
        <w:rPr>
          <w:rFonts w:ascii="Arial" w:hAnsi="Arial" w:cs="Arial"/>
        </w:rPr>
      </w:pPr>
      <w:r>
        <w:rPr>
          <w:rFonts w:ascii="Arial" w:hAnsi="Arial" w:cs="Arial"/>
        </w:rPr>
        <w:t>Asociácia zamestnávateľských zväzov a združení SR,</w:t>
      </w:r>
    </w:p>
    <w:p>
      <w:pPr>
        <w:pStyle w:val="Odsekzoznamu"/>
        <w:numPr>
          <w:ilvl w:val="0"/>
          <w:numId w:val="5"/>
        </w:numPr>
        <w:rPr>
          <w:rFonts w:ascii="Arial" w:hAnsi="Arial" w:cs="Arial"/>
        </w:rPr>
      </w:pPr>
      <w:r>
        <w:rPr>
          <w:rFonts w:ascii="Arial" w:hAnsi="Arial" w:cs="Arial"/>
        </w:rPr>
        <w:t>Vidiecky parlament na Slovensku,</w:t>
      </w:r>
    </w:p>
    <w:p>
      <w:pPr>
        <w:pStyle w:val="Odsekzoznamu"/>
        <w:numPr>
          <w:ilvl w:val="0"/>
          <w:numId w:val="5"/>
        </w:numPr>
        <w:rPr>
          <w:rFonts w:ascii="Arial" w:hAnsi="Arial" w:cs="Arial"/>
        </w:rPr>
      </w:pPr>
      <w:r>
        <w:rPr>
          <w:rFonts w:ascii="Arial" w:hAnsi="Arial" w:cs="Arial"/>
        </w:rPr>
        <w:t>Zväz stavebných podnikateľov SR,</w:t>
      </w:r>
    </w:p>
    <w:p>
      <w:pPr>
        <w:pStyle w:val="Odsekzoznamu"/>
        <w:numPr>
          <w:ilvl w:val="0"/>
          <w:numId w:val="5"/>
        </w:numPr>
        <w:rPr>
          <w:rFonts w:ascii="Arial" w:hAnsi="Arial" w:cs="Arial"/>
        </w:rPr>
      </w:pPr>
      <w:r>
        <w:rPr>
          <w:rFonts w:ascii="Arial" w:hAnsi="Arial" w:cs="Arial"/>
        </w:rPr>
        <w:t>Rómsky inštitút – Roma Institute, n.o.,</w:t>
      </w:r>
    </w:p>
    <w:p>
      <w:pPr>
        <w:pStyle w:val="Odsekzoznamu"/>
        <w:numPr>
          <w:ilvl w:val="0"/>
          <w:numId w:val="5"/>
        </w:numPr>
        <w:rPr>
          <w:rFonts w:ascii="Arial" w:hAnsi="Arial" w:cs="Arial"/>
        </w:rPr>
      </w:pPr>
      <w:r>
        <w:rPr>
          <w:rFonts w:ascii="Arial" w:hAnsi="Arial" w:cs="Arial"/>
        </w:rPr>
        <w:t>Klub 500,</w:t>
      </w:r>
    </w:p>
    <w:p>
      <w:pPr>
        <w:pStyle w:val="Odsekzoznamu"/>
        <w:numPr>
          <w:ilvl w:val="0"/>
          <w:numId w:val="5"/>
        </w:numPr>
        <w:rPr>
          <w:rFonts w:ascii="Arial" w:hAnsi="Arial" w:cs="Arial"/>
        </w:rPr>
      </w:pPr>
      <w:r>
        <w:rPr>
          <w:rFonts w:ascii="Arial" w:hAnsi="Arial" w:cs="Arial"/>
        </w:rPr>
        <w:t>CEPTA - Centrum pre trvaloudržateľné alternatívy,</w:t>
      </w:r>
    </w:p>
    <w:p>
      <w:pPr>
        <w:pStyle w:val="Odsekzoznamu"/>
        <w:numPr>
          <w:ilvl w:val="0"/>
          <w:numId w:val="5"/>
        </w:numPr>
        <w:rPr>
          <w:rFonts w:ascii="Arial" w:hAnsi="Arial" w:cs="Arial"/>
        </w:rPr>
      </w:pPr>
      <w:r>
        <w:rPr>
          <w:rFonts w:ascii="Arial" w:hAnsi="Arial" w:cs="Arial"/>
        </w:rPr>
        <w:t>Slovenská poľnohospodárska a potravinárska komora,</w:t>
      </w:r>
    </w:p>
    <w:p>
      <w:pPr>
        <w:pStyle w:val="Odsekzoznamu"/>
        <w:numPr>
          <w:ilvl w:val="0"/>
          <w:numId w:val="5"/>
        </w:numPr>
        <w:rPr>
          <w:rFonts w:ascii="Arial" w:hAnsi="Arial" w:cs="Arial"/>
        </w:rPr>
      </w:pPr>
      <w:r>
        <w:rPr>
          <w:rFonts w:ascii="Arial" w:hAnsi="Arial" w:cs="Arial"/>
        </w:rPr>
        <w:t>8 zástupcovia krajských miest,</w:t>
      </w:r>
    </w:p>
    <w:p>
      <w:pPr>
        <w:pStyle w:val="Odsekzoznamu"/>
        <w:numPr>
          <w:ilvl w:val="0"/>
          <w:numId w:val="5"/>
        </w:numPr>
        <w:rPr>
          <w:rFonts w:ascii="Arial" w:hAnsi="Arial" w:cs="Arial"/>
        </w:rPr>
      </w:pPr>
      <w:r>
        <w:rPr>
          <w:rFonts w:ascii="Arial" w:hAnsi="Arial" w:cs="Arial"/>
        </w:rPr>
        <w:t>Asociácia vodárenských spoločností,</w:t>
      </w:r>
    </w:p>
    <w:p>
      <w:pPr>
        <w:pStyle w:val="Odsekzoznamu"/>
        <w:numPr>
          <w:ilvl w:val="0"/>
          <w:numId w:val="5"/>
        </w:numPr>
        <w:rPr>
          <w:rFonts w:ascii="Arial" w:hAnsi="Arial" w:cs="Arial"/>
        </w:rPr>
      </w:pPr>
      <w:r>
        <w:rPr>
          <w:rFonts w:ascii="Arial" w:hAnsi="Arial" w:cs="Arial"/>
        </w:rPr>
        <w:t>Národná sieť slovenských miestnych akčných skupín.</w:t>
      </w:r>
    </w:p>
    <w:p>
      <w:pPr>
        <w:rPr>
          <w:rFonts w:ascii="Arial" w:hAnsi="Arial" w:cs="Arial"/>
        </w:rPr>
      </w:pPr>
    </w:p>
    <w:p>
      <w:pPr>
        <w:rPr>
          <w:rFonts w:ascii="Arial" w:hAnsi="Arial" w:cs="Arial"/>
        </w:rPr>
      </w:pPr>
    </w:p>
    <w:p>
      <w:pPr>
        <w:pStyle w:val="Nadpis1"/>
        <w:rPr>
          <w:rFonts w:ascii="Arial" w:hAnsi="Arial" w:cs="Arial"/>
        </w:rPr>
      </w:pPr>
      <w:bookmarkStart w:id="176" w:name="_Toc387154013"/>
      <w:r>
        <w:rPr>
          <w:rFonts w:ascii="Arial" w:hAnsi="Arial" w:cs="Arial"/>
        </w:rPr>
        <w:lastRenderedPageBreak/>
        <w:t>Prílohy (na zadanie do SFC 2014 ako osobitné súbory)</w:t>
      </w:r>
      <w:bookmarkEnd w:id="176"/>
    </w:p>
    <w:p>
      <w:pPr>
        <w:pStyle w:val="Odsekzoznamu"/>
        <w:numPr>
          <w:ilvl w:val="0"/>
          <w:numId w:val="1"/>
        </w:numPr>
        <w:rPr>
          <w:rFonts w:ascii="Arial" w:hAnsi="Arial" w:cs="Arial"/>
        </w:rPr>
      </w:pPr>
      <w:r>
        <w:rPr>
          <w:rFonts w:ascii="Arial" w:hAnsi="Arial" w:cs="Arial"/>
        </w:rPr>
        <w:t>Návrh správy z ex ante hodnotenia vrátane zhrnutia</w:t>
      </w:r>
    </w:p>
    <w:p>
      <w:pPr>
        <w:pStyle w:val="Odsekzoznamu"/>
        <w:numPr>
          <w:ilvl w:val="0"/>
          <w:numId w:val="1"/>
        </w:numPr>
        <w:rPr>
          <w:rFonts w:ascii="Arial" w:hAnsi="Arial" w:cs="Arial"/>
        </w:rPr>
      </w:pPr>
      <w:r>
        <w:rPr>
          <w:rFonts w:ascii="Arial" w:hAnsi="Arial" w:cs="Arial"/>
        </w:rPr>
        <w:t>Podklady zo zhodnotenia aplikovateľnosti a splnenia ex ante kondicionalít (voliteľné)</w:t>
      </w:r>
    </w:p>
    <w:p>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pPr>
        <w:pStyle w:val="Odsekzoznamu"/>
        <w:numPr>
          <w:ilvl w:val="0"/>
          <w:numId w:val="1"/>
        </w:numPr>
        <w:rPr>
          <w:rFonts w:ascii="Arial" w:hAnsi="Arial" w:cs="Arial"/>
        </w:rPr>
      </w:pPr>
      <w:r>
        <w:rPr>
          <w:rFonts w:ascii="Arial" w:hAnsi="Arial" w:cs="Arial"/>
        </w:rPr>
        <w:t>Zhrnutie IROP pre občanov (voliteľné)</w:t>
      </w:r>
    </w:p>
    <w:p>
      <w:pPr>
        <w:rPr>
          <w:rFonts w:ascii="Arial" w:hAnsi="Arial" w:cs="Arial"/>
        </w:rPr>
        <w:sectPr>
          <w:pgSz w:w="11906" w:h="16838"/>
          <w:pgMar w:top="1417" w:right="1417" w:bottom="1417" w:left="1417" w:header="708" w:footer="708" w:gutter="0"/>
          <w:cols w:space="708"/>
          <w:docGrid w:linePitch="360"/>
        </w:sectPr>
      </w:pPr>
    </w:p>
    <w:p>
      <w:pPr>
        <w:spacing w:after="0" w:line="240" w:lineRule="auto"/>
        <w:rPr>
          <w:rFonts w:ascii="Arial" w:hAnsi="Arial" w:cs="Arial"/>
          <w:i/>
        </w:rPr>
      </w:pPr>
      <w:r>
        <w:rPr>
          <w:rFonts w:ascii="Arial" w:hAnsi="Arial" w:cs="Arial"/>
          <w:b/>
        </w:rPr>
        <w:lastRenderedPageBreak/>
        <w:t>Príloha č. 12.4:</w:t>
      </w:r>
      <w:r>
        <w:rPr>
          <w:rFonts w:ascii="Arial" w:hAnsi="Arial" w:cs="Arial"/>
        </w:rPr>
        <w:t xml:space="preserve"> </w:t>
      </w:r>
      <w:r>
        <w:rPr>
          <w:rFonts w:ascii="Arial" w:hAnsi="Arial" w:cs="Arial"/>
          <w:i/>
        </w:rPr>
        <w:t>Kódy kategórií intervencií použitých v rámci IROP</w:t>
      </w:r>
    </w:p>
    <w:p>
      <w:pPr>
        <w:tabs>
          <w:tab w:val="left" w:pos="2268"/>
        </w:tabs>
        <w:rPr>
          <w:rFonts w:ascii="Arial" w:hAnsi="Arial" w:cs="Arial"/>
          <w:sz w:val="20"/>
          <w:szCs w:val="20"/>
        </w:rPr>
      </w:pPr>
    </w:p>
    <w:p>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trPr>
          <w:trHeight w:val="609"/>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851"/>
              <w:rPr>
                <w:rFonts w:ascii="Arial" w:hAnsi="Arial" w:cs="Arial"/>
                <w:sz w:val="20"/>
                <w:szCs w:val="20"/>
              </w:rPr>
            </w:pPr>
            <w:r>
              <w:rPr>
                <w:rFonts w:ascii="Arial" w:hAnsi="Arial" w:cs="Arial"/>
                <w:b/>
                <w:i/>
                <w:sz w:val="20"/>
                <w:szCs w:val="20"/>
              </w:rPr>
              <w:t>Dopravná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851"/>
              <w:rPr>
                <w:rFonts w:ascii="Arial" w:hAnsi="Arial" w:cs="Arial"/>
                <w:sz w:val="20"/>
                <w:szCs w:val="20"/>
              </w:rPr>
            </w:pPr>
            <w:r>
              <w:rPr>
                <w:rFonts w:ascii="Arial" w:hAnsi="Arial" w:cs="Arial"/>
                <w:b/>
                <w:i/>
                <w:sz w:val="20"/>
                <w:szCs w:val="20"/>
              </w:rPr>
              <w:t>Udržateľná doprava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sz w:val="20"/>
                <w:szCs w:val="20"/>
              </w:rPr>
            </w:pPr>
            <w:r>
              <w:rPr>
                <w:rFonts w:ascii="Arial" w:hAnsi="Arial" w:cs="Arial"/>
                <w:b/>
                <w:i/>
                <w:sz w:val="20"/>
                <w:szCs w:val="20"/>
              </w:rPr>
              <w:t xml:space="preserve">Výskum a vývoj a inovácie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058</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Výskumná a inovačná infraštruktúra (verejná)</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Životné prostredie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Opatrenia na zabezpečenie kvality ovzdušia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085</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lastRenderedPageBreak/>
              <w:t>089</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Rekultivácia priemyselných plôch a kontaminovanej pôdy</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720"/>
              <w:rPr>
                <w:rFonts w:ascii="Arial" w:hAnsi="Arial" w:cs="Arial"/>
                <w:sz w:val="20"/>
                <w:szCs w:val="20"/>
              </w:rPr>
            </w:pPr>
            <w:r>
              <w:rPr>
                <w:rFonts w:ascii="Arial" w:eastAsia="Times New Roman" w:hAnsi="Arial" w:cs="Arial"/>
                <w:b/>
                <w:i/>
                <w:sz w:val="20"/>
                <w:szCs w:val="20"/>
              </w:rPr>
              <w:t>Iné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b/>
                <w:sz w:val="20"/>
                <w:szCs w:val="20"/>
              </w:rPr>
            </w:pPr>
            <w:r>
              <w:rPr>
                <w:rFonts w:ascii="Arial" w:hAnsi="Arial" w:cs="Arial"/>
                <w:b/>
                <w:smallCaps/>
                <w:sz w:val="20"/>
                <w:szCs w:val="20"/>
              </w:rPr>
              <w:t>V Podpora udržateľnosti a kvality zamestnanosti a mobility pracovnej sily:</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104</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Samostatná zárobková činnosť, podnikanie a zakladanie podnikov vrátane inovatívnych mikropodnikov, malých a stredných podnikov</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106</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hAnsi="Arial" w:cs="Arial"/>
                <w:sz w:val="20"/>
                <w:szCs w:val="20"/>
              </w:rPr>
            </w:pPr>
            <w:r>
              <w:rPr>
                <w:rFonts w:ascii="Arial" w:hAnsi="Arial" w:cs="Arial"/>
                <w:sz w:val="20"/>
                <w:szCs w:val="20"/>
              </w:rPr>
              <w:t>Prispôsobenie pracovníkov, podnikov a podnikateľov zmenám</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b/>
                <w:sz w:val="20"/>
                <w:szCs w:val="20"/>
              </w:rPr>
            </w:pPr>
            <w:r>
              <w:rPr>
                <w:rFonts w:ascii="Arial" w:hAnsi="Arial" w:cs="Arial"/>
                <w:b/>
                <w:smallCaps/>
                <w:sz w:val="20"/>
                <w:szCs w:val="20"/>
              </w:rPr>
              <w:t>IX Technická pomoc:</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pPr>
        <w:rPr>
          <w:rFonts w:ascii="Arial" w:hAnsi="Arial" w:cs="Arial"/>
          <w:iCs/>
          <w:sz w:val="20"/>
          <w:szCs w:val="20"/>
        </w:rPr>
      </w:pPr>
    </w:p>
    <w:p>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pPr>
        <w:rPr>
          <w:rFonts w:ascii="Arial" w:hAnsi="Arial" w:cs="Arial"/>
          <w:iCs/>
          <w:sz w:val="20"/>
          <w:szCs w:val="20"/>
        </w:rPr>
      </w:pPr>
    </w:p>
    <w:p>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pPr>
        <w:rPr>
          <w:rFonts w:ascii="Arial" w:hAnsi="Arial" w:cs="Arial"/>
          <w:iCs/>
          <w:sz w:val="20"/>
          <w:szCs w:val="20"/>
        </w:rPr>
      </w:pPr>
    </w:p>
    <w:p>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pPr>
        <w:keepNext/>
        <w:spacing w:before="180"/>
        <w:jc w:val="both"/>
        <w:rPr>
          <w:i/>
        </w:rPr>
      </w:pPr>
      <w:r>
        <w:rPr>
          <w:i/>
        </w:rPr>
        <w:br/>
      </w:r>
    </w:p>
    <w:p>
      <w:pPr>
        <w:rPr>
          <w:rFonts w:ascii="Arial" w:hAnsi="Arial" w:cs="Arial"/>
        </w:rPr>
        <w:sectPr>
          <w:pgSz w:w="11906" w:h="16838"/>
          <w:pgMar w:top="1417" w:right="1417" w:bottom="1417" w:left="1417" w:header="708" w:footer="708" w:gutter="0"/>
          <w:cols w:space="708"/>
          <w:docGrid w:linePitch="360"/>
        </w:sectPr>
      </w:pPr>
    </w:p>
    <w:p>
      <w:pPr>
        <w:spacing w:line="240" w:lineRule="auto"/>
        <w:rPr>
          <w:rFonts w:ascii="Arial" w:hAnsi="Arial" w:cs="Arial"/>
          <w:b/>
        </w:rPr>
      </w:pPr>
      <w:r>
        <w:rPr>
          <w:rFonts w:ascii="Arial" w:hAnsi="Arial" w:cs="Arial"/>
          <w:b/>
        </w:rPr>
        <w:lastRenderedPageBreak/>
        <w:t xml:space="preserve">Príloha č. 12.5: </w:t>
      </w:r>
      <w:r>
        <w:rPr>
          <w:rFonts w:ascii="Arial" w:hAnsi="Arial" w:cs="Arial"/>
          <w:i/>
        </w:rPr>
        <w:t>Prehľad stavu ciest II. triedy v členení podľa samosprávnych krajov za rok 2012</w:t>
      </w:r>
    </w:p>
    <w:p>
      <w:pPr>
        <w:spacing w:after="0" w:line="240" w:lineRule="auto"/>
        <w:rPr>
          <w:rFonts w:ascii="Arial" w:hAnsi="Arial" w:cs="Arial"/>
        </w:rPr>
      </w:pPr>
      <w:r>
        <w:rPr>
          <w:noProof/>
          <w:lang w:eastAsia="sk-SK"/>
        </w:rPr>
        <w:drawing>
          <wp:inline distT="0" distB="0" distL="0" distR="0">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pPr>
        <w:spacing w:after="0" w:line="240" w:lineRule="auto"/>
        <w:rPr>
          <w:rFonts w:ascii="Arial" w:hAnsi="Arial" w:cs="Arial"/>
        </w:rPr>
      </w:pPr>
    </w:p>
    <w:p>
      <w:pPr>
        <w:spacing w:line="240" w:lineRule="auto"/>
        <w:rPr>
          <w:rFonts w:ascii="Arial" w:hAnsi="Arial" w:cs="Arial"/>
          <w:b/>
        </w:rPr>
      </w:pPr>
      <w:r>
        <w:rPr>
          <w:rFonts w:ascii="Arial" w:hAnsi="Arial" w:cs="Arial"/>
          <w:b/>
        </w:rPr>
        <w:t xml:space="preserve">Príloha č. 12.6: </w:t>
      </w:r>
      <w:r>
        <w:rPr>
          <w:rFonts w:ascii="Arial" w:hAnsi="Arial" w:cs="Arial"/>
          <w:i/>
        </w:rPr>
        <w:t>Prehľad stavu ciest III. triedy v členení podľa samosprávnych krajov za rok 2012</w:t>
      </w:r>
    </w:p>
    <w:p>
      <w:pPr>
        <w:spacing w:after="0" w:line="240" w:lineRule="auto"/>
        <w:rPr>
          <w:rFonts w:ascii="Arial" w:hAnsi="Arial" w:cs="Arial"/>
          <w:i/>
        </w:rPr>
      </w:pPr>
      <w:r>
        <w:rPr>
          <w:noProof/>
          <w:lang w:eastAsia="sk-SK"/>
        </w:rPr>
        <w:drawing>
          <wp:inline distT="0" distB="0" distL="0" distR="0">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pPr>
        <w:spacing w:after="0" w:line="240" w:lineRule="auto"/>
        <w:rPr>
          <w:rFonts w:ascii="Arial" w:hAnsi="Arial" w:cs="Arial"/>
          <w:i/>
        </w:rPr>
      </w:pPr>
    </w:p>
    <w:p>
      <w:pPr>
        <w:spacing w:after="0" w:line="240" w:lineRule="auto"/>
        <w:rPr>
          <w:rFonts w:ascii="Arial" w:hAnsi="Arial" w:cs="Arial"/>
          <w:b/>
        </w:rPr>
      </w:pPr>
      <w:r>
        <w:rPr>
          <w:rFonts w:ascii="Arial" w:hAnsi="Arial" w:cs="Arial"/>
          <w:b/>
        </w:rPr>
        <w:br w:type="page"/>
      </w:r>
    </w:p>
    <w:p>
      <w:pPr>
        <w:spacing w:line="240" w:lineRule="auto"/>
        <w:rPr>
          <w:rFonts w:ascii="Arial" w:hAnsi="Arial" w:cs="Arial"/>
          <w:b/>
        </w:rPr>
      </w:pPr>
      <w:r>
        <w:rPr>
          <w:rFonts w:ascii="Arial" w:hAnsi="Arial" w:cs="Arial"/>
          <w:b/>
        </w:rPr>
        <w:lastRenderedPageBreak/>
        <w:t xml:space="preserve">Príloha č. 12.7: </w:t>
      </w:r>
      <w:r>
        <w:rPr>
          <w:rFonts w:ascii="Arial" w:hAnsi="Arial" w:cs="Arial"/>
          <w:i/>
        </w:rPr>
        <w:t>Prehľad stavu mostných objektov na cestách II. a III. triedy v členení podľa samosprávnych krajov za rok 2012</w:t>
      </w:r>
    </w:p>
    <w:p>
      <w:pPr>
        <w:spacing w:after="0" w:line="240" w:lineRule="auto"/>
        <w:rPr>
          <w:rFonts w:ascii="Arial" w:hAnsi="Arial" w:cs="Arial"/>
          <w:i/>
        </w:rPr>
      </w:pPr>
      <w:r>
        <w:rPr>
          <w:noProof/>
          <w:lang w:eastAsia="sk-SK"/>
        </w:rPr>
        <w:drawing>
          <wp:inline distT="0" distB="0" distL="0" distR="0">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
        <w:br w:type="page"/>
      </w:r>
    </w:p>
    <w:p>
      <w:r>
        <w:rPr>
          <w:rFonts w:ascii="Arial" w:hAnsi="Arial" w:cs="Arial"/>
          <w:b/>
        </w:rPr>
        <w:lastRenderedPageBreak/>
        <w:t>Príloha č. 12.8</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pPr>
        <w:spacing w:after="0" w:line="240" w:lineRule="auto"/>
      </w:pPr>
    </w:p>
    <w:p>
      <w:r>
        <w:rPr>
          <w:noProof/>
          <w:lang w:eastAsia="sk-SK"/>
        </w:rPr>
        <w:drawing>
          <wp:inline distT="0" distB="0" distL="0" distR="0">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pPr>
        <w:spacing w:after="0" w:line="240" w:lineRule="auto"/>
        <w:rPr>
          <w:rFonts w:ascii="Arial" w:hAnsi="Arial" w:cs="Arial"/>
          <w:i/>
        </w:rPr>
      </w:pPr>
      <w:r>
        <w:rPr>
          <w:rFonts w:ascii="Arial" w:hAnsi="Arial" w:cs="Arial"/>
          <w:i/>
        </w:rPr>
        <w:t>Zdroj: Strategický plán rozvoja a údržby ciest na úrovni regiónov, MDVRR SR a VÚD, a.s., 2013</w:t>
      </w:r>
    </w:p>
    <w:p>
      <w:r>
        <w:br w:type="page"/>
      </w:r>
    </w:p>
    <w:p>
      <w:pPr>
        <w:spacing w:line="240" w:lineRule="auto"/>
        <w:rPr>
          <w:rFonts w:ascii="Arial" w:hAnsi="Arial" w:cs="Arial"/>
          <w:bCs/>
          <w:i/>
          <w:iCs/>
        </w:rPr>
      </w:pPr>
      <w:r>
        <w:rPr>
          <w:rFonts w:ascii="Arial" w:hAnsi="Arial" w:cs="Arial"/>
          <w:b/>
        </w:rPr>
        <w:lastRenderedPageBreak/>
        <w:t xml:space="preserve">Príloha č. 12.9: </w:t>
      </w:r>
      <w:r>
        <w:rPr>
          <w:rFonts w:ascii="Arial" w:hAnsi="Arial" w:cs="Arial"/>
          <w:i/>
        </w:rPr>
        <w:t>Vývoj počtu prepravených osôb autobusovou dopravou v jednotlivých VÚC [tis. os.]</w:t>
      </w:r>
    </w:p>
    <w:p>
      <w:pPr>
        <w:spacing w:after="0" w:line="240" w:lineRule="auto"/>
        <w:rPr>
          <w:rFonts w:ascii="Arial" w:hAnsi="Arial" w:cs="Arial"/>
          <w:bCs/>
          <w:i/>
          <w:iCs/>
        </w:rPr>
      </w:pPr>
      <w:r>
        <w:rPr>
          <w:rFonts w:ascii="Arial" w:hAnsi="Arial" w:cs="Arial"/>
          <w:bCs/>
          <w:i/>
          <w:iCs/>
          <w:noProof/>
          <w:lang w:eastAsia="sk-SK"/>
        </w:rPr>
        <w:drawing>
          <wp:inline distT="0" distB="0" distL="0" distR="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pPr>
        <w:spacing w:after="0" w:line="240" w:lineRule="auto"/>
        <w:rPr>
          <w:rFonts w:ascii="Arial" w:hAnsi="Arial" w:cs="Arial"/>
          <w:i/>
        </w:rPr>
      </w:pPr>
      <w:r>
        <w:rPr>
          <w:rFonts w:ascii="Arial" w:hAnsi="Arial" w:cs="Arial"/>
          <w:i/>
        </w:rPr>
        <w:t>Zdroj: MDVRR SR, BSK, BBSK, KSK, NSK, TSK, TTSK, ŽSK</w:t>
      </w:r>
    </w:p>
    <w:p>
      <w:pPr>
        <w:spacing w:after="0" w:line="240" w:lineRule="auto"/>
        <w:rPr>
          <w:rFonts w:ascii="Arial" w:hAnsi="Arial" w:cs="Arial"/>
        </w:rPr>
      </w:pPr>
    </w:p>
    <w:p>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lastRenderedPageBreak/>
        <w:t>Príloha č. 12.10:</w:t>
      </w:r>
      <w:r>
        <w:t xml:space="preserve"> </w:t>
      </w:r>
      <w:r>
        <w:rPr>
          <w:rFonts w:ascii="Arial" w:hAnsi="Arial" w:cs="Arial"/>
          <w:b w:val="0"/>
          <w:bCs w:val="0"/>
          <w:iCs w:val="0"/>
          <w:color w:val="auto"/>
          <w:sz w:val="22"/>
          <w:szCs w:val="22"/>
          <w:lang w:eastAsia="en-US"/>
        </w:rPr>
        <w:t>Dĺžka cyklistických komunikácií vo vybraných mestách SR</w:t>
      </w:r>
    </w:p>
    <w:p>
      <w:pPr>
        <w:spacing w:after="0" w:line="240" w:lineRule="auto"/>
        <w:rPr>
          <w:rFonts w:ascii="Arial" w:hAnsi="Arial" w:cs="Arial"/>
          <w:b/>
        </w:rPr>
      </w:pPr>
    </w:p>
    <w:p>
      <w:pPr>
        <w:spacing w:after="0" w:line="240" w:lineRule="auto"/>
        <w:rPr>
          <w:rFonts w:ascii="Arial" w:hAnsi="Arial" w:cs="Arial"/>
          <w:b/>
        </w:rPr>
      </w:pPr>
      <w:r>
        <w:rPr>
          <w:noProof/>
          <w:lang w:eastAsia="sk-SK"/>
        </w:rPr>
        <w:drawing>
          <wp:inline distT="0" distB="0" distL="0" distR="0">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pPr>
        <w:spacing w:after="0" w:line="240" w:lineRule="auto"/>
        <w:rPr>
          <w:rFonts w:ascii="Arial" w:hAnsi="Arial" w:cs="Arial"/>
          <w:b/>
        </w:rPr>
      </w:pPr>
      <w:r>
        <w:rPr>
          <w:rFonts w:ascii="Arial" w:hAnsi="Arial" w:cs="Arial"/>
          <w:i/>
        </w:rPr>
        <w:t>Zdroj: VÚD, dotazníkový prieskum v mestách realizovaný v roku 2012; STaRZ Bratislava (3/2013); Banská Bystrica (3/2013)</w:t>
      </w:r>
      <w:r>
        <w:rPr>
          <w:rFonts w:ascii="Arial" w:hAnsi="Arial" w:cs="Arial"/>
          <w:b/>
        </w:rPr>
        <w:br w:type="page"/>
      </w:r>
    </w:p>
    <w:p>
      <w:pPr>
        <w:jc w:val="both"/>
        <w:rPr>
          <w:rFonts w:ascii="Arial" w:hAnsi="Arial" w:cs="Arial"/>
          <w:i/>
        </w:rPr>
      </w:pPr>
      <w:r>
        <w:rPr>
          <w:rFonts w:ascii="Arial" w:hAnsi="Arial" w:cs="Arial"/>
          <w:b/>
        </w:rPr>
        <w:lastRenderedPageBreak/>
        <w:t>Príloha č. 12.11</w:t>
      </w:r>
      <w:r>
        <w:rPr>
          <w:rFonts w:ascii="Arial" w:hAnsi="Arial" w:cs="Arial"/>
        </w:rPr>
        <w:t xml:space="preserve">: </w:t>
      </w:r>
      <w:r>
        <w:rPr>
          <w:rFonts w:ascii="Arial" w:hAnsi="Arial" w:cs="Arial"/>
          <w:i/>
        </w:rPr>
        <w:t>Vývojový diagram multikriteriálneho posudzovania projektov v rámci špecifického cieľa č. 1.1 vhodných pre IROP</w:t>
      </w:r>
    </w:p>
    <w:p>
      <w:pPr>
        <w:spacing w:after="0" w:line="240" w:lineRule="auto"/>
        <w:jc w:val="center"/>
        <w:rPr>
          <w:rFonts w:ascii="Arial" w:hAnsi="Arial" w:cs="Arial"/>
          <w:b/>
        </w:rPr>
      </w:pPr>
      <w:r>
        <w:rPr>
          <w:b/>
          <w:noProof/>
          <w:sz w:val="40"/>
          <w:lang w:eastAsia="sk-SK"/>
        </w:rPr>
        <w:drawing>
          <wp:inline distT="0" distB="0" distL="0" distR="0">
            <wp:extent cx="5970174" cy="2477386"/>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ojovy diagram _IRO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71442" cy="2477912"/>
                    </a:xfrm>
                    <a:prstGeom prst="rect">
                      <a:avLst/>
                    </a:prstGeom>
                  </pic:spPr>
                </pic:pic>
              </a:graphicData>
            </a:graphic>
          </wp:inline>
        </w:drawing>
      </w:r>
    </w:p>
    <w:p>
      <w:pPr>
        <w:spacing w:after="0" w:line="240" w:lineRule="auto"/>
        <w:rPr>
          <w:rFonts w:ascii="Arial" w:hAnsi="Arial" w:cs="Arial"/>
          <w:b/>
        </w:rPr>
      </w:pPr>
    </w:p>
    <w:p>
      <w:pPr>
        <w:spacing w:after="0" w:line="240" w:lineRule="auto"/>
        <w:rPr>
          <w:i/>
          <w:iCs/>
          <w:sz w:val="16"/>
          <w:szCs w:val="16"/>
        </w:rPr>
      </w:pPr>
      <w:r>
        <w:rPr>
          <w:i/>
          <w:iCs/>
          <w:sz w:val="16"/>
          <w:szCs w:val="16"/>
        </w:rPr>
        <w:t xml:space="preserve">Konektivita: </w:t>
      </w:r>
    </w:p>
    <w:p>
      <w:pPr>
        <w:pStyle w:val="Odsekzoznamu"/>
        <w:numPr>
          <w:ilvl w:val="0"/>
          <w:numId w:val="73"/>
        </w:numPr>
        <w:spacing w:after="0" w:line="240" w:lineRule="auto"/>
        <w:contextualSpacing w:val="0"/>
        <w:rPr>
          <w:sz w:val="16"/>
          <w:szCs w:val="16"/>
        </w:rPr>
      </w:pPr>
      <w:r>
        <w:rPr>
          <w:sz w:val="16"/>
          <w:szCs w:val="16"/>
        </w:rPr>
        <w:t xml:space="preserve">cesta II. alebo III. triedy, ktorá sa buď priamo fyzicky napája na TEN-T koridor, reprezentovaný diaľnicou alebo rýchlostnou cestou v prevádzke, výstavbe, alebo príprave </w:t>
      </w:r>
      <w:r>
        <w:rPr>
          <w:i/>
          <w:iCs/>
          <w:sz w:val="16"/>
          <w:szCs w:val="16"/>
        </w:rPr>
        <w:t>(priama konektivita)</w:t>
      </w:r>
      <w:r>
        <w:rPr>
          <w:sz w:val="16"/>
          <w:szCs w:val="16"/>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na úrovni konkrétnych RIÚS s príslušnou cestou vyššieho významu na TEN-T sieti </w:t>
      </w:r>
      <w:r>
        <w:rPr>
          <w:i/>
          <w:iCs/>
          <w:sz w:val="16"/>
          <w:szCs w:val="16"/>
        </w:rPr>
        <w:t>(nepriama konektivita)</w:t>
      </w:r>
      <w:r>
        <w:rPr>
          <w:sz w:val="16"/>
          <w:szCs w:val="16"/>
        </w:rPr>
        <w:t>.</w:t>
      </w:r>
    </w:p>
    <w:p>
      <w:pPr>
        <w:spacing w:after="0" w:line="240" w:lineRule="auto"/>
        <w:rPr>
          <w:sz w:val="16"/>
          <w:szCs w:val="16"/>
        </w:rPr>
      </w:pPr>
    </w:p>
    <w:p>
      <w:pPr>
        <w:spacing w:after="0" w:line="240" w:lineRule="auto"/>
        <w:rPr>
          <w:i/>
          <w:iCs/>
          <w:sz w:val="16"/>
          <w:szCs w:val="16"/>
        </w:rPr>
      </w:pPr>
      <w:r>
        <w:rPr>
          <w:i/>
          <w:iCs/>
          <w:sz w:val="16"/>
          <w:szCs w:val="16"/>
        </w:rPr>
        <w:t xml:space="preserve">Synergia: </w:t>
      </w:r>
    </w:p>
    <w:p>
      <w:pPr>
        <w:pStyle w:val="Odsekzoznamu"/>
        <w:numPr>
          <w:ilvl w:val="0"/>
          <w:numId w:val="73"/>
        </w:numPr>
        <w:spacing w:after="0" w:line="240" w:lineRule="auto"/>
        <w:contextualSpacing w:val="0"/>
        <w:rPr>
          <w:sz w:val="16"/>
          <w:szCs w:val="16"/>
        </w:rPr>
      </w:pPr>
      <w:r>
        <w:rPr>
          <w:sz w:val="16"/>
          <w:szCs w:val="16"/>
        </w:rPr>
        <w:t>doplnkové hodnotenie s investičnými intervenciami v podobe veľkých projektov nadnárodnej a národnej cestnej dopravnej siete v operačných programoch OPD 2007 – 2013, OPII 2014 – 2020 a ROP 2007 -2013 súvisiacich so sieťou TEN-T,</w:t>
      </w:r>
    </w:p>
    <w:p>
      <w:pPr>
        <w:pStyle w:val="Odsekzoznamu"/>
        <w:numPr>
          <w:ilvl w:val="0"/>
          <w:numId w:val="73"/>
        </w:numPr>
        <w:spacing w:after="0" w:line="240" w:lineRule="auto"/>
        <w:contextualSpacing w:val="0"/>
        <w:rPr>
          <w:sz w:val="16"/>
          <w:szCs w:val="16"/>
        </w:rPr>
      </w:pPr>
      <w:r>
        <w:rPr>
          <w:sz w:val="16"/>
          <w:szCs w:val="16"/>
        </w:rPr>
        <w:t>jedná sa o posúdenie prepojenia investičných priorít dopravnej infraštruktúry na regionálnej úrovni s investičnými projektmi republikovej úrovne (cestnými, železničnými projektmi a projektmi vodnej dopravy), pričom je na subjektívnom posúdení hodnotiteľa, či realizácia vybraného posudzovaného opatrenia na príslušnej ceste II. resp. III. triedy v konektivite so sieťou TEN-T vyvolá dodatočné synergické efekty s infraštruktúrnymi  opatreniami na diaľniciach, rýchlostných cestách a cestách I. triedy realizovaných prostredníctvom OP II, OPD.</w:t>
      </w:r>
    </w:p>
    <w:p>
      <w:pPr>
        <w:spacing w:after="0" w:line="240" w:lineRule="auto"/>
        <w:rPr>
          <w:sz w:val="16"/>
          <w:szCs w:val="16"/>
        </w:rPr>
      </w:pPr>
    </w:p>
    <w:p>
      <w:pPr>
        <w:spacing w:after="0" w:line="240" w:lineRule="auto"/>
        <w:rPr>
          <w:i/>
          <w:iCs/>
          <w:sz w:val="16"/>
          <w:szCs w:val="16"/>
        </w:rPr>
      </w:pPr>
      <w:r>
        <w:rPr>
          <w:i/>
          <w:iCs/>
          <w:sz w:val="16"/>
          <w:szCs w:val="16"/>
        </w:rPr>
        <w:t>Ekonomický rozvoj - potenciál priemyselných parkov, centier KURS a dopravných napojení centier hospodárskeho významu zadefinovaných na úrovni konkrétnych RIÚS:</w:t>
      </w:r>
    </w:p>
    <w:p>
      <w:pPr>
        <w:pStyle w:val="Odsekzoznamu"/>
        <w:numPr>
          <w:ilvl w:val="0"/>
          <w:numId w:val="73"/>
        </w:numPr>
        <w:spacing w:after="0" w:line="240" w:lineRule="auto"/>
        <w:contextualSpacing w:val="0"/>
        <w:rPr>
          <w:sz w:val="16"/>
          <w:szCs w:val="16"/>
        </w:rPr>
      </w:pPr>
      <w:r>
        <w:rPr>
          <w:sz w:val="16"/>
          <w:szCs w:val="16"/>
        </w:rPr>
        <w:t>projekt musí spĺňať aspoň jedno zo subkritérií dopravného prepojenia priemyselných parkov, centier KURS a dopravných napojení centier hospodárskeho významu zadefinovaných na úrovni konkrétnych RIÚS.</w:t>
      </w:r>
    </w:p>
    <w:p>
      <w:pPr>
        <w:pStyle w:val="Odsekzoznamu"/>
        <w:numPr>
          <w:ilvl w:val="0"/>
          <w:numId w:val="74"/>
        </w:numPr>
        <w:spacing w:after="0" w:line="240" w:lineRule="auto"/>
        <w:contextualSpacing w:val="0"/>
        <w:rPr>
          <w:sz w:val="16"/>
          <w:szCs w:val="16"/>
        </w:rPr>
      </w:pPr>
      <w:r>
        <w:rPr>
          <w:sz w:val="16"/>
          <w:szCs w:val="16"/>
        </w:rPr>
        <w:t>priame dopravné napojenie priemyselného parku/centra osídlenia/ centier hospodárskeho významu zadefinovaných na úrovni konkrétnych RIÚS bez možnosti plnohodnotného alternatívneho spojenia inou pozemnou komunikáciou vyššej kategórie;</w:t>
      </w:r>
    </w:p>
    <w:p>
      <w:pPr>
        <w:pStyle w:val="Odsekzoznamu"/>
        <w:numPr>
          <w:ilvl w:val="0"/>
          <w:numId w:val="74"/>
        </w:numPr>
        <w:spacing w:after="0" w:line="240" w:lineRule="auto"/>
        <w:contextualSpacing w:val="0"/>
        <w:rPr>
          <w:rFonts w:ascii="Arial" w:hAnsi="Arial" w:cs="Arial"/>
          <w:b/>
        </w:rPr>
      </w:pPr>
      <w:r>
        <w:rPr>
          <w:sz w:val="16"/>
          <w:szCs w:val="16"/>
        </w:rPr>
        <w:t>nepriame dopravné napojenie priemyselného parku/centra osídlenia/ centier hospodárskeho významu zadefinovaných na úrovni konkrétnych RIÚS v kombinácii s pozemnou komunikáciou rovnakej a/alebo vyššej kategórie bez možnosti plnohodnotného alternatívneho spojenia inou pozemnou komunikáciou vyššej kategórie.</w:t>
      </w:r>
    </w:p>
    <w:p>
      <w:pPr>
        <w:spacing w:after="0" w:line="240" w:lineRule="auto"/>
        <w:rPr>
          <w:rFonts w:ascii="Arial" w:hAnsi="Arial" w:cs="Arial"/>
          <w:b/>
        </w:rPr>
      </w:pPr>
    </w:p>
    <w:p>
      <w:pPr>
        <w:rPr>
          <w:rFonts w:ascii="Arial" w:hAnsi="Arial" w:cs="Arial"/>
          <w:b/>
        </w:rPr>
      </w:pPr>
    </w:p>
    <w:p>
      <w:pPr>
        <w:rPr>
          <w:rFonts w:ascii="Arial" w:hAnsi="Arial" w:cs="Arial"/>
        </w:rPr>
      </w:pPr>
      <w:r>
        <w:rPr>
          <w:rFonts w:ascii="Arial" w:hAnsi="Arial" w:cs="Arial"/>
          <w:b/>
        </w:rPr>
        <w:lastRenderedPageBreak/>
        <w:t>Príloha č. 12.12</w:t>
      </w:r>
      <w:r>
        <w:rPr>
          <w:rFonts w:ascii="Arial" w:hAnsi="Arial" w:cs="Arial"/>
        </w:rPr>
        <w:t xml:space="preserve">: </w:t>
      </w:r>
      <w:r>
        <w:rPr>
          <w:rFonts w:ascii="Arial" w:hAnsi="Arial" w:cs="Arial"/>
          <w:i/>
        </w:rPr>
        <w:t xml:space="preserve">Funkčné regióny SR vo vzťahu k verejnej osobnej doprave (špecifický cieľ č. 1.2.1) </w:t>
      </w:r>
    </w:p>
    <w:p>
      <w:pPr>
        <w:rPr>
          <w:rFonts w:ascii="Arial" w:hAnsi="Arial" w:cs="Arial"/>
        </w:rPr>
      </w:pPr>
      <w:r>
        <w:rPr>
          <w:noProof/>
          <w:lang w:eastAsia="sk-SK"/>
        </w:rPr>
        <w:drawing>
          <wp:inline distT="0" distB="0" distL="0" distR="0">
            <wp:extent cx="5620285" cy="2690037"/>
            <wp:effectExtent l="0" t="0" r="0" b="0"/>
            <wp:docPr id="1" name="Obrázok 1" descr="C:\Users\pavol.kristel\AppData\Local\Microsoft\Windows\Temporary Internet Files\Content.Word\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ol.kristel\AppData\Local\Microsoft\Windows\Temporary Internet Files\Content.Word\sk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20247" cy="2690019"/>
                    </a:xfrm>
                    <a:prstGeom prst="rect">
                      <a:avLst/>
                    </a:prstGeom>
                    <a:noFill/>
                    <a:ln>
                      <a:noFill/>
                    </a:ln>
                  </pic:spPr>
                </pic:pic>
              </a:graphicData>
            </a:graphic>
          </wp:inline>
        </w:drawing>
      </w:r>
    </w:p>
    <w:p>
      <w:pPr>
        <w:rPr>
          <w:rFonts w:ascii="Arial" w:hAnsi="Arial" w:cs="Arial"/>
        </w:rPr>
      </w:pPr>
      <w:r>
        <w:rPr>
          <w:rFonts w:ascii="Arial" w:hAnsi="Arial" w:cs="Arial"/>
        </w:rPr>
        <w:t>Zdroj: Stratégia rozvoja verejnej osobnej a nemotorovej dopravy SR do roku 2020.</w:t>
      </w:r>
    </w:p>
    <w:p>
      <w:pPr>
        <w:jc w:val="both"/>
        <w:rPr>
          <w:rFonts w:ascii="Arial" w:hAnsi="Arial" w:cs="Arial"/>
          <w:b/>
        </w:rPr>
        <w:sectPr>
          <w:pgSz w:w="16838" w:h="11906" w:orient="landscape"/>
          <w:pgMar w:top="1417" w:right="1417" w:bottom="1417" w:left="1417" w:header="708" w:footer="708" w:gutter="0"/>
          <w:cols w:space="708"/>
          <w:docGrid w:linePitch="360"/>
        </w:sectPr>
      </w:pPr>
    </w:p>
    <w:p>
      <w:pPr>
        <w:jc w:val="both"/>
        <w:rPr>
          <w:rFonts w:ascii="Arial" w:hAnsi="Arial" w:cs="Arial"/>
          <w:i/>
        </w:rPr>
      </w:pPr>
      <w:r>
        <w:rPr>
          <w:rFonts w:ascii="Arial" w:hAnsi="Arial" w:cs="Arial"/>
          <w:b/>
        </w:rPr>
        <w:lastRenderedPageBreak/>
        <w:t>Príloha č. 12.13</w:t>
      </w:r>
      <w:r>
        <w:rPr>
          <w:rFonts w:ascii="Arial" w:hAnsi="Arial" w:cs="Arial"/>
        </w:rPr>
        <w:t xml:space="preserve">: </w:t>
      </w:r>
      <w:r>
        <w:rPr>
          <w:rFonts w:ascii="Arial" w:hAnsi="Arial" w:cs="Arial"/>
          <w:i/>
        </w:rPr>
        <w:t>Príklad komplementárnych aktivít financovaných z OPII a IROP v oblasti verejnej osobnej dopravy.</w:t>
      </w:r>
    </w:p>
    <w:p>
      <w:pPr>
        <w:rPr>
          <w:rFonts w:ascii="Arial" w:hAnsi="Arial" w:cs="Arial"/>
        </w:rPr>
      </w:pPr>
      <w:r>
        <w:rPr>
          <w:noProof/>
          <w:lang w:eastAsia="sk-SK"/>
        </w:rPr>
        <mc:AlternateContent>
          <mc:Choice Requires="wps">
            <w:drawing>
              <wp:anchor distT="0" distB="0" distL="114300" distR="114300" simplePos="0" relativeHeight="251659264" behindDoc="0" locked="0" layoutInCell="1" allowOverlap="1">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Prvky upokojenia dopravy</w:t>
                      </w:r>
                    </w:p>
                  </w:txbxContent>
                </v:textbox>
              </v:shape>
            </w:pict>
          </mc:Fallback>
        </mc:AlternateContent>
      </w:r>
      <w:r>
        <w:rPr>
          <w:noProof/>
          <w:lang w:eastAsia="sk-SK"/>
        </w:rPr>
        <mc:AlternateContent>
          <mc:Choice Requires="wps">
            <w:drawing>
              <wp:anchor distT="0" distB="0" distL="114300" distR="114300" simplePos="0" relativeHeight="251682816" behindDoc="0" locked="0" layoutInCell="1" allowOverlap="1">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85888" behindDoc="0" locked="0" layoutInCell="1" allowOverlap="1">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mc:AlternateContent>
          <mc:Choice Requires="wps">
            <w:drawing>
              <wp:anchor distT="0" distB="0" distL="114300" distR="114300" simplePos="0" relativeHeight="251684864" behindDoc="0" locked="0" layoutInCell="1" allowOverlap="1">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 II</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Pr>
          <w:noProof/>
          <w:lang w:eastAsia="sk-SK"/>
        </w:rPr>
        <mc:AlternateContent>
          <mc:Choice Requires="wps">
            <w:drawing>
              <wp:anchor distT="0" distB="0" distL="114300" distR="114300" simplePos="0" relativeHeight="251683840" behindDoc="0" locked="0" layoutInCell="1" allowOverlap="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Električková trať</w:t>
                      </w:r>
                    </w:p>
                  </w:txbxContent>
                </v:textbox>
              </v:shape>
            </w:pict>
          </mc:Fallback>
        </mc:AlternateContent>
      </w:r>
      <w:r>
        <w:rPr>
          <w:noProof/>
          <w:lang w:eastAsia="sk-SK"/>
        </w:rPr>
        <mc:AlternateContent>
          <mc:Choice Requires="wps">
            <w:drawing>
              <wp:anchor distT="0" distB="0" distL="114300" distR="114300" simplePos="0" relativeHeight="251667456" behindDoc="0" locked="0" layoutInCell="1" allowOverlap="1">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Prestupný terminál</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Električky</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Trolejové vedenie</w:t>
                      </w:r>
                    </w:p>
                  </w:txbxContent>
                </v:textbox>
              </v:shape>
            </w:pict>
          </mc:Fallback>
        </mc:AlternateContent>
      </w:r>
      <w:r>
        <w:rPr>
          <w:noProof/>
          <w:lang w:eastAsia="sk-SK"/>
        </w:rPr>
        <mc:AlternateContent>
          <mc:Choice Requires="wps">
            <w:drawing>
              <wp:anchor distT="0" distB="0" distL="114300" distR="114300" simplePos="0" relativeHeight="251661312" behindDoc="0" locked="0" layoutInCell="1" allowOverlap="1">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Autobusy</w:t>
                      </w:r>
                    </w:p>
                  </w:txbxContent>
                </v:textbox>
              </v:shape>
            </w:pict>
          </mc:Fallback>
        </mc:AlternateContent>
      </w:r>
      <w:r>
        <w:rPr>
          <w:noProof/>
          <w:lang w:eastAsia="sk-SK"/>
        </w:rPr>
        <mc:AlternateContent>
          <mc:Choice Requires="wps">
            <w:drawing>
              <wp:anchor distT="0" distB="0" distL="114300" distR="114300" simplePos="0" relativeHeight="251671552" behindDoc="0" locked="0" layoutInCell="1" allowOverlap="1">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3600" behindDoc="0" locked="0" layoutInCell="1" allowOverlap="1">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5648" behindDoc="0" locked="0" layoutInCell="1" allowOverlap="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7696" behindDoc="0" locked="0" layoutInCell="1" allowOverlap="1">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79744" behindDoc="0" locked="0" layoutInCell="1" allowOverlap="1">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81792" behindDoc="0" locked="0" layoutInCell="1" allowOverlap="1">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w:drawing>
          <wp:inline distT="0" distB="0" distL="0" distR="0">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pPr>
        <w:spacing w:after="0" w:line="240" w:lineRule="auto"/>
        <w:rPr>
          <w:rFonts w:ascii="Arial" w:hAnsi="Arial" w:cs="Arial"/>
        </w:rPr>
      </w:pPr>
      <w:r>
        <w:rPr>
          <w:rFonts w:ascii="Arial" w:hAnsi="Arial" w:cs="Arial"/>
        </w:rPr>
        <w:br w:type="page"/>
      </w:r>
    </w:p>
    <w:p>
      <w:pPr>
        <w:rPr>
          <w:rFonts w:ascii="Arial" w:hAnsi="Arial" w:cs="Arial"/>
        </w:rPr>
      </w:pPr>
      <w:r>
        <w:rPr>
          <w:rFonts w:ascii="Arial" w:hAnsi="Arial" w:cs="Arial"/>
          <w:b/>
        </w:rPr>
        <w:lastRenderedPageBreak/>
        <w:t>Príloha č. 12.14</w:t>
      </w:r>
      <w:r>
        <w:rPr>
          <w:rFonts w:ascii="Arial" w:hAnsi="Arial" w:cs="Arial"/>
        </w:rPr>
        <w:t xml:space="preserve">: </w:t>
      </w:r>
      <w:r>
        <w:rPr>
          <w:rFonts w:ascii="Arial" w:hAnsi="Arial" w:cs="Arial"/>
          <w:i/>
        </w:rPr>
        <w:t>Počet bytov na území krajov SR na základe výsledkov Sčítania obyvateľov, domov a bytov 2011</w:t>
      </w:r>
    </w:p>
    <w:p>
      <w:pPr>
        <w:rPr>
          <w:rFonts w:ascii="Arial" w:hAnsi="Arial" w:cs="Arial"/>
        </w:rPr>
      </w:pPr>
      <w:r>
        <w:rPr>
          <w:noProof/>
          <w:lang w:eastAsia="sk-SK"/>
        </w:rPr>
        <w:drawing>
          <wp:inline distT="0" distB="0" distL="0" distR="0">
            <wp:extent cx="4476750" cy="253365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76750" cy="2533650"/>
                    </a:xfrm>
                    <a:prstGeom prst="rect">
                      <a:avLst/>
                    </a:prstGeom>
                    <a:noFill/>
                    <a:ln>
                      <a:noFill/>
                    </a:ln>
                  </pic:spPr>
                </pic:pic>
              </a:graphicData>
            </a:graphic>
          </wp:inline>
        </w:drawing>
      </w:r>
    </w:p>
    <w:p>
      <w:pPr>
        <w:rPr>
          <w:rFonts w:ascii="Arial" w:hAnsi="Arial" w:cs="Arial"/>
          <w:i/>
        </w:rPr>
      </w:pPr>
      <w:r>
        <w:rPr>
          <w:rFonts w:ascii="Arial" w:hAnsi="Arial" w:cs="Arial"/>
          <w:i/>
        </w:rPr>
        <w:t>Zdroj: Sčítanie obyvateľov, domov a bytov 2011</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spacing w:after="0" w:line="240" w:lineRule="auto"/>
        <w:rPr>
          <w:rFonts w:ascii="Arial" w:hAnsi="Arial" w:cs="Arial"/>
        </w:rPr>
        <w:sectPr>
          <w:pgSz w:w="16838" w:h="11906" w:orient="landscape"/>
          <w:pgMar w:top="1417" w:right="1417" w:bottom="1417" w:left="1417" w:header="708" w:footer="708" w:gutter="0"/>
          <w:cols w:space="708"/>
          <w:docGrid w:linePitch="360"/>
        </w:sectPr>
      </w:pPr>
    </w:p>
    <w:p>
      <w:pPr>
        <w:spacing w:after="0" w:line="360" w:lineRule="auto"/>
        <w:jc w:val="both"/>
        <w:rPr>
          <w:rFonts w:ascii="Arial" w:hAnsi="Arial" w:cs="Arial"/>
        </w:rPr>
      </w:pPr>
      <w:r>
        <w:rPr>
          <w:rFonts w:ascii="Arial" w:hAnsi="Arial" w:cs="Arial"/>
          <w:b/>
        </w:rPr>
        <w:lastRenderedPageBreak/>
        <w:t>Príloha č. 12.1</w:t>
      </w:r>
      <w:r>
        <w:rPr>
          <w:rFonts w:ascii="Arial" w:hAnsi="Arial" w:cs="Arial"/>
          <w:b/>
        </w:rPr>
        <w:t>5</w:t>
      </w:r>
      <w:r>
        <w:rPr>
          <w:rFonts w:ascii="Arial" w:hAnsi="Arial" w:cs="Arial"/>
        </w:rPr>
        <w:t xml:space="preserve"> </w:t>
      </w:r>
    </w:p>
    <w:p>
      <w:pPr>
        <w:spacing w:after="0" w:line="360" w:lineRule="auto"/>
        <w:jc w:val="both"/>
        <w:rPr>
          <w:rFonts w:ascii="Arial" w:hAnsi="Arial" w:cs="Arial"/>
        </w:rPr>
      </w:pPr>
    </w:p>
    <w:p>
      <w:pPr>
        <w:spacing w:after="0" w:line="360" w:lineRule="auto"/>
        <w:jc w:val="both"/>
        <w:rPr>
          <w:rFonts w:ascii="Arial" w:hAnsi="Arial" w:cs="Arial"/>
          <w:b/>
        </w:rPr>
      </w:pPr>
      <w:r>
        <w:rPr>
          <w:rFonts w:ascii="Arial" w:hAnsi="Arial" w:cs="Arial"/>
          <w:b/>
        </w:rPr>
        <w:t>Skúsenosti z programového obdobia 2007</w:t>
      </w:r>
      <w:r>
        <w:rPr>
          <w:rFonts w:ascii="Arial" w:hAnsi="Arial" w:cs="Arial"/>
          <w:b/>
        </w:rPr>
        <w:t xml:space="preserve"> </w:t>
      </w:r>
      <w:r>
        <w:rPr>
          <w:rFonts w:ascii="Arial" w:hAnsi="Arial" w:cs="Arial"/>
          <w:b/>
        </w:rPr>
        <w:t>-</w:t>
      </w:r>
      <w:r>
        <w:rPr>
          <w:rFonts w:ascii="Arial" w:hAnsi="Arial" w:cs="Arial"/>
          <w:b/>
        </w:rPr>
        <w:t xml:space="preserve"> </w:t>
      </w:r>
      <w:r>
        <w:rPr>
          <w:rFonts w:ascii="Arial" w:hAnsi="Arial" w:cs="Arial"/>
          <w:b/>
        </w:rPr>
        <w:t>2013</w:t>
      </w:r>
    </w:p>
    <w:p>
      <w:pPr>
        <w:spacing w:after="0" w:line="360" w:lineRule="auto"/>
        <w:jc w:val="both"/>
        <w:rPr>
          <w:rFonts w:ascii="Arial" w:hAnsi="Arial" w:cs="Arial"/>
        </w:rPr>
      </w:pPr>
    </w:p>
    <w:p>
      <w:pPr>
        <w:spacing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pPr>
        <w:spacing w:after="0"/>
        <w:jc w:val="both"/>
        <w:rPr>
          <w:rFonts w:ascii="Arial" w:hAnsi="Arial" w:cs="Arial"/>
        </w:rPr>
      </w:pPr>
    </w:p>
    <w:p>
      <w:pPr>
        <w:spacing w:after="0"/>
        <w:jc w:val="both"/>
        <w:rPr>
          <w:rFonts w:ascii="Arial" w:hAnsi="Arial" w:cs="Arial"/>
        </w:rPr>
      </w:pPr>
      <w:r>
        <w:rPr>
          <w:rFonts w:ascii="Arial" w:hAnsi="Arial" w:cs="Arial"/>
        </w:rPr>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pPr>
        <w:spacing w:after="0"/>
        <w:jc w:val="both"/>
        <w:rPr>
          <w:rFonts w:ascii="Arial" w:hAnsi="Arial" w:cs="Arial"/>
        </w:rPr>
      </w:pPr>
    </w:p>
    <w:p>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pPr>
        <w:spacing w:after="0"/>
        <w:jc w:val="both"/>
        <w:rPr>
          <w:rFonts w:ascii="Arial" w:hAnsi="Arial" w:cs="Arial"/>
        </w:rPr>
      </w:pPr>
    </w:p>
    <w:p>
      <w:pPr>
        <w:spacing w:after="0"/>
        <w:jc w:val="both"/>
        <w:rPr>
          <w:rFonts w:ascii="Arial" w:hAnsi="Arial" w:cs="Arial"/>
        </w:rPr>
      </w:pPr>
      <w:r>
        <w:rPr>
          <w:rFonts w:ascii="Arial" w:hAnsi="Arial" w:cs="Arial"/>
        </w:rPr>
        <w:t>Realizáciu ROP však ovplyvnil aj rad faktorov, a to najmä:</w:t>
      </w:r>
    </w:p>
    <w:p>
      <w:pPr>
        <w:spacing w:after="0"/>
        <w:jc w:val="both"/>
        <w:rPr>
          <w:rFonts w:ascii="Arial" w:hAnsi="Arial" w:cs="Arial"/>
        </w:rPr>
      </w:pPr>
      <w:r>
        <w:rPr>
          <w:rFonts w:ascii="Arial" w:hAnsi="Arial" w:cs="Arial"/>
        </w:rPr>
        <w:t>Externé faktory:</w:t>
      </w:r>
    </w:p>
    <w:p>
      <w:pPr>
        <w:numPr>
          <w:ilvl w:val="0"/>
          <w:numId w:val="75"/>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pPr>
        <w:numPr>
          <w:ilvl w:val="0"/>
          <w:numId w:val="75"/>
        </w:numPr>
        <w:spacing w:after="0"/>
        <w:jc w:val="both"/>
        <w:rPr>
          <w:rFonts w:ascii="Arial" w:hAnsi="Arial" w:cs="Arial"/>
        </w:rPr>
      </w:pPr>
      <w:r>
        <w:rPr>
          <w:rFonts w:ascii="Arial" w:hAnsi="Arial" w:cs="Arial"/>
        </w:rPr>
        <w:t xml:space="preserve">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w:t>
      </w:r>
      <w:r>
        <w:rPr>
          <w:rFonts w:ascii="Arial" w:hAnsi="Arial" w:cs="Arial"/>
        </w:rPr>
        <w:lastRenderedPageBreak/>
        <w:t xml:space="preserve">vyhlásené zákonom č. 27/2009 Z. z., zmeny  v oblasti poskytovania sociálnych služieb v nadvänosti na  zákon č. 448/2008 Z.z. o sociálnych službách a o zmene a doplnení zákona č. 455/1991 Zb. o živnostenskom podnikaní (živnostenský zákon) v znení neskorších predpisov, ktorý nahradil  zákon č. 195/1998 Z.z. o sociálnej pomoci apod. </w:t>
      </w:r>
    </w:p>
    <w:p>
      <w:pPr>
        <w:spacing w:after="0"/>
        <w:jc w:val="both"/>
        <w:rPr>
          <w:rFonts w:ascii="Arial" w:hAnsi="Arial" w:cs="Arial"/>
        </w:rPr>
      </w:pPr>
    </w:p>
    <w:p>
      <w:pPr>
        <w:spacing w:after="0"/>
        <w:jc w:val="both"/>
        <w:rPr>
          <w:rFonts w:ascii="Arial" w:hAnsi="Arial" w:cs="Arial"/>
        </w:rPr>
      </w:pPr>
      <w:r>
        <w:rPr>
          <w:rFonts w:ascii="Arial" w:hAnsi="Arial" w:cs="Arial"/>
        </w:rPr>
        <w:t>Interné faktory:</w:t>
      </w:r>
    </w:p>
    <w:p>
      <w:pPr>
        <w:numPr>
          <w:ilvl w:val="0"/>
          <w:numId w:val="75"/>
        </w:numPr>
        <w:spacing w:after="0"/>
        <w:jc w:val="both"/>
        <w:rPr>
          <w:rFonts w:ascii="Arial" w:hAnsi="Arial" w:cs="Arial"/>
        </w:rPr>
      </w:pPr>
      <w:r>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pPr>
        <w:numPr>
          <w:ilvl w:val="0"/>
          <w:numId w:val="75"/>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pPr>
        <w:spacing w:after="0"/>
        <w:ind w:left="720"/>
        <w:jc w:val="both"/>
        <w:rPr>
          <w:rFonts w:ascii="Arial" w:hAnsi="Arial" w:cs="Arial"/>
        </w:rPr>
      </w:pPr>
    </w:p>
    <w:p>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pPr>
        <w:spacing w:after="0"/>
        <w:jc w:val="both"/>
        <w:rPr>
          <w:rFonts w:ascii="Arial" w:hAnsi="Arial" w:cs="Arial"/>
        </w:rPr>
      </w:pPr>
    </w:p>
    <w:p>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w:t>
      </w:r>
      <w:r>
        <w:rPr>
          <w:rFonts w:ascii="Arial" w:hAnsi="Arial" w:cs="Arial"/>
        </w:rPr>
        <w:lastRenderedPageBreak/>
        <w:t xml:space="preserve">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pPr>
        <w:pStyle w:val="Odsekzoznamu"/>
        <w:numPr>
          <w:ilvl w:val="0"/>
          <w:numId w:val="76"/>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pPr>
        <w:pStyle w:val="Default"/>
        <w:spacing w:line="276" w:lineRule="auto"/>
        <w:jc w:val="both"/>
        <w:rPr>
          <w:rFonts w:ascii="Arial" w:hAnsi="Arial" w:cs="Arial"/>
          <w:color w:val="auto"/>
          <w:sz w:val="22"/>
          <w:szCs w:val="22"/>
        </w:rPr>
      </w:pPr>
    </w:p>
    <w:p>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w:t>
      </w:r>
      <w:r>
        <w:rPr>
          <w:rFonts w:ascii="Arial" w:hAnsi="Arial" w:cs="Arial"/>
        </w:rPr>
        <w:lastRenderedPageBreak/>
        <w:t xml:space="preserve">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pPr>
        <w:spacing w:after="0"/>
        <w:jc w:val="both"/>
        <w:rPr>
          <w:rFonts w:ascii="Arial" w:hAnsi="Arial" w:cs="Arial"/>
        </w:rPr>
      </w:pPr>
    </w:p>
    <w:p>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pPr>
        <w:spacing w:after="0"/>
        <w:jc w:val="both"/>
        <w:rPr>
          <w:rFonts w:ascii="Arial" w:hAnsi="Arial" w:cs="Arial"/>
        </w:rPr>
      </w:pPr>
    </w:p>
    <w:p>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pPr>
        <w:spacing w:after="0"/>
        <w:jc w:val="both"/>
        <w:rPr>
          <w:rFonts w:ascii="Arial" w:hAnsi="Arial" w:cs="Arial"/>
        </w:rPr>
      </w:pPr>
    </w:p>
    <w:p>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w:t>
      </w:r>
      <w:r>
        <w:rPr>
          <w:rFonts w:ascii="Arial" w:hAnsi="Arial" w:cs="Arial"/>
          <w:color w:val="auto"/>
          <w:sz w:val="22"/>
          <w:szCs w:val="22"/>
        </w:rPr>
        <w:lastRenderedPageBreak/>
        <w:t xml:space="preserve">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 :</w:t>
      </w:r>
    </w:p>
    <w:p>
      <w:pPr>
        <w:pStyle w:val="Default"/>
        <w:spacing w:line="276" w:lineRule="auto"/>
        <w:jc w:val="both"/>
        <w:rPr>
          <w:rFonts w:ascii="Arial" w:hAnsi="Arial" w:cs="Arial"/>
          <w:color w:val="auto"/>
          <w:sz w:val="22"/>
          <w:szCs w:val="22"/>
        </w:rPr>
      </w:pPr>
    </w:p>
    <w:p>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 Týmto bude umožnené reflektovať práve tie priority, ktoré sú v danom území najpotrebnejšie a zároveň pristupovať k plánovaniu a výberu aktivít vo vzájomne, územnej prepojenosti s ohľadom na plánované výsledky. </w:t>
      </w:r>
    </w:p>
    <w:p>
      <w:pPr>
        <w:pStyle w:val="Default"/>
        <w:numPr>
          <w:ilvl w:val="0"/>
          <w:numId w:val="75"/>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pPr>
        <w:pStyle w:val="Default"/>
        <w:spacing w:line="276" w:lineRule="auto"/>
        <w:jc w:val="both"/>
        <w:rPr>
          <w:rFonts w:ascii="Arial" w:hAnsi="Arial" w:cs="Arial"/>
          <w:color w:val="auto"/>
          <w:sz w:val="22"/>
          <w:szCs w:val="22"/>
        </w:rPr>
      </w:pPr>
    </w:p>
    <w:p>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pPr>
        <w:spacing w:after="0"/>
        <w:jc w:val="both"/>
        <w:rPr>
          <w:rFonts w:ascii="Arial" w:hAnsi="Arial" w:cs="Arial"/>
        </w:rPr>
      </w:pPr>
    </w:p>
    <w:p>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pPr>
        <w:pStyle w:val="Odsekzoznamu"/>
        <w:ind w:left="0"/>
        <w:jc w:val="both"/>
        <w:rPr>
          <w:rFonts w:ascii="Arial" w:hAnsi="Arial" w:cs="Arial"/>
        </w:rPr>
      </w:pPr>
      <w:r>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w:t>
      </w:r>
      <w:r>
        <w:rPr>
          <w:rFonts w:ascii="Arial" w:hAnsi="Arial" w:cs="Arial"/>
        </w:rPr>
        <w:lastRenderedPageBreak/>
        <w:t>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Pr>
          <w:rFonts w:ascii="Arial" w:hAnsi="Arial" w:cs="Arial"/>
          <w:vertAlign w:val="superscript"/>
        </w:rPr>
        <w:footnoteReference w:id="75"/>
      </w:r>
      <w:r>
        <w:rPr>
          <w:rFonts w:ascii="Arial" w:hAnsi="Arial" w:cs="Arial"/>
        </w:rPr>
        <w:t>.</w:t>
      </w:r>
    </w:p>
    <w:p>
      <w:pPr>
        <w:pStyle w:val="Default"/>
        <w:spacing w:line="276" w:lineRule="auto"/>
        <w:jc w:val="both"/>
        <w:rPr>
          <w:rFonts w:ascii="Arial" w:hAnsi="Arial" w:cs="Arial"/>
          <w:color w:val="auto"/>
          <w:sz w:val="22"/>
          <w:szCs w:val="22"/>
        </w:rPr>
      </w:pPr>
    </w:p>
    <w:p>
      <w:pPr>
        <w:spacing w:after="0"/>
        <w:jc w:val="both"/>
        <w:rPr>
          <w:rFonts w:ascii="Arial" w:hAnsi="Arial" w:cs="Arial"/>
        </w:rPr>
      </w:pPr>
      <w:bookmarkStart w:id="177" w:name="_GoBack"/>
      <w:bookmarkEnd w:id="177"/>
    </w:p>
    <w:sect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panose1 w:val="020B05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EUAlbertina">
    <w:altName w:val="Times New Roman"/>
    <w:panose1 w:val="00000000000000000000"/>
    <w:charset w:val="EE"/>
    <w:family w:val="roman"/>
    <w:notTrueType/>
    <w:pitch w:val="default"/>
    <w:sig w:usb0="00000007" w:usb1="00000000" w:usb2="00000000" w:usb3="00000000" w:csb0="0000000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00022FF" w:usb1="C000205B" w:usb2="00000009" w:usb3="00000000" w:csb0="000001D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ta"/>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Content>
      <w:p>
        <w:pPr>
          <w:pStyle w:val="Pta"/>
          <w:jc w:val="right"/>
        </w:pPr>
        <w:r>
          <w:fldChar w:fldCharType="begin"/>
        </w:r>
        <w:r>
          <w:instrText>PAGE   \* MERGEFORMAT</w:instrText>
        </w:r>
        <w:r>
          <w:fldChar w:fldCharType="separate"/>
        </w:r>
        <w:r>
          <w:rPr>
            <w:noProof/>
          </w:rPr>
          <w:t>239</w:t>
        </w:r>
        <w:r>
          <w:rPr>
            <w:noProof/>
          </w:rPr>
          <w:fldChar w:fldCharType="end"/>
        </w:r>
      </w:p>
    </w:sdtContent>
  </w:sdt>
  <w:p>
    <w:r>
      <w:t>Verzia 7, 02. 05. 2014/HSR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ta"/>
    </w:pPr>
    <w:r>
      <w:t>Verzia 7, 02. 05. 2014/HSR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Textpoznmkypodiarou"/>
        <w:rPr>
          <w:rFonts w:ascii="Arial" w:hAnsi="Arial" w:cs="Arial"/>
        </w:rPr>
      </w:pPr>
      <w:r>
        <w:rPr>
          <w:rStyle w:val="Odkaznapoznmkupodiarou"/>
          <w:rFonts w:ascii="Arial" w:hAnsi="Arial" w:cs="Arial"/>
        </w:rPr>
        <w:footnoteRef/>
      </w:r>
      <w:r>
        <w:rPr>
          <w:rFonts w:ascii="Arial" w:hAnsi="Arial" w:cs="Arial"/>
        </w:rPr>
        <w:t xml:space="preserve"> Prehľad stavu ciest II. triedy v členení podľa samosprávnych krajov za rok 2012, SSC 2013</w:t>
      </w:r>
    </w:p>
  </w:footnote>
  <w:footnote w:id="2">
    <w:p>
      <w:pPr>
        <w:pStyle w:val="Textpoznmkypodiarou"/>
        <w:rPr>
          <w:rFonts w:ascii="Arial" w:hAnsi="Arial" w:cs="Arial"/>
        </w:rPr>
      </w:pPr>
      <w:r>
        <w:rPr>
          <w:rStyle w:val="Odkaznapoznmkupodiarou"/>
          <w:rFonts w:ascii="Arial" w:hAnsi="Arial" w:cs="Arial"/>
        </w:rPr>
        <w:footnoteRef/>
      </w:r>
      <w:r>
        <w:rPr>
          <w:rFonts w:ascii="Arial" w:hAnsi="Arial" w:cs="Arial"/>
        </w:rPr>
        <w:t xml:space="preserve"> Metodický pokyn a návod prognózovania výhľadových intenzít na cestnej sieti (do roku 2040), MDPT, 2006. Základom určovania výhľadových koeficientov je sčítanie dopravy v roku 2005. </w:t>
      </w:r>
    </w:p>
  </w:footnote>
  <w:footnote w:id="3">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http://www.cdb.sk/sk/Vystupy-CDB/Statisticke-prehlady/Cestne-objekty-pocty-a-stav.alej</w:t>
      </w:r>
    </w:p>
  </w:footnote>
  <w:footnote w:id="4">
    <w:p>
      <w:pPr>
        <w:pStyle w:val="Textpoznmkypodiarou"/>
        <w:rPr>
          <w:rFonts w:ascii="Arial" w:hAnsi="Arial" w:cs="Arial"/>
        </w:rPr>
      </w:pPr>
      <w:r>
        <w:rPr>
          <w:rStyle w:val="Odkaznapoznmkupodiarou"/>
          <w:rFonts w:ascii="Arial" w:hAnsi="Arial" w:cs="Arial"/>
        </w:rPr>
        <w:footnoteRef/>
      </w:r>
      <w:r>
        <w:rPr>
          <w:rFonts w:ascii="Arial" w:hAnsi="Arial" w:cs="Arial"/>
        </w:rPr>
        <w:t xml:space="preserve"> Biela kniha EK</w:t>
      </w:r>
    </w:p>
  </w:footnote>
  <w:footnote w:id="5">
    <w:p>
      <w:pPr>
        <w:pStyle w:val="Textpoznmkypodiarou"/>
        <w:rPr>
          <w:rFonts w:ascii="Arial" w:hAnsi="Arial" w:cs="Arial"/>
        </w:rPr>
      </w:pPr>
      <w:r>
        <w:rPr>
          <w:rStyle w:val="Odkaznapoznmkupodiarou"/>
          <w:rFonts w:ascii="Arial" w:hAnsi="Arial" w:cs="Arial"/>
        </w:rPr>
        <w:footnoteRef/>
      </w:r>
      <w:r>
        <w:rPr>
          <w:rFonts w:ascii="Arial" w:hAnsi="Arial" w:cs="Arial"/>
        </w:rPr>
        <w:t xml:space="preserve"> Pozn.: technická životnosť autobusov MHD je na úrovni 6 – 8 rokov v závislosti od typu a množstva výkonov.</w:t>
      </w:r>
    </w:p>
  </w:footnote>
  <w:footnote w:id="6">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http://estaticos.soitu.es/documentos/2008/08/survey_bus_fleet.pdf</w:t>
      </w:r>
    </w:p>
  </w:footnote>
  <w:footnote w:id="7">
    <w:p>
      <w:pPr>
        <w:pStyle w:val="Textpoznmkypodiarou"/>
        <w:rPr>
          <w:rFonts w:ascii="Arial" w:hAnsi="Arial" w:cs="Arial"/>
        </w:rPr>
      </w:pPr>
      <w:r>
        <w:rPr>
          <w:rStyle w:val="Odkaznapoznmkupodiarou"/>
          <w:rFonts w:ascii="Arial" w:hAnsi="Arial" w:cs="Arial"/>
        </w:rPr>
        <w:footnoteRef/>
      </w:r>
      <w:r>
        <w:rPr>
          <w:rFonts w:ascii="Arial" w:hAnsi="Arial" w:cs="Arial"/>
        </w:rPr>
        <w:t xml:space="preserve"> Stratégia rozvoja verejnej osobnej a nemotorovej dopravy v SR do roku 2020.</w:t>
      </w:r>
    </w:p>
  </w:footnote>
  <w:footnote w:id="8">
    <w:p>
      <w:pPr>
        <w:pStyle w:val="Textpoznmkypodiarou"/>
        <w:rPr>
          <w:rFonts w:ascii="Arial" w:hAnsi="Arial" w:cs="Arial"/>
        </w:rPr>
      </w:pPr>
      <w:r>
        <w:rPr>
          <w:rStyle w:val="Odkaznapoznmkupodiarou"/>
          <w:rFonts w:ascii="Arial" w:hAnsi="Arial" w:cs="Arial"/>
        </w:rPr>
        <w:footnoteRef/>
      </w:r>
      <w:r>
        <w:rPr>
          <w:rFonts w:ascii="Arial" w:hAnsi="Arial" w:cs="Arial"/>
        </w:rPr>
        <w:t xml:space="preserve"> Rozvoj verejnej osobnej dopravy pred dopravou individuálnou, vládny materiál</w:t>
      </w:r>
    </w:p>
  </w:footnote>
  <w:footnote w:id="9">
    <w:p>
      <w:pPr>
        <w:pStyle w:val="Textpoznmkypodiarou"/>
        <w:rPr>
          <w:rFonts w:ascii="Arial" w:hAnsi="Arial" w:cs="Arial"/>
        </w:rPr>
      </w:pPr>
      <w:r>
        <w:rPr>
          <w:rStyle w:val="Odkaznapoznmkupodiarou"/>
          <w:rFonts w:ascii="Arial" w:hAnsi="Arial" w:cs="Arial"/>
        </w:rPr>
        <w:footnoteRef/>
      </w:r>
      <w:r>
        <w:rPr>
          <w:rFonts w:ascii="Arial" w:hAnsi="Arial" w:cs="Arial"/>
        </w:rPr>
        <w:t xml:space="preserve"> REGULATION (EU) No 1315/2013 OF THE EUROPEAN PARLIAMENT AND OF THE COUNCIL of 11 December 2013 on Union guidelines for the development of the trans-European transport network and repealing Decision No 661/2010/EU</w:t>
      </w:r>
    </w:p>
  </w:footnote>
  <w:footnote w:id="10">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 účely analýzy stavu cykloinfraštruktúry v mestách bol v roku 2012 vykonaný prieskum, v ktorom Výskumný ústav dopravný oslovil 138 slovenských miest. Prieskumu sa zúčastnilo 67 miest.</w:t>
      </w:r>
    </w:p>
  </w:footnote>
  <w:footnote w:id="11">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Grieco, S, Bulic, S.: </w:t>
      </w:r>
      <w:r>
        <w:rPr>
          <w:rFonts w:ascii="Arial" w:hAnsi="Arial" w:cs="Arial"/>
          <w:i/>
        </w:rPr>
        <w:t>Manuál o využívaní európskych fondov pre prechod z inštitucionálnej na komunitnú starostlivosť.</w:t>
      </w:r>
      <w:r>
        <w:rPr>
          <w:rFonts w:ascii="Arial" w:hAnsi="Arial" w:cs="Arial"/>
        </w:rPr>
        <w:t xml:space="preserve"> (2012), Brusel : Európska expertná skupina pre prechod z inštitucionálnej na komunitnú starostlivosť, s. 10 – 11.</w:t>
      </w:r>
    </w:p>
  </w:footnote>
  <w:footnote w:id="12">
    <w:p>
      <w:pPr>
        <w:pStyle w:val="Textpoznmkypodiarou"/>
        <w:rPr>
          <w:rFonts w:ascii="Arial" w:hAnsi="Arial" w:cs="Arial"/>
        </w:rPr>
      </w:pPr>
      <w:r>
        <w:rPr>
          <w:rStyle w:val="Odkaznapoznmkupodiarou"/>
        </w:rPr>
        <w:footnoteRef/>
      </w:r>
      <w:r>
        <w:t xml:space="preserve"> </w:t>
      </w:r>
      <w:r>
        <w:rPr>
          <w:rFonts w:ascii="Arial" w:hAnsi="Arial" w:cs="Arial"/>
        </w:rPr>
        <w:t>Zdroj MPSVR SR.</w:t>
      </w:r>
    </w:p>
  </w:footnote>
  <w:footnote w:id="13">
    <w:p>
      <w:pPr>
        <w:pStyle w:val="Textpoznmkypodiarou"/>
        <w:rPr>
          <w:rFonts w:ascii="Arial" w:hAnsi="Arial" w:cs="Arial"/>
        </w:rPr>
      </w:pPr>
      <w:r>
        <w:rPr>
          <w:rStyle w:val="Odkaznapoznmkupodiarou"/>
          <w:rFonts w:ascii="Arial" w:hAnsi="Arial" w:cs="Arial"/>
        </w:rPr>
        <w:footnoteRef/>
      </w:r>
      <w:r>
        <w:rPr>
          <w:rFonts w:ascii="Arial" w:hAnsi="Arial" w:cs="Arial"/>
        </w:rPr>
        <w:t xml:space="preserve"> OZNÁMENIE KOMISIE EURÓPA 2020, Stratégia na zabezpečenie inteligentného, udržateľného a inkluzívneho rastu, str. 10, </w:t>
      </w:r>
    </w:p>
    <w:p>
      <w:pPr>
        <w:pStyle w:val="Textpoznmkypodiarou"/>
        <w:rPr>
          <w:rFonts w:ascii="Arial" w:hAnsi="Arial" w:cs="Arial"/>
        </w:rPr>
      </w:pPr>
      <w:r>
        <w:rPr>
          <w:rFonts w:ascii="Arial" w:hAnsi="Arial" w:cs="Arial"/>
        </w:rPr>
        <w:t>http://eur-lex.europa.eu/LexUriServ/LexUriServ.do?uri=COM:2010:2020:FIN:SK:PDF</w:t>
      </w:r>
    </w:p>
  </w:footnote>
  <w:footnote w:id="14">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Európska komisia 2006: Účinnosť a spravodlivosť v európskych systémoch vzdelávania odbornej prípravy. Správa o stave školstva na Slovensku 2013.  </w:t>
      </w:r>
    </w:p>
  </w:footnote>
  <w:footnote w:id="15">
    <w:p>
      <w:pPr>
        <w:pStyle w:val="Textpoznmkypodiarou"/>
        <w:rPr>
          <w:rFonts w:ascii="Arial" w:hAnsi="Arial" w:cs="Arial"/>
        </w:rPr>
      </w:pPr>
      <w:r>
        <w:rPr>
          <w:rStyle w:val="Odkaznapoznmkupodiarou"/>
          <w:rFonts w:ascii="Arial" w:hAnsi="Arial" w:cs="Arial"/>
        </w:rPr>
        <w:footnoteRef/>
      </w:r>
      <w:r>
        <w:rPr>
          <w:rFonts w:ascii="Arial" w:hAnsi="Arial" w:cs="Arial"/>
        </w:rPr>
        <w:t xml:space="preserve"> V sieti sú zaradené školy s počtom od 3 do 1 044 žiakov.</w:t>
      </w:r>
    </w:p>
  </w:footnote>
  <w:footnote w:id="16">
    <w:p>
      <w:pPr>
        <w:pStyle w:val="Textpoznmkypodiarou"/>
      </w:pPr>
      <w:r>
        <w:rPr>
          <w:rStyle w:val="Odkaznapoznmkupodiarou"/>
        </w:rPr>
        <w:footnoteRef/>
      </w:r>
      <w:r>
        <w:t xml:space="preserve"> Do jazykovej gramotnosti zahŕňame materinský jazyk, cudzie jazyky</w:t>
      </w:r>
    </w:p>
  </w:footnote>
  <w:footnote w:id="17">
    <w:p>
      <w:pPr>
        <w:pStyle w:val="Textpoznmkypodiarou"/>
        <w:rPr>
          <w:rFonts w:ascii="Arial" w:hAnsi="Arial" w:cs="Arial"/>
        </w:rPr>
      </w:pPr>
      <w:r>
        <w:rPr>
          <w:rStyle w:val="Odkaznapoznmkupodiarou"/>
          <w:rFonts w:ascii="Arial" w:hAnsi="Arial" w:cs="Arial"/>
        </w:rPr>
        <w:footnoteRef/>
      </w:r>
      <w:r>
        <w:rPr>
          <w:rFonts w:ascii="Arial" w:hAnsi="Arial" w:cs="Arial"/>
        </w:rPr>
        <w:t xml:space="preserve"> Uplatnenie absolventov stredných škôl v praxi, sezóna 2012 – 2013, ÚIPŠ, Bratislava 2013</w:t>
      </w:r>
    </w:p>
  </w:footnote>
  <w:footnote w:id="18">
    <w:p>
      <w:pPr>
        <w:pStyle w:val="Textpoznmkypodiarou"/>
      </w:pPr>
      <w:r>
        <w:rPr>
          <w:rStyle w:val="Odkaznapoznmkupodiarou"/>
        </w:rPr>
        <w:footnoteRef/>
      </w:r>
      <w:r>
        <w:t xml:space="preserve"> Spoločný strategický rámec 2011/0273 (COD)</w:t>
      </w:r>
    </w:p>
  </w:footnote>
  <w:footnote w:id="19">
    <w:p>
      <w:pPr>
        <w:pStyle w:val="Textpoznmkypodiarou"/>
        <w:rPr>
          <w:rFonts w:ascii="Arial" w:hAnsi="Arial" w:cs="Arial"/>
        </w:rPr>
      </w:pPr>
      <w:r>
        <w:rPr>
          <w:rStyle w:val="Odkaznapoznmkupodiarou"/>
          <w:rFonts w:ascii="Arial" w:hAnsi="Arial" w:cs="Arial"/>
        </w:rPr>
        <w:footnoteRef/>
      </w:r>
      <w:r>
        <w:rPr>
          <w:rFonts w:ascii="Arial" w:hAnsi="Arial" w:cs="Arial"/>
        </w:rPr>
        <w:t xml:space="preserve"> Nariadenie Európskeho parlamentu a Rady (eú), PE-CONS 83/13 - 2011/0275(COD)</w:t>
      </w:r>
    </w:p>
  </w:footnote>
  <w:footnote w:id="20">
    <w:p>
      <w:pPr>
        <w:pStyle w:val="Textpoznmkypodiarou"/>
        <w:rPr>
          <w:rFonts w:ascii="Arial" w:hAnsi="Arial" w:cs="Arial"/>
        </w:rPr>
      </w:pPr>
      <w:r>
        <w:rPr>
          <w:rStyle w:val="Odkaznapoznmkupodiarou"/>
          <w:rFonts w:ascii="Arial" w:hAnsi="Arial" w:cs="Arial"/>
        </w:rPr>
        <w:footnoteRef/>
      </w:r>
      <w:r>
        <w:rPr>
          <w:rFonts w:ascii="Arial" w:hAnsi="Arial" w:cs="Arial"/>
          <w:lang w:val="cs-CZ"/>
        </w:rPr>
        <w:t>Promoting Cultural and Creative Sectors for Growth and Jobs in the EU COM (2012) 537</w:t>
      </w:r>
    </w:p>
  </w:footnote>
  <w:footnote w:id="21">
    <w:p>
      <w:pPr>
        <w:pStyle w:val="Textpoznmkypodiarou"/>
        <w:rPr>
          <w:rFonts w:ascii="Arial" w:hAnsi="Arial" w:cs="Arial"/>
        </w:rPr>
      </w:pPr>
      <w:r>
        <w:rPr>
          <w:rStyle w:val="Odkaznapoznmkupodiarou"/>
          <w:rFonts w:ascii="Arial" w:hAnsi="Arial" w:cs="Arial"/>
        </w:rPr>
        <w:footnoteRef/>
      </w:r>
      <w:r>
        <w:rPr>
          <w:rFonts w:ascii="Arial" w:hAnsi="Arial" w:cs="Arial"/>
        </w:rPr>
        <w:t>Správa o stave a potenciáli kreatívneho priemyslu na Slovensku, str. 42</w:t>
      </w:r>
    </w:p>
  </w:footnote>
  <w:footnote w:id="22">
    <w:p>
      <w:pPr>
        <w:pStyle w:val="Textpoznmkypodiarou"/>
        <w:rPr>
          <w:rFonts w:ascii="Arial" w:hAnsi="Arial" w:cs="Arial"/>
          <w:lang w:val="fr-FR"/>
        </w:rPr>
      </w:pPr>
      <w:r>
        <w:rPr>
          <w:rStyle w:val="Odkaznapoznmkupodiarou"/>
          <w:rFonts w:ascii="Arial" w:hAnsi="Arial" w:cs="Arial"/>
          <w:lang w:val="en-GB"/>
        </w:rPr>
        <w:footnoteRef/>
      </w:r>
      <w:r>
        <w:rPr>
          <w:rFonts w:ascii="Arial" w:hAnsi="Arial" w:cs="Arial"/>
          <w:lang w:val="fr-FR"/>
        </w:rPr>
        <w:t xml:space="preserve">Stratégia Európa 2020, </w:t>
      </w:r>
      <w:hyperlink r:id="rId1" w:history="1">
        <w:r>
          <w:rPr>
            <w:rStyle w:val="Hypertextovprepojenie"/>
            <w:rFonts w:ascii="Arial" w:hAnsi="Arial" w:cs="Arial"/>
            <w:lang w:val="fr-FR"/>
          </w:rPr>
          <w:t>http://ec.europa.eu/europe2020/index_sk.htm</w:t>
        </w:r>
      </w:hyperlink>
    </w:p>
  </w:footnote>
  <w:footnote w:id="23">
    <w:p>
      <w:pPr>
        <w:pStyle w:val="Textpoznmkypodiarou"/>
        <w:rPr>
          <w:rFonts w:ascii="Arial" w:hAnsi="Arial" w:cs="Arial"/>
        </w:rPr>
      </w:pPr>
      <w:r>
        <w:rPr>
          <w:rStyle w:val="Odkaznapoznmkupodiarou"/>
          <w:rFonts w:ascii="Arial" w:hAnsi="Arial" w:cs="Arial"/>
        </w:rPr>
        <w:footnoteRef/>
      </w:r>
      <w:r>
        <w:rPr>
          <w:rFonts w:ascii="Arial" w:hAnsi="Arial" w:cs="Arial"/>
        </w:rPr>
        <w:t>Správa o stave a potenciáli kreatívneho priemyslu na Slovensku, str. 15</w:t>
      </w:r>
    </w:p>
  </w:footnote>
  <w:footnote w:id="24">
    <w:p>
      <w:pPr>
        <w:pStyle w:val="Textpoznmkypodiarou"/>
        <w:rPr>
          <w:rFonts w:ascii="Arial" w:hAnsi="Arial" w:cs="Arial"/>
        </w:rPr>
      </w:pPr>
      <w:r>
        <w:rPr>
          <w:rFonts w:ascii="Arial" w:hAnsi="Arial" w:cs="Arial"/>
          <w:vertAlign w:val="superscript"/>
        </w:rPr>
        <w:footnoteRef/>
      </w:r>
      <w:r>
        <w:rPr>
          <w:rFonts w:ascii="Arial" w:hAnsi="Arial" w:cs="Arial"/>
          <w:vertAlign w:val="superscript"/>
        </w:rPr>
        <w:t xml:space="preserve"> </w:t>
      </w:r>
      <w:r>
        <w:rPr>
          <w:rFonts w:ascii="Arial" w:hAnsi="Arial" w:cs="Arial"/>
        </w:rPr>
        <w:t>Energetická politika SR, Ministerstvo hospodárstva SR, 2013</w:t>
      </w:r>
    </w:p>
  </w:footnote>
  <w:footnote w:id="25">
    <w:p>
      <w:pPr>
        <w:pStyle w:val="Textpoznmkypodiarou"/>
        <w:rPr>
          <w:rFonts w:ascii="Arial" w:hAnsi="Arial" w:cs="Arial"/>
        </w:rPr>
      </w:pPr>
      <w:r>
        <w:rPr>
          <w:rStyle w:val="Odkaznapoznmkupodiarou"/>
          <w:rFonts w:ascii="Arial" w:hAnsi="Arial" w:cs="Arial"/>
        </w:rPr>
        <w:footnoteRef/>
      </w:r>
      <w:r>
        <w:rPr>
          <w:rFonts w:ascii="Arial" w:hAnsi="Arial" w:cs="Arial"/>
        </w:rPr>
        <w:t xml:space="preserve"> Národný plán zameraný na zvyšovanie počtu budov s takmer nulovou potrebou energie</w:t>
      </w:r>
    </w:p>
  </w:footnote>
  <w:footnote w:id="26">
    <w:p>
      <w:pPr>
        <w:pStyle w:val="Textpoznmkypodiarou"/>
        <w:rPr>
          <w:rFonts w:ascii="Arial" w:hAnsi="Arial" w:cs="Arial"/>
        </w:rPr>
      </w:pPr>
      <w:r>
        <w:rPr>
          <w:rStyle w:val="Odkaznapoznmkupodiarou"/>
          <w:rFonts w:ascii="Arial" w:hAnsi="Arial" w:cs="Arial"/>
        </w:rPr>
        <w:footnoteRef/>
      </w:r>
      <w:r>
        <w:rPr>
          <w:rFonts w:ascii="Arial" w:hAnsi="Arial" w:cs="Arial"/>
        </w:rPr>
        <w:t xml:space="preserve"> Poskytovaný bude úver s úrokovou sadzbou 1,5% s dobou splatnosti 20 rokov a výškou poskytnutého úveru max. 75% oprávnených nákladov na obnovu bytovej budovy. </w:t>
      </w:r>
    </w:p>
  </w:footnote>
  <w:footnote w:id="27">
    <w:p>
      <w:pPr>
        <w:pStyle w:val="Textpoznmkypodiarou"/>
        <w:rPr>
          <w:rFonts w:ascii="Arial" w:hAnsi="Arial" w:cs="Arial"/>
        </w:rPr>
      </w:pPr>
      <w:r>
        <w:rPr>
          <w:rStyle w:val="Odkaznapoznmkupodiarou"/>
          <w:rFonts w:ascii="Arial" w:hAnsi="Arial" w:cs="Arial"/>
        </w:rPr>
        <w:footnoteRef/>
      </w:r>
      <w:r>
        <w:rPr>
          <w:rFonts w:ascii="Arial" w:hAnsi="Arial" w:cs="Arial"/>
        </w:rPr>
        <w:t>http://www.shmu.sk/File/projekty/Zaverecna%20Sprava%20projektu%20Klim.%20zmena%20a%20Adaptacie%202012.pdf</w:t>
      </w:r>
    </w:p>
  </w:footnote>
  <w:footnote w:id="28">
    <w:p>
      <w:pPr>
        <w:pStyle w:val="Textpoznmkypodiarou"/>
        <w:rPr>
          <w:rFonts w:ascii="Arial" w:hAnsi="Arial" w:cs="Arial"/>
        </w:rPr>
      </w:pPr>
      <w:r>
        <w:rPr>
          <w:rStyle w:val="Odkaznapoznmkupodiarou"/>
          <w:rFonts w:ascii="Arial" w:hAnsi="Arial" w:cs="Arial"/>
        </w:rPr>
        <w:footnoteRef/>
      </w:r>
      <w:r>
        <w:rPr>
          <w:rFonts w:ascii="Arial" w:hAnsi="Arial" w:cs="Arial"/>
        </w:rPr>
        <w:t xml:space="preserve"> Uznesenie vlády SR č. 148/2014</w:t>
      </w:r>
    </w:p>
  </w:footnote>
  <w:footnote w:id="29">
    <w:p>
      <w:pPr>
        <w:pStyle w:val="Textpoznmkypodiarou"/>
        <w:rPr>
          <w:rFonts w:ascii="Arial" w:hAnsi="Arial" w:cs="Arial"/>
        </w:rPr>
      </w:pPr>
      <w:r>
        <w:rPr>
          <w:rStyle w:val="Odkaznapoznmkupodiarou"/>
          <w:rFonts w:ascii="Arial" w:hAnsi="Arial" w:cs="Arial"/>
        </w:rPr>
        <w:footnoteRef/>
      </w:r>
      <w:r>
        <w:rPr>
          <w:rFonts w:ascii="Arial" w:hAnsi="Arial" w:cs="Arial"/>
        </w:rPr>
        <w:t xml:space="preserve">  Plán rozvoja verejných vodovodov a verejných kanalizácií pre územie SR.</w:t>
      </w:r>
    </w:p>
  </w:footnote>
  <w:footnote w:id="30">
    <w:p>
      <w:pPr>
        <w:pStyle w:val="Textpoznmkypodiarou"/>
        <w:rPr>
          <w:rFonts w:ascii="Arial" w:hAnsi="Arial" w:cs="Arial"/>
        </w:rPr>
      </w:pPr>
      <w:r>
        <w:rPr>
          <w:rStyle w:val="Odkaznapoznmkupodiarou"/>
          <w:rFonts w:ascii="Arial" w:hAnsi="Arial" w:cs="Arial"/>
        </w:rPr>
        <w:footnoteRef/>
      </w:r>
      <w:r>
        <w:rPr>
          <w:rFonts w:ascii="Arial" w:hAnsi="Arial" w:cs="Arial"/>
        </w:rPr>
        <w:t xml:space="preserve"> COM(2011) 571 v konečnom znení, Ú. v. EÚ C 37, 10.2.2012.</w:t>
      </w:r>
    </w:p>
  </w:footnote>
  <w:footnote w:id="31">
    <w:p>
      <w:pPr>
        <w:pStyle w:val="Textpoznmkypodiarou"/>
        <w:rPr>
          <w:rFonts w:ascii="Arial" w:hAnsi="Arial" w:cs="Arial"/>
        </w:rPr>
      </w:pPr>
      <w:r>
        <w:rPr>
          <w:rStyle w:val="Odkaznapoznmkupodiarou"/>
          <w:rFonts w:ascii="Arial" w:hAnsi="Arial" w:cs="Arial"/>
        </w:rPr>
        <w:footnoteRef/>
      </w:r>
      <w:r>
        <w:rPr>
          <w:rFonts w:ascii="Arial" w:hAnsi="Arial" w:cs="Arial"/>
        </w:rPr>
        <w:t xml:space="preserve"> COM(2011) 244 v konečnom znení, Ú. v. EÚ C 264, 8.9.2011.</w:t>
      </w:r>
    </w:p>
  </w:footnote>
  <w:footnote w:id="32">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footnote>
  <w:footnote w:id="33">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COM(2013) 249 final. Oznámenie Komisie EP, Rade, Európskemu hospodárskemu a sociálnemu výboru a výboru regiónov. Zelená infraštruktúra – Zveľaďovanie prírodného kapitálu Európy</w:t>
      </w:r>
    </w:p>
  </w:footnote>
  <w:footnote w:id="34">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Mapovanie brownfieldov, ktoré realizovala Slovenská agentúra pre rozvoj investícií a obchodu (SARIO) v rokoch 2008 – 2009, bolo realizované formou dotazníkov zaslaných na jednotlivé mestá a obce v SR. Následne bol realizovaný racalling zaevidovaných brownfieldov priamo na mieste a údaje boli doplnené o vybrané kvalitatívne a kvantitatívne ukazovatele.</w:t>
      </w:r>
    </w:p>
  </w:footnote>
  <w:footnote w:id="35">
    <w:p>
      <w:pPr>
        <w:pStyle w:val="Textpoznmkypodiarou"/>
        <w:rPr>
          <w:rFonts w:ascii="Arial" w:hAnsi="Arial" w:cs="Arial"/>
          <w:sz w:val="16"/>
          <w:szCs w:val="16"/>
        </w:rPr>
      </w:pPr>
      <w:r>
        <w:rPr>
          <w:rStyle w:val="Odkaznapoznmkupodiarou"/>
        </w:rPr>
        <w:footnoteRef/>
      </w:r>
      <w:r>
        <w:t xml:space="preserve"> </w:t>
      </w:r>
      <w:r>
        <w:rPr>
          <w:rFonts w:ascii="Arial" w:hAnsi="Arial" w:cs="Arial"/>
          <w:sz w:val="16"/>
          <w:szCs w:val="16"/>
        </w:rPr>
        <w:t>Kumulovaný cieľ pre obdobie rokov 2014 – 2020 je 130 690 TJ (3,12 Mtoe), čo znamená úspory energie dosiahnuté v rokoch 2014 – 2020, o ktoré sa zníži aj konečná energetická spotreba v roku 2020 voči referenčnému scenáru PRIMES 2007. Cieľ bol vypočítaný na základe údajov konečnej energetickej spotreby od Štatistického úradu SR (ŠÚ SR). Keďže metodika ŠÚ SR sa líši od metodiky Eurostatu, v budúcnosti bude cieľ prehodnotený aj z pohľadu spresnenia metodiky výpočtu konečnej energetickej spotreby.</w:t>
      </w:r>
    </w:p>
  </w:footnote>
  <w:footnote w:id="36">
    <w:p>
      <w:pPr>
        <w:pStyle w:val="Textpoznmkypodiarou"/>
      </w:pPr>
      <w:r>
        <w:rPr>
          <w:rStyle w:val="Odkaznapoznmkupodiarou"/>
        </w:rPr>
        <w:footnoteRef/>
      </w:r>
      <w:r>
        <w:t xml:space="preserve"> Návrh metodiky hodnotenia investičných projektov pre IROP. VÚD, MDVRR SR, 2014. </w:t>
      </w:r>
    </w:p>
  </w:footnote>
  <w:footnote w:id="37">
    <w:p>
      <w:pPr>
        <w:pStyle w:val="Textpoznmkypodiarou"/>
        <w:rPr>
          <w:rFonts w:ascii="Arial" w:hAnsi="Arial" w:cs="Arial"/>
        </w:rPr>
      </w:pPr>
      <w:r>
        <w:rPr>
          <w:rStyle w:val="Odkaznapoznmkupodiarou"/>
          <w:rFonts w:ascii="Arial" w:hAnsi="Arial" w:cs="Arial"/>
        </w:rPr>
        <w:footnoteRef/>
      </w:r>
      <w:r>
        <w:rPr>
          <w:rFonts w:ascii="Arial" w:hAnsi="Arial" w:cs="Arial"/>
        </w:rPr>
        <w:t xml:space="preserve"> Národná stratégia rozvoja cyklistickej dopravy a cykloturistiky v Slovenskej republike</w:t>
      </w:r>
    </w:p>
  </w:footnote>
  <w:footnote w:id="38">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Pod integrovaným dopravným systémom (IDS) sa z hľadiska podporovaných aktivít investičnej priority rozumie systém s dopravnou a tarifnou integráciou všetkých subsystémov mestskej a regionálnej verejnej osobnej dopravy.</w:t>
      </w:r>
    </w:p>
  </w:footnote>
  <w:footnote w:id="39">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http://ec.europa.eu/transport/themes/urban/doc/ump/com%282013%29913-annex_sk.pdf</w:t>
      </w:r>
    </w:p>
  </w:footnote>
  <w:footnote w:id="40">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Podporované budú projekty náhrady verejnej mestskej autobusovej dopravy na naftový pohon autobusmi na plynový pohon, hybridnými autobusmi alebo elektrobusmi,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footnote>
  <w:footnote w:id="41">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štandardov terminálov bude súčasťou programového manuálu k OP.</w:t>
      </w:r>
    </w:p>
  </w:footnote>
  <w:footnote w:id="42">
    <w:p>
      <w:pPr>
        <w:pStyle w:val="Textpoznmkypodiarou"/>
        <w:rPr>
          <w:rFonts w:ascii="Arial" w:hAnsi="Arial" w:cs="Arial"/>
        </w:rPr>
      </w:pPr>
      <w:r>
        <w:rPr>
          <w:rStyle w:val="Odkaznapoznmkupodiarou"/>
          <w:rFonts w:ascii="Arial" w:hAnsi="Arial" w:cs="Arial"/>
        </w:rPr>
        <w:footnoteRef/>
      </w:r>
      <w:r>
        <w:rPr>
          <w:rFonts w:ascii="Arial" w:hAnsi="Arial" w:cs="Arial"/>
        </w:rPr>
        <w:t xml:space="preserve"> Terminály pri železničných staniciach sú predmetom aktivít v rámci investičnej priority 7c) OPII</w:t>
      </w:r>
    </w:p>
  </w:footnote>
  <w:footnote w:id="43">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footnote>
  <w:footnote w:id="44">
    <w:p>
      <w:pPr>
        <w:pStyle w:val="Textpoznmkypodiarou"/>
        <w:jc w:val="both"/>
        <w:rPr>
          <w:rFonts w:ascii="Arial" w:hAnsi="Arial" w:cs="Arial"/>
          <w:lang w:val="en-US"/>
        </w:rPr>
      </w:pPr>
      <w:r>
        <w:rPr>
          <w:rStyle w:val="Odkaznapoznmkupodiarou"/>
          <w:rFonts w:ascii="Arial" w:hAnsi="Arial" w:cs="Arial"/>
        </w:rPr>
        <w:footnoteRef/>
      </w:r>
      <w:r>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footnote>
  <w:footnote w:id="45">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http://mobilityplans.eu/docs/file/SUMP_Guide_SK_print_final.pdf</w:t>
      </w:r>
    </w:p>
  </w:footnote>
  <w:footnote w:id="46">
    <w:p>
      <w:pPr>
        <w:pStyle w:val="Textpoznmkypodiarou"/>
      </w:pPr>
      <w:r>
        <w:rPr>
          <w:rStyle w:val="Odkaznapoznmkupodiarou"/>
        </w:rPr>
        <w:footnoteRef/>
      </w:r>
      <w:r>
        <w:t xml:space="preserve"> Shared space je druh prístupu k mestskému dizajnu, ktorý sa snaží minimalizovať predelenia medzi automobilovou dopravou a chodcami, často tým, že odstráni prvky, ako sú obrubníky, značenie vozovky, dopravné značenie a predpisy.</w:t>
      </w:r>
    </w:p>
  </w:footnote>
  <w:footnote w:id="47">
    <w:p>
      <w:pPr>
        <w:pStyle w:val="Textpoznmkypodiarou"/>
        <w:rPr>
          <w:rFonts w:ascii="Arial" w:eastAsia="Times New Roman" w:hAnsi="Arial" w:cs="Arial"/>
          <w:lang w:eastAsia="en-GB"/>
        </w:rPr>
      </w:pPr>
      <w:r>
        <w:rPr>
          <w:rStyle w:val="Odkaznapoznmkupodiarou"/>
          <w:rFonts w:ascii="Arial" w:hAnsi="Arial" w:cs="Arial"/>
        </w:rPr>
        <w:footnoteRef/>
      </w:r>
      <w:r>
        <w:rPr>
          <w:rFonts w:ascii="Arial" w:hAnsi="Arial" w:cs="Arial"/>
        </w:rPr>
        <w:t xml:space="preserve"> štatistické údaje EUROSTATU, rok 2011</w:t>
      </w:r>
    </w:p>
    <w:p>
      <w:pPr>
        <w:pStyle w:val="Textpoznmkypodiarou"/>
        <w:rPr>
          <w:rFonts w:ascii="Arial" w:hAnsi="Arial" w:cs="Arial"/>
        </w:rPr>
      </w:pPr>
      <w:r>
        <w:rPr>
          <w:rFonts w:ascii="Arial" w:hAnsi="Arial" w:cs="Arial"/>
        </w:rPr>
        <w:t>http://epp.eurostat.ec.europa.eu/statistics_explained/index.php/Healthy_life_years_statistics</w:t>
      </w:r>
    </w:p>
  </w:footnote>
  <w:footnote w:id="48">
    <w:p>
      <w:pPr>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footnote>
  <w:footnote w:id="49">
    <w:p>
      <w:pPr>
        <w:pStyle w:val="Textpoznmkypodiarou"/>
        <w:jc w:val="both"/>
        <w:rPr>
          <w:rFonts w:ascii="Arial" w:eastAsia="Times New Roman" w:hAnsi="Arial" w:cs="Arial"/>
          <w:sz w:val="18"/>
          <w:szCs w:val="18"/>
          <w:lang w:eastAsia="en-GB"/>
        </w:rPr>
      </w:pPr>
      <w:r>
        <w:rPr>
          <w:rStyle w:val="Odkaznapoznmkupodiarou"/>
          <w:sz w:val="18"/>
          <w:szCs w:val="18"/>
        </w:rPr>
        <w:footnoteRef/>
      </w:r>
      <w:r>
        <w:rPr>
          <w:sz w:val="18"/>
          <w:szCs w:val="18"/>
        </w:rPr>
        <w:t xml:space="preserve"> </w:t>
      </w:r>
      <w:r>
        <w:rPr>
          <w:rFonts w:ascii="Arial" w:hAnsi="Arial" w:cs="Arial"/>
          <w:sz w:val="18"/>
          <w:szCs w:val="18"/>
        </w:rPr>
        <w:t>štatistické údaje EUROSTATU, rok 2011</w:t>
      </w:r>
    </w:p>
    <w:p>
      <w:pPr>
        <w:pStyle w:val="Textpoznmkypodiarou"/>
        <w:jc w:val="both"/>
        <w:rPr>
          <w:rFonts w:ascii="Arial" w:hAnsi="Arial" w:cs="Arial"/>
          <w:sz w:val="18"/>
          <w:szCs w:val="18"/>
        </w:rPr>
      </w:pPr>
      <w:r>
        <w:rPr>
          <w:rFonts w:ascii="Arial" w:hAnsi="Arial" w:cs="Arial"/>
          <w:sz w:val="18"/>
          <w:szCs w:val="18"/>
        </w:rPr>
        <w:t>http://epp.eurostat.ec.europa.eu/statistics_explained/index.php/Healthy_life_years_statistics</w:t>
      </w:r>
    </w:p>
  </w:footnote>
  <w:footnote w:id="50">
    <w:p>
      <w:pPr>
        <w:jc w:val="both"/>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stav pacienta trpiaceho väčším počtom rôznych závažných ochorení a zdravotných komplikácií, ktoré sú najmä v staršom veku ťažko liečiteľné a majú negatívnu prognózu liečby.</w:t>
      </w:r>
    </w:p>
  </w:footnote>
  <w:footnote w:id="51">
    <w:p>
      <w:pPr>
        <w:pStyle w:val="Textpoznmkypodiarou"/>
        <w:jc w:val="both"/>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footnote>
  <w:footnote w:id="52">
    <w:p>
      <w:pPr>
        <w:pStyle w:val="Textpoznmkypodiarou"/>
      </w:pPr>
      <w:r>
        <w:rPr>
          <w:rStyle w:val="Odkaznapoznmkupodiarou"/>
        </w:rPr>
        <w:footnoteRef/>
      </w:r>
      <w:r>
        <w:t xml:space="preserve"> Pre EFRR a KF je možné stanoviť kvalitatívnu alebo kvantitatívnu cieľovú hodnotu</w:t>
      </w:r>
    </w:p>
  </w:footnote>
  <w:footnote w:id="53">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V zmysle čl. 69, ods. 3, písm. b) nariadenia Európskeho parlamentu a Rady (EÚ) č. 1303/2013 zo 17. decembra 2013 v platnom znení. </w:t>
      </w:r>
    </w:p>
  </w:footnote>
  <w:footnote w:id="54">
    <w:p>
      <w:pPr>
        <w:spacing w:after="0" w:line="240" w:lineRule="auto"/>
        <w:outlineLvl w:val="1"/>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podľa zákona č. 213/1997 Z. z. z 2. júla 1997 o neziskových organizáciách poskytujúcich všeobecne prospešné služby.</w:t>
      </w:r>
    </w:p>
  </w:footnote>
  <w:footnote w:id="55">
    <w:p>
      <w:pPr>
        <w:spacing w:before="100" w:beforeAutospacing="1" w:after="100" w:afterAutospacing="1" w:line="240" w:lineRule="auto"/>
        <w:outlineLvl w:val="1"/>
        <w:rPr>
          <w:sz w:val="20"/>
          <w:szCs w:val="20"/>
        </w:rPr>
      </w:pPr>
      <w:r>
        <w:rPr>
          <w:rStyle w:val="Odkaznapoznmkupodiarou"/>
        </w:rPr>
        <w:footnoteRef/>
      </w:r>
      <w:r>
        <w:t xml:space="preserve"> </w:t>
      </w:r>
      <w:r>
        <w:rPr>
          <w:rFonts w:ascii="Arial" w:hAnsi="Arial" w:cs="Arial"/>
          <w:sz w:val="16"/>
          <w:szCs w:val="16"/>
        </w:rPr>
        <w:t>podľa § 7 ods. 4 písm. a)1. zákona č. 578/2004 Z.z. z 21. októbra 2004 o poskytovateľoch zdravotnej starostlivosti, zdravotníckych pracovníkoch, stavovských organizáciách v zdravotníctve a o zmene a doplnení niektorých zákonov.</w:t>
      </w:r>
    </w:p>
    <w:p>
      <w:pPr>
        <w:pStyle w:val="Textpoznmkypodiarou"/>
      </w:pPr>
      <w:r>
        <w:t xml:space="preserve"> </w:t>
      </w:r>
    </w:p>
  </w:footnote>
  <w:footnote w:id="56">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footnote>
  <w:footnote w:id="57">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Napr. Národný projekt „Podpora profesijnej orientácie žiakov základnej školy na odborné vzdelávanie a prípravu prostredníctvom rozvoja polytechnickej výchovy zameranej na rozvoj pracovných zručností a práca s talentami.“</w:t>
      </w:r>
    </w:p>
  </w:footnote>
  <w:footnote w:id="58">
    <w:p>
      <w:pPr>
        <w:pStyle w:val="Textpoznmkypodiarou"/>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Definícia účastníkov celoživotného vzdelávania v podporených subjektoch bude súčasťou programového manuálu k OP.</w:t>
      </w:r>
    </w:p>
  </w:footnote>
  <w:footnote w:id="59">
    <w:p>
      <w:pPr>
        <w:pStyle w:val="Textpoznmkypodiarou"/>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Definícia účastníkov celoživotného vzdelávania v podporených subjektoch bude súčasťou programového manuálu k OP.</w:t>
      </w:r>
    </w:p>
  </w:footnote>
  <w:footnote w:id="60">
    <w:p>
      <w:pPr>
        <w:pStyle w:val="Textpoznmkypodiarou"/>
        <w:rPr>
          <w:rFonts w:ascii="Arial" w:hAnsi="Arial" w:cs="Arial"/>
        </w:rPr>
      </w:pPr>
      <w:r>
        <w:rPr>
          <w:rStyle w:val="Odkaznapoznmkupodiarou"/>
          <w:rFonts w:ascii="Arial" w:hAnsi="Arial" w:cs="Arial"/>
        </w:rPr>
        <w:footnoteRef/>
      </w:r>
      <w:r>
        <w:rPr>
          <w:rFonts w:ascii="Arial" w:hAnsi="Arial" w:cs="Arial"/>
        </w:rPr>
        <w:t xml:space="preserve"> Zahŕňa nasledovné odvetvia: Reklama a marketing, Architektúra, Dizajn, Módny dizajn, Film, tv, video, rádio a fotografia, Umelecké vizuálne umenie, Multimediálny priemysel,  Vydavateľstvo, literatúra a knižný trh,  Hudba a scénické  umenie, Remeslá tradičnej, ľudovej a mestskej kultúry,</w:t>
      </w:r>
    </w:p>
    <w:p>
      <w:pPr>
        <w:pStyle w:val="Textpoznmkypodiarou"/>
        <w:rPr>
          <w:rFonts w:ascii="Arial" w:hAnsi="Arial" w:cs="Arial"/>
        </w:rPr>
      </w:pPr>
      <w:r>
        <w:rPr>
          <w:rFonts w:ascii="Arial" w:hAnsi="Arial" w:cs="Arial"/>
        </w:rPr>
        <w:t>trh s umením.</w:t>
      </w:r>
    </w:p>
  </w:footnote>
  <w:footnote w:id="61">
    <w:p>
      <w:pPr>
        <w:pStyle w:val="Textpoznmkypodiarou"/>
        <w:rPr>
          <w:rFonts w:ascii="Arial" w:hAnsi="Arial" w:cs="Arial"/>
        </w:rPr>
      </w:pPr>
      <w:r>
        <w:rPr>
          <w:rStyle w:val="Odkaznapoznmkupodiarou"/>
          <w:rFonts w:ascii="Arial" w:hAnsi="Arial" w:cs="Arial"/>
        </w:rPr>
        <w:footnoteRef/>
      </w:r>
      <w:r>
        <w:rPr>
          <w:rFonts w:ascii="Arial" w:hAnsi="Arial" w:cs="Arial"/>
        </w:rPr>
        <w:t xml:space="preserve"> Zhodnotenie rozvojového potenciálu kultúrneho a kreatívneho priemyslu regiónov SR</w:t>
      </w:r>
    </w:p>
  </w:footnote>
  <w:footnote w:id="62">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Economy of Culture (2006), KEA</w:t>
      </w:r>
    </w:p>
  </w:footnote>
  <w:footnote w:id="63">
    <w:p>
      <w:pPr>
        <w:pStyle w:val="Textpoznmkypodiarou"/>
        <w:rPr>
          <w:rFonts w:ascii="Arial" w:hAnsi="Arial" w:cs="Arial"/>
        </w:rPr>
      </w:pPr>
      <w:r>
        <w:rPr>
          <w:rStyle w:val="Odkaznapoznmkupodiarou"/>
          <w:rFonts w:ascii="Arial" w:hAnsi="Arial" w:cs="Arial"/>
        </w:rPr>
        <w:footnoteRef/>
      </w:r>
      <w:r>
        <w:rPr>
          <w:rFonts w:ascii="Arial" w:hAnsi="Arial" w:cs="Arial"/>
        </w:rPr>
        <w:t>EuropeanStatisticalSystemNetwork on Culture, p. 55,  2012</w:t>
      </w:r>
    </w:p>
  </w:footnote>
  <w:footnote w:id="64">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Economy of Culture (2006), KEA</w:t>
      </w:r>
    </w:p>
    <w:p>
      <w:pPr>
        <w:pStyle w:val="Textpoznmkypodiarou"/>
      </w:pPr>
    </w:p>
  </w:footnote>
  <w:footnote w:id="65">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Economy of Culture (2006), KEA</w:t>
      </w:r>
    </w:p>
  </w:footnote>
  <w:footnote w:id="66">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Economy of Culture (2006), KEA</w:t>
      </w:r>
    </w:p>
  </w:footnote>
  <w:footnote w:id="67">
    <w:p>
      <w:pPr>
        <w:pStyle w:val="Textpoznmkypodiarou"/>
        <w:rPr>
          <w:rFonts w:ascii="Arial" w:hAnsi="Arial" w:cs="Arial"/>
        </w:rPr>
      </w:pPr>
      <w:r>
        <w:rPr>
          <w:rStyle w:val="Odkaznapoznmkupodiarou"/>
          <w:rFonts w:ascii="Arial" w:hAnsi="Arial" w:cs="Arial"/>
        </w:rPr>
        <w:footnoteRef/>
      </w:r>
      <w:r>
        <w:rPr>
          <w:rFonts w:ascii="Arial" w:hAnsi="Arial" w:cs="Arial"/>
        </w:rPr>
        <w:t xml:space="preserve"> Energy Performance of Buildings Directive (Directive 2002/91/EC,EPBD)</w:t>
      </w:r>
    </w:p>
  </w:footnote>
  <w:footnote w:id="68">
    <w:p>
      <w:pPr>
        <w:pStyle w:val="Textpoznmkypodiarou"/>
        <w:rPr>
          <w:rFonts w:ascii="Arial" w:hAnsi="Arial" w:cs="Arial"/>
        </w:rPr>
      </w:pPr>
      <w:r>
        <w:rPr>
          <w:rStyle w:val="Odkaznapoznmkupodiarou"/>
          <w:rFonts w:ascii="Arial" w:hAnsi="Arial" w:cs="Arial"/>
        </w:rPr>
        <w:footnoteRef/>
      </w:r>
      <w:r>
        <w:rPr>
          <w:rFonts w:ascii="Arial" w:hAnsi="Arial" w:cs="Arial"/>
        </w:rPr>
        <w:t xml:space="preserve"> Opatrenia vychádzajú z Národného plánu zameraného na zvyšovanie počtu budov s takmer nulovou potrebou energie</w:t>
      </w:r>
    </w:p>
  </w:footnote>
  <w:footnote w:id="69">
    <w:p>
      <w:pPr>
        <w:pStyle w:val="Textpoznmkypodiarou"/>
      </w:pPr>
      <w:r>
        <w:rPr>
          <w:rStyle w:val="Odkaznapoznmkupodiarou"/>
        </w:rPr>
        <w:footnoteRef/>
      </w:r>
      <w:r>
        <w:t xml:space="preserve"> Prispôsobovanie sa nepriaznivým dôsledkom zmeny klímy</w:t>
      </w:r>
    </w:p>
  </w:footnote>
  <w:footnote w:id="70">
    <w:p>
      <w:pPr>
        <w:pStyle w:val="Textpoznmkypodiarou"/>
      </w:pPr>
      <w:r>
        <w:rPr>
          <w:rStyle w:val="Odkaznapoznmkupodiarou"/>
        </w:rPr>
        <w:footnoteRef/>
      </w:r>
      <w:r>
        <w:t xml:space="preserve"> COM (2005) 718 v konečnom znení</w:t>
      </w:r>
    </w:p>
  </w:footnote>
  <w:footnote w:id="71">
    <w:p>
      <w:pPr>
        <w:pStyle w:val="Textpoznmkypodiarou"/>
        <w:rPr>
          <w:rFonts w:ascii="Arial" w:hAnsi="Arial" w:cs="Arial"/>
        </w:rPr>
      </w:pPr>
      <w:r>
        <w:rPr>
          <w:rStyle w:val="Odkaznapoznmkupodiarou"/>
          <w:rFonts w:ascii="Arial" w:hAnsi="Arial" w:cs="Arial"/>
        </w:rPr>
        <w:footnoteRef/>
      </w:r>
      <w:hyperlink r:id="rId2" w:history="1">
        <w:r>
          <w:rPr>
            <w:rStyle w:val="Hypertextovprepojenie"/>
            <w:rFonts w:ascii="Arial" w:hAnsi="Arial" w:cs="Arial"/>
          </w:rPr>
          <w:t>http://www.uzemneplany.sk/zakon/projekty-pre-brownfield-a-ich-mapovanie</w:t>
        </w:r>
      </w:hyperlink>
    </w:p>
  </w:footnote>
  <w:footnote w:id="72">
    <w:p>
      <w:pPr>
        <w:spacing w:after="0"/>
        <w:rPr>
          <w:rFonts w:ascii="Arial" w:eastAsiaTheme="minorEastAsia"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w:t>
      </w:r>
      <w:hyperlink r:id="rId3" w:history="1">
        <w:r>
          <w:rPr>
            <w:rStyle w:val="Hypertextovprepojenie"/>
            <w:rFonts w:ascii="Arial" w:hAnsi="Arial" w:cs="Arial"/>
            <w:sz w:val="20"/>
            <w:szCs w:val="20"/>
          </w:rPr>
          <w:t>http://www.enviroportal.sk/sk/eia/detail/aktualizovana-narodna-strategia-ochrany-biodiverzity-pre-roky-2012-2020</w:t>
        </w:r>
      </w:hyperlink>
    </w:p>
  </w:footnote>
  <w:footnote w:id="73">
    <w:p>
      <w:pPr>
        <w:pStyle w:val="Textpoznmkypodiarou"/>
        <w:rPr>
          <w:rFonts w:ascii="Arial" w:hAnsi="Arial" w:cs="Arial"/>
        </w:rPr>
      </w:pPr>
      <w:r>
        <w:rPr>
          <w:rStyle w:val="Odkaznapoznmkupodiarou"/>
          <w:rFonts w:ascii="Arial" w:hAnsi="Arial" w:cs="Arial"/>
        </w:rPr>
        <w:footnoteRef/>
      </w:r>
      <w:r>
        <w:rPr>
          <w:rFonts w:ascii="Arial" w:hAnsi="Arial" w:cs="Arial"/>
        </w:rPr>
        <w:t xml:space="preserve"> </w:t>
      </w:r>
      <w:r>
        <w:rPr>
          <w:rFonts w:ascii="Arial" w:eastAsia="Times New Roman" w:hAnsi="Arial" w:cs="Arial"/>
        </w:rPr>
        <w:t>Zelené verejné obstarávanie predstavuje jeden z významných nástrojov novej politiky verejného obstarávania na národnej úrovni, ktorý bude zavedený v rámci reformy verejnej správy. Táto problematika je súčasťou  rezortných cieľov MŽP SR, keďže podpora využívania zeleného verejného obstarávania na výber produktov so zníženým negatívnym vplyvom na životné prostredie môže významným spôsobom prispieť k plneniu miestnych, regionálnych, národných a medzinárodných environmentálnych cieľov.</w:t>
      </w:r>
    </w:p>
  </w:footnote>
  <w:footnote w:id="74">
    <w:p>
      <w:pPr>
        <w:pStyle w:val="Textpoznmkypodiarou"/>
      </w:pPr>
      <w:r>
        <w:rPr>
          <w:rStyle w:val="Odkaznapoznmkupodiarou"/>
          <w:rFonts w:ascii="Arial" w:hAnsi="Arial" w:cs="Arial"/>
        </w:rPr>
        <w:footnoteRef/>
      </w:r>
      <w:r>
        <w:rPr>
          <w:rFonts w:ascii="Arial" w:hAnsi="Arial" w:cs="Arial"/>
        </w:rPr>
        <w:t xml:space="preserve"> </w:t>
      </w:r>
      <w:hyperlink r:id="rId4" w:history="1">
        <w:r>
          <w:rPr>
            <w:rStyle w:val="Hypertextovprepojenie"/>
            <w:rFonts w:ascii="Arial" w:hAnsi="Arial" w:cs="Arial"/>
          </w:rPr>
          <w:t>http://www.rokovania.sk/File.aspx/ViewDocumentHtml/Mater-Dokum-141217?prefixFile=m_</w:t>
        </w:r>
      </w:hyperlink>
      <w:r>
        <w:rPr>
          <w:rStyle w:val="Hypertextovprepojenie"/>
          <w:rFonts w:ascii="Arial" w:hAnsi="Arial" w:cs="Arial"/>
        </w:rPr>
        <w:t xml:space="preserve"> </w:t>
      </w:r>
    </w:p>
  </w:footnote>
  <w:footnote w:id="75">
    <w:p>
      <w:pPr>
        <w:pStyle w:val="Textpoznmkypodiarou"/>
        <w:jc w:val="both"/>
        <w:rPr>
          <w:rFonts w:ascii="Arial" w:hAnsi="Arial" w:cs="Arial"/>
          <w:sz w:val="16"/>
          <w:szCs w:val="16"/>
        </w:rPr>
      </w:pPr>
      <w:r>
        <w:rPr>
          <w:rStyle w:val="Odkaznapoznmkupodiarou"/>
          <w:rFonts w:ascii="Arial" w:hAnsi="Arial" w:cs="Arial"/>
        </w:rPr>
        <w:footnoteRef/>
      </w:r>
      <w:r>
        <w:rPr>
          <w:rFonts w:ascii="Arial" w:hAnsi="Arial" w:cs="Arial"/>
        </w:rPr>
        <w:t xml:space="preserve"> </w:t>
      </w:r>
      <w:r>
        <w:rPr>
          <w:rFonts w:ascii="Arial" w:hAnsi="Arial" w:cs="Arial"/>
          <w:sz w:val="16"/>
          <w:szCs w:val="16"/>
        </w:rPr>
        <w:t xml:space="preserve">Poskytovaný bude úver s úrokovou sadzbou 1,5% s dobou splatnosti 20 rokov a výškou poskytnutého úveru max. 75% oprávnených nákladov na obnovu bytovej budovy.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lavika"/>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lavik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2193" o:spid="_x0000_s2049" type="#_x0000_t136" style="position:absolute;margin-left:0;margin-top:0;width:447.65pt;height:191.85pt;rotation:315;z-index:-251658752;mso-position-horizontal:center;mso-position-horizontal-relative:margin;mso-position-vertical:center;mso-position-vertical-relative:margin" o:allowincell="f" fillcolor="#a5a5a5" stroked="f">
          <v:fill opacity=".5"/>
          <v:textpath style="font-family:&quot;calibri&quot;;font-size:1pt" string="KONCEPT"/>
          <w10:wrap anchorx="margin" anchory="margin"/>
        </v:shape>
      </w:pic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5EC65E5"/>
    <w:multiLevelType w:val="hybridMultilevel"/>
    <w:tmpl w:val="21CAB3F6"/>
    <w:lvl w:ilvl="0" w:tplc="9A4A73F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B4D4602"/>
    <w:multiLevelType w:val="hybridMultilevel"/>
    <w:tmpl w:val="EF7E4508"/>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97C707B"/>
    <w:multiLevelType w:val="hybridMultilevel"/>
    <w:tmpl w:val="C44AC5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19">
    <w:nsid w:val="1FE2577B"/>
    <w:multiLevelType w:val="hybridMultilevel"/>
    <w:tmpl w:val="AC9A04EC"/>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29E4C65"/>
    <w:multiLevelType w:val="hybridMultilevel"/>
    <w:tmpl w:val="ED8CC01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4657B41"/>
    <w:multiLevelType w:val="hybridMultilevel"/>
    <w:tmpl w:val="7368DC78"/>
    <w:lvl w:ilvl="0" w:tplc="CC626FC8">
      <w:start w:val="2"/>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4C541C7"/>
    <w:multiLevelType w:val="hybridMultilevel"/>
    <w:tmpl w:val="4418994E"/>
    <w:lvl w:ilvl="0" w:tplc="9B3CE3CC">
      <w:numFmt w:val="bullet"/>
      <w:lvlText w:val="-"/>
      <w:lvlJc w:val="left"/>
      <w:pPr>
        <w:ind w:left="720" w:hanging="360"/>
      </w:pPr>
      <w:rPr>
        <w:rFonts w:ascii="Arial" w:eastAsia="Times New Roman"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A041384"/>
    <w:multiLevelType w:val="hybridMultilevel"/>
    <w:tmpl w:val="E6BC7482"/>
    <w:lvl w:ilvl="0" w:tplc="B006444C">
      <w:start w:val="5"/>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DE13DE8"/>
    <w:multiLevelType w:val="hybridMultilevel"/>
    <w:tmpl w:val="55A64F38"/>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63311B0"/>
    <w:multiLevelType w:val="hybridMultilevel"/>
    <w:tmpl w:val="6A56D89A"/>
    <w:lvl w:ilvl="0" w:tplc="19B497C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67E5124"/>
    <w:multiLevelType w:val="hybridMultilevel"/>
    <w:tmpl w:val="19DED9EE"/>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C107FF3"/>
    <w:multiLevelType w:val="hybridMultilevel"/>
    <w:tmpl w:val="A14EC5D2"/>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5">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3F8356F0"/>
    <w:multiLevelType w:val="hybridMultilevel"/>
    <w:tmpl w:val="DE7A69BA"/>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42E16B7A"/>
    <w:multiLevelType w:val="hybridMultilevel"/>
    <w:tmpl w:val="D9AC2364"/>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2">
    <w:nsid w:val="4973739C"/>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3">
    <w:nsid w:val="4B775665"/>
    <w:multiLevelType w:val="hybridMultilevel"/>
    <w:tmpl w:val="E4483E88"/>
    <w:lvl w:ilvl="0" w:tplc="CC626FC8">
      <w:start w:val="2"/>
      <w:numFmt w:val="bullet"/>
      <w:lvlText w:val="-"/>
      <w:lvlJc w:val="left"/>
      <w:pPr>
        <w:ind w:left="720" w:hanging="360"/>
      </w:pPr>
      <w:rPr>
        <w:rFonts w:ascii="Cambria" w:eastAsia="Times New Roman" w:hAnsi="Cambri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52C63221"/>
    <w:multiLevelType w:val="hybridMultilevel"/>
    <w:tmpl w:val="D456A4D6"/>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55457551"/>
    <w:multiLevelType w:val="hybridMultilevel"/>
    <w:tmpl w:val="0E3EC3C8"/>
    <w:lvl w:ilvl="0" w:tplc="419E9E4A">
      <w:start w:val="1"/>
      <w:numFmt w:val="lowerLetter"/>
      <w:lvlText w:val="%1)"/>
      <w:lvlJc w:val="left"/>
      <w:pPr>
        <w:ind w:left="1080" w:hanging="360"/>
      </w:pPr>
      <w:rPr>
        <w:b w:val="0"/>
        <w:sz w:val="16"/>
        <w:szCs w:val="16"/>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51">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62B626FC"/>
    <w:multiLevelType w:val="hybridMultilevel"/>
    <w:tmpl w:val="3FDC6D5A"/>
    <w:lvl w:ilvl="0" w:tplc="9B3CE3CC">
      <w:numFmt w:val="bullet"/>
      <w:lvlText w:val="-"/>
      <w:lvlJc w:val="left"/>
      <w:pPr>
        <w:tabs>
          <w:tab w:val="num" w:pos="360"/>
        </w:tabs>
        <w:ind w:left="360" w:hanging="360"/>
      </w:pPr>
      <w:rPr>
        <w:rFonts w:ascii="Arial" w:eastAsia="Times New Roman" w:hAnsi="Arial"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55">
    <w:nsid w:val="65EA115A"/>
    <w:multiLevelType w:val="hybridMultilevel"/>
    <w:tmpl w:val="90A813E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9">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6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1">
    <w:nsid w:val="67CE0C62"/>
    <w:multiLevelType w:val="hybridMultilevel"/>
    <w:tmpl w:val="6DD4D4C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75226DD5"/>
    <w:multiLevelType w:val="hybridMultilevel"/>
    <w:tmpl w:val="F3D02EE0"/>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1">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5"/>
  </w:num>
  <w:num w:numId="2">
    <w:abstractNumId w:val="54"/>
  </w:num>
  <w:num w:numId="3">
    <w:abstractNumId w:val="5"/>
  </w:num>
  <w:num w:numId="4">
    <w:abstractNumId w:val="0"/>
  </w:num>
  <w:num w:numId="5">
    <w:abstractNumId w:val="11"/>
  </w:num>
  <w:num w:numId="6">
    <w:abstractNumId w:val="67"/>
  </w:num>
  <w:num w:numId="7">
    <w:abstractNumId w:val="15"/>
  </w:num>
  <w:num w:numId="8">
    <w:abstractNumId w:val="14"/>
  </w:num>
  <w:num w:numId="9">
    <w:abstractNumId w:val="44"/>
  </w:num>
  <w:num w:numId="10">
    <w:abstractNumId w:val="71"/>
  </w:num>
  <w:num w:numId="11">
    <w:abstractNumId w:val="43"/>
  </w:num>
  <w:num w:numId="12">
    <w:abstractNumId w:val="72"/>
  </w:num>
  <w:num w:numId="13">
    <w:abstractNumId w:val="60"/>
  </w:num>
  <w:num w:numId="14">
    <w:abstractNumId w:val="69"/>
  </w:num>
  <w:num w:numId="15">
    <w:abstractNumId w:val="8"/>
  </w:num>
  <w:num w:numId="16">
    <w:abstractNumId w:val="53"/>
  </w:num>
  <w:num w:numId="17">
    <w:abstractNumId w:val="9"/>
  </w:num>
  <w:num w:numId="18">
    <w:abstractNumId w:val="26"/>
  </w:num>
  <w:num w:numId="19">
    <w:abstractNumId w:val="13"/>
  </w:num>
  <w:num w:numId="20">
    <w:abstractNumId w:val="4"/>
  </w:num>
  <w:num w:numId="21">
    <w:abstractNumId w:val="59"/>
  </w:num>
  <w:num w:numId="22">
    <w:abstractNumId w:val="63"/>
  </w:num>
  <w:num w:numId="23">
    <w:abstractNumId w:val="42"/>
  </w:num>
  <w:num w:numId="24">
    <w:abstractNumId w:val="34"/>
  </w:num>
  <w:num w:numId="25">
    <w:abstractNumId w:val="56"/>
  </w:num>
  <w:num w:numId="26">
    <w:abstractNumId w:val="58"/>
  </w:num>
  <w:num w:numId="27">
    <w:abstractNumId w:val="57"/>
  </w:num>
  <w:num w:numId="28">
    <w:abstractNumId w:val="37"/>
  </w:num>
  <w:num w:numId="29">
    <w:abstractNumId w:val="6"/>
  </w:num>
  <w:num w:numId="30">
    <w:abstractNumId w:val="49"/>
  </w:num>
  <w:num w:numId="31">
    <w:abstractNumId w:val="74"/>
  </w:num>
  <w:num w:numId="32">
    <w:abstractNumId w:val="46"/>
  </w:num>
  <w:num w:numId="33">
    <w:abstractNumId w:val="73"/>
  </w:num>
  <w:num w:numId="34">
    <w:abstractNumId w:val="62"/>
  </w:num>
  <w:num w:numId="35">
    <w:abstractNumId w:val="52"/>
  </w:num>
  <w:num w:numId="36">
    <w:abstractNumId w:val="40"/>
  </w:num>
  <w:num w:numId="37">
    <w:abstractNumId w:val="38"/>
  </w:num>
  <w:num w:numId="38">
    <w:abstractNumId w:val="48"/>
  </w:num>
  <w:num w:numId="39">
    <w:abstractNumId w:val="32"/>
  </w:num>
  <w:num w:numId="40">
    <w:abstractNumId w:val="19"/>
  </w:num>
  <w:num w:numId="41">
    <w:abstractNumId w:val="27"/>
  </w:num>
  <w:num w:numId="42">
    <w:abstractNumId w:val="16"/>
  </w:num>
  <w:num w:numId="43">
    <w:abstractNumId w:val="24"/>
  </w:num>
  <w:num w:numId="44">
    <w:abstractNumId w:val="64"/>
  </w:num>
  <w:num w:numId="45">
    <w:abstractNumId w:val="35"/>
  </w:num>
  <w:num w:numId="46">
    <w:abstractNumId w:val="55"/>
  </w:num>
  <w:num w:numId="47">
    <w:abstractNumId w:val="66"/>
  </w:num>
  <w:num w:numId="48">
    <w:abstractNumId w:val="51"/>
  </w:num>
  <w:num w:numId="49">
    <w:abstractNumId w:val="21"/>
  </w:num>
  <w:num w:numId="50">
    <w:abstractNumId w:val="28"/>
  </w:num>
  <w:num w:numId="51">
    <w:abstractNumId w:val="31"/>
  </w:num>
  <w:num w:numId="52">
    <w:abstractNumId w:val="36"/>
  </w:num>
  <w:num w:numId="53">
    <w:abstractNumId w:val="10"/>
  </w:num>
  <w:num w:numId="54">
    <w:abstractNumId w:val="45"/>
  </w:num>
  <w:num w:numId="55">
    <w:abstractNumId w:val="47"/>
  </w:num>
  <w:num w:numId="56">
    <w:abstractNumId w:val="61"/>
  </w:num>
  <w:num w:numId="57">
    <w:abstractNumId w:val="25"/>
  </w:num>
  <w:num w:numId="58">
    <w:abstractNumId w:val="20"/>
  </w:num>
  <w:num w:numId="59">
    <w:abstractNumId w:val="39"/>
  </w:num>
  <w:num w:numId="60">
    <w:abstractNumId w:val="29"/>
  </w:num>
  <w:num w:numId="61">
    <w:abstractNumId w:val="33"/>
  </w:num>
  <w:num w:numId="62">
    <w:abstractNumId w:val="12"/>
  </w:num>
  <w:num w:numId="63">
    <w:abstractNumId w:val="18"/>
  </w:num>
  <w:num w:numId="64">
    <w:abstractNumId w:val="54"/>
  </w:num>
  <w:num w:numId="65">
    <w:abstractNumId w:val="48"/>
  </w:num>
  <w:num w:numId="66">
    <w:abstractNumId w:val="7"/>
  </w:num>
  <w:num w:numId="67">
    <w:abstractNumId w:val="22"/>
  </w:num>
  <w:num w:numId="68">
    <w:abstractNumId w:val="73"/>
  </w:num>
  <w:num w:numId="69">
    <w:abstractNumId w:val="54"/>
  </w:num>
  <w:num w:numId="70">
    <w:abstractNumId w:val="23"/>
  </w:num>
  <w:num w:numId="71">
    <w:abstractNumId w:val="68"/>
  </w:num>
  <w:num w:numId="72">
    <w:abstractNumId w:val="17"/>
  </w:num>
  <w:num w:numId="73">
    <w:abstractNumId w:val="41"/>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num>
  <w:num w:numId="76">
    <w:abstractNumId w:val="70"/>
    <w:lvlOverride w:ilvl="0"/>
    <w:lvlOverride w:ilvl="1"/>
    <w:lvlOverride w:ilvl="2"/>
    <w:lvlOverride w:ilvl="3"/>
    <w:lvlOverride w:ilvl="4"/>
    <w:lvlOverride w:ilvl="5"/>
    <w:lvlOverride w:ilvl="6"/>
    <w:lvlOverride w:ilvl="7"/>
    <w:lvlOverride w:ilv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
    <w:semiHidden/>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zoznamzvraznenie11">
    <w:name w:val="Svetlý zoznam – zvýraznenie 11"/>
    <w:basedOn w:val="Normlnatabuka"/>
    <w:uiPriority w:val="61"/>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
    <w:semiHidden/>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uiPriority w:val="99"/>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
    <w:semiHidden/>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zoznamzvraznenie11">
    <w:name w:val="Svetlý zoznam – zvýraznenie 11"/>
    <w:basedOn w:val="Normlnatabuka"/>
    <w:uiPriority w:val="61"/>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
    <w:semiHidden/>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uiPriority w:val="99"/>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hyperlink" Target="http://www.rokovania.sk/Rokovanie.aspx/NezaradenyMaterialDetail?idMaterial=23195" TargetMode="External"/><Relationship Id="rId39" Type="http://schemas.openxmlformats.org/officeDocument/2006/relationships/hyperlink" Target="http://www.siov.sk/rozvoj-stredneho-odborneho-vzdelavania-rsov/24505s" TargetMode="External"/><Relationship Id="rId21" Type="http://schemas.openxmlformats.org/officeDocument/2006/relationships/hyperlink" Target="http://www.rokovania.sk/Rokovanie.aspx/BodRokovaniaDetail?idMaterial=22344" TargetMode="External"/><Relationship Id="rId34" Type="http://schemas.openxmlformats.org/officeDocument/2006/relationships/hyperlink" Target="http://www.rokovania.sk/Rokovanie.aspx/BodRokovaniaDetail?idMaterial=6639" TargetMode="External"/><Relationship Id="rId42" Type="http://schemas.openxmlformats.org/officeDocument/2006/relationships/hyperlink" Target="http://www.gender.gov.sk/?page_id=72" TargetMode="External"/><Relationship Id="rId47"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50" Type="http://schemas.openxmlformats.org/officeDocument/2006/relationships/hyperlink" Target="http://www.opzp.sk/dokumenty/projektove-dokumenty/rozhodnutia-uvo-sr-v-procesoch-vo-v-ramci-projketov-op-zp-v-programovom-obdobi-2007-2013/" TargetMode="External"/><Relationship Id="rId55" Type="http://schemas.openxmlformats.org/officeDocument/2006/relationships/hyperlink" Target="http://www.jaspi.justice.gov.sk" TargetMode="External"/><Relationship Id="rId63" Type="http://schemas.openxmlformats.org/officeDocument/2006/relationships/image" Target="media/image5.png"/><Relationship Id="rId68" Type="http://schemas.openxmlformats.org/officeDocument/2006/relationships/image" Target="media/image1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www.health.gov.sk/?strategia-v-zdravotnict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elecom.gov.sk" TargetMode="External"/><Relationship Id="rId32" Type="http://schemas.openxmlformats.org/officeDocument/2006/relationships/hyperlink" Target="http://www.minedu.sk/zakon-o-odbornom-vzdelavani-a-priprave/" TargetMode="External"/><Relationship Id="rId37" Type="http://schemas.openxmlformats.org/officeDocument/2006/relationships/hyperlink" Target="http://www.minedu.sk/zakon-o-odbornom-vzdelavani-a-priprave/" TargetMode="External"/><Relationship Id="rId40" Type="http://schemas.openxmlformats.org/officeDocument/2006/relationships/hyperlink" Target="http://www.siov.sk/narodny-projekt-/24512s" TargetMode="External"/><Relationship Id="rId45" Type="http://schemas.openxmlformats.org/officeDocument/2006/relationships/hyperlink" Target="http://www.gender.gov.sk/?page_id=294" TargetMode="External"/><Relationship Id="rId53" Type="http://schemas.openxmlformats.org/officeDocument/2006/relationships/hyperlink" Target="http://www.uvo.gov.sk/domov" TargetMode="External"/><Relationship Id="rId58" Type="http://schemas.openxmlformats.org/officeDocument/2006/relationships/hyperlink" Target="http://nuczv.sk/dalsie-vzdelavanie-a-poradenstvo-pre-dospelych-ako-nastroj-lepsej-uplatnitelnosti-na-trhu-prace/" TargetMode="External"/><Relationship Id="rId66"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www.telecom.gov.sk/index/index.php?ids=147132" TargetMode="External"/><Relationship Id="rId28" Type="http://schemas.openxmlformats.org/officeDocument/2006/relationships/hyperlink" Target="http://www.upsvar.sk/buxus/docs//SSVaR/OVOZ/Koncepcia.pdf" TargetMode="External"/><Relationship Id="rId36" Type="http://schemas.openxmlformats.org/officeDocument/2006/relationships/hyperlink" Target="http://www.minedu.sk/9772-sk/dokumenty-a-predpisy/" TargetMode="External"/><Relationship Id="rId49" Type="http://schemas.openxmlformats.org/officeDocument/2006/relationships/hyperlink" Target="http://www.rokovania.sk/Rokovanie.aspx/BodRokovaniaDetail?idMaterial=21941" TargetMode="External"/><Relationship Id="rId57" Type="http://schemas.openxmlformats.org/officeDocument/2006/relationships/hyperlink" Target="http://www.tvorbansk.sk/" TargetMode="External"/><Relationship Id="rId61"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yperlink" Target="http://www.rokovania.sk/File.aspx/ViewDocumentHtml/Mater-Dokum-160513?prefixFile=m_" TargetMode="External"/><Relationship Id="rId31" Type="http://schemas.openxmlformats.org/officeDocument/2006/relationships/hyperlink" Target="http://www.ksuza.sk/doc/metodika/bozp/20012012.pdf" TargetMode="External"/><Relationship Id="rId44" Type="http://schemas.openxmlformats.org/officeDocument/2006/relationships/hyperlink" Target="http://www.gender.gov.sk/?page_id=347" TargetMode="External"/><Relationship Id="rId52" Type="http://schemas.openxmlformats.org/officeDocument/2006/relationships/hyperlink" Target="http://www.uvo.gov.sk/najcastejsie-nedostatky-stene-uvo" TargetMode="External"/><Relationship Id="rId60" Type="http://schemas.openxmlformats.org/officeDocument/2006/relationships/image" Target="media/image2.emf"/><Relationship Id="rId65"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hyperlink" Target="http://www.telecom.gov.sk/index/index.php?ids=147132" TargetMode="External"/><Relationship Id="rId27" Type="http://schemas.openxmlformats.org/officeDocument/2006/relationships/hyperlink" Target="http://www.employment.gov.sk/files/legislativa/dokumenty-zoznamy-pod/strategia-deinstitucionalizacie-systemu-socialnych-sluzieb-nahradnej-starostlivosti-1.pdf" TargetMode="External"/><Relationship Id="rId30" Type="http://schemas.openxmlformats.org/officeDocument/2006/relationships/hyperlink" Target="http://www.rokovania.sk/Rokovanie.aspx/BodRokovaniaDetail?idMaterial=19992" TargetMode="External"/><Relationship Id="rId35" Type="http://schemas.openxmlformats.org/officeDocument/2006/relationships/hyperlink" Target="http://www.minedu.sk/9772-sk/dokumenty-a-predpisy/" TargetMode="External"/><Relationship Id="rId43" Type="http://schemas.openxmlformats.org/officeDocument/2006/relationships/hyperlink" Target="http://www.gender.gov.sk/?page_id=347" TargetMode="External"/><Relationship Id="rId48" Type="http://schemas.openxmlformats.org/officeDocument/2006/relationships/hyperlink" Target="http://www.upsvar.sk/buxus/docs//urady/VK/vo/13-z095.pdf" TargetMode="External"/><Relationship Id="rId56" Type="http://schemas.openxmlformats.org/officeDocument/2006/relationships/hyperlink" Target="http://www.sazp.sk/public/index/go.php?id=81&amp;prm3=686" TargetMode="External"/><Relationship Id="rId64" Type="http://schemas.openxmlformats.org/officeDocument/2006/relationships/image" Target="media/image6.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opka.sk/sk/verejne-obstaravani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www.employment.gov.sk/sk/rodina-socialna-pomoc/socialne-sluzby/" TargetMode="External"/><Relationship Id="rId33" Type="http://schemas.openxmlformats.org/officeDocument/2006/relationships/hyperlink" Target="http://www.npmrk2.sk/" TargetMode="External"/><Relationship Id="rId38" Type="http://schemas.openxmlformats.org/officeDocument/2006/relationships/hyperlink" Target="http://www.radavladyovp.sk/" TargetMode="External"/><Relationship Id="rId46" Type="http://schemas.openxmlformats.org/officeDocument/2006/relationships/hyperlink" Target="http://www.rokovania.sk/Rokovanie.aspx/BodRokovaniaDetail?idMaterial=23180" TargetMode="External"/><Relationship Id="rId59" Type="http://schemas.openxmlformats.org/officeDocument/2006/relationships/image" Target="media/image1.emf"/><Relationship Id="rId67" Type="http://schemas.openxmlformats.org/officeDocument/2006/relationships/image" Target="media/image9.jpeg"/><Relationship Id="rId20" Type="http://schemas.openxmlformats.org/officeDocument/2006/relationships/hyperlink" Target="http://www.telecom.gov.sk/index/index.php?ids=83478" TargetMode="External"/><Relationship Id="rId41" Type="http://schemas.openxmlformats.org/officeDocument/2006/relationships/hyperlink" Target="http://www.epi.sk/Main/Default.aspx?Template=~%2FMain%2FTArticles.ascx&amp;LngID=0&amp;zzsrlnkid=4654186&amp;phContent=~%2FZzSR%2FShowRule.ascx&amp;RuleId=14927&amp;pa=13597" TargetMode="External"/><Relationship Id="rId54" Type="http://schemas.openxmlformats.org/officeDocument/2006/relationships/hyperlink" Target="http://www.uvo.gov.sk/metodicke-usmernenia" TargetMode="External"/><Relationship Id="rId62" Type="http://schemas.openxmlformats.org/officeDocument/2006/relationships/image" Target="media/image4.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nviroportal.sk/sk/eia/detail/aktualizovana-narodna-strategia-ochrany-biodiverzity-pre-roky-2012-2020" TargetMode="External"/><Relationship Id="rId2" Type="http://schemas.openxmlformats.org/officeDocument/2006/relationships/hyperlink" Target="http://www.uzemneplany.sk/zakon/projekty-pre-brownfield-a-ich-mapovanie" TargetMode="External"/><Relationship Id="rId1" Type="http://schemas.openxmlformats.org/officeDocument/2006/relationships/hyperlink" Target="http://ec.europa.eu/europe2020/index_sk.htm" TargetMode="External"/><Relationship Id="rId4" Type="http://schemas.openxmlformats.org/officeDocument/2006/relationships/hyperlink" Target="http://www.rokovania.sk/File.aspx/ViewDocumentHtml/Mater-Dokum-141217?prefixFile=m_"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DB2EEB3F-03E2-403F-A480-831D98FB2447}" srcId="{3474B0FC-0E82-45A6-B7D8-B819F253476D}" destId="{99B60809-C79B-4B68-A255-46BBBDDC5B03}" srcOrd="1" destOrd="0" parTransId="{A187754F-1C59-4780-B954-6AD7CFF9F101}" sibTransId="{6B546263-A6BE-4F1D-9496-10D227EC1227}"/>
    <dgm:cxn modelId="{2E630CDC-DB70-4660-9F7F-A1FE1E9FE2E7}" type="presOf" srcId="{1A230389-0F72-4858-B2E9-B58BD134B6B0}" destId="{58B47FE2-FD5B-42D9-A0A3-57F22BF807E5}" srcOrd="0" destOrd="0" presId="urn:microsoft.com/office/officeart/2005/8/layout/hierarchy2"/>
    <dgm:cxn modelId="{DDC05931-F297-4DBF-84F0-9700C5F6C67D}" type="presOf" srcId="{55F8C025-9BE2-4B2F-9428-0118B186BFF5}" destId="{46AA426D-3F16-46BC-9F5A-B19BA236DF9F}" srcOrd="0"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5B89F245-C0C8-4941-846F-4C6F7EEFC76A}" type="presOf" srcId="{A187754F-1C59-4780-B954-6AD7CFF9F101}" destId="{4B9FC140-1EC5-4700-A383-04EDDD6CB829}" srcOrd="1" destOrd="0" presId="urn:microsoft.com/office/officeart/2005/8/layout/hierarchy2"/>
    <dgm:cxn modelId="{71A91CC0-2E51-420C-857C-ABEDED99BFB7}" type="presOf" srcId="{46CE447E-3144-4072-B23D-27EC67204105}" destId="{A6887122-913D-4ED8-B762-62940C28C8C9}" srcOrd="0" destOrd="0" presId="urn:microsoft.com/office/officeart/2005/8/layout/hierarchy2"/>
    <dgm:cxn modelId="{0416101A-C1E2-4FA7-B6E0-26DA4751AE86}" type="presOf" srcId="{C3FDD812-6C17-47F0-8B94-E451543C7D38}" destId="{DA4F1323-5EBC-4BAC-B2D8-7D03ADC8E49D}" srcOrd="0" destOrd="0" presId="urn:microsoft.com/office/officeart/2005/8/layout/hierarchy2"/>
    <dgm:cxn modelId="{359B5E11-152B-4F64-BB70-5729BE3DD883}" type="presOf" srcId="{7D08ED02-3BE1-4242-9202-672EC6A6FE4D}" destId="{D2168E73-31DC-406F-B76B-7DCA3F2862C0}" srcOrd="0" destOrd="0" presId="urn:microsoft.com/office/officeart/2005/8/layout/hierarchy2"/>
    <dgm:cxn modelId="{515A2A1D-E2DB-493D-AA4A-276EEEDB70C4}" type="presOf" srcId="{53AA9ED3-7551-4264-9890-EDC6C812E860}" destId="{8AEC9595-4435-41D4-9F4A-E770511CBDFB}" srcOrd="1"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B170B69E-B33F-41A2-B9AB-D5633EEA74BA}" type="presOf" srcId="{E940AB1E-8B9B-47A2-8BD9-747BF60EF622}" destId="{E2ED2DF5-A913-4AC8-A4E5-0544D95BF0F9}" srcOrd="1" destOrd="0" presId="urn:microsoft.com/office/officeart/2005/8/layout/hierarchy2"/>
    <dgm:cxn modelId="{42D2B6AC-1310-43EA-91C5-4C4814FC14E4}" type="presOf" srcId="{750DE7A6-4FA5-4550-892E-7F9DA0F5AFBC}" destId="{D635C208-BE8E-4C3D-A357-B3A913E14682}"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5C41A31A-3BC7-48D4-A81D-1924B3418E8F}" srcId="{8CA4D961-609F-4403-8DD1-F2D93A846879}" destId="{6D4B58D3-D2E1-427C-AA53-6A97DD36801A}" srcOrd="0" destOrd="0" parTransId="{55F8C025-9BE2-4B2F-9428-0118B186BFF5}" sibTransId="{8CEC151B-3EB8-45D4-B303-0C073E2848F7}"/>
    <dgm:cxn modelId="{A4D3A1E4-3881-455A-8817-EB4637989BA1}" type="presOf" srcId="{A187754F-1C59-4780-B954-6AD7CFF9F101}" destId="{CCDB1F11-63AB-43E5-A9A0-0FFD4113C9B2}" srcOrd="0" destOrd="0" presId="urn:microsoft.com/office/officeart/2005/8/layout/hierarchy2"/>
    <dgm:cxn modelId="{A500A8AD-4B3A-4D50-B23C-F98769227DB0}" type="presOf" srcId="{2A298017-AF0A-47A4-AFE2-4706767D4546}" destId="{893B4D7C-1B66-4E1B-8B96-38FC942153DF}" srcOrd="0"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C343A1DF-909A-48C6-A39C-A9757E9D1F75}" type="presOf" srcId="{350E18F3-5D9A-4A6F-9FEA-07C625FCE51D}" destId="{ADE7F7D7-9386-4BFC-AA37-A52BA66CE62B}" srcOrd="0"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A26F2C18-2349-4C19-BA06-AB91C5B2CF75}" srcId="{3474B0FC-0E82-45A6-B7D8-B819F253476D}" destId="{BEBC7F6F-A053-4849-B463-46EEA5843A67}" srcOrd="2" destOrd="0" parTransId="{E940AB1E-8B9B-47A2-8BD9-747BF60EF622}" sibTransId="{DCE08CBE-CAA3-4EC0-AD23-18D82DE58862}"/>
    <dgm:cxn modelId="{B7CEC52E-F0FF-4B96-9D33-12C376B0F7E8}" srcId="{99B60809-C79B-4B68-A255-46BBBDDC5B03}" destId="{4B55DD23-6989-41F1-9A51-2A18649DEBC5}" srcOrd="0" destOrd="0" parTransId="{36E78AF8-4B49-4A47-B125-B0E628EB3240}" sibTransId="{96142754-72DD-47B3-91E9-069E46EAFF06}"/>
    <dgm:cxn modelId="{8E52EBEB-3C66-4712-92E5-02E4E705ED98}" srcId="{897E9BE1-90FA-42F2-8EB8-C3BC0C40ABA6}" destId="{1A230389-0F72-4858-B2E9-B58BD134B6B0}" srcOrd="1" destOrd="0" parTransId="{007118F4-1F56-4B30-961C-710D32F3D3B3}" sibTransId="{B44B8D66-EBD4-4AAD-A43C-53884699FF19}"/>
    <dgm:cxn modelId="{38871238-33A4-41A4-A76C-83F9F681CCAD}" type="presOf" srcId="{3474B0FC-0E82-45A6-B7D8-B819F253476D}" destId="{DCC3B950-77FF-4277-BDD9-C646E2EFD9B0}" srcOrd="0" destOrd="0" presId="urn:microsoft.com/office/officeart/2005/8/layout/hierarchy2"/>
    <dgm:cxn modelId="{A460F035-6161-4635-AC38-D65B2301B19C}" type="presOf" srcId="{007118F4-1F56-4B30-961C-710D32F3D3B3}" destId="{F8B0B562-7DE2-40FD-B3FD-F4D4439D49D4}" srcOrd="0" destOrd="0" presId="urn:microsoft.com/office/officeart/2005/8/layout/hierarchy2"/>
    <dgm:cxn modelId="{8FD4F425-5291-4FB7-9B71-D4183C6F389C}" type="presOf" srcId="{897E9BE1-90FA-42F2-8EB8-C3BC0C40ABA6}" destId="{EC17D1A1-8535-4CF6-B5E6-CD0DAE2C503A}" srcOrd="0"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D97F3074-2B85-4336-8854-2E033E050C9D}" type="presOf" srcId="{8CA4D961-609F-4403-8DD1-F2D93A846879}" destId="{47E3554B-4698-401E-8251-38467C198C16}" srcOrd="0" destOrd="0" presId="urn:microsoft.com/office/officeart/2005/8/layout/hierarchy2"/>
    <dgm:cxn modelId="{F0FFE6EB-AE9C-4810-9815-C7062640C846}" type="presOf" srcId="{6B3D54EE-C1A1-4004-889F-C4D4BDF6EAC9}" destId="{64D87879-4354-475F-B7D2-02C6A076B143}" srcOrd="0" destOrd="0" presId="urn:microsoft.com/office/officeart/2005/8/layout/hierarchy2"/>
    <dgm:cxn modelId="{66C7592E-FEAA-4667-83CF-66693216C8A7}" type="presOf" srcId="{55F8C025-9BE2-4B2F-9428-0118B186BFF5}" destId="{2A2E2352-59E9-457E-98DF-4912BB4C81D8}" srcOrd="1" destOrd="0" presId="urn:microsoft.com/office/officeart/2005/8/layout/hierarchy2"/>
    <dgm:cxn modelId="{D4CDDAE9-7C62-4A0B-A8F8-DED2D734CCC5}" type="presOf" srcId="{E940AB1E-8B9B-47A2-8BD9-747BF60EF622}" destId="{E5B675D7-FADF-404F-B306-F738FE85492B}" srcOrd="0" destOrd="0" presId="urn:microsoft.com/office/officeart/2005/8/layout/hierarchy2"/>
    <dgm:cxn modelId="{7FC5BAA8-8932-4CF2-ADF7-58E1E6668B46}" type="presOf" srcId="{750DE7A6-4FA5-4550-892E-7F9DA0F5AFBC}" destId="{AF3AB5DB-5576-4368-832A-02CE0D80A838}" srcOrd="1" destOrd="0" presId="urn:microsoft.com/office/officeart/2005/8/layout/hierarchy2"/>
    <dgm:cxn modelId="{42C57F94-2BC2-4CCF-B67C-355224F96EE1}" type="presOf" srcId="{4B55DD23-6989-41F1-9A51-2A18649DEBC5}" destId="{B3B0A708-E9E0-46FB-9715-66FD9C5B9375}" srcOrd="0" destOrd="0" presId="urn:microsoft.com/office/officeart/2005/8/layout/hierarchy2"/>
    <dgm:cxn modelId="{8DE2133D-9C53-4B0D-80E5-EA0E41F8D368}" type="presOf" srcId="{BEBC7F6F-A053-4849-B463-46EEA5843A67}" destId="{B5B87FEC-8002-408C-84F3-232C6242A218}" srcOrd="0" destOrd="0" presId="urn:microsoft.com/office/officeart/2005/8/layout/hierarchy2"/>
    <dgm:cxn modelId="{9EE12784-C5C8-439F-92F6-198E5C2E4778}" type="presOf" srcId="{0D430DEB-ABDD-4C4B-8FB0-A4A5B1EAD5A9}" destId="{DDEBD26E-123A-40B1-A0CF-C4E39D10BD48}" srcOrd="0" destOrd="0" presId="urn:microsoft.com/office/officeart/2005/8/layout/hierarchy2"/>
    <dgm:cxn modelId="{9D1B5754-4F50-488C-8F81-8560234B18D9}" type="presOf" srcId="{007118F4-1F56-4B30-961C-710D32F3D3B3}" destId="{FBE63D10-840D-4B2E-8084-854C1558A0B2}" srcOrd="1" destOrd="0" presId="urn:microsoft.com/office/officeart/2005/8/layout/hierarchy2"/>
    <dgm:cxn modelId="{12AEC37F-7C73-478D-830E-49404D71471C}" type="presOf" srcId="{6D4B58D3-D2E1-427C-AA53-6A97DD36801A}" destId="{7115C427-E421-45AE-8BAC-B591671B6306}" srcOrd="0" destOrd="0" presId="urn:microsoft.com/office/officeart/2005/8/layout/hierarchy2"/>
    <dgm:cxn modelId="{2A7478D1-7E86-45E3-A18D-B5AEB72008C0}" type="presOf" srcId="{2A298017-AF0A-47A4-AFE2-4706767D4546}" destId="{87A6C7CD-E288-4513-9306-F601715212F4}" srcOrd="1" destOrd="0" presId="urn:microsoft.com/office/officeart/2005/8/layout/hierarchy2"/>
    <dgm:cxn modelId="{44E81133-E431-4380-9DC8-402F10152B73}" type="presOf" srcId="{53AA9ED3-7551-4264-9890-EDC6C812E860}" destId="{C2120B0F-C142-4E25-8568-106632D3FBC3}" srcOrd="0" destOrd="0" presId="urn:microsoft.com/office/officeart/2005/8/layout/hierarchy2"/>
    <dgm:cxn modelId="{4EE083C2-0C24-4E30-A3FA-C4E0AAEA5322}" type="presOf" srcId="{99B60809-C79B-4B68-A255-46BBBDDC5B03}" destId="{FE9C31AA-3357-422E-9C80-E5BF9F17719C}" srcOrd="0" destOrd="0" presId="urn:microsoft.com/office/officeart/2005/8/layout/hierarchy2"/>
    <dgm:cxn modelId="{D959F67A-9BDB-410B-8E4C-D24E29A0694E}" type="presOf" srcId="{46CE447E-3144-4072-B23D-27EC67204105}" destId="{CA81001D-867B-4DA3-AC82-718D06B779DA}" srcOrd="1" destOrd="0" presId="urn:microsoft.com/office/officeart/2005/8/layout/hierarchy2"/>
    <dgm:cxn modelId="{F7A63FCC-2243-4358-B494-C5C3B31AA8B3}" type="presOf" srcId="{7D08ED02-3BE1-4242-9202-672EC6A6FE4D}" destId="{9BE91C38-3F51-41AC-B90B-60CE6F682CE4}" srcOrd="1" destOrd="0" presId="urn:microsoft.com/office/officeart/2005/8/layout/hierarchy2"/>
    <dgm:cxn modelId="{982D0C5C-ECD7-4E58-9787-9196CFF9C44E}" type="presOf" srcId="{36E78AF8-4B49-4A47-B125-B0E628EB3240}" destId="{E3AC9FDE-3BD7-4D81-8173-E5829BF1C67E}" srcOrd="0" destOrd="0" presId="urn:microsoft.com/office/officeart/2005/8/layout/hierarchy2"/>
    <dgm:cxn modelId="{CB1CCBAC-99EF-4563-B1B5-F291F87C3947}" type="presOf" srcId="{36E78AF8-4B49-4A47-B125-B0E628EB3240}" destId="{BADB5943-D955-4AA3-8C45-EA0BD34802D5}" srcOrd="1" destOrd="0" presId="urn:microsoft.com/office/officeart/2005/8/layout/hierarchy2"/>
    <dgm:cxn modelId="{D6247188-69AF-4E7F-BF62-CFCD2D506C4C}" type="presParOf" srcId="{DDEBD26E-123A-40B1-A0CF-C4E39D10BD48}" destId="{AFCB648C-0C61-4E02-997B-219E164F4269}" srcOrd="0" destOrd="0" presId="urn:microsoft.com/office/officeart/2005/8/layout/hierarchy2"/>
    <dgm:cxn modelId="{33BF2600-D6E6-4C63-B70E-417246C2E151}" type="presParOf" srcId="{AFCB648C-0C61-4E02-997B-219E164F4269}" destId="{DCC3B950-77FF-4277-BDD9-C646E2EFD9B0}" srcOrd="0" destOrd="0" presId="urn:microsoft.com/office/officeart/2005/8/layout/hierarchy2"/>
    <dgm:cxn modelId="{5E37AB4A-3793-4DE7-A8D8-109D6825DE4D}" type="presParOf" srcId="{AFCB648C-0C61-4E02-997B-219E164F4269}" destId="{48A843D5-FA08-450D-9022-623DA5D5440C}" srcOrd="1" destOrd="0" presId="urn:microsoft.com/office/officeart/2005/8/layout/hierarchy2"/>
    <dgm:cxn modelId="{A431BE5F-0806-49F0-9A78-87D7A7B750CF}" type="presParOf" srcId="{48A843D5-FA08-450D-9022-623DA5D5440C}" destId="{D2168E73-31DC-406F-B76B-7DCA3F2862C0}" srcOrd="0" destOrd="0" presId="urn:microsoft.com/office/officeart/2005/8/layout/hierarchy2"/>
    <dgm:cxn modelId="{DA9CA0BD-D0E0-473D-A437-6C8D79F91A42}" type="presParOf" srcId="{D2168E73-31DC-406F-B76B-7DCA3F2862C0}" destId="{9BE91C38-3F51-41AC-B90B-60CE6F682CE4}" srcOrd="0" destOrd="0" presId="urn:microsoft.com/office/officeart/2005/8/layout/hierarchy2"/>
    <dgm:cxn modelId="{86F194ED-FFA8-4F67-A1A4-8B521AA4866B}" type="presParOf" srcId="{48A843D5-FA08-450D-9022-623DA5D5440C}" destId="{B7C91E21-7E75-4F20-AE5E-229F772AFE81}" srcOrd="1" destOrd="0" presId="urn:microsoft.com/office/officeart/2005/8/layout/hierarchy2"/>
    <dgm:cxn modelId="{0E86B8D7-E483-415A-8F12-8EEC75FC8004}" type="presParOf" srcId="{B7C91E21-7E75-4F20-AE5E-229F772AFE81}" destId="{EC17D1A1-8535-4CF6-B5E6-CD0DAE2C503A}" srcOrd="0" destOrd="0" presId="urn:microsoft.com/office/officeart/2005/8/layout/hierarchy2"/>
    <dgm:cxn modelId="{BFC75C58-D6B4-48B9-91DC-EA44F360CBD1}" type="presParOf" srcId="{B7C91E21-7E75-4F20-AE5E-229F772AFE81}" destId="{580A5571-9D21-425F-B62A-48C1E9D949E4}" srcOrd="1" destOrd="0" presId="urn:microsoft.com/office/officeart/2005/8/layout/hierarchy2"/>
    <dgm:cxn modelId="{F08E06F2-12F6-4677-AAB8-D08997D4601B}" type="presParOf" srcId="{580A5571-9D21-425F-B62A-48C1E9D949E4}" destId="{D635C208-BE8E-4C3D-A357-B3A913E14682}" srcOrd="0" destOrd="0" presId="urn:microsoft.com/office/officeart/2005/8/layout/hierarchy2"/>
    <dgm:cxn modelId="{50C23E2F-8163-4509-ACAA-AB4704A2B534}" type="presParOf" srcId="{D635C208-BE8E-4C3D-A357-B3A913E14682}" destId="{AF3AB5DB-5576-4368-832A-02CE0D80A838}" srcOrd="0" destOrd="0" presId="urn:microsoft.com/office/officeart/2005/8/layout/hierarchy2"/>
    <dgm:cxn modelId="{07D35BB5-24F9-4FD1-9AF4-1971010ACDD3}" type="presParOf" srcId="{580A5571-9D21-425F-B62A-48C1E9D949E4}" destId="{F552F4DD-1BCB-499D-AEDE-CFEC50F9792F}" srcOrd="1" destOrd="0" presId="urn:microsoft.com/office/officeart/2005/8/layout/hierarchy2"/>
    <dgm:cxn modelId="{C1EDD9C1-A812-4F2C-AA67-79C459C8DAF9}" type="presParOf" srcId="{F552F4DD-1BCB-499D-AEDE-CFEC50F9792F}" destId="{DA4F1323-5EBC-4BAC-B2D8-7D03ADC8E49D}" srcOrd="0" destOrd="0" presId="urn:microsoft.com/office/officeart/2005/8/layout/hierarchy2"/>
    <dgm:cxn modelId="{E9EA2F33-E0A6-424B-AB74-FD70DDBAD517}" type="presParOf" srcId="{F552F4DD-1BCB-499D-AEDE-CFEC50F9792F}" destId="{8794200F-294F-4523-8F8E-BEE10C48F892}" srcOrd="1" destOrd="0" presId="urn:microsoft.com/office/officeart/2005/8/layout/hierarchy2"/>
    <dgm:cxn modelId="{CF54F024-4B2A-4C08-99BD-7BFFC738BAEC}" type="presParOf" srcId="{580A5571-9D21-425F-B62A-48C1E9D949E4}" destId="{F8B0B562-7DE2-40FD-B3FD-F4D4439D49D4}" srcOrd="2" destOrd="0" presId="urn:microsoft.com/office/officeart/2005/8/layout/hierarchy2"/>
    <dgm:cxn modelId="{01F4217C-687E-4D9A-962C-269012E3C347}" type="presParOf" srcId="{F8B0B562-7DE2-40FD-B3FD-F4D4439D49D4}" destId="{FBE63D10-840D-4B2E-8084-854C1558A0B2}" srcOrd="0" destOrd="0" presId="urn:microsoft.com/office/officeart/2005/8/layout/hierarchy2"/>
    <dgm:cxn modelId="{9DB7D55C-1407-438F-9508-B210A86AA6C2}" type="presParOf" srcId="{580A5571-9D21-425F-B62A-48C1E9D949E4}" destId="{88350415-3CCB-4E6B-A562-864CFAE47201}" srcOrd="3" destOrd="0" presId="urn:microsoft.com/office/officeart/2005/8/layout/hierarchy2"/>
    <dgm:cxn modelId="{F2BA541B-922C-46B7-BA8A-7A511949CC30}" type="presParOf" srcId="{88350415-3CCB-4E6B-A562-864CFAE47201}" destId="{58B47FE2-FD5B-42D9-A0A3-57F22BF807E5}" srcOrd="0" destOrd="0" presId="urn:microsoft.com/office/officeart/2005/8/layout/hierarchy2"/>
    <dgm:cxn modelId="{53E7E4E1-B1EC-4CD8-9E2F-60382906CC6A}" type="presParOf" srcId="{88350415-3CCB-4E6B-A562-864CFAE47201}" destId="{8FC8A1B6-5B1F-466B-B362-3BA65DA301F9}" srcOrd="1" destOrd="0" presId="urn:microsoft.com/office/officeart/2005/8/layout/hierarchy2"/>
    <dgm:cxn modelId="{DA3235CE-6C72-4461-A95C-D300350C3122}" type="presParOf" srcId="{580A5571-9D21-425F-B62A-48C1E9D949E4}" destId="{893B4D7C-1B66-4E1B-8B96-38FC942153DF}" srcOrd="4" destOrd="0" presId="urn:microsoft.com/office/officeart/2005/8/layout/hierarchy2"/>
    <dgm:cxn modelId="{E7CABDC4-CDE6-4876-A0F7-1D4DFB3BCD87}" type="presParOf" srcId="{893B4D7C-1B66-4E1B-8B96-38FC942153DF}" destId="{87A6C7CD-E288-4513-9306-F601715212F4}" srcOrd="0" destOrd="0" presId="urn:microsoft.com/office/officeart/2005/8/layout/hierarchy2"/>
    <dgm:cxn modelId="{878DAE27-5BF4-4007-994E-C553FA9AC185}" type="presParOf" srcId="{580A5571-9D21-425F-B62A-48C1E9D949E4}" destId="{246BD373-39F2-4C95-9681-DDA4BB1A5677}" srcOrd="5" destOrd="0" presId="urn:microsoft.com/office/officeart/2005/8/layout/hierarchy2"/>
    <dgm:cxn modelId="{72E691FC-1957-4671-A8CB-3E2D51E9F222}" type="presParOf" srcId="{246BD373-39F2-4C95-9681-DDA4BB1A5677}" destId="{47E3554B-4698-401E-8251-38467C198C16}" srcOrd="0" destOrd="0" presId="urn:microsoft.com/office/officeart/2005/8/layout/hierarchy2"/>
    <dgm:cxn modelId="{E95266A6-B492-48B7-ADB5-6A9707094BFE}" type="presParOf" srcId="{246BD373-39F2-4C95-9681-DDA4BB1A5677}" destId="{B033E1B8-92A7-4EB8-AD71-646F82BA2BCB}" srcOrd="1" destOrd="0" presId="urn:microsoft.com/office/officeart/2005/8/layout/hierarchy2"/>
    <dgm:cxn modelId="{94D219EE-990B-4BF4-9F51-8E5EABB3D617}" type="presParOf" srcId="{B033E1B8-92A7-4EB8-AD71-646F82BA2BCB}" destId="{46AA426D-3F16-46BC-9F5A-B19BA236DF9F}" srcOrd="0" destOrd="0" presId="urn:microsoft.com/office/officeart/2005/8/layout/hierarchy2"/>
    <dgm:cxn modelId="{F724520D-5C2E-43B7-B790-87C6AA870994}" type="presParOf" srcId="{46AA426D-3F16-46BC-9F5A-B19BA236DF9F}" destId="{2A2E2352-59E9-457E-98DF-4912BB4C81D8}" srcOrd="0" destOrd="0" presId="urn:microsoft.com/office/officeart/2005/8/layout/hierarchy2"/>
    <dgm:cxn modelId="{37071B73-543D-4702-A5EF-9FF1D972EE0F}" type="presParOf" srcId="{B033E1B8-92A7-4EB8-AD71-646F82BA2BCB}" destId="{A3EE69E5-B1BA-4BA6-8EAA-88829CB32F8B}" srcOrd="1" destOrd="0" presId="urn:microsoft.com/office/officeart/2005/8/layout/hierarchy2"/>
    <dgm:cxn modelId="{65217F0C-5244-4006-BD0E-D63555EF6883}" type="presParOf" srcId="{A3EE69E5-B1BA-4BA6-8EAA-88829CB32F8B}" destId="{7115C427-E421-45AE-8BAC-B591671B6306}" srcOrd="0" destOrd="0" presId="urn:microsoft.com/office/officeart/2005/8/layout/hierarchy2"/>
    <dgm:cxn modelId="{52DE3EF0-8F08-4537-942F-C716F53827E1}" type="presParOf" srcId="{A3EE69E5-B1BA-4BA6-8EAA-88829CB32F8B}" destId="{000BC26F-5706-4965-B35D-D565FCB602C3}" srcOrd="1" destOrd="0" presId="urn:microsoft.com/office/officeart/2005/8/layout/hierarchy2"/>
    <dgm:cxn modelId="{018DF158-0A35-43ED-9A97-8F4A38B59EDA}" type="presParOf" srcId="{B033E1B8-92A7-4EB8-AD71-646F82BA2BCB}" destId="{A6887122-913D-4ED8-B762-62940C28C8C9}" srcOrd="2" destOrd="0" presId="urn:microsoft.com/office/officeart/2005/8/layout/hierarchy2"/>
    <dgm:cxn modelId="{BA6A66ED-EBDB-451B-ABC9-A6E6E97A1E84}" type="presParOf" srcId="{A6887122-913D-4ED8-B762-62940C28C8C9}" destId="{CA81001D-867B-4DA3-AC82-718D06B779DA}" srcOrd="0" destOrd="0" presId="urn:microsoft.com/office/officeart/2005/8/layout/hierarchy2"/>
    <dgm:cxn modelId="{F897D9DF-CEAC-4032-B5BE-5C3D0D89DAAD}" type="presParOf" srcId="{B033E1B8-92A7-4EB8-AD71-646F82BA2BCB}" destId="{529F5F57-A572-43E1-AC98-04E6B55D73A6}" srcOrd="3" destOrd="0" presId="urn:microsoft.com/office/officeart/2005/8/layout/hierarchy2"/>
    <dgm:cxn modelId="{9A304C68-17A6-488D-9C7C-C4A90B3AADFF}" type="presParOf" srcId="{529F5F57-A572-43E1-AC98-04E6B55D73A6}" destId="{ADE7F7D7-9386-4BFC-AA37-A52BA66CE62B}" srcOrd="0" destOrd="0" presId="urn:microsoft.com/office/officeart/2005/8/layout/hierarchy2"/>
    <dgm:cxn modelId="{6D3190F8-ECAB-45C2-AF5F-2BD0CA6F14FA}" type="presParOf" srcId="{529F5F57-A572-43E1-AC98-04E6B55D73A6}" destId="{9823B18B-A10B-47FE-8B54-975E51149CC5}" srcOrd="1" destOrd="0" presId="urn:microsoft.com/office/officeart/2005/8/layout/hierarchy2"/>
    <dgm:cxn modelId="{C9F4270E-D0E1-4639-8797-3E144CC41956}" type="presParOf" srcId="{B033E1B8-92A7-4EB8-AD71-646F82BA2BCB}" destId="{C2120B0F-C142-4E25-8568-106632D3FBC3}" srcOrd="4" destOrd="0" presId="urn:microsoft.com/office/officeart/2005/8/layout/hierarchy2"/>
    <dgm:cxn modelId="{50EB2B0E-283B-4E8A-943D-321F6193D0FA}" type="presParOf" srcId="{C2120B0F-C142-4E25-8568-106632D3FBC3}" destId="{8AEC9595-4435-41D4-9F4A-E770511CBDFB}" srcOrd="0" destOrd="0" presId="urn:microsoft.com/office/officeart/2005/8/layout/hierarchy2"/>
    <dgm:cxn modelId="{F67D512E-235C-4226-A9C1-B3AAB29241B2}" type="presParOf" srcId="{B033E1B8-92A7-4EB8-AD71-646F82BA2BCB}" destId="{E939A806-B74C-443A-A233-AC1A7AE5EF6D}" srcOrd="5" destOrd="0" presId="urn:microsoft.com/office/officeart/2005/8/layout/hierarchy2"/>
    <dgm:cxn modelId="{8770384C-3E85-475E-B54E-413A337C2F07}" type="presParOf" srcId="{E939A806-B74C-443A-A233-AC1A7AE5EF6D}" destId="{64D87879-4354-475F-B7D2-02C6A076B143}" srcOrd="0" destOrd="0" presId="urn:microsoft.com/office/officeart/2005/8/layout/hierarchy2"/>
    <dgm:cxn modelId="{67DB1658-BE37-4E0B-8879-5341DC8CE707}" type="presParOf" srcId="{E939A806-B74C-443A-A233-AC1A7AE5EF6D}" destId="{D138D563-8C31-4134-B1C7-1F1D984AB24E}" srcOrd="1" destOrd="0" presId="urn:microsoft.com/office/officeart/2005/8/layout/hierarchy2"/>
    <dgm:cxn modelId="{695779E5-1ABE-4EFC-BA1C-1645D3588E97}" type="presParOf" srcId="{48A843D5-FA08-450D-9022-623DA5D5440C}" destId="{CCDB1F11-63AB-43E5-A9A0-0FFD4113C9B2}" srcOrd="2" destOrd="0" presId="urn:microsoft.com/office/officeart/2005/8/layout/hierarchy2"/>
    <dgm:cxn modelId="{7C8D33B4-98EB-433D-846E-71071751B4B5}" type="presParOf" srcId="{CCDB1F11-63AB-43E5-A9A0-0FFD4113C9B2}" destId="{4B9FC140-1EC5-4700-A383-04EDDD6CB829}" srcOrd="0" destOrd="0" presId="urn:microsoft.com/office/officeart/2005/8/layout/hierarchy2"/>
    <dgm:cxn modelId="{0971D247-8C02-400C-BCA2-60C5E7338745}" type="presParOf" srcId="{48A843D5-FA08-450D-9022-623DA5D5440C}" destId="{265E304E-EE31-4DA4-8A8B-667B195ED4DB}" srcOrd="3" destOrd="0" presId="urn:microsoft.com/office/officeart/2005/8/layout/hierarchy2"/>
    <dgm:cxn modelId="{BF67CAA4-1A16-4FC6-A4EA-2370AC692168}" type="presParOf" srcId="{265E304E-EE31-4DA4-8A8B-667B195ED4DB}" destId="{FE9C31AA-3357-422E-9C80-E5BF9F17719C}" srcOrd="0" destOrd="0" presId="urn:microsoft.com/office/officeart/2005/8/layout/hierarchy2"/>
    <dgm:cxn modelId="{03C7B3D7-AE26-4C7D-9B27-287A00A0759C}" type="presParOf" srcId="{265E304E-EE31-4DA4-8A8B-667B195ED4DB}" destId="{37917414-C8C8-4E0B-A5C4-3ED5CD72DA33}" srcOrd="1" destOrd="0" presId="urn:microsoft.com/office/officeart/2005/8/layout/hierarchy2"/>
    <dgm:cxn modelId="{FD6C92B5-0C55-4734-BD8E-5AEE573006A7}" type="presParOf" srcId="{37917414-C8C8-4E0B-A5C4-3ED5CD72DA33}" destId="{E3AC9FDE-3BD7-4D81-8173-E5829BF1C67E}" srcOrd="0" destOrd="0" presId="urn:microsoft.com/office/officeart/2005/8/layout/hierarchy2"/>
    <dgm:cxn modelId="{B5689359-E94E-4AD9-B042-77F52CD8E722}" type="presParOf" srcId="{E3AC9FDE-3BD7-4D81-8173-E5829BF1C67E}" destId="{BADB5943-D955-4AA3-8C45-EA0BD34802D5}" srcOrd="0" destOrd="0" presId="urn:microsoft.com/office/officeart/2005/8/layout/hierarchy2"/>
    <dgm:cxn modelId="{AD9B9496-EAB7-4D44-911E-A0BF40B7EC1B}" type="presParOf" srcId="{37917414-C8C8-4E0B-A5C4-3ED5CD72DA33}" destId="{B7207447-A7AF-4BD4-B0E5-DEAE22ACC765}" srcOrd="1" destOrd="0" presId="urn:microsoft.com/office/officeart/2005/8/layout/hierarchy2"/>
    <dgm:cxn modelId="{5D48CAFF-0945-4F64-B354-DB2110CCFD4A}" type="presParOf" srcId="{B7207447-A7AF-4BD4-B0E5-DEAE22ACC765}" destId="{B3B0A708-E9E0-46FB-9715-66FD9C5B9375}" srcOrd="0" destOrd="0" presId="urn:microsoft.com/office/officeart/2005/8/layout/hierarchy2"/>
    <dgm:cxn modelId="{B23CB764-BE73-47FE-B07A-E8D7E710928B}" type="presParOf" srcId="{B7207447-A7AF-4BD4-B0E5-DEAE22ACC765}" destId="{63AF4224-6D0C-4F82-ADDF-5CA41011D02A}" srcOrd="1" destOrd="0" presId="urn:microsoft.com/office/officeart/2005/8/layout/hierarchy2"/>
    <dgm:cxn modelId="{46A86C71-9FD0-41AA-AE43-F5445AD5E3E5}" type="presParOf" srcId="{48A843D5-FA08-450D-9022-623DA5D5440C}" destId="{E5B675D7-FADF-404F-B306-F738FE85492B}" srcOrd="4" destOrd="0" presId="urn:microsoft.com/office/officeart/2005/8/layout/hierarchy2"/>
    <dgm:cxn modelId="{10BA2100-D0EB-4D1C-B7A6-6A0E5C2916F9}" type="presParOf" srcId="{E5B675D7-FADF-404F-B306-F738FE85492B}" destId="{E2ED2DF5-A913-4AC8-A4E5-0544D95BF0F9}" srcOrd="0" destOrd="0" presId="urn:microsoft.com/office/officeart/2005/8/layout/hierarchy2"/>
    <dgm:cxn modelId="{0FD737EF-B45B-4548-A5A0-0BE5605DCB0E}" type="presParOf" srcId="{48A843D5-FA08-450D-9022-623DA5D5440C}" destId="{CA2E3E7B-2868-4E81-B51D-856E00F87C0A}" srcOrd="5" destOrd="0" presId="urn:microsoft.com/office/officeart/2005/8/layout/hierarchy2"/>
    <dgm:cxn modelId="{A4DDCAC1-55D1-449B-8E97-FA809148C4B5}" type="presParOf" srcId="{CA2E3E7B-2868-4E81-B51D-856E00F87C0A}" destId="{B5B87FEC-8002-408C-84F3-232C6242A218}" srcOrd="0" destOrd="0" presId="urn:microsoft.com/office/officeart/2005/8/layout/hierarchy2"/>
    <dgm:cxn modelId="{BF81AE0D-233A-4B83-BBC8-C66C2E686355}"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56680-F7E8-4173-8F5E-840248955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239</Pages>
  <Words>87364</Words>
  <Characters>497981</Characters>
  <Application>Microsoft Office Word</Application>
  <DocSecurity>0</DocSecurity>
  <Lines>4149</Lines>
  <Paragraphs>1168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584177</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Beňov Miloš</cp:lastModifiedBy>
  <cp:revision>27</cp:revision>
  <cp:lastPrinted>2014-05-06T13:48:00Z</cp:lastPrinted>
  <dcterms:created xsi:type="dcterms:W3CDTF">2014-05-06T05:30:00Z</dcterms:created>
  <dcterms:modified xsi:type="dcterms:W3CDTF">2014-05-06T14:56:00Z</dcterms:modified>
</cp:coreProperties>
</file>