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116" w:rsidRPr="009C428B" w:rsidRDefault="007E5116" w:rsidP="00683D83">
      <w:pPr>
        <w:pStyle w:val="Nadpis1"/>
        <w:numPr>
          <w:ilvl w:val="0"/>
          <w:numId w:val="0"/>
        </w:numPr>
        <w:rPr>
          <w:rFonts w:ascii="Times New Roman" w:hAnsi="Times New Roman" w:cs="Times New Roman"/>
        </w:rPr>
      </w:pPr>
      <w:r w:rsidRPr="009C428B">
        <w:rPr>
          <w:rFonts w:ascii="Times New Roman" w:hAnsi="Times New Roman" w:cs="Times New Roman"/>
        </w:rPr>
        <w:t>PRÍLOHY</w:t>
      </w:r>
    </w:p>
    <w:p w:rsidR="00564326" w:rsidRDefault="001D519E" w:rsidP="001D519E">
      <w:pPr>
        <w:jc w:val="both"/>
        <w:rPr>
          <w:color w:val="000000"/>
          <w:sz w:val="20"/>
          <w:szCs w:val="20"/>
        </w:rPr>
      </w:pPr>
      <w:r>
        <w:rPr>
          <w:b/>
          <w:color w:val="000000"/>
        </w:rPr>
        <w:t xml:space="preserve">a) </w:t>
      </w:r>
      <w:r w:rsidR="007E5116" w:rsidRPr="009C428B">
        <w:rPr>
          <w:b/>
          <w:color w:val="000000"/>
        </w:rPr>
        <w:t xml:space="preserve">Analýzy </w:t>
      </w:r>
      <w:r w:rsidR="007E5116" w:rsidRPr="009C428B">
        <w:rPr>
          <w:color w:val="000000"/>
          <w:sz w:val="20"/>
          <w:szCs w:val="20"/>
        </w:rPr>
        <w:t xml:space="preserve">(všetky podkladové materiály a odkazy z jednotlivých ministerstiev a iných inštitúcií – napr. SAV, Slovenská inovačná a energetická agentúra, Agentúry pre cestovný ruch, </w:t>
      </w:r>
      <w:proofErr w:type="spellStart"/>
      <w:r w:rsidR="007E5116" w:rsidRPr="009C428B">
        <w:rPr>
          <w:color w:val="000000"/>
          <w:sz w:val="20"/>
          <w:szCs w:val="20"/>
        </w:rPr>
        <w:t>atď</w:t>
      </w:r>
      <w:proofErr w:type="spellEnd"/>
      <w:r w:rsidR="007E5116" w:rsidRPr="009C428B">
        <w:rPr>
          <w:color w:val="000000"/>
          <w:sz w:val="20"/>
          <w:szCs w:val="20"/>
        </w:rPr>
        <w:t xml:space="preserve">...) </w:t>
      </w:r>
    </w:p>
    <w:p w:rsidR="006C5164" w:rsidRDefault="006C5164" w:rsidP="001D519E">
      <w:pPr>
        <w:jc w:val="both"/>
        <w:rPr>
          <w:color w:val="000000"/>
          <w:sz w:val="20"/>
          <w:szCs w:val="20"/>
        </w:rPr>
        <w:sectPr w:rsidR="006C5164" w:rsidSect="004845A5">
          <w:footerReference w:type="default" r:id="rId13"/>
          <w:type w:val="continuous"/>
          <w:pgSz w:w="11906" w:h="16838" w:code="9"/>
          <w:pgMar w:top="1418" w:right="1418" w:bottom="993" w:left="1418" w:header="709" w:footer="709" w:gutter="0"/>
          <w:pgNumType w:start="1"/>
          <w:cols w:space="708"/>
          <w:docGrid w:linePitch="360"/>
        </w:sectPr>
      </w:pPr>
    </w:p>
    <w:p w:rsidR="00564326" w:rsidRPr="009C428B" w:rsidRDefault="00564326" w:rsidP="001D519E">
      <w:pPr>
        <w:jc w:val="both"/>
        <w:rPr>
          <w:color w:val="000000"/>
          <w:sz w:val="20"/>
          <w:szCs w:val="20"/>
        </w:rPr>
      </w:pPr>
      <w:r>
        <w:rPr>
          <w:rStyle w:val="Siln"/>
          <w:rFonts w:ascii="Verdana" w:hAnsi="Verdana"/>
          <w:color w:val="000000"/>
          <w:sz w:val="15"/>
          <w:szCs w:val="15"/>
          <w:shd w:val="clear" w:color="auto" w:fill="FFFFFF"/>
        </w:rPr>
        <w:lastRenderedPageBreak/>
        <w:t>Vývoj konečnej energetickej spotreby palív, elektriny a tepla v priemysle (TJ)</w:t>
      </w:r>
    </w:p>
    <w:tbl>
      <w:tblPr>
        <w:tblW w:w="14980" w:type="dxa"/>
        <w:tblInd w:w="55" w:type="dxa"/>
        <w:tblCellMar>
          <w:left w:w="70" w:type="dxa"/>
          <w:right w:w="70" w:type="dxa"/>
        </w:tblCellMar>
        <w:tblLook w:val="04A0" w:firstRow="1" w:lastRow="0" w:firstColumn="1" w:lastColumn="0" w:noHBand="0" w:noVBand="1"/>
      </w:tblPr>
      <w:tblGrid>
        <w:gridCol w:w="4420"/>
        <w:gridCol w:w="960"/>
        <w:gridCol w:w="960"/>
        <w:gridCol w:w="960"/>
        <w:gridCol w:w="960"/>
        <w:gridCol w:w="960"/>
        <w:gridCol w:w="960"/>
        <w:gridCol w:w="960"/>
        <w:gridCol w:w="960"/>
        <w:gridCol w:w="960"/>
        <w:gridCol w:w="960"/>
        <w:gridCol w:w="960"/>
      </w:tblGrid>
      <w:tr w:rsidR="00564326" w:rsidRPr="006C5164" w:rsidTr="00564326">
        <w:trPr>
          <w:trHeight w:val="255"/>
        </w:trPr>
        <w:tc>
          <w:tcPr>
            <w:tcW w:w="4420" w:type="dxa"/>
            <w:tcBorders>
              <w:top w:val="nil"/>
              <w:left w:val="nil"/>
              <w:bottom w:val="nil"/>
              <w:right w:val="nil"/>
            </w:tcBorders>
            <w:shd w:val="clear" w:color="auto" w:fill="auto"/>
            <w:noWrap/>
            <w:vAlign w:val="bottom"/>
          </w:tcPr>
          <w:p w:rsidR="00564326" w:rsidRPr="006C5164" w:rsidRDefault="00564326" w:rsidP="00564326">
            <w:pP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64326" w:rsidRPr="006C5164" w:rsidRDefault="00564326" w:rsidP="00564326">
            <w:pPr>
              <w:jc w:val="center"/>
              <w:rPr>
                <w:rFonts w:ascii="Arial" w:hAnsi="Arial" w:cs="Arial"/>
                <w:b/>
                <w:bCs/>
                <w:sz w:val="16"/>
                <w:szCs w:val="16"/>
              </w:rPr>
            </w:pPr>
            <w:r w:rsidRPr="006C5164">
              <w:rPr>
                <w:rFonts w:ascii="Arial" w:hAnsi="Arial" w:cs="Arial"/>
                <w:b/>
                <w:bCs/>
                <w:sz w:val="16"/>
                <w:szCs w:val="16"/>
              </w:rPr>
              <w:t>2012</w:t>
            </w:r>
          </w:p>
        </w:tc>
      </w:tr>
      <w:tr w:rsidR="00564326" w:rsidRPr="006C5164" w:rsidTr="00564326">
        <w:trPr>
          <w:trHeight w:val="255"/>
        </w:trPr>
        <w:tc>
          <w:tcPr>
            <w:tcW w:w="4420" w:type="dxa"/>
            <w:tcBorders>
              <w:top w:val="single" w:sz="4" w:space="0" w:color="000000"/>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Železiarstvo a oceliarstvo</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38 208</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44 471</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44 526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42 718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46 806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46 541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43 896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5 492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41 661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41 832</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42 615</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Metalurgia neželezných kovov</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7 844</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8 965</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10 127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10 091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10 082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10 222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10 827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9 316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10 291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10 324</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10 376</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Chemický priemysel</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29 176</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23 701</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18 953</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20 491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17 357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18 310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19 626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14 590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14 076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13 652</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17 685</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Nekovové minerálne výrobky</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20 792</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20 123</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17 127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20 836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19 372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20 841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19 127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15 741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15 739</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16 756</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14 428</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Ťažba nerastných surovín</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2 115</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1 935</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1 794</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1 820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1 929</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1 926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1 535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395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447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463</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459</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Potraviny, nápoje a tabak</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12 259</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9 888</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8 389</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8 888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7 854</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7 535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6 545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5 780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5 041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5 060</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5 907</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Textil a koža</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2 892</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2 941</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3 341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2 762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2 024</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1 798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1 644</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1 307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1 748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2 065</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1 464</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 xml:space="preserve">Celulóza, </w:t>
            </w:r>
            <w:proofErr w:type="spellStart"/>
            <w:r w:rsidRPr="00564326">
              <w:rPr>
                <w:rFonts w:ascii="Verdana" w:hAnsi="Verdana" w:cs="Arial"/>
                <w:b/>
                <w:bCs/>
                <w:color w:val="000000"/>
                <w:sz w:val="16"/>
                <w:szCs w:val="16"/>
              </w:rPr>
              <w:t>papierenstvo</w:t>
            </w:r>
            <w:proofErr w:type="spellEnd"/>
            <w:r w:rsidRPr="00564326">
              <w:rPr>
                <w:rFonts w:ascii="Verdana" w:hAnsi="Verdana" w:cs="Arial"/>
                <w:b/>
                <w:bCs/>
                <w:color w:val="000000"/>
                <w:sz w:val="16"/>
                <w:szCs w:val="16"/>
              </w:rPr>
              <w:t xml:space="preserve"> a polygrafia</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17 814</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20 118</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20 438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20 149</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21 518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23 800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23 149</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26 470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22 207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20 960</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17 900</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Strojárstvo a dopravné zariadenia</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9 585</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12 373</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9 696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9 466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11 540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12 936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14 036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10 947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12 843</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13 523</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14 257</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Inde nešpecifikované</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11 364</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10 219</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9 507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11 564</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9 899</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9 795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10 206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10 000</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10 215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10 940</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9 601</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Podiel priemyslu na celkovej spotrebe (%)</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34,3</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b/>
                <w:bCs/>
                <w:color w:val="000000"/>
                <w:sz w:val="16"/>
                <w:szCs w:val="16"/>
              </w:rPr>
            </w:pPr>
            <w:r w:rsidRPr="00C05229">
              <w:rPr>
                <w:rFonts w:ascii="Verdana" w:hAnsi="Verdana" w:cs="Arial"/>
                <w:b/>
                <w:bCs/>
                <w:color w:val="000000"/>
                <w:sz w:val="16"/>
                <w:szCs w:val="16"/>
              </w:rPr>
              <w:t>36,8</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b/>
                <w:bCs/>
                <w:color w:val="000000"/>
                <w:sz w:val="16"/>
                <w:szCs w:val="16"/>
              </w:rPr>
            </w:pPr>
            <w:r w:rsidRPr="00E97433">
              <w:rPr>
                <w:rFonts w:ascii="Verdana" w:hAnsi="Verdana" w:cs="Arial"/>
                <w:b/>
                <w:bCs/>
                <w:color w:val="000000"/>
                <w:sz w:val="16"/>
                <w:szCs w:val="16"/>
              </w:rPr>
              <w:t>34,7</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36,8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36,5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37,6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36</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33,5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34,7</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b/>
                <w:bCs/>
                <w:color w:val="000000"/>
                <w:sz w:val="16"/>
                <w:szCs w:val="16"/>
              </w:rPr>
            </w:pPr>
            <w:r w:rsidRPr="00564326">
              <w:rPr>
                <w:rFonts w:ascii="Verdana" w:hAnsi="Verdana" w:cs="Arial"/>
                <w:b/>
                <w:bCs/>
                <w:color w:val="000000"/>
                <w:sz w:val="16"/>
                <w:szCs w:val="16"/>
              </w:rPr>
              <w:t>35,5</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Priemysel</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152 049</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154 734</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143 898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148 785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148 381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153 704</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150 591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130 038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134 268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135 575</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134 692</w:t>
            </w:r>
          </w:p>
        </w:tc>
      </w:tr>
      <w:tr w:rsidR="00564326" w:rsidRPr="006C5164" w:rsidTr="00564326">
        <w:trPr>
          <w:trHeight w:val="255"/>
        </w:trPr>
        <w:tc>
          <w:tcPr>
            <w:tcW w:w="4420" w:type="dxa"/>
            <w:tcBorders>
              <w:top w:val="nil"/>
              <w:left w:val="single" w:sz="4" w:space="0" w:color="000000"/>
              <w:bottom w:val="single" w:sz="4" w:space="0" w:color="000000"/>
              <w:right w:val="single" w:sz="4" w:space="0" w:color="000000"/>
            </w:tcBorders>
            <w:shd w:val="clear" w:color="000000" w:fill="FFFFFF"/>
            <w:noWrap/>
          </w:tcPr>
          <w:p w:rsidR="00564326" w:rsidRPr="00564326" w:rsidRDefault="00564326" w:rsidP="00564326">
            <w:pPr>
              <w:rPr>
                <w:rFonts w:ascii="Verdana" w:hAnsi="Verdana" w:cs="Arial"/>
                <w:b/>
                <w:bCs/>
                <w:color w:val="000000"/>
                <w:sz w:val="16"/>
                <w:szCs w:val="16"/>
              </w:rPr>
            </w:pPr>
            <w:r w:rsidRPr="00564326">
              <w:rPr>
                <w:rFonts w:ascii="Verdana" w:hAnsi="Verdana" w:cs="Arial"/>
                <w:b/>
                <w:bCs/>
                <w:color w:val="000000"/>
                <w:sz w:val="16"/>
                <w:szCs w:val="16"/>
              </w:rPr>
              <w:t>Konečná energetická spotreba NH</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443 301</w:t>
            </w:r>
          </w:p>
        </w:tc>
        <w:tc>
          <w:tcPr>
            <w:tcW w:w="960" w:type="dxa"/>
            <w:tcBorders>
              <w:top w:val="nil"/>
              <w:left w:val="nil"/>
              <w:bottom w:val="single" w:sz="4" w:space="0" w:color="000000"/>
              <w:right w:val="single" w:sz="4" w:space="0" w:color="000000"/>
            </w:tcBorders>
            <w:shd w:val="clear" w:color="000000" w:fill="FFFFFF"/>
            <w:noWrap/>
          </w:tcPr>
          <w:p w:rsidR="00564326" w:rsidRPr="00C05229" w:rsidRDefault="00564326" w:rsidP="00564326">
            <w:pPr>
              <w:jc w:val="right"/>
              <w:rPr>
                <w:rFonts w:ascii="Verdana" w:hAnsi="Verdana" w:cs="Arial"/>
                <w:color w:val="000000"/>
                <w:sz w:val="16"/>
                <w:szCs w:val="16"/>
              </w:rPr>
            </w:pPr>
            <w:r w:rsidRPr="00C05229">
              <w:rPr>
                <w:rFonts w:ascii="Verdana" w:hAnsi="Verdana" w:cs="Arial"/>
                <w:color w:val="000000"/>
                <w:sz w:val="16"/>
                <w:szCs w:val="16"/>
              </w:rPr>
              <w:t>420 963</w:t>
            </w:r>
          </w:p>
        </w:tc>
        <w:tc>
          <w:tcPr>
            <w:tcW w:w="960" w:type="dxa"/>
            <w:tcBorders>
              <w:top w:val="nil"/>
              <w:left w:val="nil"/>
              <w:bottom w:val="single" w:sz="4" w:space="0" w:color="000000"/>
              <w:right w:val="single" w:sz="4" w:space="0" w:color="000000"/>
            </w:tcBorders>
            <w:shd w:val="clear" w:color="000000" w:fill="FFFFFF"/>
            <w:noWrap/>
          </w:tcPr>
          <w:p w:rsidR="00564326" w:rsidRPr="00E97433" w:rsidRDefault="00564326" w:rsidP="00564326">
            <w:pPr>
              <w:jc w:val="right"/>
              <w:rPr>
                <w:rFonts w:ascii="Verdana" w:hAnsi="Verdana" w:cs="Arial"/>
                <w:color w:val="000000"/>
                <w:sz w:val="16"/>
                <w:szCs w:val="16"/>
              </w:rPr>
            </w:pPr>
            <w:r w:rsidRPr="00E97433">
              <w:rPr>
                <w:rFonts w:ascii="Verdana" w:hAnsi="Verdana" w:cs="Arial"/>
                <w:color w:val="000000"/>
                <w:sz w:val="16"/>
                <w:szCs w:val="16"/>
              </w:rPr>
              <w:t>414 612</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404 068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406 458</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409 033</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418 291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388 725</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419 031</w:t>
            </w:r>
          </w:p>
        </w:tc>
        <w:tc>
          <w:tcPr>
            <w:tcW w:w="960" w:type="dxa"/>
            <w:tcBorders>
              <w:top w:val="nil"/>
              <w:left w:val="nil"/>
              <w:bottom w:val="single" w:sz="4" w:space="0" w:color="000000"/>
              <w:right w:val="single" w:sz="4" w:space="0" w:color="000000"/>
            </w:tcBorders>
            <w:shd w:val="clear" w:color="000000" w:fill="FFFFFF"/>
            <w:noWrap/>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390 845</w:t>
            </w:r>
          </w:p>
        </w:tc>
        <w:tc>
          <w:tcPr>
            <w:tcW w:w="960" w:type="dxa"/>
            <w:tcBorders>
              <w:top w:val="nil"/>
              <w:left w:val="nil"/>
              <w:bottom w:val="single" w:sz="4" w:space="0" w:color="000000"/>
              <w:right w:val="single" w:sz="4" w:space="0" w:color="000000"/>
            </w:tcBorders>
            <w:shd w:val="clear" w:color="000000" w:fill="FFFFFF"/>
          </w:tcPr>
          <w:p w:rsidR="00564326" w:rsidRPr="00564326" w:rsidRDefault="00564326" w:rsidP="00564326">
            <w:pPr>
              <w:jc w:val="right"/>
              <w:rPr>
                <w:rFonts w:ascii="Verdana" w:hAnsi="Verdana" w:cs="Arial"/>
                <w:color w:val="000000"/>
                <w:sz w:val="16"/>
                <w:szCs w:val="16"/>
              </w:rPr>
            </w:pPr>
            <w:r w:rsidRPr="00564326">
              <w:rPr>
                <w:rFonts w:ascii="Verdana" w:hAnsi="Verdana" w:cs="Arial"/>
                <w:color w:val="000000"/>
                <w:sz w:val="16"/>
                <w:szCs w:val="16"/>
              </w:rPr>
              <w:t>379 105</w:t>
            </w:r>
          </w:p>
        </w:tc>
      </w:tr>
    </w:tbl>
    <w:p w:rsidR="007E5116" w:rsidRPr="009C428B" w:rsidRDefault="007E5116" w:rsidP="001D519E">
      <w:pPr>
        <w:jc w:val="both"/>
        <w:rPr>
          <w:color w:val="000000"/>
          <w:sz w:val="20"/>
          <w:szCs w:val="20"/>
        </w:rPr>
      </w:pPr>
    </w:p>
    <w:p w:rsidR="00092DE0" w:rsidRDefault="00092DE0" w:rsidP="00C74C1D">
      <w:r>
        <w:t xml:space="preserve">    </w:t>
      </w:r>
    </w:p>
    <w:p w:rsidR="00092DE0" w:rsidRPr="00092DE0" w:rsidRDefault="00092DE0" w:rsidP="00092DE0"/>
    <w:p w:rsidR="006C5164" w:rsidRPr="00092DE0" w:rsidRDefault="006C5164" w:rsidP="00092DE0">
      <w:pPr>
        <w:sectPr w:rsidR="006C5164" w:rsidRPr="00092DE0" w:rsidSect="006C5164">
          <w:pgSz w:w="16838" w:h="11906" w:orient="landscape" w:code="9"/>
          <w:pgMar w:top="1418" w:right="1418" w:bottom="1418" w:left="992" w:header="709" w:footer="709" w:gutter="0"/>
          <w:cols w:space="708"/>
          <w:docGrid w:linePitch="360"/>
        </w:sectPr>
      </w:pPr>
    </w:p>
    <w:p w:rsidR="0020720D" w:rsidRPr="0020720D" w:rsidRDefault="0020720D" w:rsidP="0020720D">
      <w:pPr>
        <w:rPr>
          <w:b/>
        </w:rPr>
      </w:pPr>
      <w:r w:rsidRPr="0020720D">
        <w:rPr>
          <w:b/>
        </w:rPr>
        <w:lastRenderedPageBreak/>
        <w:t>Tab. 2 Prepojenie Stratégie hospodárskej politiky na iné strategické dokumenty</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8"/>
        <w:gridCol w:w="1843"/>
        <w:gridCol w:w="1559"/>
        <w:gridCol w:w="1559"/>
        <w:gridCol w:w="2835"/>
        <w:gridCol w:w="1701"/>
        <w:gridCol w:w="2410"/>
        <w:gridCol w:w="1701"/>
      </w:tblGrid>
      <w:tr w:rsidR="00E56B8D" w:rsidRPr="0020720D" w:rsidTr="0020469F">
        <w:trPr>
          <w:trHeight w:val="602"/>
        </w:trPr>
        <w:tc>
          <w:tcPr>
            <w:tcW w:w="1418" w:type="dxa"/>
            <w:shd w:val="clear" w:color="auto" w:fill="FFFFFF"/>
            <w:hideMark/>
          </w:tcPr>
          <w:p w:rsidR="0020469F" w:rsidRPr="0020469F" w:rsidRDefault="0020469F" w:rsidP="0020720D">
            <w:pPr>
              <w:rPr>
                <w:b/>
                <w:sz w:val="23"/>
                <w:szCs w:val="23"/>
              </w:rPr>
            </w:pPr>
            <w:r w:rsidRPr="0020469F">
              <w:rPr>
                <w:b/>
                <w:sz w:val="23"/>
                <w:szCs w:val="23"/>
              </w:rPr>
              <w:t>Výskum, vývoj a inovácie</w:t>
            </w:r>
          </w:p>
        </w:tc>
        <w:tc>
          <w:tcPr>
            <w:tcW w:w="1843" w:type="dxa"/>
            <w:shd w:val="clear" w:color="auto" w:fill="FFFFFF"/>
            <w:hideMark/>
          </w:tcPr>
          <w:p w:rsidR="0020469F" w:rsidRPr="0020469F" w:rsidRDefault="0020469F" w:rsidP="0020720D">
            <w:pPr>
              <w:rPr>
                <w:b/>
                <w:sz w:val="23"/>
                <w:szCs w:val="23"/>
              </w:rPr>
            </w:pPr>
            <w:r w:rsidRPr="0020469F">
              <w:rPr>
                <w:b/>
                <w:sz w:val="23"/>
                <w:szCs w:val="23"/>
              </w:rPr>
              <w:t>Rozvoj ľudských zdrojov</w:t>
            </w:r>
          </w:p>
        </w:tc>
        <w:tc>
          <w:tcPr>
            <w:tcW w:w="1559" w:type="dxa"/>
            <w:shd w:val="clear" w:color="auto" w:fill="FFFFFF"/>
            <w:hideMark/>
          </w:tcPr>
          <w:p w:rsidR="0020469F" w:rsidRPr="0020469F" w:rsidRDefault="0020469F" w:rsidP="0020720D">
            <w:pPr>
              <w:rPr>
                <w:b/>
                <w:sz w:val="23"/>
                <w:szCs w:val="23"/>
              </w:rPr>
            </w:pPr>
            <w:r w:rsidRPr="0020469F">
              <w:rPr>
                <w:b/>
                <w:sz w:val="23"/>
                <w:szCs w:val="23"/>
              </w:rPr>
              <w:t>Energetická bezpečnosť</w:t>
            </w:r>
          </w:p>
        </w:tc>
        <w:tc>
          <w:tcPr>
            <w:tcW w:w="1559" w:type="dxa"/>
            <w:shd w:val="clear" w:color="auto" w:fill="FFFFFF"/>
            <w:hideMark/>
          </w:tcPr>
          <w:p w:rsidR="0020469F" w:rsidRPr="0020469F" w:rsidRDefault="0020469F" w:rsidP="0020720D">
            <w:pPr>
              <w:rPr>
                <w:b/>
                <w:sz w:val="23"/>
                <w:szCs w:val="23"/>
              </w:rPr>
            </w:pPr>
            <w:r w:rsidRPr="0020469F">
              <w:rPr>
                <w:b/>
                <w:sz w:val="23"/>
                <w:szCs w:val="23"/>
              </w:rPr>
              <w:t>Konsolidácia verejných financií</w:t>
            </w:r>
          </w:p>
        </w:tc>
        <w:tc>
          <w:tcPr>
            <w:tcW w:w="2835" w:type="dxa"/>
            <w:shd w:val="clear" w:color="auto" w:fill="FFFFFF"/>
            <w:hideMark/>
          </w:tcPr>
          <w:p w:rsidR="0020469F" w:rsidRPr="0020469F" w:rsidRDefault="0020469F" w:rsidP="0020720D">
            <w:pPr>
              <w:rPr>
                <w:b/>
                <w:sz w:val="23"/>
                <w:szCs w:val="23"/>
              </w:rPr>
            </w:pPr>
            <w:r w:rsidRPr="0020469F">
              <w:rPr>
                <w:b/>
                <w:sz w:val="23"/>
                <w:szCs w:val="23"/>
              </w:rPr>
              <w:t>Kvalitné podnikateľské prostredie</w:t>
            </w:r>
          </w:p>
        </w:tc>
        <w:tc>
          <w:tcPr>
            <w:tcW w:w="1701" w:type="dxa"/>
            <w:shd w:val="clear" w:color="auto" w:fill="FFFFFF"/>
            <w:hideMark/>
          </w:tcPr>
          <w:p w:rsidR="0020469F" w:rsidRPr="0020469F" w:rsidRDefault="0020469F" w:rsidP="0020720D">
            <w:pPr>
              <w:rPr>
                <w:b/>
                <w:sz w:val="23"/>
                <w:szCs w:val="23"/>
              </w:rPr>
            </w:pPr>
            <w:r w:rsidRPr="0020469F">
              <w:rPr>
                <w:b/>
                <w:sz w:val="23"/>
                <w:szCs w:val="23"/>
              </w:rPr>
              <w:t>Zamestnanosť a trh práce</w:t>
            </w:r>
          </w:p>
        </w:tc>
        <w:tc>
          <w:tcPr>
            <w:tcW w:w="2410" w:type="dxa"/>
            <w:shd w:val="clear" w:color="auto" w:fill="FFFFFF"/>
            <w:hideMark/>
          </w:tcPr>
          <w:p w:rsidR="0020469F" w:rsidRPr="0020469F" w:rsidRDefault="0020469F" w:rsidP="0020720D">
            <w:pPr>
              <w:rPr>
                <w:b/>
                <w:sz w:val="23"/>
                <w:szCs w:val="23"/>
              </w:rPr>
            </w:pPr>
            <w:r w:rsidRPr="0020469F">
              <w:rPr>
                <w:b/>
                <w:sz w:val="23"/>
                <w:szCs w:val="23"/>
              </w:rPr>
              <w:t>Rozvoj regiónov</w:t>
            </w:r>
          </w:p>
        </w:tc>
        <w:tc>
          <w:tcPr>
            <w:tcW w:w="1701" w:type="dxa"/>
            <w:shd w:val="clear" w:color="auto" w:fill="FFFFFF"/>
          </w:tcPr>
          <w:p w:rsidR="0020469F" w:rsidRPr="0020469F" w:rsidRDefault="0020469F" w:rsidP="00F63B6B">
            <w:pPr>
              <w:rPr>
                <w:b/>
                <w:sz w:val="23"/>
                <w:szCs w:val="23"/>
              </w:rPr>
            </w:pPr>
            <w:r w:rsidRPr="0020469F">
              <w:rPr>
                <w:b/>
                <w:sz w:val="23"/>
                <w:szCs w:val="23"/>
              </w:rPr>
              <w:t>Zahraničný obchod</w:t>
            </w:r>
          </w:p>
        </w:tc>
      </w:tr>
      <w:tr w:rsidR="00E56B8D" w:rsidRPr="0020720D" w:rsidTr="0020469F">
        <w:trPr>
          <w:trHeight w:val="968"/>
        </w:trPr>
        <w:tc>
          <w:tcPr>
            <w:tcW w:w="1418" w:type="dxa"/>
            <w:shd w:val="clear" w:color="auto" w:fill="FFFFFF"/>
            <w:noWrap/>
            <w:hideMark/>
          </w:tcPr>
          <w:p w:rsidR="0020469F" w:rsidRPr="0020720D" w:rsidRDefault="0020469F" w:rsidP="0020720D">
            <w:pPr>
              <w:rPr>
                <w:sz w:val="22"/>
                <w:szCs w:val="22"/>
              </w:rPr>
            </w:pPr>
            <w:r w:rsidRPr="0020720D">
              <w:rPr>
                <w:sz w:val="22"/>
                <w:szCs w:val="22"/>
              </w:rPr>
              <w:t>RIS 3</w:t>
            </w:r>
          </w:p>
        </w:tc>
        <w:tc>
          <w:tcPr>
            <w:tcW w:w="1843" w:type="dxa"/>
            <w:shd w:val="clear" w:color="auto" w:fill="FFFFFF"/>
            <w:hideMark/>
          </w:tcPr>
          <w:p w:rsidR="0020469F" w:rsidRPr="0020720D" w:rsidRDefault="0020469F" w:rsidP="0020720D">
            <w:pPr>
              <w:rPr>
                <w:sz w:val="22"/>
                <w:szCs w:val="22"/>
              </w:rPr>
            </w:pPr>
            <w:r w:rsidRPr="0020720D">
              <w:rPr>
                <w:sz w:val="22"/>
                <w:szCs w:val="22"/>
              </w:rPr>
              <w:t>Strategický rámec starostlivosti o zdravie pre roky 2013 - 2030+</w:t>
            </w:r>
          </w:p>
        </w:tc>
        <w:tc>
          <w:tcPr>
            <w:tcW w:w="1559" w:type="dxa"/>
            <w:shd w:val="clear" w:color="auto" w:fill="FFFFFF"/>
            <w:hideMark/>
          </w:tcPr>
          <w:p w:rsidR="0020469F" w:rsidRPr="0020720D" w:rsidRDefault="0020469F" w:rsidP="0020720D">
            <w:pPr>
              <w:rPr>
                <w:sz w:val="22"/>
                <w:szCs w:val="22"/>
              </w:rPr>
            </w:pPr>
            <w:r w:rsidRPr="0020720D">
              <w:rPr>
                <w:sz w:val="22"/>
                <w:szCs w:val="22"/>
              </w:rPr>
              <w:t>Stratégia energetickej bezpečnosti SR</w:t>
            </w:r>
          </w:p>
        </w:tc>
        <w:tc>
          <w:tcPr>
            <w:tcW w:w="1559" w:type="dxa"/>
            <w:shd w:val="clear" w:color="auto" w:fill="FFFFFF"/>
            <w:hideMark/>
          </w:tcPr>
          <w:p w:rsidR="0020469F" w:rsidRPr="0020720D" w:rsidRDefault="0020469F" w:rsidP="0020720D">
            <w:pPr>
              <w:rPr>
                <w:sz w:val="22"/>
                <w:szCs w:val="22"/>
              </w:rPr>
            </w:pPr>
            <w:r w:rsidRPr="0020720D">
              <w:rPr>
                <w:sz w:val="22"/>
                <w:szCs w:val="22"/>
              </w:rPr>
              <w:t>Návrh rozpočtového plánu</w:t>
            </w:r>
            <w:r w:rsidRPr="0020720D">
              <w:rPr>
                <w:sz w:val="22"/>
                <w:szCs w:val="22"/>
              </w:rPr>
              <w:br/>
              <w:t>SR na rok 2014</w:t>
            </w:r>
          </w:p>
        </w:tc>
        <w:tc>
          <w:tcPr>
            <w:tcW w:w="2835" w:type="dxa"/>
            <w:shd w:val="clear" w:color="auto" w:fill="FFFFFF"/>
            <w:hideMark/>
          </w:tcPr>
          <w:p w:rsidR="0020469F" w:rsidRPr="0020720D" w:rsidRDefault="0020469F" w:rsidP="0020720D">
            <w:pPr>
              <w:rPr>
                <w:sz w:val="22"/>
                <w:szCs w:val="22"/>
              </w:rPr>
            </w:pPr>
            <w:r w:rsidRPr="0020720D">
              <w:rPr>
                <w:sz w:val="22"/>
                <w:szCs w:val="22"/>
              </w:rPr>
              <w:t>Politika vlády SR na zlepšenie podnikateľského prostredia v SR</w:t>
            </w:r>
          </w:p>
        </w:tc>
        <w:tc>
          <w:tcPr>
            <w:tcW w:w="1701" w:type="dxa"/>
            <w:shd w:val="clear" w:color="auto" w:fill="FFFFFF"/>
            <w:hideMark/>
          </w:tcPr>
          <w:p w:rsidR="0020469F" w:rsidRPr="0020720D" w:rsidRDefault="009B2AFB" w:rsidP="0020720D">
            <w:pPr>
              <w:rPr>
                <w:sz w:val="22"/>
                <w:szCs w:val="22"/>
              </w:rPr>
            </w:pPr>
            <w:r w:rsidRPr="003E3A06">
              <w:rPr>
                <w:sz w:val="22"/>
                <w:szCs w:val="22"/>
              </w:rPr>
              <w:t>Národný program reforiem SR</w:t>
            </w:r>
          </w:p>
        </w:tc>
        <w:tc>
          <w:tcPr>
            <w:tcW w:w="2410" w:type="dxa"/>
            <w:shd w:val="clear" w:color="auto" w:fill="FFFFFF"/>
            <w:hideMark/>
          </w:tcPr>
          <w:p w:rsidR="0020469F" w:rsidRPr="0020720D" w:rsidRDefault="0020469F" w:rsidP="0020720D">
            <w:pPr>
              <w:rPr>
                <w:sz w:val="22"/>
                <w:szCs w:val="22"/>
              </w:rPr>
            </w:pPr>
            <w:r w:rsidRPr="0020720D">
              <w:rPr>
                <w:sz w:val="22"/>
                <w:szCs w:val="22"/>
              </w:rPr>
              <w:t>Koncepcia rozvoja pôdohospodárstva na roky 2013 – 2020</w:t>
            </w:r>
          </w:p>
        </w:tc>
        <w:tc>
          <w:tcPr>
            <w:tcW w:w="1701" w:type="dxa"/>
            <w:shd w:val="clear" w:color="auto" w:fill="FFFFFF"/>
          </w:tcPr>
          <w:p w:rsidR="0020469F" w:rsidRPr="0020720D" w:rsidRDefault="0020469F" w:rsidP="00F63B6B">
            <w:pPr>
              <w:rPr>
                <w:sz w:val="22"/>
                <w:szCs w:val="22"/>
              </w:rPr>
            </w:pPr>
            <w:r>
              <w:rPr>
                <w:sz w:val="22"/>
                <w:szCs w:val="22"/>
              </w:rPr>
              <w:t>Stratégia vonkajších ekonomických vzťahov SR na roky 2014-2020</w:t>
            </w:r>
          </w:p>
        </w:tc>
      </w:tr>
      <w:tr w:rsidR="00E56B8D" w:rsidRPr="0020720D" w:rsidTr="0020469F">
        <w:trPr>
          <w:trHeight w:val="1172"/>
        </w:trPr>
        <w:tc>
          <w:tcPr>
            <w:tcW w:w="1418" w:type="dxa"/>
            <w:shd w:val="clear" w:color="auto" w:fill="FFFFFF"/>
            <w:noWrap/>
            <w:hideMark/>
          </w:tcPr>
          <w:p w:rsidR="0020469F" w:rsidRPr="0020720D" w:rsidRDefault="0020469F" w:rsidP="0020720D">
            <w:pPr>
              <w:rPr>
                <w:sz w:val="22"/>
                <w:szCs w:val="22"/>
              </w:rPr>
            </w:pPr>
            <w:r w:rsidRPr="0020720D">
              <w:rPr>
                <w:sz w:val="22"/>
                <w:szCs w:val="22"/>
              </w:rPr>
              <w:t>Akčný plán pre výskum, vývoj a inovácie MPRV SR</w:t>
            </w:r>
          </w:p>
        </w:tc>
        <w:tc>
          <w:tcPr>
            <w:tcW w:w="1843" w:type="dxa"/>
            <w:shd w:val="clear" w:color="auto" w:fill="FFFFFF"/>
            <w:hideMark/>
          </w:tcPr>
          <w:p w:rsidR="0020469F" w:rsidRPr="0049441D" w:rsidRDefault="00CB5F71" w:rsidP="0020720D">
            <w:pPr>
              <w:rPr>
                <w:strike/>
                <w:sz w:val="22"/>
                <w:szCs w:val="22"/>
              </w:rPr>
            </w:pPr>
            <w:r w:rsidRPr="00CB5F71">
              <w:rPr>
                <w:sz w:val="22"/>
                <w:szCs w:val="22"/>
              </w:rPr>
              <w:t>Národný program aktívneho starnutia na roky 2014-2020</w:t>
            </w:r>
          </w:p>
        </w:tc>
        <w:tc>
          <w:tcPr>
            <w:tcW w:w="1559" w:type="dxa"/>
            <w:shd w:val="clear" w:color="auto" w:fill="FFFFFF"/>
            <w:hideMark/>
          </w:tcPr>
          <w:p w:rsidR="0020469F" w:rsidRPr="0020720D" w:rsidRDefault="0020469F" w:rsidP="0020720D">
            <w:pPr>
              <w:rPr>
                <w:sz w:val="22"/>
                <w:szCs w:val="22"/>
              </w:rPr>
            </w:pPr>
            <w:r w:rsidRPr="0020720D">
              <w:rPr>
                <w:sz w:val="22"/>
                <w:szCs w:val="22"/>
              </w:rPr>
              <w:t>Energetická politika SR</w:t>
            </w: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hideMark/>
          </w:tcPr>
          <w:p w:rsidR="0020469F" w:rsidRPr="0020720D" w:rsidRDefault="0020469F" w:rsidP="0020720D">
            <w:pPr>
              <w:rPr>
                <w:sz w:val="22"/>
                <w:szCs w:val="22"/>
              </w:rPr>
            </w:pPr>
            <w:r w:rsidRPr="0020720D">
              <w:rPr>
                <w:sz w:val="22"/>
                <w:szCs w:val="22"/>
              </w:rPr>
              <w:t>Strednodobá stratégia oficiálnej rozvojovej pomoci na roky 2014 - 2018</w:t>
            </w:r>
          </w:p>
        </w:tc>
        <w:tc>
          <w:tcPr>
            <w:tcW w:w="1701" w:type="dxa"/>
            <w:shd w:val="clear" w:color="auto" w:fill="FFFFFF"/>
            <w:noWrap/>
            <w:hideMark/>
          </w:tcPr>
          <w:p w:rsidR="0020469F" w:rsidRPr="0020720D" w:rsidRDefault="0020469F" w:rsidP="0020720D">
            <w:pPr>
              <w:rPr>
                <w:sz w:val="22"/>
                <w:szCs w:val="22"/>
              </w:rPr>
            </w:pPr>
          </w:p>
        </w:tc>
        <w:tc>
          <w:tcPr>
            <w:tcW w:w="2410" w:type="dxa"/>
            <w:shd w:val="clear" w:color="auto" w:fill="FFFFFF"/>
            <w:hideMark/>
          </w:tcPr>
          <w:p w:rsidR="0020469F" w:rsidRPr="0020720D" w:rsidRDefault="0020469F" w:rsidP="0020720D">
            <w:pPr>
              <w:rPr>
                <w:sz w:val="22"/>
                <w:szCs w:val="22"/>
              </w:rPr>
            </w:pPr>
            <w:r w:rsidRPr="0020720D">
              <w:rPr>
                <w:sz w:val="22"/>
                <w:szCs w:val="22"/>
              </w:rPr>
              <w:t>Stratégia rozvoja lesníctva na Slovensku</w:t>
            </w:r>
          </w:p>
        </w:tc>
        <w:tc>
          <w:tcPr>
            <w:tcW w:w="1701" w:type="dxa"/>
            <w:shd w:val="clear" w:color="auto" w:fill="FFFFFF"/>
          </w:tcPr>
          <w:p w:rsidR="0020469F" w:rsidRPr="0020720D" w:rsidRDefault="0020469F" w:rsidP="00F63B6B">
            <w:pPr>
              <w:rPr>
                <w:sz w:val="22"/>
                <w:szCs w:val="22"/>
              </w:rPr>
            </w:pPr>
          </w:p>
        </w:tc>
      </w:tr>
      <w:tr w:rsidR="00E56B8D" w:rsidRPr="0020720D" w:rsidTr="0020469F">
        <w:trPr>
          <w:trHeight w:val="822"/>
        </w:trPr>
        <w:tc>
          <w:tcPr>
            <w:tcW w:w="1418" w:type="dxa"/>
            <w:shd w:val="clear" w:color="auto" w:fill="FFFFFF"/>
            <w:noWrap/>
            <w:hideMark/>
          </w:tcPr>
          <w:p w:rsidR="0020469F" w:rsidRPr="0020720D" w:rsidRDefault="0020469F" w:rsidP="0020720D">
            <w:pPr>
              <w:rPr>
                <w:sz w:val="22"/>
                <w:szCs w:val="22"/>
              </w:rPr>
            </w:pPr>
          </w:p>
        </w:tc>
        <w:tc>
          <w:tcPr>
            <w:tcW w:w="1843" w:type="dxa"/>
            <w:shd w:val="clear" w:color="auto" w:fill="FFFFFF"/>
            <w:noWrap/>
            <w:hideMark/>
          </w:tcPr>
          <w:p w:rsidR="0020469F" w:rsidRPr="0020720D" w:rsidRDefault="0020469F" w:rsidP="0020720D">
            <w:pPr>
              <w:rPr>
                <w:sz w:val="22"/>
                <w:szCs w:val="22"/>
              </w:rPr>
            </w:pPr>
          </w:p>
        </w:tc>
        <w:tc>
          <w:tcPr>
            <w:tcW w:w="1559" w:type="dxa"/>
            <w:shd w:val="clear" w:color="auto" w:fill="FFFFFF"/>
            <w:hideMark/>
          </w:tcPr>
          <w:p w:rsidR="0020469F" w:rsidRPr="0020720D" w:rsidRDefault="0020469F" w:rsidP="0020720D">
            <w:pPr>
              <w:rPr>
                <w:sz w:val="22"/>
                <w:szCs w:val="22"/>
              </w:rPr>
            </w:pPr>
            <w:r w:rsidRPr="0020720D">
              <w:rPr>
                <w:sz w:val="22"/>
                <w:szCs w:val="22"/>
              </w:rPr>
              <w:t>Surovinová politika SR pre oblasť nerastných surovín</w:t>
            </w: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hideMark/>
          </w:tcPr>
          <w:p w:rsidR="0020469F" w:rsidRPr="0020720D" w:rsidRDefault="0020469F" w:rsidP="0020720D">
            <w:pPr>
              <w:rPr>
                <w:sz w:val="22"/>
                <w:szCs w:val="22"/>
              </w:rPr>
            </w:pPr>
            <w:r w:rsidRPr="0020720D">
              <w:rPr>
                <w:sz w:val="22"/>
                <w:szCs w:val="22"/>
              </w:rPr>
              <w:t>Stratégia EXIMBANKY Slovenskej republiky</w:t>
            </w:r>
          </w:p>
        </w:tc>
        <w:tc>
          <w:tcPr>
            <w:tcW w:w="1701" w:type="dxa"/>
            <w:shd w:val="clear" w:color="auto" w:fill="FFFFFF"/>
            <w:noWrap/>
            <w:hideMark/>
          </w:tcPr>
          <w:p w:rsidR="0020469F" w:rsidRPr="0020720D" w:rsidRDefault="0020469F" w:rsidP="0020720D">
            <w:pPr>
              <w:rPr>
                <w:sz w:val="22"/>
                <w:szCs w:val="22"/>
              </w:rPr>
            </w:pPr>
          </w:p>
        </w:tc>
        <w:tc>
          <w:tcPr>
            <w:tcW w:w="2410" w:type="dxa"/>
            <w:shd w:val="clear" w:color="auto" w:fill="FFFFFF"/>
            <w:hideMark/>
          </w:tcPr>
          <w:p w:rsidR="0020469F" w:rsidRPr="0020720D" w:rsidRDefault="0020469F" w:rsidP="0020720D">
            <w:pPr>
              <w:rPr>
                <w:sz w:val="22"/>
                <w:szCs w:val="22"/>
              </w:rPr>
            </w:pPr>
            <w:r w:rsidRPr="0020720D">
              <w:rPr>
                <w:sz w:val="22"/>
                <w:szCs w:val="22"/>
              </w:rPr>
              <w:t>Národný program využitia potenciálu dreva Slovenskej republiky</w:t>
            </w:r>
          </w:p>
        </w:tc>
        <w:tc>
          <w:tcPr>
            <w:tcW w:w="1701" w:type="dxa"/>
            <w:shd w:val="clear" w:color="auto" w:fill="FFFFFF"/>
          </w:tcPr>
          <w:p w:rsidR="0020469F" w:rsidRPr="0020720D" w:rsidRDefault="0020469F" w:rsidP="00F63B6B">
            <w:pPr>
              <w:rPr>
                <w:sz w:val="22"/>
                <w:szCs w:val="22"/>
              </w:rPr>
            </w:pPr>
          </w:p>
        </w:tc>
      </w:tr>
      <w:tr w:rsidR="00E56B8D" w:rsidRPr="0020720D" w:rsidTr="0020469F">
        <w:trPr>
          <w:trHeight w:val="696"/>
        </w:trPr>
        <w:tc>
          <w:tcPr>
            <w:tcW w:w="1418" w:type="dxa"/>
            <w:shd w:val="clear" w:color="auto" w:fill="FFFFFF"/>
            <w:noWrap/>
            <w:hideMark/>
          </w:tcPr>
          <w:p w:rsidR="0020469F" w:rsidRPr="0020720D" w:rsidRDefault="0020469F" w:rsidP="0020720D">
            <w:pPr>
              <w:rPr>
                <w:sz w:val="22"/>
                <w:szCs w:val="22"/>
              </w:rPr>
            </w:pPr>
          </w:p>
        </w:tc>
        <w:tc>
          <w:tcPr>
            <w:tcW w:w="1843"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hideMark/>
          </w:tcPr>
          <w:p w:rsidR="0020469F" w:rsidRPr="0020720D" w:rsidRDefault="0020469F" w:rsidP="0020720D">
            <w:pPr>
              <w:rPr>
                <w:sz w:val="22"/>
                <w:szCs w:val="22"/>
              </w:rPr>
            </w:pPr>
            <w:r w:rsidRPr="0020720D">
              <w:rPr>
                <w:sz w:val="22"/>
                <w:szCs w:val="22"/>
              </w:rPr>
              <w:t>Národný akčný plán pre zelené verejné obstarávanie v SR na roky 2011-2015</w:t>
            </w:r>
          </w:p>
        </w:tc>
        <w:tc>
          <w:tcPr>
            <w:tcW w:w="1701" w:type="dxa"/>
            <w:shd w:val="clear" w:color="auto" w:fill="FFFFFF"/>
            <w:noWrap/>
          </w:tcPr>
          <w:p w:rsidR="0020469F" w:rsidRPr="0020720D" w:rsidRDefault="0020469F" w:rsidP="0020720D">
            <w:pPr>
              <w:rPr>
                <w:sz w:val="22"/>
                <w:szCs w:val="22"/>
              </w:rPr>
            </w:pPr>
          </w:p>
        </w:tc>
        <w:tc>
          <w:tcPr>
            <w:tcW w:w="2410" w:type="dxa"/>
            <w:shd w:val="clear" w:color="auto" w:fill="FFFFFF"/>
          </w:tcPr>
          <w:p w:rsidR="0020469F" w:rsidRPr="0020720D" w:rsidRDefault="0020469F" w:rsidP="0020720D">
            <w:pPr>
              <w:rPr>
                <w:sz w:val="22"/>
                <w:szCs w:val="22"/>
              </w:rPr>
            </w:pPr>
            <w:r w:rsidRPr="0020720D">
              <w:rPr>
                <w:sz w:val="22"/>
                <w:szCs w:val="22"/>
              </w:rPr>
              <w:t>Stratégia bezpečnosti potravinového reťazca  (2014 – 2017)</w:t>
            </w:r>
          </w:p>
        </w:tc>
        <w:tc>
          <w:tcPr>
            <w:tcW w:w="1701" w:type="dxa"/>
            <w:shd w:val="clear" w:color="auto" w:fill="FFFFFF"/>
          </w:tcPr>
          <w:p w:rsidR="0020469F" w:rsidRPr="0020720D" w:rsidRDefault="0020469F" w:rsidP="00F63B6B">
            <w:pPr>
              <w:rPr>
                <w:sz w:val="22"/>
                <w:szCs w:val="22"/>
              </w:rPr>
            </w:pPr>
          </w:p>
        </w:tc>
      </w:tr>
      <w:tr w:rsidR="00E56B8D" w:rsidRPr="0020720D" w:rsidTr="0020469F">
        <w:trPr>
          <w:trHeight w:val="473"/>
        </w:trPr>
        <w:tc>
          <w:tcPr>
            <w:tcW w:w="1418" w:type="dxa"/>
            <w:shd w:val="clear" w:color="auto" w:fill="FFFFFF"/>
            <w:noWrap/>
            <w:hideMark/>
          </w:tcPr>
          <w:p w:rsidR="0020469F" w:rsidRPr="0020720D" w:rsidRDefault="0020469F" w:rsidP="0020720D">
            <w:pPr>
              <w:rPr>
                <w:sz w:val="22"/>
                <w:szCs w:val="22"/>
              </w:rPr>
            </w:pPr>
          </w:p>
        </w:tc>
        <w:tc>
          <w:tcPr>
            <w:tcW w:w="1843"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noWrap/>
            <w:hideMark/>
          </w:tcPr>
          <w:p w:rsidR="0020469F" w:rsidRPr="0020720D" w:rsidRDefault="0020469F" w:rsidP="0020720D">
            <w:pPr>
              <w:rPr>
                <w:sz w:val="22"/>
                <w:szCs w:val="22"/>
              </w:rPr>
            </w:pPr>
          </w:p>
        </w:tc>
        <w:tc>
          <w:tcPr>
            <w:tcW w:w="1701" w:type="dxa"/>
            <w:shd w:val="clear" w:color="auto" w:fill="FFFFFF"/>
            <w:noWrap/>
            <w:hideMark/>
          </w:tcPr>
          <w:p w:rsidR="0020469F" w:rsidRPr="0020720D" w:rsidRDefault="0020469F" w:rsidP="0020720D">
            <w:pPr>
              <w:rPr>
                <w:sz w:val="22"/>
                <w:szCs w:val="22"/>
              </w:rPr>
            </w:pPr>
          </w:p>
        </w:tc>
        <w:tc>
          <w:tcPr>
            <w:tcW w:w="2410" w:type="dxa"/>
            <w:shd w:val="clear" w:color="auto" w:fill="FFFFFF"/>
            <w:hideMark/>
          </w:tcPr>
          <w:p w:rsidR="0020469F" w:rsidRPr="0020720D" w:rsidRDefault="0020469F" w:rsidP="0020720D">
            <w:pPr>
              <w:rPr>
                <w:sz w:val="22"/>
                <w:szCs w:val="22"/>
              </w:rPr>
            </w:pPr>
            <w:r w:rsidRPr="0020720D">
              <w:rPr>
                <w:sz w:val="22"/>
                <w:szCs w:val="22"/>
              </w:rPr>
              <w:t>Stratégia rozvoja cestovného ruchu do roku 2020</w:t>
            </w:r>
          </w:p>
        </w:tc>
        <w:tc>
          <w:tcPr>
            <w:tcW w:w="1701" w:type="dxa"/>
            <w:shd w:val="clear" w:color="auto" w:fill="FFFFFF"/>
          </w:tcPr>
          <w:p w:rsidR="0020469F" w:rsidRPr="0020720D" w:rsidRDefault="0020469F" w:rsidP="00F63B6B">
            <w:pPr>
              <w:rPr>
                <w:sz w:val="22"/>
                <w:szCs w:val="22"/>
              </w:rPr>
            </w:pPr>
          </w:p>
        </w:tc>
      </w:tr>
      <w:tr w:rsidR="00E56B8D" w:rsidRPr="0020720D" w:rsidTr="0020469F">
        <w:trPr>
          <w:trHeight w:val="409"/>
        </w:trPr>
        <w:tc>
          <w:tcPr>
            <w:tcW w:w="1418" w:type="dxa"/>
            <w:shd w:val="clear" w:color="auto" w:fill="FFFFFF"/>
            <w:noWrap/>
            <w:hideMark/>
          </w:tcPr>
          <w:p w:rsidR="0020469F" w:rsidRPr="0020720D" w:rsidRDefault="0020469F" w:rsidP="0020720D">
            <w:pPr>
              <w:rPr>
                <w:sz w:val="22"/>
                <w:szCs w:val="22"/>
              </w:rPr>
            </w:pPr>
          </w:p>
        </w:tc>
        <w:tc>
          <w:tcPr>
            <w:tcW w:w="1843"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noWrap/>
            <w:hideMark/>
          </w:tcPr>
          <w:p w:rsidR="0020469F" w:rsidRPr="0020720D" w:rsidRDefault="0020469F" w:rsidP="0020720D">
            <w:pPr>
              <w:rPr>
                <w:sz w:val="22"/>
                <w:szCs w:val="22"/>
              </w:rPr>
            </w:pPr>
          </w:p>
        </w:tc>
        <w:tc>
          <w:tcPr>
            <w:tcW w:w="1701" w:type="dxa"/>
            <w:shd w:val="clear" w:color="auto" w:fill="FFFFFF"/>
            <w:noWrap/>
            <w:hideMark/>
          </w:tcPr>
          <w:p w:rsidR="0020469F" w:rsidRPr="0020720D" w:rsidRDefault="0020469F" w:rsidP="0020720D">
            <w:pPr>
              <w:rPr>
                <w:sz w:val="22"/>
                <w:szCs w:val="22"/>
              </w:rPr>
            </w:pPr>
          </w:p>
        </w:tc>
        <w:tc>
          <w:tcPr>
            <w:tcW w:w="2410" w:type="dxa"/>
            <w:shd w:val="clear" w:color="auto" w:fill="FFFFFF"/>
            <w:hideMark/>
          </w:tcPr>
          <w:p w:rsidR="0020469F" w:rsidRPr="0020720D" w:rsidRDefault="0020469F" w:rsidP="0020720D">
            <w:pPr>
              <w:rPr>
                <w:sz w:val="22"/>
                <w:szCs w:val="22"/>
              </w:rPr>
            </w:pPr>
            <w:r w:rsidRPr="0020720D">
              <w:rPr>
                <w:sz w:val="22"/>
                <w:szCs w:val="22"/>
              </w:rPr>
              <w:t>Národný akčný plán pre životné prostredie a zdravie obyvateľov SR</w:t>
            </w:r>
          </w:p>
        </w:tc>
        <w:tc>
          <w:tcPr>
            <w:tcW w:w="1701" w:type="dxa"/>
            <w:shd w:val="clear" w:color="auto" w:fill="FFFFFF"/>
          </w:tcPr>
          <w:p w:rsidR="0020469F" w:rsidRPr="0020720D" w:rsidRDefault="0020469F" w:rsidP="00F63B6B">
            <w:pPr>
              <w:rPr>
                <w:sz w:val="22"/>
                <w:szCs w:val="22"/>
              </w:rPr>
            </w:pPr>
          </w:p>
        </w:tc>
      </w:tr>
      <w:tr w:rsidR="00E56B8D" w:rsidRPr="0020720D" w:rsidTr="0020469F">
        <w:trPr>
          <w:trHeight w:val="548"/>
        </w:trPr>
        <w:tc>
          <w:tcPr>
            <w:tcW w:w="1418" w:type="dxa"/>
            <w:shd w:val="clear" w:color="auto" w:fill="FFFFFF"/>
            <w:noWrap/>
            <w:hideMark/>
          </w:tcPr>
          <w:p w:rsidR="0020469F" w:rsidRPr="0020720D" w:rsidRDefault="0020469F" w:rsidP="0020720D">
            <w:pPr>
              <w:rPr>
                <w:sz w:val="22"/>
                <w:szCs w:val="22"/>
              </w:rPr>
            </w:pPr>
          </w:p>
        </w:tc>
        <w:tc>
          <w:tcPr>
            <w:tcW w:w="1843"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noWrap/>
            <w:hideMark/>
          </w:tcPr>
          <w:p w:rsidR="0020469F" w:rsidRPr="0020720D" w:rsidRDefault="0020469F" w:rsidP="0020720D">
            <w:pPr>
              <w:rPr>
                <w:sz w:val="22"/>
                <w:szCs w:val="22"/>
              </w:rPr>
            </w:pPr>
          </w:p>
        </w:tc>
        <w:tc>
          <w:tcPr>
            <w:tcW w:w="1701" w:type="dxa"/>
            <w:shd w:val="clear" w:color="auto" w:fill="FFFFFF"/>
            <w:noWrap/>
            <w:hideMark/>
          </w:tcPr>
          <w:p w:rsidR="0020469F" w:rsidRPr="0020720D" w:rsidRDefault="0020469F" w:rsidP="0020720D">
            <w:pPr>
              <w:rPr>
                <w:sz w:val="22"/>
                <w:szCs w:val="22"/>
              </w:rPr>
            </w:pPr>
          </w:p>
        </w:tc>
        <w:tc>
          <w:tcPr>
            <w:tcW w:w="2410" w:type="dxa"/>
            <w:shd w:val="clear" w:color="auto" w:fill="FFFFFF"/>
            <w:hideMark/>
          </w:tcPr>
          <w:p w:rsidR="0020469F" w:rsidRPr="0020720D" w:rsidRDefault="0020469F" w:rsidP="0020720D">
            <w:pPr>
              <w:rPr>
                <w:sz w:val="22"/>
                <w:szCs w:val="22"/>
              </w:rPr>
            </w:pPr>
            <w:r w:rsidRPr="0020720D">
              <w:rPr>
                <w:sz w:val="22"/>
                <w:szCs w:val="22"/>
              </w:rPr>
              <w:t>Stratégia, zásad a priorít štátnej environmentálnej politiky</w:t>
            </w:r>
          </w:p>
        </w:tc>
        <w:tc>
          <w:tcPr>
            <w:tcW w:w="1701" w:type="dxa"/>
            <w:shd w:val="clear" w:color="auto" w:fill="FFFFFF"/>
          </w:tcPr>
          <w:p w:rsidR="0020469F" w:rsidRPr="0020720D" w:rsidRDefault="0020469F" w:rsidP="00F63B6B">
            <w:pPr>
              <w:rPr>
                <w:sz w:val="22"/>
                <w:szCs w:val="22"/>
              </w:rPr>
            </w:pPr>
          </w:p>
        </w:tc>
      </w:tr>
      <w:tr w:rsidR="00E56B8D" w:rsidRPr="0020720D" w:rsidTr="0020469F">
        <w:trPr>
          <w:trHeight w:val="551"/>
        </w:trPr>
        <w:tc>
          <w:tcPr>
            <w:tcW w:w="1418" w:type="dxa"/>
            <w:shd w:val="clear" w:color="auto" w:fill="FFFFFF"/>
            <w:noWrap/>
            <w:hideMark/>
          </w:tcPr>
          <w:p w:rsidR="0020469F" w:rsidRPr="0020720D" w:rsidRDefault="0020469F" w:rsidP="0020720D">
            <w:pPr>
              <w:rPr>
                <w:sz w:val="22"/>
                <w:szCs w:val="22"/>
              </w:rPr>
            </w:pPr>
          </w:p>
        </w:tc>
        <w:tc>
          <w:tcPr>
            <w:tcW w:w="1843"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1559" w:type="dxa"/>
            <w:shd w:val="clear" w:color="auto" w:fill="FFFFFF"/>
            <w:noWrap/>
            <w:hideMark/>
          </w:tcPr>
          <w:p w:rsidR="0020469F" w:rsidRPr="0020720D" w:rsidRDefault="0020469F" w:rsidP="0020720D">
            <w:pPr>
              <w:rPr>
                <w:sz w:val="22"/>
                <w:szCs w:val="22"/>
              </w:rPr>
            </w:pPr>
          </w:p>
        </w:tc>
        <w:tc>
          <w:tcPr>
            <w:tcW w:w="2835" w:type="dxa"/>
            <w:shd w:val="clear" w:color="auto" w:fill="FFFFFF"/>
            <w:noWrap/>
            <w:hideMark/>
          </w:tcPr>
          <w:p w:rsidR="0020469F" w:rsidRPr="0020720D" w:rsidRDefault="0020469F" w:rsidP="0020720D">
            <w:pPr>
              <w:rPr>
                <w:sz w:val="22"/>
                <w:szCs w:val="22"/>
              </w:rPr>
            </w:pPr>
          </w:p>
        </w:tc>
        <w:tc>
          <w:tcPr>
            <w:tcW w:w="1701" w:type="dxa"/>
            <w:shd w:val="clear" w:color="auto" w:fill="FFFFFF"/>
            <w:noWrap/>
            <w:hideMark/>
          </w:tcPr>
          <w:p w:rsidR="0020469F" w:rsidRPr="0020720D" w:rsidRDefault="0020469F" w:rsidP="0020720D">
            <w:pPr>
              <w:rPr>
                <w:sz w:val="22"/>
                <w:szCs w:val="22"/>
              </w:rPr>
            </w:pPr>
          </w:p>
        </w:tc>
        <w:tc>
          <w:tcPr>
            <w:tcW w:w="2410" w:type="dxa"/>
            <w:shd w:val="clear" w:color="auto" w:fill="FFFFFF"/>
            <w:hideMark/>
          </w:tcPr>
          <w:p w:rsidR="0020469F" w:rsidRPr="0020720D" w:rsidRDefault="0020469F" w:rsidP="0020720D">
            <w:pPr>
              <w:rPr>
                <w:sz w:val="22"/>
                <w:szCs w:val="22"/>
              </w:rPr>
            </w:pPr>
            <w:r w:rsidRPr="0020720D">
              <w:rPr>
                <w:sz w:val="22"/>
                <w:szCs w:val="22"/>
              </w:rPr>
              <w:t xml:space="preserve">Národná stratégia trvalo udržateľného rozvoja </w:t>
            </w:r>
          </w:p>
        </w:tc>
        <w:tc>
          <w:tcPr>
            <w:tcW w:w="1701" w:type="dxa"/>
            <w:shd w:val="clear" w:color="auto" w:fill="FFFFFF"/>
          </w:tcPr>
          <w:p w:rsidR="0020469F" w:rsidRPr="0020720D" w:rsidRDefault="0020469F" w:rsidP="00F63B6B">
            <w:pPr>
              <w:rPr>
                <w:sz w:val="22"/>
                <w:szCs w:val="22"/>
              </w:rPr>
            </w:pPr>
          </w:p>
        </w:tc>
      </w:tr>
    </w:tbl>
    <w:p w:rsidR="009A6B10" w:rsidRDefault="009A6B10" w:rsidP="00C74C1D">
      <w:pPr>
        <w:rPr>
          <w:rFonts w:ascii="Calibri" w:hAnsi="Calibri"/>
          <w:sz w:val="20"/>
          <w:szCs w:val="20"/>
        </w:rPr>
        <w:sectPr w:rsidR="009A6B10" w:rsidSect="009A6B10">
          <w:pgSz w:w="16838" w:h="11906" w:orient="landscape" w:code="9"/>
          <w:pgMar w:top="1418" w:right="1418" w:bottom="1418" w:left="992" w:header="709" w:footer="709" w:gutter="0"/>
          <w:cols w:space="708"/>
          <w:docGrid w:linePitch="360"/>
        </w:sectPr>
      </w:pPr>
    </w:p>
    <w:p w:rsidR="009A6B10" w:rsidRPr="009A6B10" w:rsidRDefault="009A6B10" w:rsidP="009A6B10">
      <w:pPr>
        <w:rPr>
          <w:sz w:val="28"/>
          <w:szCs w:val="28"/>
        </w:rPr>
      </w:pPr>
      <w:r w:rsidRPr="009A6B10">
        <w:rPr>
          <w:sz w:val="32"/>
          <w:szCs w:val="32"/>
        </w:rPr>
        <w:lastRenderedPageBreak/>
        <w:t>PRÍLOHY č. 2</w:t>
      </w:r>
    </w:p>
    <w:p w:rsidR="009A6B10" w:rsidRPr="009A6B10" w:rsidRDefault="009A6B10" w:rsidP="009A6B10">
      <w:pPr>
        <w:rPr>
          <w:sz w:val="28"/>
          <w:szCs w:val="28"/>
        </w:rPr>
      </w:pPr>
    </w:p>
    <w:p w:rsidR="009A6B10" w:rsidRPr="009A6B10" w:rsidRDefault="009A6B10" w:rsidP="009A6B10">
      <w:pPr>
        <w:rPr>
          <w:b/>
          <w:sz w:val="32"/>
          <w:szCs w:val="32"/>
        </w:rPr>
      </w:pPr>
      <w:r w:rsidRPr="009A6B10">
        <w:rPr>
          <w:b/>
          <w:sz w:val="32"/>
          <w:szCs w:val="32"/>
        </w:rPr>
        <w:t>1 Postavenie SR v porovnaní s krajinami EÚ a v globálnom svete</w:t>
      </w:r>
    </w:p>
    <w:p w:rsidR="009A6B10" w:rsidRPr="009A6B10" w:rsidRDefault="009A6B10" w:rsidP="009A6B10">
      <w:pPr>
        <w:rPr>
          <w:sz w:val="28"/>
          <w:szCs w:val="28"/>
          <w:u w:val="single"/>
        </w:rPr>
      </w:pPr>
    </w:p>
    <w:p w:rsidR="009A6B10" w:rsidRPr="009A6B10" w:rsidRDefault="009A6B10" w:rsidP="009A6B10">
      <w:pPr>
        <w:autoSpaceDE w:val="0"/>
        <w:autoSpaceDN w:val="0"/>
        <w:adjustRightInd w:val="0"/>
        <w:rPr>
          <w:b/>
          <w:bCs/>
          <w:color w:val="000000"/>
        </w:rPr>
      </w:pPr>
      <w:r w:rsidRPr="009A6B10">
        <w:rPr>
          <w:b/>
          <w:bCs/>
          <w:color w:val="000000"/>
        </w:rPr>
        <w:t>Slovensko a štrukturálne reformy</w:t>
      </w:r>
    </w:p>
    <w:p w:rsidR="009A6B10" w:rsidRPr="009A6B10" w:rsidRDefault="009A6B10" w:rsidP="009A6B10">
      <w:pPr>
        <w:suppressAutoHyphens/>
        <w:spacing w:after="120"/>
        <w:jc w:val="both"/>
        <w:rPr>
          <w:rFonts w:ascii="Calibri" w:hAnsi="Calibri" w:cs="Arial"/>
          <w:szCs w:val="22"/>
          <w:lang w:eastAsia="zh-CN"/>
        </w:rPr>
      </w:pPr>
    </w:p>
    <w:tbl>
      <w:tblPr>
        <w:tblW w:w="8606" w:type="dxa"/>
        <w:tblBorders>
          <w:top w:val="single" w:sz="18" w:space="0" w:color="auto"/>
          <w:bottom w:val="single" w:sz="18" w:space="0" w:color="auto"/>
        </w:tblBorders>
        <w:tblLook w:val="04A0" w:firstRow="1" w:lastRow="0" w:firstColumn="1" w:lastColumn="0" w:noHBand="0" w:noVBand="1"/>
      </w:tblPr>
      <w:tblGrid>
        <w:gridCol w:w="950"/>
        <w:gridCol w:w="696"/>
        <w:gridCol w:w="696"/>
        <w:gridCol w:w="696"/>
        <w:gridCol w:w="696"/>
        <w:gridCol w:w="696"/>
        <w:gridCol w:w="696"/>
        <w:gridCol w:w="696"/>
        <w:gridCol w:w="696"/>
        <w:gridCol w:w="696"/>
        <w:gridCol w:w="696"/>
        <w:gridCol w:w="696"/>
      </w:tblGrid>
      <w:tr w:rsidR="00E56B8D" w:rsidRPr="009A6B10" w:rsidTr="009A6B10">
        <w:tc>
          <w:tcPr>
            <w:tcW w:w="950" w:type="dxa"/>
            <w:tcBorders>
              <w:top w:val="single" w:sz="18" w:space="0" w:color="auto"/>
              <w:bottom w:val="single" w:sz="18" w:space="0" w:color="auto"/>
            </w:tcBorders>
            <w:shd w:val="clear" w:color="auto" w:fill="F79646"/>
          </w:tcPr>
          <w:p w:rsidR="009A6B10" w:rsidRPr="009A6B10" w:rsidRDefault="009A6B10" w:rsidP="009A6B10">
            <w:pPr>
              <w:rPr>
                <w:b/>
                <w:bCs/>
                <w:color w:val="FFFFFF"/>
              </w:rPr>
            </w:pPr>
            <w:r w:rsidRPr="009A6B10">
              <w:rPr>
                <w:b/>
                <w:bCs/>
                <w:color w:val="FFFFFF"/>
              </w:rPr>
              <w:t>Rok</w:t>
            </w:r>
          </w:p>
        </w:tc>
        <w:tc>
          <w:tcPr>
            <w:tcW w:w="696" w:type="dxa"/>
            <w:tcBorders>
              <w:top w:val="single" w:sz="18" w:space="0" w:color="auto"/>
              <w:left w:val="nil"/>
              <w:bottom w:val="single" w:sz="18" w:space="0" w:color="auto"/>
              <w:right w:val="nil"/>
            </w:tcBorders>
            <w:shd w:val="clear" w:color="auto" w:fill="F79646"/>
          </w:tcPr>
          <w:p w:rsidR="009A6B10" w:rsidRPr="009A6B10" w:rsidRDefault="009A6B10" w:rsidP="009A6B10">
            <w:pPr>
              <w:jc w:val="center"/>
              <w:rPr>
                <w:b/>
                <w:bCs/>
                <w:color w:val="FFFFFF"/>
              </w:rPr>
            </w:pPr>
            <w:r w:rsidRPr="009A6B10">
              <w:rPr>
                <w:b/>
                <w:bCs/>
                <w:color w:val="FFFFFF"/>
              </w:rPr>
              <w:t>2003</w:t>
            </w:r>
          </w:p>
        </w:tc>
        <w:tc>
          <w:tcPr>
            <w:tcW w:w="696" w:type="dxa"/>
            <w:tcBorders>
              <w:top w:val="single" w:sz="18" w:space="0" w:color="auto"/>
              <w:bottom w:val="single" w:sz="18" w:space="0" w:color="auto"/>
            </w:tcBorders>
            <w:shd w:val="clear" w:color="auto" w:fill="F79646"/>
          </w:tcPr>
          <w:p w:rsidR="009A6B10" w:rsidRPr="009A6B10" w:rsidRDefault="009A6B10" w:rsidP="009A6B10">
            <w:pPr>
              <w:jc w:val="center"/>
              <w:rPr>
                <w:b/>
                <w:bCs/>
                <w:color w:val="FFFFFF"/>
              </w:rPr>
            </w:pPr>
            <w:r w:rsidRPr="009A6B10">
              <w:rPr>
                <w:b/>
                <w:bCs/>
                <w:color w:val="FFFFFF"/>
              </w:rPr>
              <w:t>2004</w:t>
            </w:r>
          </w:p>
        </w:tc>
        <w:tc>
          <w:tcPr>
            <w:tcW w:w="696" w:type="dxa"/>
            <w:tcBorders>
              <w:top w:val="single" w:sz="18" w:space="0" w:color="auto"/>
              <w:left w:val="nil"/>
              <w:bottom w:val="single" w:sz="18" w:space="0" w:color="auto"/>
              <w:right w:val="nil"/>
            </w:tcBorders>
            <w:shd w:val="clear" w:color="auto" w:fill="F79646"/>
          </w:tcPr>
          <w:p w:rsidR="009A6B10" w:rsidRPr="009A6B10" w:rsidRDefault="009A6B10" w:rsidP="009A6B10">
            <w:pPr>
              <w:jc w:val="center"/>
              <w:rPr>
                <w:b/>
                <w:bCs/>
                <w:color w:val="FFFFFF"/>
              </w:rPr>
            </w:pPr>
            <w:r w:rsidRPr="009A6B10">
              <w:rPr>
                <w:b/>
                <w:bCs/>
                <w:color w:val="FFFFFF"/>
              </w:rPr>
              <w:t>2005</w:t>
            </w:r>
          </w:p>
        </w:tc>
        <w:tc>
          <w:tcPr>
            <w:tcW w:w="696" w:type="dxa"/>
            <w:tcBorders>
              <w:top w:val="single" w:sz="18" w:space="0" w:color="auto"/>
              <w:bottom w:val="single" w:sz="18" w:space="0" w:color="auto"/>
            </w:tcBorders>
            <w:shd w:val="clear" w:color="auto" w:fill="F79646"/>
          </w:tcPr>
          <w:p w:rsidR="009A6B10" w:rsidRPr="009A6B10" w:rsidRDefault="009A6B10" w:rsidP="009A6B10">
            <w:pPr>
              <w:jc w:val="center"/>
              <w:rPr>
                <w:b/>
                <w:bCs/>
                <w:color w:val="FFFFFF"/>
              </w:rPr>
            </w:pPr>
            <w:r w:rsidRPr="009A6B10">
              <w:rPr>
                <w:b/>
                <w:bCs/>
                <w:color w:val="FFFFFF"/>
              </w:rPr>
              <w:t>2006</w:t>
            </w:r>
          </w:p>
        </w:tc>
        <w:tc>
          <w:tcPr>
            <w:tcW w:w="696" w:type="dxa"/>
            <w:tcBorders>
              <w:top w:val="single" w:sz="18" w:space="0" w:color="auto"/>
              <w:left w:val="nil"/>
              <w:bottom w:val="single" w:sz="18" w:space="0" w:color="auto"/>
              <w:right w:val="nil"/>
            </w:tcBorders>
            <w:shd w:val="clear" w:color="auto" w:fill="F79646"/>
          </w:tcPr>
          <w:p w:rsidR="009A6B10" w:rsidRPr="009A6B10" w:rsidRDefault="009A6B10" w:rsidP="009A6B10">
            <w:pPr>
              <w:jc w:val="center"/>
              <w:rPr>
                <w:b/>
                <w:bCs/>
                <w:color w:val="FFFFFF"/>
              </w:rPr>
            </w:pPr>
            <w:r w:rsidRPr="009A6B10">
              <w:rPr>
                <w:b/>
                <w:bCs/>
                <w:color w:val="FFFFFF"/>
              </w:rPr>
              <w:t>2007</w:t>
            </w:r>
          </w:p>
        </w:tc>
        <w:tc>
          <w:tcPr>
            <w:tcW w:w="696" w:type="dxa"/>
            <w:tcBorders>
              <w:top w:val="single" w:sz="18" w:space="0" w:color="auto"/>
              <w:bottom w:val="single" w:sz="18" w:space="0" w:color="auto"/>
            </w:tcBorders>
            <w:shd w:val="clear" w:color="auto" w:fill="F79646"/>
          </w:tcPr>
          <w:p w:rsidR="009A6B10" w:rsidRPr="009A6B10" w:rsidRDefault="009A6B10" w:rsidP="009A6B10">
            <w:pPr>
              <w:jc w:val="center"/>
              <w:rPr>
                <w:b/>
                <w:bCs/>
                <w:color w:val="FFFFFF"/>
              </w:rPr>
            </w:pPr>
            <w:r w:rsidRPr="009A6B10">
              <w:rPr>
                <w:b/>
                <w:bCs/>
                <w:color w:val="FFFFFF"/>
              </w:rPr>
              <w:t>2008</w:t>
            </w:r>
          </w:p>
        </w:tc>
        <w:tc>
          <w:tcPr>
            <w:tcW w:w="696" w:type="dxa"/>
            <w:tcBorders>
              <w:top w:val="single" w:sz="18" w:space="0" w:color="auto"/>
              <w:left w:val="nil"/>
              <w:bottom w:val="single" w:sz="18" w:space="0" w:color="auto"/>
              <w:right w:val="nil"/>
            </w:tcBorders>
            <w:shd w:val="clear" w:color="auto" w:fill="F79646"/>
          </w:tcPr>
          <w:p w:rsidR="009A6B10" w:rsidRPr="009A6B10" w:rsidRDefault="009A6B10" w:rsidP="009A6B10">
            <w:pPr>
              <w:jc w:val="center"/>
              <w:rPr>
                <w:b/>
                <w:bCs/>
                <w:color w:val="FFFFFF"/>
              </w:rPr>
            </w:pPr>
            <w:r w:rsidRPr="009A6B10">
              <w:rPr>
                <w:b/>
                <w:bCs/>
                <w:color w:val="FFFFFF"/>
              </w:rPr>
              <w:t>2009</w:t>
            </w:r>
          </w:p>
        </w:tc>
        <w:tc>
          <w:tcPr>
            <w:tcW w:w="696" w:type="dxa"/>
            <w:tcBorders>
              <w:top w:val="single" w:sz="18" w:space="0" w:color="auto"/>
              <w:bottom w:val="single" w:sz="18" w:space="0" w:color="auto"/>
            </w:tcBorders>
            <w:shd w:val="clear" w:color="auto" w:fill="F79646"/>
          </w:tcPr>
          <w:p w:rsidR="009A6B10" w:rsidRPr="009A6B10" w:rsidRDefault="009A6B10" w:rsidP="009A6B10">
            <w:pPr>
              <w:jc w:val="center"/>
              <w:rPr>
                <w:b/>
                <w:bCs/>
                <w:color w:val="FFFFFF"/>
              </w:rPr>
            </w:pPr>
            <w:r w:rsidRPr="009A6B10">
              <w:rPr>
                <w:b/>
                <w:bCs/>
                <w:color w:val="FFFFFF"/>
              </w:rPr>
              <w:t>2010</w:t>
            </w:r>
          </w:p>
        </w:tc>
        <w:tc>
          <w:tcPr>
            <w:tcW w:w="696" w:type="dxa"/>
            <w:tcBorders>
              <w:top w:val="single" w:sz="18" w:space="0" w:color="auto"/>
              <w:left w:val="nil"/>
              <w:bottom w:val="single" w:sz="18" w:space="0" w:color="auto"/>
              <w:right w:val="nil"/>
            </w:tcBorders>
            <w:shd w:val="clear" w:color="auto" w:fill="F79646"/>
          </w:tcPr>
          <w:p w:rsidR="009A6B10" w:rsidRPr="009A6B10" w:rsidRDefault="009A6B10" w:rsidP="009A6B10">
            <w:pPr>
              <w:jc w:val="center"/>
              <w:rPr>
                <w:b/>
                <w:bCs/>
                <w:color w:val="FFFFFF"/>
              </w:rPr>
            </w:pPr>
            <w:r w:rsidRPr="009A6B10">
              <w:rPr>
                <w:b/>
                <w:bCs/>
                <w:color w:val="FFFFFF"/>
              </w:rPr>
              <w:t>2011</w:t>
            </w:r>
          </w:p>
        </w:tc>
        <w:tc>
          <w:tcPr>
            <w:tcW w:w="696" w:type="dxa"/>
            <w:tcBorders>
              <w:top w:val="single" w:sz="18" w:space="0" w:color="auto"/>
              <w:bottom w:val="single" w:sz="18" w:space="0" w:color="auto"/>
            </w:tcBorders>
            <w:shd w:val="clear" w:color="auto" w:fill="F79646"/>
          </w:tcPr>
          <w:p w:rsidR="009A6B10" w:rsidRPr="009A6B10" w:rsidRDefault="009A6B10" w:rsidP="009A6B10">
            <w:pPr>
              <w:jc w:val="center"/>
              <w:rPr>
                <w:b/>
                <w:bCs/>
                <w:color w:val="FFFFFF"/>
              </w:rPr>
            </w:pPr>
            <w:r w:rsidRPr="009A6B10">
              <w:rPr>
                <w:b/>
                <w:bCs/>
                <w:color w:val="FFFFFF"/>
              </w:rPr>
              <w:t>2012</w:t>
            </w:r>
          </w:p>
        </w:tc>
        <w:tc>
          <w:tcPr>
            <w:tcW w:w="696" w:type="dxa"/>
            <w:tcBorders>
              <w:top w:val="single" w:sz="18" w:space="0" w:color="auto"/>
              <w:left w:val="nil"/>
              <w:bottom w:val="single" w:sz="18" w:space="0" w:color="auto"/>
              <w:right w:val="nil"/>
            </w:tcBorders>
            <w:shd w:val="clear" w:color="auto" w:fill="F79646"/>
          </w:tcPr>
          <w:p w:rsidR="009A6B10" w:rsidRPr="009A6B10" w:rsidRDefault="009A6B10" w:rsidP="009A6B10">
            <w:pPr>
              <w:jc w:val="center"/>
              <w:rPr>
                <w:b/>
                <w:bCs/>
                <w:color w:val="FFFFFF"/>
              </w:rPr>
            </w:pPr>
            <w:r w:rsidRPr="009A6B10">
              <w:rPr>
                <w:b/>
                <w:bCs/>
                <w:color w:val="FFFFFF"/>
              </w:rPr>
              <w:t>2013</w:t>
            </w:r>
          </w:p>
        </w:tc>
      </w:tr>
      <w:tr w:rsidR="00E56B8D" w:rsidRPr="009A6B10" w:rsidTr="009A6B10">
        <w:tc>
          <w:tcPr>
            <w:tcW w:w="950" w:type="dxa"/>
            <w:shd w:val="clear" w:color="auto" w:fill="F79646"/>
          </w:tcPr>
          <w:p w:rsidR="009A6B10" w:rsidRPr="009A6B10" w:rsidRDefault="009A6B10" w:rsidP="009A6B10">
            <w:pPr>
              <w:rPr>
                <w:b/>
                <w:bCs/>
                <w:color w:val="FFFFFF"/>
              </w:rPr>
            </w:pPr>
            <w:r w:rsidRPr="009A6B10">
              <w:rPr>
                <w:b/>
                <w:bCs/>
                <w:color w:val="FFFFFF"/>
              </w:rPr>
              <w:t>Pozícia</w:t>
            </w:r>
          </w:p>
        </w:tc>
        <w:tc>
          <w:tcPr>
            <w:tcW w:w="696" w:type="dxa"/>
            <w:shd w:val="clear" w:color="auto" w:fill="D8D8D8"/>
          </w:tcPr>
          <w:p w:rsidR="009A6B10" w:rsidRPr="009A6B10" w:rsidRDefault="009A6B10" w:rsidP="009A6B10">
            <w:pPr>
              <w:jc w:val="center"/>
            </w:pPr>
            <w:r w:rsidRPr="009A6B10">
              <w:t>43</w:t>
            </w:r>
          </w:p>
        </w:tc>
        <w:tc>
          <w:tcPr>
            <w:tcW w:w="696" w:type="dxa"/>
            <w:shd w:val="clear" w:color="auto" w:fill="D8D8D8"/>
          </w:tcPr>
          <w:p w:rsidR="009A6B10" w:rsidRPr="009A6B10" w:rsidRDefault="009A6B10" w:rsidP="009A6B10">
            <w:pPr>
              <w:jc w:val="center"/>
            </w:pPr>
            <w:r w:rsidRPr="009A6B10">
              <w:t>43</w:t>
            </w:r>
          </w:p>
        </w:tc>
        <w:tc>
          <w:tcPr>
            <w:tcW w:w="696" w:type="dxa"/>
            <w:shd w:val="clear" w:color="auto" w:fill="D8D8D8"/>
          </w:tcPr>
          <w:p w:rsidR="009A6B10" w:rsidRPr="009A6B10" w:rsidRDefault="009A6B10" w:rsidP="009A6B10">
            <w:pPr>
              <w:jc w:val="center"/>
            </w:pPr>
            <w:r w:rsidRPr="009A6B10">
              <w:t>41</w:t>
            </w:r>
          </w:p>
        </w:tc>
        <w:tc>
          <w:tcPr>
            <w:tcW w:w="696" w:type="dxa"/>
            <w:shd w:val="clear" w:color="auto" w:fill="D8D8D8"/>
          </w:tcPr>
          <w:p w:rsidR="009A6B10" w:rsidRPr="009A6B10" w:rsidRDefault="009A6B10" w:rsidP="009A6B10">
            <w:pPr>
              <w:jc w:val="center"/>
            </w:pPr>
            <w:r w:rsidRPr="009A6B10">
              <w:t>37</w:t>
            </w:r>
          </w:p>
        </w:tc>
        <w:tc>
          <w:tcPr>
            <w:tcW w:w="696" w:type="dxa"/>
            <w:shd w:val="clear" w:color="auto" w:fill="D8D8D8"/>
          </w:tcPr>
          <w:p w:rsidR="009A6B10" w:rsidRPr="009A6B10" w:rsidRDefault="009A6B10" w:rsidP="009A6B10">
            <w:pPr>
              <w:jc w:val="center"/>
            </w:pPr>
            <w:r w:rsidRPr="009A6B10">
              <w:t>41</w:t>
            </w:r>
          </w:p>
        </w:tc>
        <w:tc>
          <w:tcPr>
            <w:tcW w:w="696" w:type="dxa"/>
            <w:shd w:val="clear" w:color="auto" w:fill="D8D8D8"/>
          </w:tcPr>
          <w:p w:rsidR="009A6B10" w:rsidRPr="009A6B10" w:rsidRDefault="009A6B10" w:rsidP="009A6B10">
            <w:pPr>
              <w:jc w:val="center"/>
            </w:pPr>
            <w:r w:rsidRPr="009A6B10">
              <w:t>46</w:t>
            </w:r>
          </w:p>
        </w:tc>
        <w:tc>
          <w:tcPr>
            <w:tcW w:w="696" w:type="dxa"/>
            <w:shd w:val="clear" w:color="auto" w:fill="D8D8D8"/>
          </w:tcPr>
          <w:p w:rsidR="009A6B10" w:rsidRPr="009A6B10" w:rsidRDefault="009A6B10" w:rsidP="009A6B10">
            <w:pPr>
              <w:jc w:val="center"/>
            </w:pPr>
            <w:r w:rsidRPr="009A6B10">
              <w:t>47</w:t>
            </w:r>
          </w:p>
        </w:tc>
        <w:tc>
          <w:tcPr>
            <w:tcW w:w="696" w:type="dxa"/>
            <w:shd w:val="clear" w:color="auto" w:fill="D8D8D8"/>
          </w:tcPr>
          <w:p w:rsidR="009A6B10" w:rsidRPr="009A6B10" w:rsidRDefault="009A6B10" w:rsidP="009A6B10">
            <w:pPr>
              <w:jc w:val="center"/>
            </w:pPr>
            <w:r w:rsidRPr="009A6B10">
              <w:t>60</w:t>
            </w:r>
          </w:p>
        </w:tc>
        <w:tc>
          <w:tcPr>
            <w:tcW w:w="696" w:type="dxa"/>
            <w:shd w:val="clear" w:color="auto" w:fill="D8D8D8"/>
          </w:tcPr>
          <w:p w:rsidR="009A6B10" w:rsidRPr="009A6B10" w:rsidRDefault="009A6B10" w:rsidP="009A6B10">
            <w:pPr>
              <w:jc w:val="center"/>
            </w:pPr>
            <w:r w:rsidRPr="009A6B10">
              <w:t>69</w:t>
            </w:r>
          </w:p>
        </w:tc>
        <w:tc>
          <w:tcPr>
            <w:tcW w:w="696" w:type="dxa"/>
            <w:shd w:val="clear" w:color="auto" w:fill="D8D8D8"/>
          </w:tcPr>
          <w:p w:rsidR="009A6B10" w:rsidRPr="009A6B10" w:rsidRDefault="009A6B10" w:rsidP="009A6B10">
            <w:pPr>
              <w:jc w:val="center"/>
            </w:pPr>
            <w:r w:rsidRPr="009A6B10">
              <w:t>71</w:t>
            </w:r>
          </w:p>
        </w:tc>
        <w:tc>
          <w:tcPr>
            <w:tcW w:w="696" w:type="dxa"/>
            <w:shd w:val="clear" w:color="auto" w:fill="D8D8D8"/>
          </w:tcPr>
          <w:p w:rsidR="009A6B10" w:rsidRPr="009A6B10" w:rsidRDefault="009A6B10" w:rsidP="009A6B10">
            <w:pPr>
              <w:jc w:val="center"/>
            </w:pPr>
            <w:r w:rsidRPr="009A6B10">
              <w:t>78</w:t>
            </w:r>
          </w:p>
        </w:tc>
      </w:tr>
      <w:tr w:rsidR="00E56B8D" w:rsidRPr="009A6B10" w:rsidTr="009A6B10">
        <w:tc>
          <w:tcPr>
            <w:tcW w:w="950" w:type="dxa"/>
            <w:tcBorders>
              <w:bottom w:val="single" w:sz="18" w:space="0" w:color="auto"/>
            </w:tcBorders>
            <w:shd w:val="clear" w:color="auto" w:fill="F79646"/>
          </w:tcPr>
          <w:p w:rsidR="009A6B10" w:rsidRPr="009A6B10" w:rsidRDefault="009A6B10" w:rsidP="009A6B10">
            <w:pPr>
              <w:rPr>
                <w:b/>
                <w:bCs/>
                <w:color w:val="FFFFFF"/>
              </w:rPr>
            </w:pPr>
            <w:r w:rsidRPr="009A6B10">
              <w:rPr>
                <w:b/>
                <w:bCs/>
                <w:color w:val="FFFFFF"/>
              </w:rPr>
              <w:t>Posun</w:t>
            </w:r>
          </w:p>
        </w:tc>
        <w:tc>
          <w:tcPr>
            <w:tcW w:w="696" w:type="dxa"/>
            <w:shd w:val="clear" w:color="auto" w:fill="auto"/>
          </w:tcPr>
          <w:p w:rsidR="009A6B10" w:rsidRPr="009A6B10" w:rsidRDefault="009A6B10" w:rsidP="009A6B10">
            <w:pPr>
              <w:jc w:val="center"/>
              <w:rPr>
                <w:color w:val="00B050"/>
              </w:rPr>
            </w:pPr>
            <w:r w:rsidRPr="009A6B10">
              <w:rPr>
                <w:color w:val="00B050"/>
              </w:rPr>
              <w:t>+6</w:t>
            </w:r>
          </w:p>
        </w:tc>
        <w:tc>
          <w:tcPr>
            <w:tcW w:w="696" w:type="dxa"/>
            <w:shd w:val="clear" w:color="auto" w:fill="auto"/>
          </w:tcPr>
          <w:p w:rsidR="009A6B10" w:rsidRPr="009A6B10" w:rsidRDefault="009A6B10" w:rsidP="009A6B10">
            <w:pPr>
              <w:jc w:val="center"/>
              <w:rPr>
                <w:color w:val="262626"/>
              </w:rPr>
            </w:pPr>
            <w:r w:rsidRPr="009A6B10">
              <w:rPr>
                <w:color w:val="262626"/>
              </w:rPr>
              <w:t>0</w:t>
            </w:r>
          </w:p>
        </w:tc>
        <w:tc>
          <w:tcPr>
            <w:tcW w:w="696" w:type="dxa"/>
            <w:shd w:val="clear" w:color="auto" w:fill="auto"/>
          </w:tcPr>
          <w:p w:rsidR="009A6B10" w:rsidRPr="009A6B10" w:rsidRDefault="009A6B10" w:rsidP="009A6B10">
            <w:pPr>
              <w:jc w:val="center"/>
              <w:rPr>
                <w:color w:val="00B050"/>
              </w:rPr>
            </w:pPr>
            <w:r w:rsidRPr="009A6B10">
              <w:rPr>
                <w:color w:val="00B050"/>
              </w:rPr>
              <w:t>+2</w:t>
            </w:r>
          </w:p>
        </w:tc>
        <w:tc>
          <w:tcPr>
            <w:tcW w:w="696" w:type="dxa"/>
            <w:shd w:val="clear" w:color="auto" w:fill="auto"/>
          </w:tcPr>
          <w:p w:rsidR="009A6B10" w:rsidRPr="009A6B10" w:rsidRDefault="009A6B10" w:rsidP="009A6B10">
            <w:pPr>
              <w:jc w:val="center"/>
              <w:rPr>
                <w:color w:val="00B050"/>
              </w:rPr>
            </w:pPr>
            <w:r w:rsidRPr="009A6B10">
              <w:rPr>
                <w:color w:val="00B050"/>
              </w:rPr>
              <w:t>+4</w:t>
            </w:r>
          </w:p>
        </w:tc>
        <w:tc>
          <w:tcPr>
            <w:tcW w:w="696" w:type="dxa"/>
            <w:shd w:val="clear" w:color="auto" w:fill="auto"/>
          </w:tcPr>
          <w:p w:rsidR="009A6B10" w:rsidRPr="009A6B10" w:rsidRDefault="009A6B10" w:rsidP="009A6B10">
            <w:pPr>
              <w:jc w:val="center"/>
              <w:rPr>
                <w:color w:val="FF0000"/>
              </w:rPr>
            </w:pPr>
            <w:r w:rsidRPr="009A6B10">
              <w:rPr>
                <w:color w:val="FF0000"/>
              </w:rPr>
              <w:t>-4</w:t>
            </w:r>
          </w:p>
        </w:tc>
        <w:tc>
          <w:tcPr>
            <w:tcW w:w="696" w:type="dxa"/>
            <w:shd w:val="clear" w:color="auto" w:fill="auto"/>
          </w:tcPr>
          <w:p w:rsidR="009A6B10" w:rsidRPr="009A6B10" w:rsidRDefault="009A6B10" w:rsidP="009A6B10">
            <w:pPr>
              <w:jc w:val="center"/>
              <w:rPr>
                <w:color w:val="FF0000"/>
              </w:rPr>
            </w:pPr>
            <w:r w:rsidRPr="009A6B10">
              <w:rPr>
                <w:color w:val="FF0000"/>
              </w:rPr>
              <w:t>-5</w:t>
            </w:r>
          </w:p>
        </w:tc>
        <w:tc>
          <w:tcPr>
            <w:tcW w:w="696" w:type="dxa"/>
            <w:shd w:val="clear" w:color="auto" w:fill="auto"/>
          </w:tcPr>
          <w:p w:rsidR="009A6B10" w:rsidRPr="009A6B10" w:rsidRDefault="009A6B10" w:rsidP="009A6B10">
            <w:pPr>
              <w:jc w:val="center"/>
              <w:rPr>
                <w:color w:val="FF0000"/>
              </w:rPr>
            </w:pPr>
            <w:r w:rsidRPr="009A6B10">
              <w:rPr>
                <w:color w:val="FF0000"/>
              </w:rPr>
              <w:t>-1</w:t>
            </w:r>
          </w:p>
        </w:tc>
        <w:tc>
          <w:tcPr>
            <w:tcW w:w="696" w:type="dxa"/>
            <w:shd w:val="clear" w:color="auto" w:fill="auto"/>
          </w:tcPr>
          <w:p w:rsidR="009A6B10" w:rsidRPr="009A6B10" w:rsidRDefault="009A6B10" w:rsidP="009A6B10">
            <w:pPr>
              <w:jc w:val="center"/>
              <w:rPr>
                <w:color w:val="FF0000"/>
              </w:rPr>
            </w:pPr>
            <w:r w:rsidRPr="009A6B10">
              <w:rPr>
                <w:color w:val="FF0000"/>
              </w:rPr>
              <w:t>-13</w:t>
            </w:r>
          </w:p>
        </w:tc>
        <w:tc>
          <w:tcPr>
            <w:tcW w:w="696" w:type="dxa"/>
            <w:shd w:val="clear" w:color="auto" w:fill="auto"/>
          </w:tcPr>
          <w:p w:rsidR="009A6B10" w:rsidRPr="009A6B10" w:rsidRDefault="009A6B10" w:rsidP="009A6B10">
            <w:pPr>
              <w:jc w:val="center"/>
              <w:rPr>
                <w:color w:val="FF0000"/>
              </w:rPr>
            </w:pPr>
            <w:r w:rsidRPr="009A6B10">
              <w:rPr>
                <w:color w:val="FF0000"/>
              </w:rPr>
              <w:t>-9</w:t>
            </w:r>
          </w:p>
        </w:tc>
        <w:tc>
          <w:tcPr>
            <w:tcW w:w="696" w:type="dxa"/>
            <w:shd w:val="clear" w:color="auto" w:fill="auto"/>
          </w:tcPr>
          <w:p w:rsidR="009A6B10" w:rsidRPr="009A6B10" w:rsidRDefault="009A6B10" w:rsidP="009A6B10">
            <w:pPr>
              <w:jc w:val="center"/>
              <w:rPr>
                <w:color w:val="FF0000"/>
              </w:rPr>
            </w:pPr>
            <w:r w:rsidRPr="009A6B10">
              <w:rPr>
                <w:color w:val="FF0000"/>
              </w:rPr>
              <w:t>-2</w:t>
            </w:r>
          </w:p>
        </w:tc>
        <w:tc>
          <w:tcPr>
            <w:tcW w:w="696" w:type="dxa"/>
            <w:shd w:val="clear" w:color="auto" w:fill="auto"/>
          </w:tcPr>
          <w:p w:rsidR="009A6B10" w:rsidRPr="009A6B10" w:rsidRDefault="009A6B10" w:rsidP="009A6B10">
            <w:pPr>
              <w:jc w:val="center"/>
              <w:rPr>
                <w:color w:val="FF0000"/>
              </w:rPr>
            </w:pPr>
            <w:r w:rsidRPr="009A6B10">
              <w:rPr>
                <w:color w:val="FF0000"/>
              </w:rPr>
              <w:t>-7</w:t>
            </w:r>
          </w:p>
        </w:tc>
      </w:tr>
    </w:tbl>
    <w:p w:rsidR="009A6B10" w:rsidRPr="009A6B10" w:rsidRDefault="009A6B10" w:rsidP="009A6B10">
      <w:pPr>
        <w:suppressAutoHyphens/>
        <w:spacing w:after="120"/>
        <w:jc w:val="both"/>
        <w:rPr>
          <w:rFonts w:ascii="Calibri" w:hAnsi="Calibri" w:cs="Arial"/>
          <w:szCs w:val="22"/>
          <w:lang w:eastAsia="zh-CN"/>
        </w:rPr>
      </w:pPr>
      <w:r w:rsidRPr="009A6B10">
        <w:rPr>
          <w:b/>
          <w:bCs/>
          <w:lang w:eastAsia="zh-CN"/>
        </w:rPr>
        <w:t xml:space="preserve">Tab. 1 </w:t>
      </w:r>
      <w:r w:rsidRPr="009A6B10">
        <w:rPr>
          <w:sz w:val="20"/>
          <w:szCs w:val="20"/>
          <w:lang w:eastAsia="zh-CN"/>
        </w:rPr>
        <w:t>Vývoj pozície SR v rebríčku konkurencieschopnosti Svetového ekonomického fóra (10 rokov)</w:t>
      </w:r>
    </w:p>
    <w:p w:rsidR="009A6B10" w:rsidRPr="009A6B10" w:rsidRDefault="009A6B10" w:rsidP="009A6B10"/>
    <w:p w:rsidR="009A6B10" w:rsidRPr="009A6B10" w:rsidRDefault="009A6B10" w:rsidP="009A6B10">
      <w:pPr>
        <w:jc w:val="both"/>
      </w:pPr>
      <w:r w:rsidRPr="009A6B10">
        <w:t>V rámci výskumu sa hodnotí konkurencieschopnosť krajín na základe dostupných štatistických dát (tzv. tvrdé dáta) a celosvetového Prieskumu názorov riadiacich pracovníkov (tzv. mäkké dáta). V druhom prípade ide o čisto subjektívne pocitové hodnotenie ekonomického prostredia manažérmi stredných a veľkých podnikov, pričom oslovenú vzorku  250 malých a stredných a 250 veľkých podnikov je ťažko akceptovať za reprezentatívnu pri viac ako 560tis podnikateľských subjektov pôsobiacich v podmienkach SR.</w:t>
      </w:r>
    </w:p>
    <w:p w:rsidR="009A6B10" w:rsidRPr="009A6B10" w:rsidRDefault="009A6B10" w:rsidP="009A6B10">
      <w:pPr>
        <w:rPr>
          <w:rFonts w:ascii="Cambria" w:hAnsi="Cambria" w:cs="Arial"/>
          <w:b/>
          <w:bCs/>
          <w:sz w:val="23"/>
          <w:szCs w:val="23"/>
        </w:rPr>
      </w:pPr>
    </w:p>
    <w:p w:rsidR="009A6B10" w:rsidRPr="009A6B10" w:rsidRDefault="009A6B10" w:rsidP="009A6B10">
      <w:r w:rsidRPr="009A6B10">
        <w:rPr>
          <w:rFonts w:cs="Arial"/>
          <w:b/>
          <w:bCs/>
        </w:rPr>
        <w:t>Hodnotené piliere konkurencieschopnosti</w:t>
      </w:r>
      <w:r w:rsidRPr="009A6B10">
        <w:t xml:space="preserve"> </w:t>
      </w:r>
    </w:p>
    <w:p w:rsidR="009A6B10" w:rsidRPr="009A6B10" w:rsidRDefault="00CB5F71" w:rsidP="009A6B10">
      <w:pPr>
        <w:rPr>
          <w:sz w:val="23"/>
          <w:szCs w:val="23"/>
        </w:rPr>
      </w:pPr>
      <w:r>
        <w:rPr>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29.5pt" filled="t">
            <v:fill color2="black"/>
            <v:imagedata r:id="rId14" o:title="" croptop="1293f" cropbottom="1075f" cropleft="1857f" cropright="2924f"/>
          </v:shape>
        </w:pict>
      </w:r>
    </w:p>
    <w:p w:rsidR="009A6B10" w:rsidRPr="009A6B10" w:rsidRDefault="009A6B10" w:rsidP="009A6B10"/>
    <w:p w:rsidR="009A6B10" w:rsidRPr="009A6B10" w:rsidRDefault="009A6B10" w:rsidP="009A6B10">
      <w:pPr>
        <w:jc w:val="both"/>
      </w:pPr>
      <w:r w:rsidRPr="009A6B10">
        <w:t xml:space="preserve">Samotný výskum tvorí celkový počet 116 otázok a indikátorov kategorizovaných do 12 oblastí </w:t>
      </w:r>
      <w:r w:rsidRPr="009A6B10">
        <w:rPr>
          <w:rFonts w:eastAsia="Arial Unicode MS"/>
          <w:vertAlign w:val="superscript"/>
        </w:rPr>
        <w:footnoteReference w:id="2"/>
      </w:r>
      <w:r w:rsidRPr="009A6B10">
        <w:t xml:space="preserve"> , z ktorého len 29% je založených na tzv. tvrdých dátach (overiteľné dáta, kde zdrojom sú štatistiky rôznych organizácií, ktoré sa jednotlivými oblasťami zaoberajú v rámci svojho pôsobenia ) a zvyšných 71% je založených na názoroch oslovených manažérov v rámci dopytovanej vzorky, pričom stupnica hodnotenia sa vo väčšine prípadov udáva v bodoch od 1 do 7, pričom 1 môže predstavovať rôzne hodnoty ako napr. extrémne slabý, neúčinný, resp. zložitý, a 7, ako najvyššia hodnota, ich protiklady.</w:t>
      </w:r>
    </w:p>
    <w:p w:rsidR="009A6B10" w:rsidRPr="009A6B10" w:rsidRDefault="009A6B10" w:rsidP="009A6B10">
      <w:pPr>
        <w:autoSpaceDE w:val="0"/>
        <w:autoSpaceDN w:val="0"/>
        <w:adjustRightInd w:val="0"/>
        <w:rPr>
          <w:b/>
          <w:bCs/>
          <w:color w:val="000000"/>
        </w:rPr>
      </w:pPr>
    </w:p>
    <w:p w:rsidR="009A6B10" w:rsidRPr="009A6B10" w:rsidRDefault="009A6B10" w:rsidP="009A6B10">
      <w:pPr>
        <w:rPr>
          <w:b/>
        </w:rPr>
      </w:pPr>
      <w:r w:rsidRPr="009A6B10">
        <w:rPr>
          <w:b/>
        </w:rPr>
        <w:t>Najproblematickejšie faktory pre podnikanie</w:t>
      </w:r>
    </w:p>
    <w:p w:rsidR="009A6B10" w:rsidRPr="009A6B10" w:rsidRDefault="00CB5F71" w:rsidP="009A6B10">
      <w:pPr>
        <w:rPr>
          <w:b/>
        </w:rPr>
      </w:pPr>
      <w:r>
        <w:rPr>
          <w:noProof/>
        </w:rPr>
        <w:pict>
          <v:shape id="_x0000_s1053" type="#_x0000_t75" style="position:absolute;margin-left:241.8pt;margin-top:9.6pt;width:253.35pt;height:241.5pt;z-index:251662848">
            <v:imagedata r:id="rId15" o:title="graf"/>
            <w10:wrap type="square"/>
          </v:shape>
        </w:pict>
      </w:r>
    </w:p>
    <w:p w:rsidR="009A6B10" w:rsidRPr="009A6B10" w:rsidRDefault="009A6B10" w:rsidP="009A6B10">
      <w:r w:rsidRPr="009A6B10">
        <w:t>Neefektívna verejná správa</w:t>
      </w:r>
      <w:r w:rsidRPr="009A6B10">
        <w:tab/>
      </w:r>
      <w:r w:rsidRPr="009A6B10">
        <w:tab/>
        <w:t xml:space="preserve">          19.7</w:t>
      </w:r>
    </w:p>
    <w:p w:rsidR="009A6B10" w:rsidRPr="009A6B10" w:rsidRDefault="009A6B10" w:rsidP="009A6B10">
      <w:r w:rsidRPr="009A6B10">
        <w:t>Korupcia</w:t>
      </w:r>
      <w:r w:rsidRPr="009A6B10">
        <w:tab/>
      </w:r>
      <w:r w:rsidRPr="009A6B10">
        <w:tab/>
      </w:r>
      <w:r w:rsidRPr="009A6B10">
        <w:tab/>
      </w:r>
      <w:r w:rsidRPr="009A6B10">
        <w:tab/>
        <w:t xml:space="preserve">          18.7</w:t>
      </w:r>
    </w:p>
    <w:p w:rsidR="009A6B10" w:rsidRPr="009A6B10" w:rsidRDefault="009A6B10" w:rsidP="009A6B10">
      <w:r w:rsidRPr="009A6B10">
        <w:t>Obmedzujúce pracovnoprávne predpisy     13.6</w:t>
      </w:r>
    </w:p>
    <w:p w:rsidR="009A6B10" w:rsidRPr="009A6B10" w:rsidRDefault="009A6B10" w:rsidP="009A6B10">
      <w:r w:rsidRPr="009A6B10">
        <w:t>Nestabilita politiky</w:t>
      </w:r>
      <w:r w:rsidRPr="009A6B10">
        <w:tab/>
      </w:r>
      <w:r w:rsidRPr="009A6B10">
        <w:tab/>
      </w:r>
      <w:r w:rsidRPr="009A6B10">
        <w:tab/>
      </w:r>
      <w:r w:rsidRPr="009A6B10">
        <w:tab/>
        <w:t>9.9</w:t>
      </w:r>
    </w:p>
    <w:p w:rsidR="009A6B10" w:rsidRPr="009A6B10" w:rsidRDefault="009A6B10" w:rsidP="009A6B10">
      <w:r w:rsidRPr="009A6B10">
        <w:t>Výška daňových sadzieb</w:t>
      </w:r>
      <w:r w:rsidRPr="009A6B10">
        <w:tab/>
      </w:r>
      <w:r w:rsidRPr="009A6B10">
        <w:tab/>
      </w:r>
      <w:r w:rsidRPr="009A6B10">
        <w:tab/>
        <w:t>8.4</w:t>
      </w:r>
    </w:p>
    <w:p w:rsidR="009A6B10" w:rsidRPr="009A6B10" w:rsidRDefault="009A6B10" w:rsidP="009A6B10">
      <w:r w:rsidRPr="009A6B10">
        <w:t>Nedostatočná infraštruktúra</w:t>
      </w:r>
      <w:r w:rsidRPr="009A6B10">
        <w:tab/>
      </w:r>
      <w:r w:rsidRPr="009A6B10">
        <w:tab/>
      </w:r>
      <w:r w:rsidRPr="009A6B10">
        <w:tab/>
        <w:t>7.4</w:t>
      </w:r>
    </w:p>
    <w:p w:rsidR="009A6B10" w:rsidRPr="009A6B10" w:rsidRDefault="009A6B10" w:rsidP="009A6B10">
      <w:r w:rsidRPr="009A6B10">
        <w:t>Daňové predpisy</w:t>
      </w:r>
      <w:r w:rsidRPr="009A6B10">
        <w:tab/>
      </w:r>
      <w:r w:rsidRPr="009A6B10">
        <w:tab/>
      </w:r>
      <w:r w:rsidRPr="009A6B10">
        <w:tab/>
      </w:r>
      <w:r w:rsidRPr="009A6B10">
        <w:tab/>
        <w:t xml:space="preserve">5.9 </w:t>
      </w:r>
    </w:p>
    <w:p w:rsidR="009A6B10" w:rsidRPr="009A6B10" w:rsidRDefault="009A6B10" w:rsidP="009A6B10">
      <w:r w:rsidRPr="009A6B10">
        <w:t>Prístup k financovaniu</w:t>
      </w:r>
      <w:r w:rsidRPr="009A6B10">
        <w:tab/>
      </w:r>
      <w:r w:rsidRPr="009A6B10">
        <w:tab/>
      </w:r>
      <w:r w:rsidRPr="009A6B10">
        <w:tab/>
        <w:t>4.8</w:t>
      </w:r>
    </w:p>
    <w:p w:rsidR="009A6B10" w:rsidRPr="009A6B10" w:rsidRDefault="009A6B10" w:rsidP="009A6B10">
      <w:r w:rsidRPr="009A6B10">
        <w:t>Nedostatočná schopnosť inovovať</w:t>
      </w:r>
      <w:r w:rsidRPr="009A6B10">
        <w:tab/>
      </w:r>
      <w:r w:rsidRPr="009A6B10">
        <w:tab/>
        <w:t>4.0</w:t>
      </w:r>
    </w:p>
    <w:p w:rsidR="009A6B10" w:rsidRPr="009A6B10" w:rsidRDefault="009A6B10" w:rsidP="009A6B10">
      <w:r w:rsidRPr="009A6B10">
        <w:t>Slabá pracovná morálka pracovnej sily</w:t>
      </w:r>
      <w:r w:rsidRPr="009A6B10">
        <w:tab/>
        <w:t>2.3</w:t>
      </w:r>
    </w:p>
    <w:p w:rsidR="009A6B10" w:rsidRPr="009A6B10" w:rsidRDefault="009A6B10" w:rsidP="009A6B10">
      <w:r w:rsidRPr="009A6B10">
        <w:t>Nedostatok vzdelanej pracovnej sily</w:t>
      </w:r>
      <w:r w:rsidRPr="009A6B10">
        <w:tab/>
      </w:r>
      <w:r w:rsidRPr="009A6B10">
        <w:tab/>
        <w:t>2.0</w:t>
      </w:r>
    </w:p>
    <w:p w:rsidR="009A6B10" w:rsidRPr="009A6B10" w:rsidRDefault="009A6B10" w:rsidP="009A6B10">
      <w:r w:rsidRPr="009A6B10">
        <w:t>Kriminalita a krádeže</w:t>
      </w:r>
      <w:r w:rsidRPr="009A6B10">
        <w:tab/>
      </w:r>
      <w:r w:rsidRPr="009A6B10">
        <w:tab/>
      </w:r>
      <w:r w:rsidRPr="009A6B10">
        <w:tab/>
      </w:r>
      <w:r w:rsidRPr="009A6B10">
        <w:tab/>
        <w:t>1.5</w:t>
      </w:r>
    </w:p>
    <w:p w:rsidR="009A6B10" w:rsidRPr="009A6B10" w:rsidRDefault="009A6B10" w:rsidP="009A6B10">
      <w:r w:rsidRPr="009A6B10">
        <w:t>Nestabilita vlády / prevraty</w:t>
      </w:r>
      <w:r w:rsidRPr="009A6B10">
        <w:tab/>
      </w:r>
      <w:r w:rsidRPr="009A6B10">
        <w:tab/>
      </w:r>
      <w:r w:rsidRPr="009A6B10">
        <w:tab/>
        <w:t>1.1</w:t>
      </w:r>
    </w:p>
    <w:p w:rsidR="009A6B10" w:rsidRPr="009A6B10" w:rsidRDefault="009A6B10" w:rsidP="009A6B10">
      <w:r w:rsidRPr="009A6B10">
        <w:t>Inflácia</w:t>
      </w:r>
      <w:r w:rsidRPr="009A6B10">
        <w:tab/>
      </w:r>
      <w:r w:rsidRPr="009A6B10">
        <w:tab/>
      </w:r>
      <w:r w:rsidRPr="009A6B10">
        <w:tab/>
      </w:r>
      <w:r w:rsidRPr="009A6B10">
        <w:tab/>
      </w:r>
      <w:r w:rsidRPr="009A6B10">
        <w:tab/>
        <w:t>0.4</w:t>
      </w:r>
    </w:p>
    <w:p w:rsidR="009A6B10" w:rsidRPr="009A6B10" w:rsidRDefault="009A6B10" w:rsidP="009A6B10">
      <w:r w:rsidRPr="009A6B10">
        <w:t>Regulácie cudzej meny</w:t>
      </w:r>
      <w:r w:rsidRPr="009A6B10">
        <w:tab/>
      </w:r>
      <w:r w:rsidRPr="009A6B10">
        <w:tab/>
      </w:r>
      <w:r w:rsidRPr="009A6B10">
        <w:tab/>
        <w:t>0.3</w:t>
      </w:r>
    </w:p>
    <w:p w:rsidR="009A6B10" w:rsidRPr="009A6B10" w:rsidRDefault="009A6B10" w:rsidP="009A6B10">
      <w:r w:rsidRPr="009A6B10">
        <w:t>Slabá kvalita verejného zdravotníctva</w:t>
      </w:r>
      <w:r w:rsidRPr="009A6B10">
        <w:tab/>
        <w:t>0.1</w:t>
      </w:r>
    </w:p>
    <w:p w:rsidR="009A6B10" w:rsidRPr="009A6B10" w:rsidRDefault="009A6B10" w:rsidP="009A6B10"/>
    <w:p w:rsidR="009A6B10" w:rsidRPr="009A6B10" w:rsidRDefault="009A6B10" w:rsidP="009A6B10"/>
    <w:p w:rsidR="009A6B10" w:rsidRPr="009A6B10" w:rsidRDefault="009A6B10" w:rsidP="009A6B10">
      <w:pPr>
        <w:autoSpaceDE w:val="0"/>
        <w:autoSpaceDN w:val="0"/>
        <w:adjustRightInd w:val="0"/>
        <w:rPr>
          <w:b/>
          <w:bCs/>
          <w:color w:val="000000"/>
        </w:rPr>
      </w:pPr>
    </w:p>
    <w:p w:rsidR="009A6B10" w:rsidRPr="009A6B10" w:rsidRDefault="009A6B10" w:rsidP="009A6B10">
      <w:pPr>
        <w:autoSpaceDE w:val="0"/>
        <w:autoSpaceDN w:val="0"/>
        <w:adjustRightInd w:val="0"/>
        <w:rPr>
          <w:b/>
          <w:bCs/>
          <w:color w:val="000000"/>
        </w:rPr>
      </w:pPr>
      <w:proofErr w:type="spellStart"/>
      <w:r w:rsidRPr="009A6B10">
        <w:rPr>
          <w:b/>
          <w:bCs/>
          <w:color w:val="000000"/>
        </w:rPr>
        <w:t>Doing</w:t>
      </w:r>
      <w:proofErr w:type="spellEnd"/>
      <w:r w:rsidRPr="009A6B10">
        <w:rPr>
          <w:b/>
          <w:bCs/>
          <w:color w:val="000000"/>
        </w:rPr>
        <w:t xml:space="preserve"> </w:t>
      </w:r>
      <w:proofErr w:type="spellStart"/>
      <w:r w:rsidRPr="009A6B10">
        <w:rPr>
          <w:b/>
          <w:bCs/>
          <w:color w:val="000000"/>
        </w:rPr>
        <w:t>Business</w:t>
      </w:r>
      <w:proofErr w:type="spellEnd"/>
    </w:p>
    <w:p w:rsidR="009A6B10" w:rsidRPr="009A6B10" w:rsidRDefault="009A6B10" w:rsidP="009A6B10">
      <w:pPr>
        <w:autoSpaceDE w:val="0"/>
        <w:autoSpaceDN w:val="0"/>
        <w:adjustRightInd w:val="0"/>
        <w:rPr>
          <w:b/>
          <w:bCs/>
          <w:color w:val="000000"/>
        </w:rPr>
      </w:pPr>
    </w:p>
    <w:p w:rsidR="009A6B10" w:rsidRPr="009A6B10" w:rsidRDefault="009A6B10" w:rsidP="009A6B10">
      <w:pPr>
        <w:spacing w:before="120" w:after="120"/>
        <w:rPr>
          <w:b/>
        </w:rPr>
      </w:pPr>
      <w:r w:rsidRPr="009A6B10">
        <w:rPr>
          <w:b/>
        </w:rPr>
        <w:t>Hodnotenie podľa jednotlivých kategórií</w:t>
      </w:r>
    </w:p>
    <w:p w:rsidR="009A6B10" w:rsidRPr="009A6B10" w:rsidRDefault="009A6B10" w:rsidP="009A6B10">
      <w:pPr>
        <w:spacing w:before="240"/>
        <w:rPr>
          <w:b/>
          <w:i/>
        </w:rPr>
      </w:pPr>
      <w:r w:rsidRPr="009A6B10">
        <w:rPr>
          <w:b/>
          <w:i/>
        </w:rPr>
        <w:t>Začatie podnikania</w:t>
      </w:r>
    </w:p>
    <w:p w:rsidR="009A6B10" w:rsidRPr="009A6B10" w:rsidRDefault="009A6B10" w:rsidP="009A6B10">
      <w:pPr>
        <w:spacing w:before="120"/>
        <w:ind w:firstLine="708"/>
        <w:jc w:val="both"/>
      </w:pPr>
      <w:r w:rsidRPr="009A6B10">
        <w:t>Slovensko sa v aktuálnom hodnotení podmienok na začatie podnikanie umiestnilo na 108. mieste. V celkovom hodnotení ukazovateľa Začatie podnikania si Slovensko pohoršilo o 28 priečok.</w:t>
      </w:r>
    </w:p>
    <w:p w:rsidR="009A6B10" w:rsidRPr="009A6B10" w:rsidRDefault="009A6B10" w:rsidP="009A6B10">
      <w:pPr>
        <w:spacing w:before="120"/>
        <w:ind w:firstLine="708"/>
        <w:jc w:val="both"/>
      </w:pPr>
      <w:r w:rsidRPr="009A6B10">
        <w:t>Dôvodom je zavedenie novej povinnosti pre žiadateľov o zápis spoločnosti do Obchodného registra SR (ďalej len „OR SR“), ktorí musia miestne príslušného správcu dane žiadať o súhlas so zápisom do OR SR, pričom ten vydá súhlas len vtedy, ak daňový subjekt nemá daňový nedoplatok a nedoplatok na cle vyšší ako 170 Eur.</w:t>
      </w:r>
    </w:p>
    <w:p w:rsidR="009A6B10" w:rsidRPr="009A6B10" w:rsidRDefault="009A6B10" w:rsidP="009A6B10">
      <w:pPr>
        <w:spacing w:before="120"/>
        <w:ind w:firstLine="708"/>
        <w:jc w:val="both"/>
      </w:pPr>
      <w:r w:rsidRPr="009A6B10">
        <w:t>Najlepšie hodnotenie v medzinárodnom porovnaní podľa DB v oblasti začatia podnikania dosiahol Nový Zéland, kde je umožnené začínajúcemu podnikateľovi registrovať sa prostredníctvom jednej elektronickej registrácie v priebehu jedného dňa. Najlepšie umiestnenie spomedzi krajín V4</w:t>
      </w:r>
      <w:r w:rsidR="00807FFA">
        <w:t xml:space="preserve"> </w:t>
      </w:r>
      <w:r w:rsidRPr="009A6B10">
        <w:t>dosiahlo Maďarsko.</w:t>
      </w:r>
    </w:p>
    <w:p w:rsidR="009A6B10" w:rsidRPr="009A6B10" w:rsidRDefault="009A6B10" w:rsidP="009A6B10">
      <w:pPr>
        <w:spacing w:before="120"/>
        <w:ind w:firstLine="708"/>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452"/>
        <w:gridCol w:w="1465"/>
        <w:gridCol w:w="1275"/>
        <w:gridCol w:w="1701"/>
        <w:gridCol w:w="1985"/>
      </w:tblGrid>
      <w:tr w:rsidR="009A6B10" w:rsidRPr="009A6B10" w:rsidTr="00174ACB">
        <w:tc>
          <w:tcPr>
            <w:tcW w:w="2153"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52" w:type="dxa"/>
            <w:shd w:val="clear" w:color="auto" w:fill="auto"/>
          </w:tcPr>
          <w:p w:rsidR="009A6B10" w:rsidRPr="009A6B10" w:rsidRDefault="009A6B10" w:rsidP="009A6B10">
            <w:pPr>
              <w:jc w:val="center"/>
              <w:rPr>
                <w:b/>
              </w:rPr>
            </w:pPr>
            <w:r w:rsidRPr="009A6B10">
              <w:rPr>
                <w:b/>
              </w:rPr>
              <w:t>Umiestnenie</w:t>
            </w:r>
          </w:p>
        </w:tc>
        <w:tc>
          <w:tcPr>
            <w:tcW w:w="1465" w:type="dxa"/>
            <w:shd w:val="clear" w:color="auto" w:fill="auto"/>
          </w:tcPr>
          <w:p w:rsidR="009A6B10" w:rsidRPr="009A6B10" w:rsidRDefault="009A6B10" w:rsidP="009A6B10">
            <w:pPr>
              <w:jc w:val="center"/>
              <w:rPr>
                <w:b/>
              </w:rPr>
            </w:pPr>
            <w:r w:rsidRPr="009A6B10">
              <w:rPr>
                <w:b/>
              </w:rPr>
              <w:t>Počet potrebných procedúr</w:t>
            </w:r>
          </w:p>
        </w:tc>
        <w:tc>
          <w:tcPr>
            <w:tcW w:w="1275" w:type="dxa"/>
            <w:shd w:val="clear" w:color="auto" w:fill="auto"/>
          </w:tcPr>
          <w:p w:rsidR="009A6B10" w:rsidRPr="009A6B10" w:rsidRDefault="009A6B10" w:rsidP="009A6B10">
            <w:pPr>
              <w:jc w:val="center"/>
              <w:rPr>
                <w:b/>
              </w:rPr>
            </w:pPr>
            <w:r w:rsidRPr="009A6B10">
              <w:rPr>
                <w:b/>
              </w:rPr>
              <w:t xml:space="preserve">Dĺžka </w:t>
            </w:r>
          </w:p>
          <w:p w:rsidR="009A6B10" w:rsidRPr="009A6B10" w:rsidRDefault="009A6B10" w:rsidP="009A6B10">
            <w:pPr>
              <w:jc w:val="center"/>
              <w:rPr>
                <w:b/>
              </w:rPr>
            </w:pPr>
            <w:r w:rsidRPr="009A6B10">
              <w:rPr>
                <w:b/>
              </w:rPr>
              <w:t>(v dňoch)</w:t>
            </w:r>
          </w:p>
        </w:tc>
        <w:tc>
          <w:tcPr>
            <w:tcW w:w="1701" w:type="dxa"/>
            <w:shd w:val="clear" w:color="auto" w:fill="auto"/>
          </w:tcPr>
          <w:p w:rsidR="009A6B10" w:rsidRPr="009A6B10" w:rsidRDefault="009A6B10" w:rsidP="009A6B10">
            <w:pPr>
              <w:jc w:val="center"/>
              <w:rPr>
                <w:b/>
              </w:rPr>
            </w:pPr>
            <w:r w:rsidRPr="009A6B10">
              <w:rPr>
                <w:b/>
              </w:rPr>
              <w:t>Potrebné náklady</w:t>
            </w:r>
          </w:p>
          <w:p w:rsidR="009A6B10" w:rsidRPr="009A6B10" w:rsidRDefault="009A6B10" w:rsidP="009A6B10">
            <w:pPr>
              <w:jc w:val="center"/>
            </w:pPr>
            <w:r w:rsidRPr="009A6B10">
              <w:t>(% z príjmu na obyvateľa)</w:t>
            </w:r>
          </w:p>
        </w:tc>
        <w:tc>
          <w:tcPr>
            <w:tcW w:w="1985" w:type="dxa"/>
            <w:shd w:val="clear" w:color="auto" w:fill="auto"/>
          </w:tcPr>
          <w:p w:rsidR="009A6B10" w:rsidRPr="009A6B10" w:rsidRDefault="009A6B10" w:rsidP="009A6B10">
            <w:pPr>
              <w:jc w:val="center"/>
              <w:rPr>
                <w:b/>
              </w:rPr>
            </w:pPr>
            <w:r w:rsidRPr="009A6B10">
              <w:rPr>
                <w:b/>
              </w:rPr>
              <w:t xml:space="preserve">Minimálne základne imanie </w:t>
            </w:r>
          </w:p>
          <w:p w:rsidR="009A6B10" w:rsidRPr="009A6B10" w:rsidRDefault="009A6B10" w:rsidP="009A6B10">
            <w:pPr>
              <w:jc w:val="center"/>
            </w:pPr>
            <w:r w:rsidRPr="009A6B10">
              <w:t>(% z príjmu na obyvateľa)</w:t>
            </w:r>
          </w:p>
        </w:tc>
      </w:tr>
      <w:tr w:rsidR="009A6B10" w:rsidRPr="009A6B10" w:rsidTr="00174ACB">
        <w:tc>
          <w:tcPr>
            <w:tcW w:w="2153" w:type="dxa"/>
            <w:shd w:val="clear" w:color="auto" w:fill="auto"/>
          </w:tcPr>
          <w:p w:rsidR="009A6B10" w:rsidRPr="009A6B10" w:rsidRDefault="009A6B10" w:rsidP="009A6B10">
            <w:pPr>
              <w:jc w:val="center"/>
            </w:pPr>
            <w:r w:rsidRPr="009A6B10">
              <w:t>Nový Zéland</w:t>
            </w:r>
          </w:p>
        </w:tc>
        <w:tc>
          <w:tcPr>
            <w:tcW w:w="1452" w:type="dxa"/>
            <w:shd w:val="clear" w:color="auto" w:fill="auto"/>
          </w:tcPr>
          <w:p w:rsidR="009A6B10" w:rsidRPr="009A6B10" w:rsidRDefault="009A6B10" w:rsidP="009A6B10">
            <w:pPr>
              <w:jc w:val="center"/>
            </w:pPr>
            <w:r w:rsidRPr="009A6B10">
              <w:t>1.</w:t>
            </w:r>
          </w:p>
        </w:tc>
        <w:tc>
          <w:tcPr>
            <w:tcW w:w="1465" w:type="dxa"/>
            <w:shd w:val="clear" w:color="auto" w:fill="auto"/>
          </w:tcPr>
          <w:p w:rsidR="009A6B10" w:rsidRPr="009A6B10" w:rsidRDefault="009A6B10" w:rsidP="009A6B10">
            <w:pPr>
              <w:jc w:val="center"/>
            </w:pPr>
            <w:r w:rsidRPr="009A6B10">
              <w:t>1</w:t>
            </w:r>
          </w:p>
        </w:tc>
        <w:tc>
          <w:tcPr>
            <w:tcW w:w="1275" w:type="dxa"/>
            <w:shd w:val="clear" w:color="auto" w:fill="auto"/>
          </w:tcPr>
          <w:p w:rsidR="009A6B10" w:rsidRPr="009A6B10" w:rsidRDefault="009A6B10" w:rsidP="009A6B10">
            <w:pPr>
              <w:jc w:val="center"/>
            </w:pPr>
            <w:r w:rsidRPr="009A6B10">
              <w:t>0,5</w:t>
            </w:r>
          </w:p>
        </w:tc>
        <w:tc>
          <w:tcPr>
            <w:tcW w:w="1701" w:type="dxa"/>
            <w:shd w:val="clear" w:color="auto" w:fill="auto"/>
          </w:tcPr>
          <w:p w:rsidR="009A6B10" w:rsidRPr="009A6B10" w:rsidRDefault="009A6B10" w:rsidP="009A6B10">
            <w:pPr>
              <w:jc w:val="center"/>
            </w:pPr>
            <w:r w:rsidRPr="009A6B10">
              <w:t>0,3</w:t>
            </w:r>
          </w:p>
        </w:tc>
        <w:tc>
          <w:tcPr>
            <w:tcW w:w="1985" w:type="dxa"/>
            <w:shd w:val="clear" w:color="auto" w:fill="auto"/>
          </w:tcPr>
          <w:p w:rsidR="009A6B10" w:rsidRPr="009A6B10" w:rsidRDefault="009A6B10" w:rsidP="009A6B10">
            <w:pPr>
              <w:jc w:val="center"/>
            </w:pPr>
            <w:r w:rsidRPr="009A6B10">
              <w:t>0</w:t>
            </w:r>
          </w:p>
        </w:tc>
      </w:tr>
      <w:tr w:rsidR="009A6B10" w:rsidRPr="009A6B10" w:rsidTr="00174ACB">
        <w:tc>
          <w:tcPr>
            <w:tcW w:w="2153" w:type="dxa"/>
            <w:shd w:val="clear" w:color="auto" w:fill="auto"/>
          </w:tcPr>
          <w:p w:rsidR="009A6B10" w:rsidRPr="009A6B10" w:rsidRDefault="009A6B10" w:rsidP="009A6B10">
            <w:pPr>
              <w:jc w:val="center"/>
            </w:pPr>
            <w:r w:rsidRPr="009A6B10">
              <w:t xml:space="preserve">Maďarsko </w:t>
            </w:r>
          </w:p>
        </w:tc>
        <w:tc>
          <w:tcPr>
            <w:tcW w:w="1452" w:type="dxa"/>
            <w:shd w:val="clear" w:color="auto" w:fill="auto"/>
          </w:tcPr>
          <w:p w:rsidR="009A6B10" w:rsidRPr="009A6B10" w:rsidRDefault="009A6B10" w:rsidP="009A6B10">
            <w:pPr>
              <w:jc w:val="center"/>
            </w:pPr>
            <w:r w:rsidRPr="009A6B10">
              <w:t>59.</w:t>
            </w:r>
          </w:p>
        </w:tc>
        <w:tc>
          <w:tcPr>
            <w:tcW w:w="1465" w:type="dxa"/>
            <w:shd w:val="clear" w:color="auto" w:fill="auto"/>
          </w:tcPr>
          <w:p w:rsidR="009A6B10" w:rsidRPr="009A6B10" w:rsidRDefault="009A6B10" w:rsidP="009A6B10">
            <w:pPr>
              <w:jc w:val="center"/>
            </w:pPr>
            <w:r w:rsidRPr="009A6B10">
              <w:t>4</w:t>
            </w:r>
          </w:p>
        </w:tc>
        <w:tc>
          <w:tcPr>
            <w:tcW w:w="1275" w:type="dxa"/>
            <w:shd w:val="clear" w:color="auto" w:fill="auto"/>
          </w:tcPr>
          <w:p w:rsidR="009A6B10" w:rsidRPr="009A6B10" w:rsidRDefault="009A6B10" w:rsidP="009A6B10">
            <w:pPr>
              <w:jc w:val="center"/>
            </w:pPr>
            <w:r w:rsidRPr="009A6B10">
              <w:t>5</w:t>
            </w:r>
          </w:p>
        </w:tc>
        <w:tc>
          <w:tcPr>
            <w:tcW w:w="1701" w:type="dxa"/>
            <w:shd w:val="clear" w:color="auto" w:fill="auto"/>
          </w:tcPr>
          <w:p w:rsidR="009A6B10" w:rsidRPr="009A6B10" w:rsidRDefault="009A6B10" w:rsidP="009A6B10">
            <w:pPr>
              <w:jc w:val="center"/>
            </w:pPr>
            <w:r w:rsidRPr="009A6B10">
              <w:t>8,6</w:t>
            </w:r>
          </w:p>
        </w:tc>
        <w:tc>
          <w:tcPr>
            <w:tcW w:w="1985" w:type="dxa"/>
            <w:shd w:val="clear" w:color="auto" w:fill="auto"/>
          </w:tcPr>
          <w:p w:rsidR="009A6B10" w:rsidRPr="009A6B10" w:rsidRDefault="009A6B10" w:rsidP="009A6B10">
            <w:pPr>
              <w:jc w:val="center"/>
            </w:pPr>
            <w:r w:rsidRPr="009A6B10">
              <w:t>9,4 </w:t>
            </w:r>
          </w:p>
        </w:tc>
      </w:tr>
      <w:tr w:rsidR="00E56B8D" w:rsidRPr="009A6B10" w:rsidTr="009A6B10">
        <w:tc>
          <w:tcPr>
            <w:tcW w:w="2153" w:type="dxa"/>
            <w:shd w:val="clear" w:color="auto" w:fill="8DB3E2"/>
          </w:tcPr>
          <w:p w:rsidR="009A6B10" w:rsidRPr="009A6B10" w:rsidRDefault="009A6B10" w:rsidP="009A6B10">
            <w:pPr>
              <w:jc w:val="center"/>
            </w:pPr>
            <w:r w:rsidRPr="009A6B10">
              <w:t>Slovensko</w:t>
            </w:r>
          </w:p>
        </w:tc>
        <w:tc>
          <w:tcPr>
            <w:tcW w:w="1452" w:type="dxa"/>
            <w:shd w:val="clear" w:color="auto" w:fill="8DB3E2"/>
          </w:tcPr>
          <w:p w:rsidR="009A6B10" w:rsidRPr="009A6B10" w:rsidRDefault="009A6B10" w:rsidP="009A6B10">
            <w:pPr>
              <w:jc w:val="center"/>
            </w:pPr>
            <w:r w:rsidRPr="009A6B10">
              <w:t>108.</w:t>
            </w:r>
          </w:p>
        </w:tc>
        <w:tc>
          <w:tcPr>
            <w:tcW w:w="1465" w:type="dxa"/>
            <w:shd w:val="clear" w:color="auto" w:fill="8DB3E2"/>
          </w:tcPr>
          <w:p w:rsidR="009A6B10" w:rsidRPr="009A6B10" w:rsidRDefault="009A6B10" w:rsidP="009A6B10">
            <w:pPr>
              <w:jc w:val="center"/>
            </w:pPr>
            <w:r w:rsidRPr="009A6B10">
              <w:t>7</w:t>
            </w:r>
          </w:p>
        </w:tc>
        <w:tc>
          <w:tcPr>
            <w:tcW w:w="1275" w:type="dxa"/>
            <w:shd w:val="clear" w:color="auto" w:fill="8DB3E2"/>
          </w:tcPr>
          <w:p w:rsidR="009A6B10" w:rsidRPr="009A6B10" w:rsidRDefault="009A6B10" w:rsidP="009A6B10">
            <w:pPr>
              <w:jc w:val="center"/>
            </w:pPr>
            <w:r w:rsidRPr="009A6B10">
              <w:t>18,5</w:t>
            </w:r>
          </w:p>
        </w:tc>
        <w:tc>
          <w:tcPr>
            <w:tcW w:w="1701" w:type="dxa"/>
            <w:shd w:val="clear" w:color="auto" w:fill="8DB3E2"/>
          </w:tcPr>
          <w:p w:rsidR="009A6B10" w:rsidRPr="009A6B10" w:rsidRDefault="009A6B10" w:rsidP="009A6B10">
            <w:pPr>
              <w:jc w:val="center"/>
            </w:pPr>
            <w:r w:rsidRPr="009A6B10">
              <w:t>1,5</w:t>
            </w:r>
          </w:p>
        </w:tc>
        <w:tc>
          <w:tcPr>
            <w:tcW w:w="1985" w:type="dxa"/>
            <w:shd w:val="clear" w:color="auto" w:fill="8DB3E2"/>
          </w:tcPr>
          <w:p w:rsidR="009A6B10" w:rsidRPr="009A6B10" w:rsidRDefault="009A6B10" w:rsidP="009A6B10">
            <w:pPr>
              <w:jc w:val="center"/>
            </w:pPr>
            <w:r w:rsidRPr="009A6B10">
              <w:t>19,3</w:t>
            </w:r>
          </w:p>
        </w:tc>
      </w:tr>
      <w:tr w:rsidR="009A6B10" w:rsidRPr="009A6B10" w:rsidTr="00174ACB">
        <w:tc>
          <w:tcPr>
            <w:tcW w:w="2153" w:type="dxa"/>
            <w:shd w:val="clear" w:color="auto" w:fill="auto"/>
          </w:tcPr>
          <w:p w:rsidR="009A6B10" w:rsidRPr="009A6B10" w:rsidRDefault="009A6B10" w:rsidP="009A6B10">
            <w:pPr>
              <w:jc w:val="center"/>
            </w:pPr>
            <w:r w:rsidRPr="009A6B10">
              <w:t xml:space="preserve">Česká republika </w:t>
            </w:r>
          </w:p>
        </w:tc>
        <w:tc>
          <w:tcPr>
            <w:tcW w:w="1452" w:type="dxa"/>
            <w:shd w:val="clear" w:color="auto" w:fill="auto"/>
          </w:tcPr>
          <w:p w:rsidR="009A6B10" w:rsidRPr="009A6B10" w:rsidRDefault="009A6B10" w:rsidP="009A6B10">
            <w:pPr>
              <w:jc w:val="center"/>
            </w:pPr>
            <w:r w:rsidRPr="009A6B10">
              <w:t>146.</w:t>
            </w:r>
          </w:p>
        </w:tc>
        <w:tc>
          <w:tcPr>
            <w:tcW w:w="1465" w:type="dxa"/>
            <w:shd w:val="clear" w:color="auto" w:fill="auto"/>
          </w:tcPr>
          <w:p w:rsidR="009A6B10" w:rsidRPr="009A6B10" w:rsidRDefault="009A6B10" w:rsidP="009A6B10">
            <w:pPr>
              <w:jc w:val="center"/>
            </w:pPr>
            <w:r w:rsidRPr="009A6B10">
              <w:t>9</w:t>
            </w:r>
          </w:p>
        </w:tc>
        <w:tc>
          <w:tcPr>
            <w:tcW w:w="1275" w:type="dxa"/>
            <w:shd w:val="clear" w:color="auto" w:fill="auto"/>
          </w:tcPr>
          <w:p w:rsidR="009A6B10" w:rsidRPr="009A6B10" w:rsidRDefault="009A6B10" w:rsidP="009A6B10">
            <w:pPr>
              <w:jc w:val="center"/>
            </w:pPr>
            <w:r w:rsidRPr="009A6B10">
              <w:t>19,5</w:t>
            </w:r>
          </w:p>
        </w:tc>
        <w:tc>
          <w:tcPr>
            <w:tcW w:w="1701" w:type="dxa"/>
            <w:shd w:val="clear" w:color="auto" w:fill="auto"/>
          </w:tcPr>
          <w:p w:rsidR="009A6B10" w:rsidRPr="009A6B10" w:rsidRDefault="009A6B10" w:rsidP="009A6B10">
            <w:pPr>
              <w:jc w:val="center"/>
            </w:pPr>
            <w:r w:rsidRPr="009A6B10">
              <w:t>8,2</w:t>
            </w:r>
          </w:p>
        </w:tc>
        <w:tc>
          <w:tcPr>
            <w:tcW w:w="1985" w:type="dxa"/>
            <w:shd w:val="clear" w:color="auto" w:fill="auto"/>
          </w:tcPr>
          <w:p w:rsidR="009A6B10" w:rsidRPr="009A6B10" w:rsidRDefault="009A6B10" w:rsidP="009A6B10">
            <w:pPr>
              <w:jc w:val="center"/>
            </w:pPr>
            <w:r w:rsidRPr="009A6B10">
              <w:t>29,5</w:t>
            </w:r>
          </w:p>
        </w:tc>
      </w:tr>
      <w:tr w:rsidR="009A6B10" w:rsidRPr="009A6B10" w:rsidTr="00174ACB">
        <w:tc>
          <w:tcPr>
            <w:tcW w:w="2153" w:type="dxa"/>
            <w:shd w:val="clear" w:color="auto" w:fill="auto"/>
          </w:tcPr>
          <w:p w:rsidR="009A6B10" w:rsidRPr="009A6B10" w:rsidRDefault="009A6B10" w:rsidP="009A6B10">
            <w:pPr>
              <w:jc w:val="center"/>
            </w:pPr>
            <w:r w:rsidRPr="009A6B10">
              <w:t>Poľsko</w:t>
            </w:r>
          </w:p>
        </w:tc>
        <w:tc>
          <w:tcPr>
            <w:tcW w:w="1452" w:type="dxa"/>
            <w:shd w:val="clear" w:color="auto" w:fill="auto"/>
          </w:tcPr>
          <w:p w:rsidR="009A6B10" w:rsidRPr="009A6B10" w:rsidRDefault="009A6B10" w:rsidP="009A6B10">
            <w:pPr>
              <w:jc w:val="center"/>
            </w:pPr>
            <w:r w:rsidRPr="009A6B10">
              <w:t>116.</w:t>
            </w:r>
          </w:p>
        </w:tc>
        <w:tc>
          <w:tcPr>
            <w:tcW w:w="1465" w:type="dxa"/>
            <w:shd w:val="clear" w:color="auto" w:fill="auto"/>
          </w:tcPr>
          <w:p w:rsidR="009A6B10" w:rsidRPr="009A6B10" w:rsidRDefault="009A6B10" w:rsidP="009A6B10">
            <w:pPr>
              <w:jc w:val="center"/>
            </w:pPr>
            <w:r w:rsidRPr="009A6B10">
              <w:t>4</w:t>
            </w:r>
          </w:p>
        </w:tc>
        <w:tc>
          <w:tcPr>
            <w:tcW w:w="1275" w:type="dxa"/>
            <w:shd w:val="clear" w:color="auto" w:fill="auto"/>
          </w:tcPr>
          <w:p w:rsidR="009A6B10" w:rsidRPr="009A6B10" w:rsidRDefault="009A6B10" w:rsidP="009A6B10">
            <w:pPr>
              <w:jc w:val="center"/>
            </w:pPr>
            <w:r w:rsidRPr="009A6B10">
              <w:t>30</w:t>
            </w:r>
          </w:p>
        </w:tc>
        <w:tc>
          <w:tcPr>
            <w:tcW w:w="1701" w:type="dxa"/>
            <w:shd w:val="clear" w:color="auto" w:fill="auto"/>
          </w:tcPr>
          <w:p w:rsidR="009A6B10" w:rsidRPr="009A6B10" w:rsidRDefault="009A6B10" w:rsidP="009A6B10">
            <w:pPr>
              <w:jc w:val="center"/>
            </w:pPr>
            <w:r w:rsidRPr="009A6B10">
              <w:t>14,3</w:t>
            </w:r>
          </w:p>
        </w:tc>
        <w:tc>
          <w:tcPr>
            <w:tcW w:w="1985" w:type="dxa"/>
            <w:shd w:val="clear" w:color="auto" w:fill="auto"/>
          </w:tcPr>
          <w:p w:rsidR="009A6B10" w:rsidRPr="009A6B10" w:rsidRDefault="009A6B10" w:rsidP="009A6B10">
            <w:pPr>
              <w:jc w:val="center"/>
            </w:pPr>
            <w:r w:rsidRPr="009A6B10">
              <w:t>12,6</w:t>
            </w:r>
          </w:p>
        </w:tc>
      </w:tr>
    </w:tbl>
    <w:p w:rsidR="00847185" w:rsidRDefault="00847185" w:rsidP="009A6B10">
      <w:pPr>
        <w:rPr>
          <w:b/>
          <w:i/>
        </w:rPr>
      </w:pPr>
    </w:p>
    <w:p w:rsidR="00847185" w:rsidRDefault="00847185" w:rsidP="009A6B10">
      <w:pPr>
        <w:rPr>
          <w:b/>
          <w:i/>
        </w:rPr>
      </w:pPr>
    </w:p>
    <w:p w:rsidR="00847185" w:rsidRDefault="00847185" w:rsidP="009A6B10">
      <w:pPr>
        <w:rPr>
          <w:b/>
          <w:i/>
        </w:rPr>
      </w:pPr>
    </w:p>
    <w:p w:rsidR="009A6B10" w:rsidRPr="009A6B10" w:rsidRDefault="009A6B10" w:rsidP="009A6B10">
      <w:pPr>
        <w:rPr>
          <w:b/>
          <w:i/>
        </w:rPr>
      </w:pPr>
      <w:r w:rsidRPr="009A6B10">
        <w:rPr>
          <w:b/>
          <w:i/>
        </w:rPr>
        <w:t>Získanie stavebného povolenia (Licenčné konania)</w:t>
      </w:r>
    </w:p>
    <w:p w:rsidR="009A6B10" w:rsidRPr="009A6B10" w:rsidRDefault="009A6B10" w:rsidP="009A6B10">
      <w:pPr>
        <w:spacing w:before="120" w:after="120"/>
        <w:ind w:firstLine="709"/>
        <w:jc w:val="both"/>
      </w:pPr>
      <w:r w:rsidRPr="009A6B10">
        <w:t xml:space="preserve">Licenčné konanie hodnotené Svetovou bankou je spracované podľa kritérií, ako je počet potrebných procedúr na získanie stavebného povolenia, dĺžka stavebného konania a náklady potrebné na získanie stavebného povolenia vyčíslené ako percento z priemerného príjmu na obyvateľa. Podľa štúdie DB 2014 v náročnosti získavania stavebných povolení si Slovensko zhoršilo pozíciu o 3 priečky a aktuálne sa nachádza na 53. priečke. Najúspešnejšími krajinami v oblasti licenčného konania bol Hongkong. </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452"/>
        <w:gridCol w:w="2353"/>
        <w:gridCol w:w="2002"/>
        <w:gridCol w:w="1988"/>
      </w:tblGrid>
      <w:tr w:rsidR="009A6B10" w:rsidRPr="009A6B10" w:rsidTr="00174ACB">
        <w:tc>
          <w:tcPr>
            <w:tcW w:w="2153"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52" w:type="dxa"/>
            <w:shd w:val="clear" w:color="auto" w:fill="auto"/>
          </w:tcPr>
          <w:p w:rsidR="009A6B10" w:rsidRPr="009A6B10" w:rsidRDefault="009A6B10" w:rsidP="009A6B10">
            <w:pPr>
              <w:jc w:val="center"/>
              <w:rPr>
                <w:b/>
              </w:rPr>
            </w:pPr>
            <w:r w:rsidRPr="009A6B10">
              <w:rPr>
                <w:b/>
              </w:rPr>
              <w:t>Umiestnenie</w:t>
            </w:r>
          </w:p>
        </w:tc>
        <w:tc>
          <w:tcPr>
            <w:tcW w:w="2353" w:type="dxa"/>
            <w:shd w:val="clear" w:color="auto" w:fill="auto"/>
          </w:tcPr>
          <w:p w:rsidR="009A6B10" w:rsidRPr="009A6B10" w:rsidRDefault="009A6B10" w:rsidP="009A6B10">
            <w:pPr>
              <w:jc w:val="center"/>
              <w:rPr>
                <w:b/>
              </w:rPr>
            </w:pPr>
            <w:r w:rsidRPr="009A6B10">
              <w:rPr>
                <w:b/>
              </w:rPr>
              <w:t>Počet potrebných procedúr</w:t>
            </w:r>
          </w:p>
        </w:tc>
        <w:tc>
          <w:tcPr>
            <w:tcW w:w="2002" w:type="dxa"/>
            <w:shd w:val="clear" w:color="auto" w:fill="auto"/>
          </w:tcPr>
          <w:p w:rsidR="009A6B10" w:rsidRPr="009A6B10" w:rsidRDefault="009A6B10" w:rsidP="009A6B10">
            <w:pPr>
              <w:jc w:val="center"/>
              <w:rPr>
                <w:b/>
              </w:rPr>
            </w:pPr>
            <w:r w:rsidRPr="009A6B10">
              <w:rPr>
                <w:b/>
              </w:rPr>
              <w:t>Dĺžka stavebného konania</w:t>
            </w:r>
          </w:p>
          <w:p w:rsidR="009A6B10" w:rsidRPr="009A6B10" w:rsidRDefault="009A6B10" w:rsidP="009A6B10">
            <w:pPr>
              <w:jc w:val="center"/>
            </w:pPr>
            <w:r w:rsidRPr="009A6B10">
              <w:t>(v dňoch)</w:t>
            </w:r>
          </w:p>
        </w:tc>
        <w:tc>
          <w:tcPr>
            <w:tcW w:w="1988" w:type="dxa"/>
            <w:shd w:val="clear" w:color="auto" w:fill="auto"/>
          </w:tcPr>
          <w:p w:rsidR="009A6B10" w:rsidRPr="009A6B10" w:rsidRDefault="009A6B10" w:rsidP="009A6B10">
            <w:pPr>
              <w:jc w:val="center"/>
              <w:rPr>
                <w:b/>
              </w:rPr>
            </w:pPr>
            <w:r w:rsidRPr="009A6B10">
              <w:rPr>
                <w:b/>
              </w:rPr>
              <w:t>Potrebné náklady</w:t>
            </w:r>
          </w:p>
          <w:p w:rsidR="009A6B10" w:rsidRPr="009A6B10" w:rsidRDefault="009A6B10" w:rsidP="009A6B10">
            <w:pPr>
              <w:jc w:val="center"/>
            </w:pPr>
            <w:r w:rsidRPr="009A6B10">
              <w:t>(% z príjmu na obyvateľa)</w:t>
            </w:r>
          </w:p>
        </w:tc>
      </w:tr>
      <w:tr w:rsidR="009A6B10" w:rsidRPr="009A6B10" w:rsidTr="00174ACB">
        <w:tc>
          <w:tcPr>
            <w:tcW w:w="2153" w:type="dxa"/>
            <w:shd w:val="clear" w:color="auto" w:fill="auto"/>
          </w:tcPr>
          <w:p w:rsidR="009A6B10" w:rsidRPr="009A6B10" w:rsidRDefault="009A6B10" w:rsidP="009A6B10">
            <w:pPr>
              <w:jc w:val="center"/>
            </w:pPr>
            <w:r w:rsidRPr="009A6B10">
              <w:t>Hongkong</w:t>
            </w:r>
          </w:p>
        </w:tc>
        <w:tc>
          <w:tcPr>
            <w:tcW w:w="1452" w:type="dxa"/>
            <w:shd w:val="clear" w:color="auto" w:fill="auto"/>
          </w:tcPr>
          <w:p w:rsidR="009A6B10" w:rsidRPr="009A6B10" w:rsidRDefault="009A6B10" w:rsidP="009A6B10">
            <w:pPr>
              <w:jc w:val="center"/>
            </w:pPr>
            <w:r w:rsidRPr="009A6B10">
              <w:t>1.</w:t>
            </w:r>
          </w:p>
        </w:tc>
        <w:tc>
          <w:tcPr>
            <w:tcW w:w="2353" w:type="dxa"/>
            <w:shd w:val="clear" w:color="auto" w:fill="auto"/>
          </w:tcPr>
          <w:p w:rsidR="009A6B10" w:rsidRPr="009A6B10" w:rsidRDefault="009A6B10" w:rsidP="009A6B10">
            <w:pPr>
              <w:jc w:val="center"/>
            </w:pPr>
            <w:r w:rsidRPr="009A6B10">
              <w:t>6</w:t>
            </w:r>
          </w:p>
        </w:tc>
        <w:tc>
          <w:tcPr>
            <w:tcW w:w="2002" w:type="dxa"/>
            <w:shd w:val="clear" w:color="auto" w:fill="auto"/>
          </w:tcPr>
          <w:p w:rsidR="009A6B10" w:rsidRPr="009A6B10" w:rsidRDefault="009A6B10" w:rsidP="009A6B10">
            <w:pPr>
              <w:jc w:val="center"/>
            </w:pPr>
            <w:r w:rsidRPr="009A6B10">
              <w:t>71</w:t>
            </w:r>
          </w:p>
        </w:tc>
        <w:tc>
          <w:tcPr>
            <w:tcW w:w="1988" w:type="dxa"/>
            <w:shd w:val="clear" w:color="auto" w:fill="auto"/>
          </w:tcPr>
          <w:p w:rsidR="009A6B10" w:rsidRPr="009A6B10" w:rsidRDefault="009A6B10" w:rsidP="009A6B10">
            <w:pPr>
              <w:jc w:val="center"/>
            </w:pPr>
            <w:r w:rsidRPr="009A6B10">
              <w:t>15,4</w:t>
            </w:r>
          </w:p>
        </w:tc>
      </w:tr>
      <w:tr w:rsidR="009A6B10" w:rsidRPr="009A6B10" w:rsidTr="00174ACB">
        <w:tc>
          <w:tcPr>
            <w:tcW w:w="2153" w:type="dxa"/>
            <w:shd w:val="clear" w:color="auto" w:fill="auto"/>
          </w:tcPr>
          <w:p w:rsidR="009A6B10" w:rsidRPr="009A6B10" w:rsidRDefault="009A6B10" w:rsidP="009A6B10">
            <w:pPr>
              <w:jc w:val="center"/>
            </w:pPr>
            <w:r w:rsidRPr="009A6B10">
              <w:t xml:space="preserve">Maďarsko </w:t>
            </w:r>
          </w:p>
        </w:tc>
        <w:tc>
          <w:tcPr>
            <w:tcW w:w="1452" w:type="dxa"/>
            <w:shd w:val="clear" w:color="auto" w:fill="auto"/>
          </w:tcPr>
          <w:p w:rsidR="009A6B10" w:rsidRPr="009A6B10" w:rsidRDefault="009A6B10" w:rsidP="009A6B10">
            <w:pPr>
              <w:jc w:val="center"/>
            </w:pPr>
            <w:r w:rsidRPr="009A6B10">
              <w:t>47.</w:t>
            </w:r>
          </w:p>
        </w:tc>
        <w:tc>
          <w:tcPr>
            <w:tcW w:w="2353" w:type="dxa"/>
            <w:shd w:val="clear" w:color="auto" w:fill="auto"/>
          </w:tcPr>
          <w:p w:rsidR="009A6B10" w:rsidRPr="009A6B10" w:rsidRDefault="009A6B10" w:rsidP="009A6B10">
            <w:pPr>
              <w:jc w:val="center"/>
            </w:pPr>
            <w:r w:rsidRPr="009A6B10">
              <w:t>24</w:t>
            </w:r>
          </w:p>
        </w:tc>
        <w:tc>
          <w:tcPr>
            <w:tcW w:w="2002" w:type="dxa"/>
            <w:shd w:val="clear" w:color="auto" w:fill="auto"/>
          </w:tcPr>
          <w:p w:rsidR="009A6B10" w:rsidRPr="009A6B10" w:rsidRDefault="009A6B10" w:rsidP="009A6B10">
            <w:pPr>
              <w:jc w:val="center"/>
            </w:pPr>
            <w:r w:rsidRPr="009A6B10">
              <w:t>79</w:t>
            </w:r>
          </w:p>
        </w:tc>
        <w:tc>
          <w:tcPr>
            <w:tcW w:w="1988" w:type="dxa"/>
            <w:shd w:val="clear" w:color="auto" w:fill="auto"/>
          </w:tcPr>
          <w:p w:rsidR="009A6B10" w:rsidRPr="009A6B10" w:rsidRDefault="009A6B10" w:rsidP="009A6B10">
            <w:pPr>
              <w:jc w:val="center"/>
            </w:pPr>
            <w:r w:rsidRPr="009A6B10">
              <w:t>9,2</w:t>
            </w:r>
          </w:p>
        </w:tc>
      </w:tr>
      <w:tr w:rsidR="00E56B8D" w:rsidRPr="009A6B10" w:rsidTr="009A6B10">
        <w:tc>
          <w:tcPr>
            <w:tcW w:w="2153" w:type="dxa"/>
            <w:shd w:val="clear" w:color="auto" w:fill="8DB3E2"/>
          </w:tcPr>
          <w:p w:rsidR="009A6B10" w:rsidRPr="009A6B10" w:rsidRDefault="009A6B10" w:rsidP="009A6B10">
            <w:pPr>
              <w:jc w:val="center"/>
            </w:pPr>
            <w:r w:rsidRPr="009A6B10">
              <w:t>Slovensko</w:t>
            </w:r>
          </w:p>
        </w:tc>
        <w:tc>
          <w:tcPr>
            <w:tcW w:w="1452" w:type="dxa"/>
            <w:shd w:val="clear" w:color="auto" w:fill="8DB3E2"/>
          </w:tcPr>
          <w:p w:rsidR="009A6B10" w:rsidRPr="009A6B10" w:rsidRDefault="009A6B10" w:rsidP="009A6B10">
            <w:pPr>
              <w:jc w:val="center"/>
            </w:pPr>
            <w:r w:rsidRPr="009A6B10">
              <w:t>53.</w:t>
            </w:r>
          </w:p>
        </w:tc>
        <w:tc>
          <w:tcPr>
            <w:tcW w:w="2353" w:type="dxa"/>
            <w:shd w:val="clear" w:color="auto" w:fill="8DB3E2"/>
          </w:tcPr>
          <w:p w:rsidR="009A6B10" w:rsidRPr="009A6B10" w:rsidRDefault="009A6B10" w:rsidP="009A6B10">
            <w:pPr>
              <w:jc w:val="center"/>
            </w:pPr>
            <w:r w:rsidRPr="009A6B10">
              <w:t>11</w:t>
            </w:r>
          </w:p>
        </w:tc>
        <w:tc>
          <w:tcPr>
            <w:tcW w:w="2002" w:type="dxa"/>
            <w:shd w:val="clear" w:color="auto" w:fill="8DB3E2"/>
          </w:tcPr>
          <w:p w:rsidR="009A6B10" w:rsidRPr="009A6B10" w:rsidRDefault="009A6B10" w:rsidP="009A6B10">
            <w:pPr>
              <w:jc w:val="center"/>
            </w:pPr>
            <w:r w:rsidRPr="009A6B10">
              <w:t>286</w:t>
            </w:r>
          </w:p>
        </w:tc>
        <w:tc>
          <w:tcPr>
            <w:tcW w:w="1988" w:type="dxa"/>
            <w:shd w:val="clear" w:color="auto" w:fill="8DB3E2"/>
          </w:tcPr>
          <w:p w:rsidR="009A6B10" w:rsidRPr="009A6B10" w:rsidRDefault="009A6B10" w:rsidP="009A6B10">
            <w:pPr>
              <w:jc w:val="center"/>
            </w:pPr>
            <w:r w:rsidRPr="009A6B10">
              <w:t>6,6</w:t>
            </w:r>
          </w:p>
        </w:tc>
      </w:tr>
      <w:tr w:rsidR="009A6B10" w:rsidRPr="009A6B10" w:rsidTr="00174ACB">
        <w:tc>
          <w:tcPr>
            <w:tcW w:w="2153" w:type="dxa"/>
            <w:shd w:val="clear" w:color="auto" w:fill="auto"/>
          </w:tcPr>
          <w:p w:rsidR="009A6B10" w:rsidRPr="009A6B10" w:rsidRDefault="009A6B10" w:rsidP="009A6B10">
            <w:pPr>
              <w:jc w:val="center"/>
            </w:pPr>
            <w:r w:rsidRPr="009A6B10">
              <w:t xml:space="preserve">Česká republika </w:t>
            </w:r>
          </w:p>
        </w:tc>
        <w:tc>
          <w:tcPr>
            <w:tcW w:w="1452" w:type="dxa"/>
            <w:shd w:val="clear" w:color="auto" w:fill="auto"/>
          </w:tcPr>
          <w:p w:rsidR="009A6B10" w:rsidRPr="009A6B10" w:rsidRDefault="009A6B10" w:rsidP="009A6B10">
            <w:pPr>
              <w:jc w:val="center"/>
            </w:pPr>
            <w:r w:rsidRPr="009A6B10">
              <w:t>86.</w:t>
            </w:r>
          </w:p>
        </w:tc>
        <w:tc>
          <w:tcPr>
            <w:tcW w:w="2353" w:type="dxa"/>
            <w:shd w:val="clear" w:color="auto" w:fill="auto"/>
          </w:tcPr>
          <w:p w:rsidR="009A6B10" w:rsidRPr="009A6B10" w:rsidRDefault="009A6B10" w:rsidP="009A6B10">
            <w:pPr>
              <w:jc w:val="center"/>
            </w:pPr>
            <w:r w:rsidRPr="009A6B10">
              <w:t>33</w:t>
            </w:r>
          </w:p>
        </w:tc>
        <w:tc>
          <w:tcPr>
            <w:tcW w:w="2002" w:type="dxa"/>
            <w:shd w:val="clear" w:color="auto" w:fill="auto"/>
          </w:tcPr>
          <w:p w:rsidR="009A6B10" w:rsidRPr="009A6B10" w:rsidRDefault="009A6B10" w:rsidP="009A6B10">
            <w:pPr>
              <w:jc w:val="center"/>
            </w:pPr>
            <w:r w:rsidRPr="009A6B10">
              <w:t>120</w:t>
            </w:r>
          </w:p>
        </w:tc>
        <w:tc>
          <w:tcPr>
            <w:tcW w:w="1988" w:type="dxa"/>
            <w:shd w:val="clear" w:color="auto" w:fill="auto"/>
          </w:tcPr>
          <w:p w:rsidR="009A6B10" w:rsidRPr="009A6B10" w:rsidRDefault="009A6B10" w:rsidP="009A6B10">
            <w:pPr>
              <w:jc w:val="center"/>
            </w:pPr>
            <w:r w:rsidRPr="009A6B10">
              <w:t>10,5</w:t>
            </w:r>
          </w:p>
        </w:tc>
      </w:tr>
      <w:tr w:rsidR="009A6B10" w:rsidRPr="009A6B10" w:rsidTr="00174ACB">
        <w:trPr>
          <w:trHeight w:val="92"/>
        </w:trPr>
        <w:tc>
          <w:tcPr>
            <w:tcW w:w="2153" w:type="dxa"/>
            <w:shd w:val="clear" w:color="auto" w:fill="auto"/>
          </w:tcPr>
          <w:p w:rsidR="009A6B10" w:rsidRPr="009A6B10" w:rsidRDefault="009A6B10" w:rsidP="009A6B10">
            <w:pPr>
              <w:jc w:val="center"/>
            </w:pPr>
            <w:r w:rsidRPr="009A6B10">
              <w:t>Poľsko</w:t>
            </w:r>
          </w:p>
        </w:tc>
        <w:tc>
          <w:tcPr>
            <w:tcW w:w="1452" w:type="dxa"/>
            <w:shd w:val="clear" w:color="auto" w:fill="auto"/>
          </w:tcPr>
          <w:p w:rsidR="009A6B10" w:rsidRPr="009A6B10" w:rsidRDefault="009A6B10" w:rsidP="009A6B10">
            <w:pPr>
              <w:jc w:val="center"/>
            </w:pPr>
            <w:r w:rsidRPr="009A6B10">
              <w:t>88.</w:t>
            </w:r>
          </w:p>
        </w:tc>
        <w:tc>
          <w:tcPr>
            <w:tcW w:w="2353" w:type="dxa"/>
            <w:shd w:val="clear" w:color="auto" w:fill="auto"/>
          </w:tcPr>
          <w:p w:rsidR="009A6B10" w:rsidRPr="009A6B10" w:rsidRDefault="009A6B10" w:rsidP="009A6B10">
            <w:pPr>
              <w:jc w:val="center"/>
            </w:pPr>
            <w:r w:rsidRPr="009A6B10">
              <w:t>18</w:t>
            </w:r>
          </w:p>
        </w:tc>
        <w:tc>
          <w:tcPr>
            <w:tcW w:w="2002" w:type="dxa"/>
            <w:shd w:val="clear" w:color="auto" w:fill="auto"/>
          </w:tcPr>
          <w:p w:rsidR="009A6B10" w:rsidRPr="009A6B10" w:rsidRDefault="009A6B10" w:rsidP="009A6B10">
            <w:pPr>
              <w:jc w:val="center"/>
            </w:pPr>
            <w:r w:rsidRPr="009A6B10">
              <w:t>161</w:t>
            </w:r>
          </w:p>
        </w:tc>
        <w:tc>
          <w:tcPr>
            <w:tcW w:w="1988" w:type="dxa"/>
            <w:shd w:val="clear" w:color="auto" w:fill="auto"/>
          </w:tcPr>
          <w:p w:rsidR="009A6B10" w:rsidRPr="009A6B10" w:rsidRDefault="009A6B10" w:rsidP="009A6B10">
            <w:pPr>
              <w:jc w:val="center"/>
            </w:pPr>
            <w:r w:rsidRPr="009A6B10">
              <w:t>10,6</w:t>
            </w:r>
          </w:p>
        </w:tc>
      </w:tr>
    </w:tbl>
    <w:p w:rsidR="009A6B10" w:rsidRPr="009A6B10" w:rsidRDefault="009A6B10" w:rsidP="009A6B10">
      <w:pPr>
        <w:rPr>
          <w:b/>
          <w:i/>
        </w:rPr>
      </w:pPr>
    </w:p>
    <w:p w:rsidR="009A6B10" w:rsidRPr="009A6B10" w:rsidRDefault="009A6B10" w:rsidP="009A6B10">
      <w:pPr>
        <w:rPr>
          <w:b/>
          <w:i/>
        </w:rPr>
      </w:pPr>
      <w:r w:rsidRPr="009A6B10">
        <w:rPr>
          <w:b/>
          <w:i/>
        </w:rPr>
        <w:t>Prístup k elektrickej energii</w:t>
      </w:r>
    </w:p>
    <w:p w:rsidR="009A6B10" w:rsidRPr="009A6B10" w:rsidRDefault="009A6B10" w:rsidP="009A6B10">
      <w:pPr>
        <w:spacing w:before="120"/>
        <w:ind w:firstLine="708"/>
        <w:jc w:val="both"/>
      </w:pPr>
      <w:r w:rsidRPr="009A6B10">
        <w:t>Slovensko v tomto ukazovateli obsadilo 65. priečku, čo znamenalo medziročne zlepšenie o 1 pozíciu. Najlepšie hodnotenou krajinou v tejto kategórii je Island. SR je najlepšie hodnotenou krajinou pre toto kritérium spomedzi krajín V4. Na 112. pozícii sa nachádza Maďarsko; na 137. mieste sa umiestnilo Poľsko Najhoršie umiestnenie spomedzi krajín V4 a to na 146. mieste má ČR.</w:t>
      </w:r>
    </w:p>
    <w:p w:rsidR="009A6B10" w:rsidRPr="009A6B10" w:rsidRDefault="009A6B10" w:rsidP="00D1230F">
      <w:pPr>
        <w:numPr>
          <w:ilvl w:val="0"/>
          <w:numId w:val="21"/>
        </w:numPr>
        <w:spacing w:after="120"/>
        <w:ind w:left="0" w:firstLine="709"/>
        <w:jc w:val="both"/>
        <w:rPr>
          <w:b/>
          <w:bCs/>
        </w:rPr>
      </w:pPr>
      <w:r w:rsidRPr="009A6B10">
        <w:rPr>
          <w:b/>
          <w:bCs/>
        </w:rPr>
        <w:t>MH SR uvedený indikátor v rámci zasielania podkladov pre Svetovú banku za účelom výskumu DB 2014 revidovalo, kde v súlade s platnou legislatívou MH SR za SR vykázalo 109 dní potrebných na vykonanie piatich procedúr. Svetová banka vo výsledkoch výskumu DB 2014 príspevok SR nezohľadnila.</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452"/>
        <w:gridCol w:w="2340"/>
        <w:gridCol w:w="1988"/>
        <w:gridCol w:w="2016"/>
      </w:tblGrid>
      <w:tr w:rsidR="009A6B10" w:rsidRPr="009A6B10" w:rsidTr="00174ACB">
        <w:tc>
          <w:tcPr>
            <w:tcW w:w="2153"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52" w:type="dxa"/>
            <w:shd w:val="clear" w:color="auto" w:fill="auto"/>
          </w:tcPr>
          <w:p w:rsidR="009A6B10" w:rsidRPr="009A6B10" w:rsidRDefault="009A6B10" w:rsidP="009A6B10">
            <w:pPr>
              <w:jc w:val="center"/>
              <w:rPr>
                <w:b/>
              </w:rPr>
            </w:pPr>
            <w:r w:rsidRPr="009A6B10">
              <w:rPr>
                <w:b/>
              </w:rPr>
              <w:t>Umiestnenie</w:t>
            </w:r>
          </w:p>
        </w:tc>
        <w:tc>
          <w:tcPr>
            <w:tcW w:w="2340" w:type="dxa"/>
            <w:shd w:val="clear" w:color="auto" w:fill="auto"/>
          </w:tcPr>
          <w:p w:rsidR="009A6B10" w:rsidRPr="009A6B10" w:rsidRDefault="009A6B10" w:rsidP="009A6B10">
            <w:pPr>
              <w:jc w:val="center"/>
              <w:rPr>
                <w:b/>
              </w:rPr>
            </w:pPr>
            <w:r w:rsidRPr="009A6B10">
              <w:rPr>
                <w:b/>
              </w:rPr>
              <w:t>Počet potrebných procedúr</w:t>
            </w:r>
          </w:p>
        </w:tc>
        <w:tc>
          <w:tcPr>
            <w:tcW w:w="1988" w:type="dxa"/>
            <w:shd w:val="clear" w:color="auto" w:fill="auto"/>
          </w:tcPr>
          <w:p w:rsidR="009A6B10" w:rsidRPr="009A6B10" w:rsidRDefault="009A6B10" w:rsidP="009A6B10">
            <w:pPr>
              <w:jc w:val="center"/>
              <w:rPr>
                <w:b/>
              </w:rPr>
            </w:pPr>
            <w:r w:rsidRPr="009A6B10">
              <w:rPr>
                <w:b/>
              </w:rPr>
              <w:t xml:space="preserve">Dĺžka </w:t>
            </w:r>
          </w:p>
          <w:p w:rsidR="009A6B10" w:rsidRPr="009A6B10" w:rsidRDefault="009A6B10" w:rsidP="009A6B10">
            <w:pPr>
              <w:jc w:val="center"/>
            </w:pPr>
            <w:r w:rsidRPr="009A6B10">
              <w:t>(v dňoch)</w:t>
            </w:r>
          </w:p>
        </w:tc>
        <w:tc>
          <w:tcPr>
            <w:tcW w:w="2016" w:type="dxa"/>
            <w:shd w:val="clear" w:color="auto" w:fill="auto"/>
          </w:tcPr>
          <w:p w:rsidR="009A6B10" w:rsidRPr="009A6B10" w:rsidRDefault="009A6B10" w:rsidP="009A6B10">
            <w:pPr>
              <w:jc w:val="center"/>
              <w:rPr>
                <w:b/>
              </w:rPr>
            </w:pPr>
            <w:r w:rsidRPr="009A6B10">
              <w:rPr>
                <w:b/>
              </w:rPr>
              <w:t>Potrebné náklady</w:t>
            </w:r>
          </w:p>
          <w:p w:rsidR="009A6B10" w:rsidRPr="009A6B10" w:rsidRDefault="009A6B10" w:rsidP="009A6B10">
            <w:pPr>
              <w:jc w:val="center"/>
            </w:pPr>
            <w:r w:rsidRPr="009A6B10">
              <w:t>(% z príjmu na obyvateľa)</w:t>
            </w:r>
          </w:p>
        </w:tc>
      </w:tr>
      <w:tr w:rsidR="009A6B10" w:rsidRPr="009A6B10" w:rsidTr="00174ACB">
        <w:tc>
          <w:tcPr>
            <w:tcW w:w="2153" w:type="dxa"/>
            <w:shd w:val="clear" w:color="auto" w:fill="auto"/>
          </w:tcPr>
          <w:p w:rsidR="009A6B10" w:rsidRPr="009A6B10" w:rsidRDefault="009A6B10" w:rsidP="009A6B10">
            <w:pPr>
              <w:jc w:val="center"/>
            </w:pPr>
            <w:r w:rsidRPr="009A6B10">
              <w:t>Island</w:t>
            </w:r>
          </w:p>
        </w:tc>
        <w:tc>
          <w:tcPr>
            <w:tcW w:w="1452" w:type="dxa"/>
            <w:shd w:val="clear" w:color="auto" w:fill="auto"/>
          </w:tcPr>
          <w:p w:rsidR="009A6B10" w:rsidRPr="009A6B10" w:rsidRDefault="009A6B10" w:rsidP="009A6B10">
            <w:pPr>
              <w:jc w:val="center"/>
            </w:pPr>
            <w:r w:rsidRPr="009A6B10">
              <w:t>1.</w:t>
            </w:r>
          </w:p>
        </w:tc>
        <w:tc>
          <w:tcPr>
            <w:tcW w:w="2340" w:type="dxa"/>
            <w:shd w:val="clear" w:color="auto" w:fill="auto"/>
          </w:tcPr>
          <w:p w:rsidR="009A6B10" w:rsidRPr="009A6B10" w:rsidRDefault="009A6B10" w:rsidP="009A6B10">
            <w:pPr>
              <w:jc w:val="center"/>
            </w:pPr>
            <w:r w:rsidRPr="009A6B10">
              <w:t>4</w:t>
            </w:r>
          </w:p>
        </w:tc>
        <w:tc>
          <w:tcPr>
            <w:tcW w:w="1988" w:type="dxa"/>
            <w:shd w:val="clear" w:color="auto" w:fill="auto"/>
          </w:tcPr>
          <w:p w:rsidR="009A6B10" w:rsidRPr="009A6B10" w:rsidRDefault="009A6B10" w:rsidP="009A6B10">
            <w:pPr>
              <w:jc w:val="center"/>
            </w:pPr>
            <w:r w:rsidRPr="009A6B10">
              <w:t>22</w:t>
            </w:r>
          </w:p>
        </w:tc>
        <w:tc>
          <w:tcPr>
            <w:tcW w:w="2016" w:type="dxa"/>
            <w:shd w:val="clear" w:color="auto" w:fill="auto"/>
          </w:tcPr>
          <w:p w:rsidR="009A6B10" w:rsidRPr="009A6B10" w:rsidRDefault="009A6B10" w:rsidP="009A6B10">
            <w:pPr>
              <w:jc w:val="center"/>
            </w:pPr>
            <w:r w:rsidRPr="009A6B10">
              <w:t>14,4</w:t>
            </w:r>
          </w:p>
        </w:tc>
      </w:tr>
      <w:tr w:rsidR="00E56B8D" w:rsidRPr="009A6B10" w:rsidTr="009A6B10">
        <w:tc>
          <w:tcPr>
            <w:tcW w:w="2153" w:type="dxa"/>
            <w:shd w:val="clear" w:color="auto" w:fill="8DB3E2"/>
          </w:tcPr>
          <w:p w:rsidR="009A6B10" w:rsidRPr="009A6B10" w:rsidRDefault="009A6B10" w:rsidP="009A6B10">
            <w:pPr>
              <w:jc w:val="center"/>
            </w:pPr>
            <w:r w:rsidRPr="009A6B10">
              <w:t>Slovensko</w:t>
            </w:r>
          </w:p>
        </w:tc>
        <w:tc>
          <w:tcPr>
            <w:tcW w:w="1452" w:type="dxa"/>
            <w:shd w:val="clear" w:color="auto" w:fill="8DB3E2"/>
          </w:tcPr>
          <w:p w:rsidR="009A6B10" w:rsidRPr="009A6B10" w:rsidRDefault="009A6B10" w:rsidP="009A6B10">
            <w:pPr>
              <w:jc w:val="center"/>
            </w:pPr>
            <w:r w:rsidRPr="009A6B10">
              <w:t>65.</w:t>
            </w:r>
          </w:p>
        </w:tc>
        <w:tc>
          <w:tcPr>
            <w:tcW w:w="2340" w:type="dxa"/>
            <w:shd w:val="clear" w:color="auto" w:fill="8DB3E2"/>
          </w:tcPr>
          <w:p w:rsidR="009A6B10" w:rsidRPr="009A6B10" w:rsidRDefault="009A6B10" w:rsidP="009A6B10">
            <w:pPr>
              <w:jc w:val="center"/>
            </w:pPr>
            <w:r w:rsidRPr="009A6B10">
              <w:t>5</w:t>
            </w:r>
          </w:p>
        </w:tc>
        <w:tc>
          <w:tcPr>
            <w:tcW w:w="1988" w:type="dxa"/>
            <w:shd w:val="clear" w:color="auto" w:fill="8DB3E2"/>
          </w:tcPr>
          <w:p w:rsidR="009A6B10" w:rsidRPr="009A6B10" w:rsidRDefault="009A6B10" w:rsidP="009A6B10">
            <w:pPr>
              <w:jc w:val="center"/>
            </w:pPr>
            <w:r w:rsidRPr="009A6B10">
              <w:t>158</w:t>
            </w:r>
          </w:p>
        </w:tc>
        <w:tc>
          <w:tcPr>
            <w:tcW w:w="2016" w:type="dxa"/>
            <w:shd w:val="clear" w:color="auto" w:fill="8DB3E2"/>
          </w:tcPr>
          <w:p w:rsidR="009A6B10" w:rsidRPr="009A6B10" w:rsidRDefault="009A6B10" w:rsidP="009A6B10">
            <w:pPr>
              <w:jc w:val="center"/>
            </w:pPr>
            <w:r w:rsidRPr="009A6B10">
              <w:t>10,6</w:t>
            </w:r>
          </w:p>
        </w:tc>
      </w:tr>
      <w:tr w:rsidR="009A6B10" w:rsidRPr="009A6B10" w:rsidTr="00174ACB">
        <w:tc>
          <w:tcPr>
            <w:tcW w:w="2153" w:type="dxa"/>
            <w:shd w:val="clear" w:color="auto" w:fill="auto"/>
          </w:tcPr>
          <w:p w:rsidR="009A6B10" w:rsidRPr="009A6B10" w:rsidRDefault="009A6B10" w:rsidP="009A6B10">
            <w:pPr>
              <w:jc w:val="center"/>
            </w:pPr>
            <w:r w:rsidRPr="009A6B10">
              <w:t xml:space="preserve">Maďarsko </w:t>
            </w:r>
          </w:p>
        </w:tc>
        <w:tc>
          <w:tcPr>
            <w:tcW w:w="1452" w:type="dxa"/>
            <w:shd w:val="clear" w:color="auto" w:fill="auto"/>
          </w:tcPr>
          <w:p w:rsidR="009A6B10" w:rsidRPr="009A6B10" w:rsidRDefault="009A6B10" w:rsidP="009A6B10">
            <w:pPr>
              <w:jc w:val="center"/>
            </w:pPr>
            <w:r w:rsidRPr="009A6B10">
              <w:t>112.</w:t>
            </w:r>
          </w:p>
        </w:tc>
        <w:tc>
          <w:tcPr>
            <w:tcW w:w="2340" w:type="dxa"/>
            <w:shd w:val="clear" w:color="auto" w:fill="auto"/>
          </w:tcPr>
          <w:p w:rsidR="009A6B10" w:rsidRPr="009A6B10" w:rsidRDefault="009A6B10" w:rsidP="009A6B10">
            <w:pPr>
              <w:jc w:val="center"/>
            </w:pPr>
            <w:r w:rsidRPr="009A6B10">
              <w:t>5</w:t>
            </w:r>
          </w:p>
        </w:tc>
        <w:tc>
          <w:tcPr>
            <w:tcW w:w="1988" w:type="dxa"/>
            <w:shd w:val="clear" w:color="auto" w:fill="auto"/>
          </w:tcPr>
          <w:p w:rsidR="009A6B10" w:rsidRPr="009A6B10" w:rsidRDefault="009A6B10" w:rsidP="009A6B10">
            <w:pPr>
              <w:jc w:val="center"/>
            </w:pPr>
            <w:r w:rsidRPr="009A6B10">
              <w:t>252</w:t>
            </w:r>
          </w:p>
        </w:tc>
        <w:tc>
          <w:tcPr>
            <w:tcW w:w="2016" w:type="dxa"/>
            <w:shd w:val="clear" w:color="auto" w:fill="auto"/>
          </w:tcPr>
          <w:p w:rsidR="009A6B10" w:rsidRPr="009A6B10" w:rsidRDefault="009A6B10" w:rsidP="009A6B10">
            <w:pPr>
              <w:jc w:val="center"/>
            </w:pPr>
            <w:r w:rsidRPr="009A6B10">
              <w:t>116,4</w:t>
            </w:r>
          </w:p>
        </w:tc>
      </w:tr>
      <w:tr w:rsidR="009A6B10" w:rsidRPr="009A6B10" w:rsidTr="00174ACB">
        <w:tc>
          <w:tcPr>
            <w:tcW w:w="2153" w:type="dxa"/>
            <w:shd w:val="clear" w:color="auto" w:fill="auto"/>
          </w:tcPr>
          <w:p w:rsidR="009A6B10" w:rsidRPr="009A6B10" w:rsidRDefault="009A6B10" w:rsidP="009A6B10">
            <w:pPr>
              <w:jc w:val="center"/>
            </w:pPr>
            <w:r w:rsidRPr="009A6B10">
              <w:t>Poľsko</w:t>
            </w:r>
          </w:p>
        </w:tc>
        <w:tc>
          <w:tcPr>
            <w:tcW w:w="1452" w:type="dxa"/>
            <w:shd w:val="clear" w:color="auto" w:fill="auto"/>
          </w:tcPr>
          <w:p w:rsidR="009A6B10" w:rsidRPr="009A6B10" w:rsidRDefault="009A6B10" w:rsidP="009A6B10">
            <w:pPr>
              <w:jc w:val="center"/>
            </w:pPr>
            <w:r w:rsidRPr="009A6B10">
              <w:t>137.</w:t>
            </w:r>
          </w:p>
        </w:tc>
        <w:tc>
          <w:tcPr>
            <w:tcW w:w="2340" w:type="dxa"/>
            <w:shd w:val="clear" w:color="auto" w:fill="auto"/>
          </w:tcPr>
          <w:p w:rsidR="009A6B10" w:rsidRPr="009A6B10" w:rsidRDefault="009A6B10" w:rsidP="009A6B10">
            <w:pPr>
              <w:jc w:val="center"/>
            </w:pPr>
            <w:r w:rsidRPr="009A6B10">
              <w:t>6</w:t>
            </w:r>
          </w:p>
        </w:tc>
        <w:tc>
          <w:tcPr>
            <w:tcW w:w="1988" w:type="dxa"/>
            <w:shd w:val="clear" w:color="auto" w:fill="auto"/>
          </w:tcPr>
          <w:p w:rsidR="009A6B10" w:rsidRPr="009A6B10" w:rsidRDefault="009A6B10" w:rsidP="009A6B10">
            <w:pPr>
              <w:jc w:val="center"/>
            </w:pPr>
            <w:r w:rsidRPr="009A6B10">
              <w:t>181</w:t>
            </w:r>
          </w:p>
        </w:tc>
        <w:tc>
          <w:tcPr>
            <w:tcW w:w="2016" w:type="dxa"/>
            <w:shd w:val="clear" w:color="auto" w:fill="auto"/>
          </w:tcPr>
          <w:p w:rsidR="009A6B10" w:rsidRPr="009A6B10" w:rsidRDefault="009A6B10" w:rsidP="009A6B10">
            <w:pPr>
              <w:jc w:val="center"/>
            </w:pPr>
            <w:r w:rsidRPr="009A6B10">
              <w:t>205,2</w:t>
            </w:r>
          </w:p>
        </w:tc>
      </w:tr>
      <w:tr w:rsidR="009A6B10" w:rsidRPr="009A6B10" w:rsidTr="00174ACB">
        <w:tc>
          <w:tcPr>
            <w:tcW w:w="2153" w:type="dxa"/>
            <w:shd w:val="clear" w:color="auto" w:fill="auto"/>
          </w:tcPr>
          <w:p w:rsidR="009A6B10" w:rsidRPr="009A6B10" w:rsidRDefault="009A6B10" w:rsidP="009A6B10">
            <w:pPr>
              <w:jc w:val="center"/>
            </w:pPr>
            <w:r w:rsidRPr="009A6B10">
              <w:t xml:space="preserve">Česká republika </w:t>
            </w:r>
          </w:p>
        </w:tc>
        <w:tc>
          <w:tcPr>
            <w:tcW w:w="1452" w:type="dxa"/>
            <w:shd w:val="clear" w:color="auto" w:fill="auto"/>
          </w:tcPr>
          <w:p w:rsidR="009A6B10" w:rsidRPr="009A6B10" w:rsidRDefault="009A6B10" w:rsidP="009A6B10">
            <w:pPr>
              <w:jc w:val="center"/>
            </w:pPr>
            <w:r w:rsidRPr="009A6B10">
              <w:t>146.</w:t>
            </w:r>
          </w:p>
        </w:tc>
        <w:tc>
          <w:tcPr>
            <w:tcW w:w="2340" w:type="dxa"/>
            <w:shd w:val="clear" w:color="auto" w:fill="auto"/>
          </w:tcPr>
          <w:p w:rsidR="009A6B10" w:rsidRPr="009A6B10" w:rsidRDefault="009A6B10" w:rsidP="009A6B10">
            <w:pPr>
              <w:jc w:val="center"/>
            </w:pPr>
            <w:r w:rsidRPr="009A6B10">
              <w:t>6</w:t>
            </w:r>
          </w:p>
        </w:tc>
        <w:tc>
          <w:tcPr>
            <w:tcW w:w="1988" w:type="dxa"/>
            <w:shd w:val="clear" w:color="auto" w:fill="auto"/>
          </w:tcPr>
          <w:p w:rsidR="009A6B10" w:rsidRPr="009A6B10" w:rsidRDefault="009A6B10" w:rsidP="009A6B10">
            <w:pPr>
              <w:jc w:val="center"/>
            </w:pPr>
            <w:r w:rsidRPr="009A6B10">
              <w:t>279</w:t>
            </w:r>
          </w:p>
        </w:tc>
        <w:tc>
          <w:tcPr>
            <w:tcW w:w="2016" w:type="dxa"/>
            <w:shd w:val="clear" w:color="auto" w:fill="auto"/>
          </w:tcPr>
          <w:p w:rsidR="009A6B10" w:rsidRPr="009A6B10" w:rsidRDefault="009A6B10" w:rsidP="009A6B10">
            <w:pPr>
              <w:jc w:val="center"/>
            </w:pPr>
            <w:r w:rsidRPr="009A6B10">
              <w:t>179</w:t>
            </w:r>
          </w:p>
        </w:tc>
      </w:tr>
    </w:tbl>
    <w:p w:rsidR="009A6B10" w:rsidRPr="009A6B10" w:rsidRDefault="009A6B10" w:rsidP="009A6B10">
      <w:pPr>
        <w:spacing w:before="120"/>
        <w:rPr>
          <w:b/>
          <w:i/>
        </w:rPr>
      </w:pPr>
      <w:r w:rsidRPr="009A6B10">
        <w:rPr>
          <w:b/>
          <w:i/>
        </w:rPr>
        <w:t>Registrácia majetku</w:t>
      </w:r>
    </w:p>
    <w:p w:rsidR="009A6B10" w:rsidRPr="009A6B10" w:rsidRDefault="009A6B10" w:rsidP="009A6B10">
      <w:pPr>
        <w:spacing w:before="120"/>
        <w:ind w:firstLine="708"/>
        <w:jc w:val="both"/>
      </w:pPr>
      <w:r w:rsidRPr="009A6B10">
        <w:t>V hodnotení Svetovej banky sa Slovensko v tomto rebríčku umiestnilo na 11. mieste, pričom je potrebné v rámci registrácie majetku vykonať 3 úkony</w:t>
      </w:r>
      <w:r w:rsidRPr="009A6B10">
        <w:rPr>
          <w:rFonts w:eastAsia="Calibri"/>
          <w:vertAlign w:val="superscript"/>
        </w:rPr>
        <w:footnoteReference w:id="3"/>
      </w:r>
      <w:r w:rsidRPr="009A6B10">
        <w:t>, ktoré trvajú priemerne 16,</w:t>
      </w:r>
      <w:r w:rsidR="00A07396">
        <w:t>5 dňa, s nákladmi v hodnote 0,0</w:t>
      </w:r>
      <w:r w:rsidRPr="009A6B10">
        <w:t xml:space="preserve">% z ceny nehnuteľností, čo predstavuje rovnaké hodnoty v porovnaní s predchádzajúcim rokom. Prepad  o 2 miesta v rebríčku uvedeného ukazovateľa </w:t>
      </w:r>
      <w:r w:rsidRPr="009A6B10">
        <w:lastRenderedPageBreak/>
        <w:t xml:space="preserve">preto bol spôsobený výlučne zlepšením hodnôt krajín, ktoré sa v predchádzajúcom období umiestnili v rebríčku tohto ukazovateľa za SR.  </w:t>
      </w:r>
    </w:p>
    <w:p w:rsidR="009A6B10" w:rsidRPr="009A6B10" w:rsidRDefault="009A6B10" w:rsidP="009A6B10">
      <w:pPr>
        <w:spacing w:before="120"/>
        <w:jc w:val="both"/>
      </w:pPr>
      <w:r w:rsidRPr="009A6B10">
        <w:tab/>
        <w:t>Najlepšie hodnotenie v medzinárodnom porovnaní podľa DB v oblasti Registrácia majetku dosiahlo Gruzínsko.</w:t>
      </w:r>
      <w:r w:rsidRPr="009A6B10">
        <w:rPr>
          <w:rFonts w:eastAsia="Calibri"/>
          <w:vertAlign w:val="superscript"/>
        </w:rPr>
        <w:footnoteReference w:id="4"/>
      </w:r>
    </w:p>
    <w:p w:rsidR="009A6B10" w:rsidRPr="009A6B10" w:rsidRDefault="009A6B10" w:rsidP="009A6B10">
      <w:pPr>
        <w:spacing w:before="120" w:after="120"/>
        <w:ind w:firstLine="708"/>
        <w:jc w:val="both"/>
      </w:pPr>
      <w:r w:rsidRPr="009A6B10">
        <w:t>MH SR v spolupráci s Úradom geodézie, kartografie a katastra SR (ÚGKK) uvedený indikátor v rámci zasielania podkladov pre Svetovú banku za účelom výskumu DB 2014 revidovalo, kde v súlade s platnou legislatívou ÚGKK ako jediný prispievateľ za SR vykázal namiesto uvádzaných 3, len 2 potrebné procedúry na vykonanie úkonu registrácie majetku. Svetová banka vo výsledkoch výskumu DB 2014 príspevok SR nezohľadnila.</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452"/>
        <w:gridCol w:w="2340"/>
        <w:gridCol w:w="1988"/>
        <w:gridCol w:w="2016"/>
      </w:tblGrid>
      <w:tr w:rsidR="009A6B10" w:rsidRPr="009A6B10" w:rsidTr="00E124FA">
        <w:tc>
          <w:tcPr>
            <w:tcW w:w="2153"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52" w:type="dxa"/>
            <w:shd w:val="clear" w:color="auto" w:fill="auto"/>
          </w:tcPr>
          <w:p w:rsidR="009A6B10" w:rsidRPr="009A6B10" w:rsidRDefault="009A6B10" w:rsidP="009A6B10">
            <w:pPr>
              <w:jc w:val="center"/>
              <w:rPr>
                <w:b/>
              </w:rPr>
            </w:pPr>
            <w:r w:rsidRPr="009A6B10">
              <w:rPr>
                <w:b/>
              </w:rPr>
              <w:t>Umiestnenie</w:t>
            </w:r>
          </w:p>
        </w:tc>
        <w:tc>
          <w:tcPr>
            <w:tcW w:w="2340" w:type="dxa"/>
            <w:shd w:val="clear" w:color="auto" w:fill="auto"/>
          </w:tcPr>
          <w:p w:rsidR="009A6B10" w:rsidRPr="009A6B10" w:rsidRDefault="009A6B10" w:rsidP="009A6B10">
            <w:pPr>
              <w:jc w:val="center"/>
              <w:rPr>
                <w:b/>
              </w:rPr>
            </w:pPr>
            <w:r w:rsidRPr="009A6B10">
              <w:rPr>
                <w:b/>
              </w:rPr>
              <w:t>Počet potrebných procedúr</w:t>
            </w:r>
          </w:p>
        </w:tc>
        <w:tc>
          <w:tcPr>
            <w:tcW w:w="1988" w:type="dxa"/>
            <w:shd w:val="clear" w:color="auto" w:fill="auto"/>
          </w:tcPr>
          <w:p w:rsidR="009A6B10" w:rsidRPr="009A6B10" w:rsidRDefault="009A6B10" w:rsidP="009A6B10">
            <w:pPr>
              <w:jc w:val="center"/>
              <w:rPr>
                <w:b/>
              </w:rPr>
            </w:pPr>
            <w:r w:rsidRPr="009A6B10">
              <w:rPr>
                <w:b/>
              </w:rPr>
              <w:t xml:space="preserve">Dĺžka </w:t>
            </w:r>
          </w:p>
          <w:p w:rsidR="009A6B10" w:rsidRPr="009A6B10" w:rsidRDefault="009A6B10" w:rsidP="009A6B10">
            <w:pPr>
              <w:jc w:val="center"/>
            </w:pPr>
            <w:r w:rsidRPr="009A6B10">
              <w:t>(v dňoch)</w:t>
            </w:r>
          </w:p>
        </w:tc>
        <w:tc>
          <w:tcPr>
            <w:tcW w:w="2016" w:type="dxa"/>
            <w:shd w:val="clear" w:color="auto" w:fill="auto"/>
          </w:tcPr>
          <w:p w:rsidR="009A6B10" w:rsidRPr="009A6B10" w:rsidRDefault="009A6B10" w:rsidP="009A6B10">
            <w:pPr>
              <w:jc w:val="center"/>
              <w:rPr>
                <w:b/>
              </w:rPr>
            </w:pPr>
            <w:r w:rsidRPr="009A6B10">
              <w:rPr>
                <w:b/>
              </w:rPr>
              <w:t>Potrebné náklady</w:t>
            </w:r>
          </w:p>
          <w:p w:rsidR="009A6B10" w:rsidRPr="009A6B10" w:rsidRDefault="009A6B10" w:rsidP="009A6B10">
            <w:pPr>
              <w:jc w:val="center"/>
            </w:pPr>
            <w:r w:rsidRPr="009A6B10">
              <w:t>(% z ceny nehnuteľnosti)</w:t>
            </w:r>
          </w:p>
        </w:tc>
      </w:tr>
      <w:tr w:rsidR="009A6B10" w:rsidRPr="009A6B10" w:rsidTr="00E124FA">
        <w:tc>
          <w:tcPr>
            <w:tcW w:w="2153" w:type="dxa"/>
            <w:shd w:val="clear" w:color="auto" w:fill="auto"/>
          </w:tcPr>
          <w:p w:rsidR="009A6B10" w:rsidRPr="009A6B10" w:rsidRDefault="009A6B10" w:rsidP="009A6B10">
            <w:pPr>
              <w:jc w:val="center"/>
            </w:pPr>
            <w:r w:rsidRPr="009A6B10">
              <w:t xml:space="preserve">Gruzínsko  </w:t>
            </w:r>
          </w:p>
        </w:tc>
        <w:tc>
          <w:tcPr>
            <w:tcW w:w="1452" w:type="dxa"/>
            <w:shd w:val="clear" w:color="auto" w:fill="auto"/>
          </w:tcPr>
          <w:p w:rsidR="009A6B10" w:rsidRPr="009A6B10" w:rsidRDefault="009A6B10" w:rsidP="009A6B10">
            <w:pPr>
              <w:jc w:val="center"/>
            </w:pPr>
            <w:r w:rsidRPr="009A6B10">
              <w:t>1.</w:t>
            </w:r>
          </w:p>
        </w:tc>
        <w:tc>
          <w:tcPr>
            <w:tcW w:w="2340" w:type="dxa"/>
            <w:shd w:val="clear" w:color="auto" w:fill="auto"/>
          </w:tcPr>
          <w:p w:rsidR="009A6B10" w:rsidRPr="009A6B10" w:rsidRDefault="009A6B10" w:rsidP="009A6B10">
            <w:pPr>
              <w:jc w:val="center"/>
            </w:pPr>
            <w:r w:rsidRPr="009A6B10">
              <w:t>1</w:t>
            </w:r>
          </w:p>
        </w:tc>
        <w:tc>
          <w:tcPr>
            <w:tcW w:w="1988" w:type="dxa"/>
            <w:shd w:val="clear" w:color="auto" w:fill="auto"/>
          </w:tcPr>
          <w:p w:rsidR="009A6B10" w:rsidRPr="009A6B10" w:rsidRDefault="009A6B10" w:rsidP="009A6B10">
            <w:pPr>
              <w:jc w:val="center"/>
            </w:pPr>
            <w:r w:rsidRPr="009A6B10">
              <w:t>2</w:t>
            </w:r>
          </w:p>
        </w:tc>
        <w:tc>
          <w:tcPr>
            <w:tcW w:w="2016" w:type="dxa"/>
            <w:shd w:val="clear" w:color="auto" w:fill="auto"/>
          </w:tcPr>
          <w:p w:rsidR="009A6B10" w:rsidRPr="009A6B10" w:rsidRDefault="009A6B10" w:rsidP="009A6B10">
            <w:pPr>
              <w:jc w:val="center"/>
            </w:pPr>
            <w:r w:rsidRPr="009A6B10">
              <w:t>0</w:t>
            </w:r>
          </w:p>
        </w:tc>
      </w:tr>
      <w:tr w:rsidR="00E56B8D" w:rsidRPr="009A6B10" w:rsidTr="009A6B10">
        <w:tc>
          <w:tcPr>
            <w:tcW w:w="2153" w:type="dxa"/>
            <w:shd w:val="clear" w:color="auto" w:fill="8DB3E2"/>
          </w:tcPr>
          <w:p w:rsidR="009A6B10" w:rsidRPr="009A6B10" w:rsidRDefault="009A6B10" w:rsidP="009A6B10">
            <w:pPr>
              <w:jc w:val="center"/>
            </w:pPr>
            <w:r w:rsidRPr="009A6B10">
              <w:t>Slovensko</w:t>
            </w:r>
          </w:p>
        </w:tc>
        <w:tc>
          <w:tcPr>
            <w:tcW w:w="1452" w:type="dxa"/>
            <w:shd w:val="clear" w:color="auto" w:fill="8DB3E2"/>
          </w:tcPr>
          <w:p w:rsidR="009A6B10" w:rsidRPr="009A6B10" w:rsidRDefault="009A6B10" w:rsidP="009A6B10">
            <w:pPr>
              <w:jc w:val="center"/>
            </w:pPr>
            <w:r w:rsidRPr="009A6B10">
              <w:t>11.</w:t>
            </w:r>
          </w:p>
        </w:tc>
        <w:tc>
          <w:tcPr>
            <w:tcW w:w="2340" w:type="dxa"/>
            <w:shd w:val="clear" w:color="auto" w:fill="8DB3E2"/>
          </w:tcPr>
          <w:p w:rsidR="009A6B10" w:rsidRPr="009A6B10" w:rsidRDefault="009A6B10" w:rsidP="009A6B10">
            <w:pPr>
              <w:jc w:val="center"/>
            </w:pPr>
            <w:r w:rsidRPr="009A6B10">
              <w:t>3</w:t>
            </w:r>
          </w:p>
        </w:tc>
        <w:tc>
          <w:tcPr>
            <w:tcW w:w="1988" w:type="dxa"/>
            <w:shd w:val="clear" w:color="auto" w:fill="8DB3E2"/>
          </w:tcPr>
          <w:p w:rsidR="009A6B10" w:rsidRPr="009A6B10" w:rsidRDefault="009A6B10" w:rsidP="009A6B10">
            <w:pPr>
              <w:jc w:val="center"/>
            </w:pPr>
            <w:r w:rsidRPr="009A6B10">
              <w:t>16,5</w:t>
            </w:r>
          </w:p>
        </w:tc>
        <w:tc>
          <w:tcPr>
            <w:tcW w:w="2016" w:type="dxa"/>
            <w:shd w:val="clear" w:color="auto" w:fill="8DB3E2"/>
          </w:tcPr>
          <w:p w:rsidR="009A6B10" w:rsidRPr="009A6B10" w:rsidRDefault="009A6B10" w:rsidP="009A6B10">
            <w:pPr>
              <w:jc w:val="center"/>
            </w:pPr>
            <w:r w:rsidRPr="009A6B10">
              <w:t>0</w:t>
            </w:r>
          </w:p>
        </w:tc>
      </w:tr>
      <w:tr w:rsidR="009A6B10" w:rsidRPr="009A6B10" w:rsidTr="00E124FA">
        <w:tc>
          <w:tcPr>
            <w:tcW w:w="2153" w:type="dxa"/>
            <w:shd w:val="clear" w:color="auto" w:fill="auto"/>
          </w:tcPr>
          <w:p w:rsidR="009A6B10" w:rsidRPr="009A6B10" w:rsidRDefault="009A6B10" w:rsidP="009A6B10">
            <w:pPr>
              <w:jc w:val="center"/>
            </w:pPr>
            <w:r w:rsidRPr="009A6B10">
              <w:t xml:space="preserve">Česká republika </w:t>
            </w:r>
          </w:p>
        </w:tc>
        <w:tc>
          <w:tcPr>
            <w:tcW w:w="1452" w:type="dxa"/>
            <w:shd w:val="clear" w:color="auto" w:fill="auto"/>
          </w:tcPr>
          <w:p w:rsidR="009A6B10" w:rsidRPr="009A6B10" w:rsidRDefault="009A6B10" w:rsidP="009A6B10">
            <w:pPr>
              <w:jc w:val="center"/>
            </w:pPr>
            <w:r w:rsidRPr="009A6B10">
              <w:t>37.</w:t>
            </w:r>
          </w:p>
        </w:tc>
        <w:tc>
          <w:tcPr>
            <w:tcW w:w="2340" w:type="dxa"/>
            <w:shd w:val="clear" w:color="auto" w:fill="auto"/>
          </w:tcPr>
          <w:p w:rsidR="009A6B10" w:rsidRPr="009A6B10" w:rsidRDefault="009A6B10" w:rsidP="009A6B10">
            <w:pPr>
              <w:jc w:val="center"/>
            </w:pPr>
            <w:r w:rsidRPr="009A6B10">
              <w:t>3</w:t>
            </w:r>
          </w:p>
        </w:tc>
        <w:tc>
          <w:tcPr>
            <w:tcW w:w="1988" w:type="dxa"/>
            <w:shd w:val="clear" w:color="auto" w:fill="auto"/>
          </w:tcPr>
          <w:p w:rsidR="009A6B10" w:rsidRPr="009A6B10" w:rsidRDefault="009A6B10" w:rsidP="009A6B10">
            <w:pPr>
              <w:jc w:val="center"/>
            </w:pPr>
            <w:r w:rsidRPr="009A6B10">
              <w:t>24</w:t>
            </w:r>
          </w:p>
        </w:tc>
        <w:tc>
          <w:tcPr>
            <w:tcW w:w="2016" w:type="dxa"/>
            <w:shd w:val="clear" w:color="auto" w:fill="auto"/>
          </w:tcPr>
          <w:p w:rsidR="009A6B10" w:rsidRPr="009A6B10" w:rsidRDefault="009A6B10" w:rsidP="009A6B10">
            <w:pPr>
              <w:jc w:val="center"/>
            </w:pPr>
            <w:r w:rsidRPr="009A6B10">
              <w:t>4,0</w:t>
            </w:r>
          </w:p>
        </w:tc>
      </w:tr>
      <w:tr w:rsidR="009A6B10" w:rsidRPr="009A6B10" w:rsidTr="00E124FA">
        <w:tc>
          <w:tcPr>
            <w:tcW w:w="2153" w:type="dxa"/>
            <w:shd w:val="clear" w:color="auto" w:fill="auto"/>
          </w:tcPr>
          <w:p w:rsidR="009A6B10" w:rsidRPr="009A6B10" w:rsidRDefault="009A6B10" w:rsidP="009A6B10">
            <w:pPr>
              <w:jc w:val="center"/>
            </w:pPr>
            <w:r w:rsidRPr="009A6B10">
              <w:t xml:space="preserve">Maďarsko </w:t>
            </w:r>
          </w:p>
        </w:tc>
        <w:tc>
          <w:tcPr>
            <w:tcW w:w="1452" w:type="dxa"/>
            <w:shd w:val="clear" w:color="auto" w:fill="auto"/>
          </w:tcPr>
          <w:p w:rsidR="009A6B10" w:rsidRPr="009A6B10" w:rsidRDefault="009A6B10" w:rsidP="009A6B10">
            <w:pPr>
              <w:jc w:val="center"/>
            </w:pPr>
            <w:r w:rsidRPr="009A6B10">
              <w:t>45.</w:t>
            </w:r>
          </w:p>
        </w:tc>
        <w:tc>
          <w:tcPr>
            <w:tcW w:w="2340" w:type="dxa"/>
            <w:shd w:val="clear" w:color="auto" w:fill="auto"/>
          </w:tcPr>
          <w:p w:rsidR="009A6B10" w:rsidRPr="009A6B10" w:rsidRDefault="009A6B10" w:rsidP="009A6B10">
            <w:pPr>
              <w:jc w:val="center"/>
            </w:pPr>
            <w:r w:rsidRPr="009A6B10">
              <w:t>4</w:t>
            </w:r>
          </w:p>
        </w:tc>
        <w:tc>
          <w:tcPr>
            <w:tcW w:w="1988" w:type="dxa"/>
            <w:shd w:val="clear" w:color="auto" w:fill="auto"/>
          </w:tcPr>
          <w:p w:rsidR="009A6B10" w:rsidRPr="009A6B10" w:rsidRDefault="009A6B10" w:rsidP="009A6B10">
            <w:pPr>
              <w:jc w:val="center"/>
            </w:pPr>
            <w:r w:rsidRPr="009A6B10">
              <w:t>16,5</w:t>
            </w:r>
          </w:p>
        </w:tc>
        <w:tc>
          <w:tcPr>
            <w:tcW w:w="2016" w:type="dxa"/>
            <w:shd w:val="clear" w:color="auto" w:fill="auto"/>
          </w:tcPr>
          <w:p w:rsidR="009A6B10" w:rsidRPr="009A6B10" w:rsidRDefault="009A6B10" w:rsidP="009A6B10">
            <w:pPr>
              <w:jc w:val="center"/>
            </w:pPr>
            <w:r w:rsidRPr="009A6B10">
              <w:t>5,0</w:t>
            </w:r>
          </w:p>
        </w:tc>
      </w:tr>
      <w:tr w:rsidR="009A6B10" w:rsidRPr="009A6B10" w:rsidTr="00E124FA">
        <w:tc>
          <w:tcPr>
            <w:tcW w:w="2153" w:type="dxa"/>
            <w:shd w:val="clear" w:color="auto" w:fill="auto"/>
          </w:tcPr>
          <w:p w:rsidR="009A6B10" w:rsidRPr="009A6B10" w:rsidRDefault="009A6B10" w:rsidP="009A6B10">
            <w:pPr>
              <w:jc w:val="center"/>
            </w:pPr>
            <w:r w:rsidRPr="009A6B10">
              <w:t>Poľsko</w:t>
            </w:r>
          </w:p>
        </w:tc>
        <w:tc>
          <w:tcPr>
            <w:tcW w:w="1452" w:type="dxa"/>
            <w:shd w:val="clear" w:color="auto" w:fill="auto"/>
          </w:tcPr>
          <w:p w:rsidR="009A6B10" w:rsidRPr="009A6B10" w:rsidRDefault="009A6B10" w:rsidP="009A6B10">
            <w:pPr>
              <w:jc w:val="center"/>
            </w:pPr>
            <w:r w:rsidRPr="009A6B10">
              <w:t>54.</w:t>
            </w:r>
          </w:p>
        </w:tc>
        <w:tc>
          <w:tcPr>
            <w:tcW w:w="2340" w:type="dxa"/>
            <w:shd w:val="clear" w:color="auto" w:fill="auto"/>
          </w:tcPr>
          <w:p w:rsidR="009A6B10" w:rsidRPr="009A6B10" w:rsidRDefault="009A6B10" w:rsidP="009A6B10">
            <w:pPr>
              <w:jc w:val="center"/>
            </w:pPr>
            <w:r w:rsidRPr="009A6B10">
              <w:t>6</w:t>
            </w:r>
          </w:p>
        </w:tc>
        <w:tc>
          <w:tcPr>
            <w:tcW w:w="1988" w:type="dxa"/>
            <w:shd w:val="clear" w:color="auto" w:fill="auto"/>
          </w:tcPr>
          <w:p w:rsidR="009A6B10" w:rsidRPr="009A6B10" w:rsidRDefault="009A6B10" w:rsidP="009A6B10">
            <w:pPr>
              <w:jc w:val="center"/>
            </w:pPr>
            <w:r w:rsidRPr="009A6B10">
              <w:t>35,0</w:t>
            </w:r>
          </w:p>
        </w:tc>
        <w:tc>
          <w:tcPr>
            <w:tcW w:w="2016" w:type="dxa"/>
            <w:shd w:val="clear" w:color="auto" w:fill="auto"/>
          </w:tcPr>
          <w:p w:rsidR="009A6B10" w:rsidRPr="009A6B10" w:rsidRDefault="009A6B10" w:rsidP="009A6B10">
            <w:pPr>
              <w:jc w:val="center"/>
            </w:pPr>
            <w:r w:rsidRPr="009A6B10">
              <w:t>0,4</w:t>
            </w:r>
          </w:p>
        </w:tc>
      </w:tr>
    </w:tbl>
    <w:p w:rsidR="009A6B10" w:rsidRPr="009A6B10" w:rsidRDefault="009A6B10" w:rsidP="009A6B10">
      <w:pPr>
        <w:rPr>
          <w:b/>
          <w:i/>
        </w:rPr>
      </w:pPr>
    </w:p>
    <w:p w:rsidR="009A6B10" w:rsidRPr="009A6B10" w:rsidRDefault="009A6B10" w:rsidP="009A6B10">
      <w:pPr>
        <w:rPr>
          <w:b/>
          <w:i/>
        </w:rPr>
      </w:pPr>
      <w:r w:rsidRPr="009A6B10">
        <w:rPr>
          <w:b/>
          <w:i/>
        </w:rPr>
        <w:t>Dostupnosť úverových zdrojov</w:t>
      </w:r>
    </w:p>
    <w:p w:rsidR="009A6B10" w:rsidRPr="009A6B10" w:rsidRDefault="009A6B10" w:rsidP="009A6B10">
      <w:pPr>
        <w:spacing w:before="120"/>
        <w:ind w:firstLine="708"/>
        <w:jc w:val="both"/>
      </w:pPr>
      <w:r w:rsidRPr="009A6B10">
        <w:t>Podľa štúdie DB sa Slovensko umiestnilo na 42. mieste a  svoju pozíciu oproti minuloročnému hodnoteniu si zhoršilo o dve priečky. Podľa štúdie DB dosiahol index zabezpečovacích práv na Slovensku hodnotu 8 (stupnica 0 – 10), index úverových informácií hodnotu 4 (stupnica 0 – 6), pokrytie verejných úverových registrov</w:t>
      </w:r>
      <w:r w:rsidRPr="009A6B10">
        <w:rPr>
          <w:rFonts w:eastAsia="Calibri"/>
          <w:vertAlign w:val="superscript"/>
        </w:rPr>
        <w:footnoteReference w:id="5"/>
      </w:r>
      <w:r w:rsidRPr="009A6B10">
        <w:t xml:space="preserve"> hodnotu 2,7% z dospelej populácie a pokrytie súkromnými spoločnosťami</w:t>
      </w:r>
      <w:r w:rsidRPr="009A6B10">
        <w:rPr>
          <w:rFonts w:eastAsia="Calibri"/>
          <w:vertAlign w:val="superscript"/>
        </w:rPr>
        <w:footnoteReference w:id="6"/>
      </w:r>
      <w:r w:rsidR="00A07396">
        <w:t xml:space="preserve"> hodnotu 61,6</w:t>
      </w:r>
      <w:r w:rsidRPr="009A6B10">
        <w:t xml:space="preserve">% z dospelej populácie. Najlepšie postavenie v tomto rebríčku hodnotiacom dostupnosť úverových zdrojov dosiahla Malajzia a Veľká Británia. </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391"/>
        <w:gridCol w:w="1869"/>
        <w:gridCol w:w="1546"/>
        <w:gridCol w:w="1573"/>
        <w:gridCol w:w="1619"/>
      </w:tblGrid>
      <w:tr w:rsidR="009A6B10" w:rsidRPr="009A6B10" w:rsidTr="00E124FA">
        <w:tc>
          <w:tcPr>
            <w:tcW w:w="1951"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391" w:type="dxa"/>
            <w:shd w:val="clear" w:color="auto" w:fill="auto"/>
          </w:tcPr>
          <w:p w:rsidR="009A6B10" w:rsidRPr="009A6B10" w:rsidRDefault="009A6B10" w:rsidP="009A6B10">
            <w:pPr>
              <w:jc w:val="center"/>
              <w:rPr>
                <w:b/>
              </w:rPr>
            </w:pPr>
            <w:r w:rsidRPr="009A6B10">
              <w:rPr>
                <w:b/>
              </w:rPr>
              <w:t>Umiestnenie</w:t>
            </w:r>
          </w:p>
        </w:tc>
        <w:tc>
          <w:tcPr>
            <w:tcW w:w="1869" w:type="dxa"/>
            <w:shd w:val="clear" w:color="auto" w:fill="auto"/>
          </w:tcPr>
          <w:p w:rsidR="009A6B10" w:rsidRPr="009A6B10" w:rsidRDefault="009A6B10" w:rsidP="009A6B10">
            <w:pPr>
              <w:jc w:val="center"/>
              <w:rPr>
                <w:b/>
              </w:rPr>
            </w:pPr>
            <w:r w:rsidRPr="009A6B10">
              <w:rPr>
                <w:b/>
              </w:rPr>
              <w:t>Index zabezpečovacích práv</w:t>
            </w:r>
          </w:p>
          <w:p w:rsidR="009A6B10" w:rsidRPr="009A6B10" w:rsidRDefault="009A6B10" w:rsidP="009A6B10">
            <w:pPr>
              <w:jc w:val="center"/>
              <w:rPr>
                <w:b/>
              </w:rPr>
            </w:pPr>
            <w:r w:rsidRPr="009A6B10">
              <w:t>(stupnica 0-10)</w:t>
            </w:r>
          </w:p>
        </w:tc>
        <w:tc>
          <w:tcPr>
            <w:tcW w:w="1546" w:type="dxa"/>
            <w:shd w:val="clear" w:color="auto" w:fill="auto"/>
          </w:tcPr>
          <w:p w:rsidR="009A6B10" w:rsidRPr="009A6B10" w:rsidRDefault="009A6B10" w:rsidP="009A6B10">
            <w:pPr>
              <w:jc w:val="center"/>
              <w:rPr>
                <w:b/>
              </w:rPr>
            </w:pPr>
            <w:r w:rsidRPr="009A6B10">
              <w:rPr>
                <w:b/>
              </w:rPr>
              <w:t>Index úverových informácií</w:t>
            </w:r>
          </w:p>
          <w:p w:rsidR="009A6B10" w:rsidRPr="009A6B10" w:rsidRDefault="009A6B10" w:rsidP="009A6B10">
            <w:pPr>
              <w:jc w:val="center"/>
              <w:rPr>
                <w:b/>
              </w:rPr>
            </w:pPr>
            <w:r w:rsidRPr="009A6B10">
              <w:t>(stupnica 0-6)</w:t>
            </w:r>
          </w:p>
        </w:tc>
        <w:tc>
          <w:tcPr>
            <w:tcW w:w="1573" w:type="dxa"/>
            <w:shd w:val="clear" w:color="auto" w:fill="auto"/>
          </w:tcPr>
          <w:p w:rsidR="009A6B10" w:rsidRPr="009A6B10" w:rsidRDefault="009A6B10" w:rsidP="009A6B10">
            <w:pPr>
              <w:jc w:val="center"/>
              <w:rPr>
                <w:b/>
              </w:rPr>
            </w:pPr>
            <w:r w:rsidRPr="009A6B10">
              <w:rPr>
                <w:b/>
              </w:rPr>
              <w:t>Pokrytie verejných úverových registrov</w:t>
            </w:r>
          </w:p>
          <w:p w:rsidR="009A6B10" w:rsidRPr="009A6B10" w:rsidRDefault="009A6B10" w:rsidP="009A6B10">
            <w:pPr>
              <w:jc w:val="center"/>
              <w:rPr>
                <w:b/>
              </w:rPr>
            </w:pPr>
            <w:r w:rsidRPr="009A6B10">
              <w:t>(% z dospelej populácie)</w:t>
            </w:r>
          </w:p>
        </w:tc>
        <w:tc>
          <w:tcPr>
            <w:tcW w:w="1619" w:type="dxa"/>
            <w:shd w:val="clear" w:color="auto" w:fill="auto"/>
          </w:tcPr>
          <w:p w:rsidR="009A6B10" w:rsidRPr="009A6B10" w:rsidRDefault="009A6B10" w:rsidP="009A6B10">
            <w:pPr>
              <w:jc w:val="center"/>
              <w:rPr>
                <w:b/>
              </w:rPr>
            </w:pPr>
            <w:r w:rsidRPr="009A6B10">
              <w:rPr>
                <w:b/>
              </w:rPr>
              <w:t>Pokrytie súkromnými spoločnosťami</w:t>
            </w:r>
          </w:p>
          <w:p w:rsidR="009A6B10" w:rsidRPr="009A6B10" w:rsidRDefault="009A6B10" w:rsidP="009A6B10">
            <w:pPr>
              <w:jc w:val="center"/>
              <w:rPr>
                <w:b/>
              </w:rPr>
            </w:pPr>
            <w:r w:rsidRPr="009A6B10">
              <w:t>(% z dospelej populácie)</w:t>
            </w:r>
          </w:p>
        </w:tc>
      </w:tr>
      <w:tr w:rsidR="009A6B10" w:rsidRPr="009A6B10" w:rsidTr="00E124FA">
        <w:tc>
          <w:tcPr>
            <w:tcW w:w="1951" w:type="dxa"/>
            <w:shd w:val="clear" w:color="auto" w:fill="auto"/>
          </w:tcPr>
          <w:p w:rsidR="009A6B10" w:rsidRPr="009A6B10" w:rsidRDefault="009A6B10" w:rsidP="009A6B10">
            <w:pPr>
              <w:jc w:val="center"/>
            </w:pPr>
            <w:r w:rsidRPr="009A6B10">
              <w:t>Malajzia</w:t>
            </w:r>
          </w:p>
          <w:p w:rsidR="009A6B10" w:rsidRPr="009A6B10" w:rsidRDefault="009A6B10" w:rsidP="009A6B10">
            <w:pPr>
              <w:jc w:val="center"/>
            </w:pPr>
            <w:r w:rsidRPr="009A6B10">
              <w:t>Veľká Británia</w:t>
            </w:r>
          </w:p>
        </w:tc>
        <w:tc>
          <w:tcPr>
            <w:tcW w:w="1391" w:type="dxa"/>
            <w:shd w:val="clear" w:color="auto" w:fill="auto"/>
          </w:tcPr>
          <w:p w:rsidR="009A6B10" w:rsidRPr="009A6B10" w:rsidRDefault="009A6B10" w:rsidP="009A6B10">
            <w:pPr>
              <w:jc w:val="center"/>
            </w:pPr>
            <w:r w:rsidRPr="009A6B10">
              <w:t>1.</w:t>
            </w:r>
          </w:p>
          <w:p w:rsidR="009A6B10" w:rsidRPr="009A6B10" w:rsidRDefault="009A6B10" w:rsidP="009A6B10">
            <w:pPr>
              <w:jc w:val="center"/>
            </w:pPr>
            <w:r w:rsidRPr="009A6B10">
              <w:t>1.</w:t>
            </w:r>
          </w:p>
        </w:tc>
        <w:tc>
          <w:tcPr>
            <w:tcW w:w="1869" w:type="dxa"/>
            <w:shd w:val="clear" w:color="auto" w:fill="auto"/>
          </w:tcPr>
          <w:p w:rsidR="009A6B10" w:rsidRPr="009A6B10" w:rsidRDefault="009A6B10" w:rsidP="009A6B10">
            <w:pPr>
              <w:jc w:val="center"/>
            </w:pPr>
            <w:r w:rsidRPr="009A6B10">
              <w:t>10</w:t>
            </w:r>
          </w:p>
          <w:p w:rsidR="009A6B10" w:rsidRPr="009A6B10" w:rsidRDefault="009A6B10" w:rsidP="009A6B10">
            <w:pPr>
              <w:jc w:val="center"/>
            </w:pPr>
            <w:r w:rsidRPr="009A6B10">
              <w:t>10</w:t>
            </w:r>
          </w:p>
        </w:tc>
        <w:tc>
          <w:tcPr>
            <w:tcW w:w="1546" w:type="dxa"/>
            <w:shd w:val="clear" w:color="auto" w:fill="auto"/>
          </w:tcPr>
          <w:p w:rsidR="009A6B10" w:rsidRPr="009A6B10" w:rsidRDefault="009A6B10" w:rsidP="009A6B10">
            <w:pPr>
              <w:jc w:val="center"/>
            </w:pPr>
            <w:r w:rsidRPr="009A6B10">
              <w:t>6</w:t>
            </w:r>
          </w:p>
          <w:p w:rsidR="009A6B10" w:rsidRPr="009A6B10" w:rsidRDefault="009A6B10" w:rsidP="009A6B10">
            <w:pPr>
              <w:jc w:val="center"/>
            </w:pPr>
            <w:r w:rsidRPr="009A6B10">
              <w:t>6</w:t>
            </w:r>
          </w:p>
        </w:tc>
        <w:tc>
          <w:tcPr>
            <w:tcW w:w="1573" w:type="dxa"/>
            <w:shd w:val="clear" w:color="auto" w:fill="auto"/>
          </w:tcPr>
          <w:p w:rsidR="009A6B10" w:rsidRPr="009A6B10" w:rsidRDefault="009A6B10" w:rsidP="009A6B10">
            <w:pPr>
              <w:jc w:val="center"/>
            </w:pPr>
            <w:r w:rsidRPr="009A6B10">
              <w:t>52,9</w:t>
            </w:r>
          </w:p>
          <w:p w:rsidR="009A6B10" w:rsidRPr="009A6B10" w:rsidRDefault="009A6B10" w:rsidP="009A6B10">
            <w:pPr>
              <w:jc w:val="center"/>
            </w:pPr>
            <w:r w:rsidRPr="009A6B10">
              <w:t>0,0</w:t>
            </w:r>
          </w:p>
        </w:tc>
        <w:tc>
          <w:tcPr>
            <w:tcW w:w="1619" w:type="dxa"/>
            <w:shd w:val="clear" w:color="auto" w:fill="auto"/>
          </w:tcPr>
          <w:p w:rsidR="009A6B10" w:rsidRPr="009A6B10" w:rsidRDefault="009A6B10" w:rsidP="009A6B10">
            <w:pPr>
              <w:jc w:val="center"/>
            </w:pPr>
            <w:r w:rsidRPr="009A6B10">
              <w:t>77,2</w:t>
            </w:r>
          </w:p>
          <w:p w:rsidR="009A6B10" w:rsidRPr="009A6B10" w:rsidRDefault="009A6B10" w:rsidP="009A6B10">
            <w:pPr>
              <w:jc w:val="center"/>
            </w:pPr>
            <w:r w:rsidRPr="009A6B10">
              <w:t>100</w:t>
            </w:r>
          </w:p>
        </w:tc>
      </w:tr>
      <w:tr w:rsidR="009A6B10" w:rsidRPr="009A6B10" w:rsidTr="00E124FA">
        <w:tc>
          <w:tcPr>
            <w:tcW w:w="1951" w:type="dxa"/>
            <w:shd w:val="clear" w:color="auto" w:fill="auto"/>
          </w:tcPr>
          <w:p w:rsidR="009A6B10" w:rsidRPr="009A6B10" w:rsidRDefault="009A6B10" w:rsidP="009A6B10">
            <w:pPr>
              <w:jc w:val="center"/>
            </w:pPr>
            <w:r w:rsidRPr="009A6B10">
              <w:t>Poľsko</w:t>
            </w:r>
          </w:p>
        </w:tc>
        <w:tc>
          <w:tcPr>
            <w:tcW w:w="1391" w:type="dxa"/>
            <w:shd w:val="clear" w:color="auto" w:fill="auto"/>
          </w:tcPr>
          <w:p w:rsidR="009A6B10" w:rsidRPr="009A6B10" w:rsidRDefault="009A6B10" w:rsidP="009A6B10">
            <w:pPr>
              <w:jc w:val="center"/>
            </w:pPr>
            <w:r w:rsidRPr="009A6B10">
              <w:t>3.</w:t>
            </w:r>
          </w:p>
        </w:tc>
        <w:tc>
          <w:tcPr>
            <w:tcW w:w="1869" w:type="dxa"/>
            <w:shd w:val="clear" w:color="auto" w:fill="auto"/>
          </w:tcPr>
          <w:p w:rsidR="009A6B10" w:rsidRPr="009A6B10" w:rsidRDefault="009A6B10" w:rsidP="009A6B10">
            <w:pPr>
              <w:jc w:val="center"/>
            </w:pPr>
            <w:r w:rsidRPr="009A6B10">
              <w:t>9</w:t>
            </w:r>
          </w:p>
        </w:tc>
        <w:tc>
          <w:tcPr>
            <w:tcW w:w="1546" w:type="dxa"/>
            <w:shd w:val="clear" w:color="auto" w:fill="auto"/>
          </w:tcPr>
          <w:p w:rsidR="009A6B10" w:rsidRPr="009A6B10" w:rsidRDefault="009A6B10" w:rsidP="009A6B10">
            <w:pPr>
              <w:jc w:val="center"/>
            </w:pPr>
            <w:r w:rsidRPr="009A6B10">
              <w:t>6</w:t>
            </w:r>
          </w:p>
        </w:tc>
        <w:tc>
          <w:tcPr>
            <w:tcW w:w="1573" w:type="dxa"/>
            <w:shd w:val="clear" w:color="auto" w:fill="auto"/>
          </w:tcPr>
          <w:p w:rsidR="009A6B10" w:rsidRPr="009A6B10" w:rsidRDefault="009A6B10" w:rsidP="009A6B10">
            <w:pPr>
              <w:jc w:val="center"/>
            </w:pPr>
            <w:r w:rsidRPr="009A6B10">
              <w:t>0,0</w:t>
            </w:r>
          </w:p>
        </w:tc>
        <w:tc>
          <w:tcPr>
            <w:tcW w:w="1619" w:type="dxa"/>
            <w:shd w:val="clear" w:color="auto" w:fill="auto"/>
          </w:tcPr>
          <w:p w:rsidR="009A6B10" w:rsidRPr="009A6B10" w:rsidRDefault="009A6B10" w:rsidP="009A6B10">
            <w:pPr>
              <w:jc w:val="center"/>
            </w:pPr>
            <w:r w:rsidRPr="009A6B10">
              <w:t>82,8</w:t>
            </w:r>
          </w:p>
        </w:tc>
      </w:tr>
      <w:tr w:rsidR="00E56B8D" w:rsidRPr="009A6B10" w:rsidTr="009A6B10">
        <w:tc>
          <w:tcPr>
            <w:tcW w:w="1951" w:type="dxa"/>
            <w:shd w:val="clear" w:color="auto" w:fill="8DB3E2"/>
          </w:tcPr>
          <w:p w:rsidR="009A6B10" w:rsidRPr="009A6B10" w:rsidRDefault="009A6B10" w:rsidP="009A6B10">
            <w:pPr>
              <w:jc w:val="center"/>
            </w:pPr>
            <w:r w:rsidRPr="009A6B10">
              <w:t>Slovensko</w:t>
            </w:r>
          </w:p>
        </w:tc>
        <w:tc>
          <w:tcPr>
            <w:tcW w:w="1391" w:type="dxa"/>
            <w:shd w:val="clear" w:color="auto" w:fill="8DB3E2"/>
          </w:tcPr>
          <w:p w:rsidR="009A6B10" w:rsidRPr="009A6B10" w:rsidRDefault="009A6B10" w:rsidP="009A6B10">
            <w:pPr>
              <w:jc w:val="center"/>
            </w:pPr>
            <w:r w:rsidRPr="009A6B10">
              <w:t>42.</w:t>
            </w:r>
          </w:p>
        </w:tc>
        <w:tc>
          <w:tcPr>
            <w:tcW w:w="1869" w:type="dxa"/>
            <w:shd w:val="clear" w:color="auto" w:fill="8DB3E2"/>
          </w:tcPr>
          <w:p w:rsidR="009A6B10" w:rsidRPr="009A6B10" w:rsidRDefault="009A6B10" w:rsidP="009A6B10">
            <w:pPr>
              <w:jc w:val="center"/>
            </w:pPr>
            <w:r w:rsidRPr="009A6B10">
              <w:t>8</w:t>
            </w:r>
          </w:p>
        </w:tc>
        <w:tc>
          <w:tcPr>
            <w:tcW w:w="1546" w:type="dxa"/>
            <w:shd w:val="clear" w:color="auto" w:fill="8DB3E2"/>
          </w:tcPr>
          <w:p w:rsidR="009A6B10" w:rsidRPr="009A6B10" w:rsidRDefault="009A6B10" w:rsidP="009A6B10">
            <w:pPr>
              <w:jc w:val="center"/>
            </w:pPr>
            <w:r w:rsidRPr="009A6B10">
              <w:t>4</w:t>
            </w:r>
          </w:p>
        </w:tc>
        <w:tc>
          <w:tcPr>
            <w:tcW w:w="1573" w:type="dxa"/>
            <w:shd w:val="clear" w:color="auto" w:fill="8DB3E2"/>
          </w:tcPr>
          <w:p w:rsidR="009A6B10" w:rsidRPr="009A6B10" w:rsidRDefault="009A6B10" w:rsidP="009A6B10">
            <w:pPr>
              <w:jc w:val="center"/>
            </w:pPr>
            <w:r w:rsidRPr="009A6B10">
              <w:t>2,7</w:t>
            </w:r>
          </w:p>
        </w:tc>
        <w:tc>
          <w:tcPr>
            <w:tcW w:w="1619" w:type="dxa"/>
            <w:shd w:val="clear" w:color="auto" w:fill="8DB3E2"/>
          </w:tcPr>
          <w:p w:rsidR="009A6B10" w:rsidRPr="009A6B10" w:rsidRDefault="009A6B10" w:rsidP="009A6B10">
            <w:pPr>
              <w:jc w:val="center"/>
            </w:pPr>
            <w:r w:rsidRPr="009A6B10">
              <w:t>61,6</w:t>
            </w:r>
          </w:p>
        </w:tc>
      </w:tr>
      <w:tr w:rsidR="009A6B10" w:rsidRPr="009A6B10" w:rsidTr="00E124FA">
        <w:tc>
          <w:tcPr>
            <w:tcW w:w="1951" w:type="dxa"/>
            <w:shd w:val="clear" w:color="auto" w:fill="auto"/>
          </w:tcPr>
          <w:p w:rsidR="009A6B10" w:rsidRPr="009A6B10" w:rsidRDefault="009A6B10" w:rsidP="009A6B10">
            <w:pPr>
              <w:jc w:val="center"/>
            </w:pPr>
            <w:r w:rsidRPr="009A6B10">
              <w:t xml:space="preserve">Maďarsko </w:t>
            </w:r>
          </w:p>
        </w:tc>
        <w:tc>
          <w:tcPr>
            <w:tcW w:w="1391" w:type="dxa"/>
            <w:shd w:val="clear" w:color="auto" w:fill="auto"/>
          </w:tcPr>
          <w:p w:rsidR="009A6B10" w:rsidRPr="009A6B10" w:rsidRDefault="009A6B10" w:rsidP="009A6B10">
            <w:pPr>
              <w:jc w:val="center"/>
            </w:pPr>
            <w:r w:rsidRPr="009A6B10">
              <w:t>55.</w:t>
            </w:r>
          </w:p>
        </w:tc>
        <w:tc>
          <w:tcPr>
            <w:tcW w:w="1869" w:type="dxa"/>
            <w:shd w:val="clear" w:color="auto" w:fill="auto"/>
          </w:tcPr>
          <w:p w:rsidR="009A6B10" w:rsidRPr="009A6B10" w:rsidRDefault="009A6B10" w:rsidP="009A6B10">
            <w:pPr>
              <w:jc w:val="center"/>
            </w:pPr>
            <w:r w:rsidRPr="009A6B10">
              <w:t>7</w:t>
            </w:r>
          </w:p>
        </w:tc>
        <w:tc>
          <w:tcPr>
            <w:tcW w:w="1546" w:type="dxa"/>
            <w:shd w:val="clear" w:color="auto" w:fill="auto"/>
          </w:tcPr>
          <w:p w:rsidR="009A6B10" w:rsidRPr="009A6B10" w:rsidRDefault="009A6B10" w:rsidP="009A6B10">
            <w:pPr>
              <w:jc w:val="center"/>
            </w:pPr>
            <w:r w:rsidRPr="009A6B10">
              <w:t>4</w:t>
            </w:r>
          </w:p>
        </w:tc>
        <w:tc>
          <w:tcPr>
            <w:tcW w:w="1573" w:type="dxa"/>
            <w:shd w:val="clear" w:color="auto" w:fill="auto"/>
          </w:tcPr>
          <w:p w:rsidR="009A6B10" w:rsidRPr="009A6B10" w:rsidRDefault="009A6B10" w:rsidP="009A6B10">
            <w:pPr>
              <w:jc w:val="center"/>
            </w:pPr>
            <w:r w:rsidRPr="009A6B10">
              <w:t>0,0</w:t>
            </w:r>
          </w:p>
        </w:tc>
        <w:tc>
          <w:tcPr>
            <w:tcW w:w="1619" w:type="dxa"/>
            <w:shd w:val="clear" w:color="auto" w:fill="auto"/>
          </w:tcPr>
          <w:p w:rsidR="009A6B10" w:rsidRPr="009A6B10" w:rsidRDefault="009A6B10" w:rsidP="009A6B10">
            <w:pPr>
              <w:jc w:val="center"/>
            </w:pPr>
            <w:r w:rsidRPr="009A6B10">
              <w:t>73,2 </w:t>
            </w:r>
          </w:p>
        </w:tc>
      </w:tr>
      <w:tr w:rsidR="009A6B10" w:rsidRPr="009A6B10" w:rsidTr="00E124FA">
        <w:tc>
          <w:tcPr>
            <w:tcW w:w="1951" w:type="dxa"/>
            <w:shd w:val="clear" w:color="auto" w:fill="auto"/>
          </w:tcPr>
          <w:p w:rsidR="009A6B10" w:rsidRPr="009A6B10" w:rsidRDefault="009A6B10" w:rsidP="009A6B10">
            <w:pPr>
              <w:jc w:val="center"/>
            </w:pPr>
            <w:r w:rsidRPr="009A6B10">
              <w:t xml:space="preserve">Česká republika </w:t>
            </w:r>
          </w:p>
        </w:tc>
        <w:tc>
          <w:tcPr>
            <w:tcW w:w="1391" w:type="dxa"/>
            <w:shd w:val="clear" w:color="auto" w:fill="auto"/>
          </w:tcPr>
          <w:p w:rsidR="009A6B10" w:rsidRPr="009A6B10" w:rsidRDefault="009A6B10" w:rsidP="009A6B10">
            <w:pPr>
              <w:jc w:val="center"/>
            </w:pPr>
            <w:r w:rsidRPr="009A6B10">
              <w:t>55.</w:t>
            </w:r>
          </w:p>
        </w:tc>
        <w:tc>
          <w:tcPr>
            <w:tcW w:w="1869" w:type="dxa"/>
            <w:shd w:val="clear" w:color="auto" w:fill="auto"/>
          </w:tcPr>
          <w:p w:rsidR="009A6B10" w:rsidRPr="009A6B10" w:rsidRDefault="009A6B10" w:rsidP="009A6B10">
            <w:pPr>
              <w:jc w:val="center"/>
            </w:pPr>
            <w:r w:rsidRPr="009A6B10">
              <w:t>6</w:t>
            </w:r>
          </w:p>
        </w:tc>
        <w:tc>
          <w:tcPr>
            <w:tcW w:w="1546" w:type="dxa"/>
            <w:shd w:val="clear" w:color="auto" w:fill="auto"/>
          </w:tcPr>
          <w:p w:rsidR="009A6B10" w:rsidRPr="009A6B10" w:rsidRDefault="009A6B10" w:rsidP="009A6B10">
            <w:pPr>
              <w:jc w:val="center"/>
            </w:pPr>
            <w:r w:rsidRPr="009A6B10">
              <w:t>5</w:t>
            </w:r>
          </w:p>
        </w:tc>
        <w:tc>
          <w:tcPr>
            <w:tcW w:w="1573" w:type="dxa"/>
            <w:shd w:val="clear" w:color="auto" w:fill="auto"/>
          </w:tcPr>
          <w:p w:rsidR="009A6B10" w:rsidRPr="009A6B10" w:rsidRDefault="009A6B10" w:rsidP="009A6B10">
            <w:pPr>
              <w:jc w:val="center"/>
            </w:pPr>
            <w:r w:rsidRPr="009A6B10">
              <w:t>6,4</w:t>
            </w:r>
          </w:p>
        </w:tc>
        <w:tc>
          <w:tcPr>
            <w:tcW w:w="1619" w:type="dxa"/>
            <w:shd w:val="clear" w:color="auto" w:fill="auto"/>
          </w:tcPr>
          <w:p w:rsidR="009A6B10" w:rsidRPr="009A6B10" w:rsidRDefault="009A6B10" w:rsidP="009A6B10">
            <w:pPr>
              <w:jc w:val="center"/>
            </w:pPr>
            <w:r w:rsidRPr="009A6B10">
              <w:t>76,0</w:t>
            </w:r>
          </w:p>
        </w:tc>
      </w:tr>
    </w:tbl>
    <w:p w:rsidR="009A6B10" w:rsidRPr="009A6B10" w:rsidRDefault="009A6B10" w:rsidP="009A6B10">
      <w:pPr>
        <w:rPr>
          <w:b/>
          <w:i/>
        </w:rPr>
      </w:pPr>
    </w:p>
    <w:p w:rsidR="009A6B10" w:rsidRPr="009A6B10" w:rsidRDefault="009A6B10" w:rsidP="009A6B10">
      <w:pPr>
        <w:rPr>
          <w:b/>
          <w:i/>
        </w:rPr>
      </w:pPr>
      <w:r w:rsidRPr="009A6B10">
        <w:rPr>
          <w:b/>
          <w:i/>
        </w:rPr>
        <w:lastRenderedPageBreak/>
        <w:t>Ochrana investorov</w:t>
      </w:r>
    </w:p>
    <w:p w:rsidR="009A6B10" w:rsidRPr="009A6B10" w:rsidRDefault="009A6B10" w:rsidP="009A6B10">
      <w:pPr>
        <w:spacing w:before="120"/>
        <w:ind w:firstLine="708"/>
        <w:jc w:val="both"/>
        <w:rPr>
          <w:iCs/>
        </w:rPr>
      </w:pPr>
      <w:r w:rsidRPr="009A6B10">
        <w:rPr>
          <w:iCs/>
        </w:rPr>
        <w:t xml:space="preserve">Podľa </w:t>
      </w:r>
      <w:r w:rsidRPr="009A6B10">
        <w:t>údajov</w:t>
      </w:r>
      <w:r w:rsidRPr="009A6B10">
        <w:rPr>
          <w:iCs/>
        </w:rPr>
        <w:t xml:space="preserve"> štúdie DB  Slovenská republika obsadila v hodnotení ochrany investícií 115. priečku (medziročné zhoršenie o 2 priečky). Slovensko v štúdií DB 2014 dosiahlo index ochrany investora 4,7 (rovnakú úroveň indexu ochrany investora mala SR i v hodnoteniach DB 2013 a DB 2012 a DB 2011). Zhoršenie pozície v tomto prípade znamená zlepšenie pozície v rebríčku ostatných hodnotených krajín. Na prvej priečke sa podľa DB umiestnil </w:t>
      </w:r>
      <w:r w:rsidRPr="009A6B10">
        <w:t xml:space="preserve">Nový Zéland. </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275"/>
        <w:gridCol w:w="1701"/>
        <w:gridCol w:w="1843"/>
        <w:gridCol w:w="1761"/>
      </w:tblGrid>
      <w:tr w:rsidR="009A6B10" w:rsidRPr="009A6B10" w:rsidTr="00E124FA">
        <w:tc>
          <w:tcPr>
            <w:tcW w:w="1809"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560" w:type="dxa"/>
            <w:shd w:val="clear" w:color="auto" w:fill="auto"/>
          </w:tcPr>
          <w:p w:rsidR="009A6B10" w:rsidRPr="009A6B10" w:rsidRDefault="009A6B10" w:rsidP="009A6B10">
            <w:pPr>
              <w:jc w:val="center"/>
              <w:rPr>
                <w:b/>
              </w:rPr>
            </w:pPr>
            <w:r w:rsidRPr="009A6B10">
              <w:rPr>
                <w:b/>
              </w:rPr>
              <w:t>Umiestnenie</w:t>
            </w:r>
          </w:p>
        </w:tc>
        <w:tc>
          <w:tcPr>
            <w:tcW w:w="1275" w:type="dxa"/>
            <w:shd w:val="clear" w:color="auto" w:fill="auto"/>
          </w:tcPr>
          <w:p w:rsidR="009A6B10" w:rsidRPr="009A6B10" w:rsidRDefault="009A6B10" w:rsidP="009A6B10">
            <w:pPr>
              <w:jc w:val="center"/>
              <w:rPr>
                <w:b/>
              </w:rPr>
            </w:pPr>
            <w:r w:rsidRPr="009A6B10">
              <w:rPr>
                <w:b/>
              </w:rPr>
              <w:t xml:space="preserve">Index ochrany investora </w:t>
            </w:r>
          </w:p>
        </w:tc>
        <w:tc>
          <w:tcPr>
            <w:tcW w:w="1701" w:type="dxa"/>
            <w:shd w:val="clear" w:color="auto" w:fill="auto"/>
          </w:tcPr>
          <w:p w:rsidR="009A6B10" w:rsidRPr="009A6B10" w:rsidRDefault="009A6B10" w:rsidP="009A6B10">
            <w:pPr>
              <w:jc w:val="center"/>
              <w:rPr>
                <w:b/>
              </w:rPr>
            </w:pPr>
            <w:r w:rsidRPr="009A6B10">
              <w:rPr>
                <w:b/>
              </w:rPr>
              <w:t xml:space="preserve">Index rozsahu informovanosti akcionárov </w:t>
            </w:r>
          </w:p>
          <w:p w:rsidR="009A6B10" w:rsidRPr="009A6B10" w:rsidRDefault="009A6B10" w:rsidP="009A6B10">
            <w:pPr>
              <w:jc w:val="center"/>
            </w:pPr>
            <w:r w:rsidRPr="009A6B10">
              <w:t>(stupnica 0-10)</w:t>
            </w:r>
          </w:p>
        </w:tc>
        <w:tc>
          <w:tcPr>
            <w:tcW w:w="1843" w:type="dxa"/>
            <w:shd w:val="clear" w:color="auto" w:fill="auto"/>
          </w:tcPr>
          <w:p w:rsidR="009A6B10" w:rsidRPr="009A6B10" w:rsidRDefault="009A6B10" w:rsidP="009A6B10">
            <w:pPr>
              <w:jc w:val="center"/>
              <w:rPr>
                <w:b/>
              </w:rPr>
            </w:pPr>
            <w:r w:rsidRPr="009A6B10">
              <w:rPr>
                <w:b/>
              </w:rPr>
              <w:t xml:space="preserve">Index rozsahu zodpovednosti riadiacich osôb </w:t>
            </w:r>
          </w:p>
          <w:p w:rsidR="009A6B10" w:rsidRPr="009A6B10" w:rsidRDefault="009A6B10" w:rsidP="009A6B10">
            <w:pPr>
              <w:jc w:val="center"/>
              <w:rPr>
                <w:b/>
              </w:rPr>
            </w:pPr>
            <w:r w:rsidRPr="009A6B10">
              <w:t>(stupnica 0-10)</w:t>
            </w:r>
          </w:p>
        </w:tc>
        <w:tc>
          <w:tcPr>
            <w:tcW w:w="1761" w:type="dxa"/>
            <w:shd w:val="clear" w:color="auto" w:fill="auto"/>
          </w:tcPr>
          <w:p w:rsidR="009A6B10" w:rsidRPr="009A6B10" w:rsidRDefault="009A6B10" w:rsidP="009A6B10">
            <w:pPr>
              <w:jc w:val="center"/>
              <w:rPr>
                <w:b/>
              </w:rPr>
            </w:pPr>
            <w:r w:rsidRPr="009A6B10">
              <w:rPr>
                <w:b/>
              </w:rPr>
              <w:t>Index náročnosti akcionárskych žalôb</w:t>
            </w:r>
          </w:p>
          <w:p w:rsidR="009A6B10" w:rsidRPr="009A6B10" w:rsidRDefault="009A6B10" w:rsidP="009A6B10">
            <w:pPr>
              <w:jc w:val="center"/>
              <w:rPr>
                <w:b/>
              </w:rPr>
            </w:pPr>
            <w:r w:rsidRPr="009A6B10">
              <w:t>(stupnica 0-10)</w:t>
            </w:r>
            <w:r w:rsidRPr="009A6B10">
              <w:rPr>
                <w:b/>
              </w:rPr>
              <w:t xml:space="preserve"> </w:t>
            </w:r>
          </w:p>
        </w:tc>
      </w:tr>
      <w:tr w:rsidR="009A6B10" w:rsidRPr="009A6B10" w:rsidTr="00E124FA">
        <w:tc>
          <w:tcPr>
            <w:tcW w:w="1809" w:type="dxa"/>
            <w:shd w:val="clear" w:color="auto" w:fill="auto"/>
          </w:tcPr>
          <w:p w:rsidR="009A6B10" w:rsidRPr="009A6B10" w:rsidRDefault="009A6B10" w:rsidP="009A6B10">
            <w:pPr>
              <w:jc w:val="center"/>
            </w:pPr>
            <w:r w:rsidRPr="009A6B10">
              <w:t>Nový Zéland</w:t>
            </w:r>
          </w:p>
        </w:tc>
        <w:tc>
          <w:tcPr>
            <w:tcW w:w="1560" w:type="dxa"/>
            <w:shd w:val="clear" w:color="auto" w:fill="auto"/>
          </w:tcPr>
          <w:p w:rsidR="009A6B10" w:rsidRPr="009A6B10" w:rsidRDefault="009A6B10" w:rsidP="009A6B10">
            <w:pPr>
              <w:jc w:val="center"/>
            </w:pPr>
            <w:r w:rsidRPr="009A6B10">
              <w:t>1.</w:t>
            </w:r>
          </w:p>
        </w:tc>
        <w:tc>
          <w:tcPr>
            <w:tcW w:w="1275" w:type="dxa"/>
            <w:shd w:val="clear" w:color="auto" w:fill="auto"/>
          </w:tcPr>
          <w:p w:rsidR="009A6B10" w:rsidRPr="009A6B10" w:rsidRDefault="009A6B10" w:rsidP="009A6B10">
            <w:pPr>
              <w:jc w:val="center"/>
            </w:pPr>
            <w:r w:rsidRPr="009A6B10">
              <w:t>9,7</w:t>
            </w:r>
          </w:p>
        </w:tc>
        <w:tc>
          <w:tcPr>
            <w:tcW w:w="1701" w:type="dxa"/>
            <w:shd w:val="clear" w:color="auto" w:fill="auto"/>
          </w:tcPr>
          <w:p w:rsidR="009A6B10" w:rsidRPr="009A6B10" w:rsidRDefault="009A6B10" w:rsidP="009A6B10">
            <w:pPr>
              <w:jc w:val="center"/>
            </w:pPr>
            <w:r w:rsidRPr="009A6B10">
              <w:t>10</w:t>
            </w:r>
          </w:p>
        </w:tc>
        <w:tc>
          <w:tcPr>
            <w:tcW w:w="1843" w:type="dxa"/>
            <w:shd w:val="clear" w:color="auto" w:fill="auto"/>
          </w:tcPr>
          <w:p w:rsidR="009A6B10" w:rsidRPr="009A6B10" w:rsidRDefault="009A6B10" w:rsidP="009A6B10">
            <w:pPr>
              <w:jc w:val="center"/>
            </w:pPr>
            <w:r w:rsidRPr="009A6B10">
              <w:t>9</w:t>
            </w:r>
          </w:p>
        </w:tc>
        <w:tc>
          <w:tcPr>
            <w:tcW w:w="1761" w:type="dxa"/>
            <w:shd w:val="clear" w:color="auto" w:fill="auto"/>
          </w:tcPr>
          <w:p w:rsidR="009A6B10" w:rsidRPr="009A6B10" w:rsidRDefault="009A6B10" w:rsidP="009A6B10">
            <w:pPr>
              <w:jc w:val="center"/>
            </w:pPr>
            <w:r w:rsidRPr="009A6B10">
              <w:t>10</w:t>
            </w:r>
          </w:p>
        </w:tc>
      </w:tr>
      <w:tr w:rsidR="009A6B10" w:rsidRPr="009A6B10" w:rsidTr="00E124FA">
        <w:tc>
          <w:tcPr>
            <w:tcW w:w="1809" w:type="dxa"/>
            <w:shd w:val="clear" w:color="auto" w:fill="auto"/>
          </w:tcPr>
          <w:p w:rsidR="009A6B10" w:rsidRPr="009A6B10" w:rsidRDefault="009A6B10" w:rsidP="009A6B10">
            <w:pPr>
              <w:jc w:val="center"/>
            </w:pPr>
            <w:r w:rsidRPr="009A6B10">
              <w:t>Poľsko</w:t>
            </w:r>
          </w:p>
        </w:tc>
        <w:tc>
          <w:tcPr>
            <w:tcW w:w="1560" w:type="dxa"/>
            <w:shd w:val="clear" w:color="auto" w:fill="auto"/>
          </w:tcPr>
          <w:p w:rsidR="009A6B10" w:rsidRPr="009A6B10" w:rsidRDefault="009A6B10" w:rsidP="009A6B10">
            <w:pPr>
              <w:jc w:val="center"/>
            </w:pPr>
            <w:r w:rsidRPr="009A6B10">
              <w:t>52.</w:t>
            </w:r>
          </w:p>
        </w:tc>
        <w:tc>
          <w:tcPr>
            <w:tcW w:w="1275" w:type="dxa"/>
            <w:shd w:val="clear" w:color="auto" w:fill="auto"/>
          </w:tcPr>
          <w:p w:rsidR="009A6B10" w:rsidRPr="009A6B10" w:rsidRDefault="009A6B10" w:rsidP="009A6B10">
            <w:pPr>
              <w:jc w:val="center"/>
            </w:pPr>
            <w:r w:rsidRPr="009A6B10">
              <w:t>6,0</w:t>
            </w:r>
          </w:p>
        </w:tc>
        <w:tc>
          <w:tcPr>
            <w:tcW w:w="1701" w:type="dxa"/>
            <w:shd w:val="clear" w:color="auto" w:fill="auto"/>
          </w:tcPr>
          <w:p w:rsidR="009A6B10" w:rsidRPr="009A6B10" w:rsidRDefault="009A6B10" w:rsidP="009A6B10">
            <w:pPr>
              <w:jc w:val="center"/>
            </w:pPr>
            <w:r w:rsidRPr="009A6B10">
              <w:t>7</w:t>
            </w:r>
          </w:p>
        </w:tc>
        <w:tc>
          <w:tcPr>
            <w:tcW w:w="1843" w:type="dxa"/>
            <w:shd w:val="clear" w:color="auto" w:fill="auto"/>
          </w:tcPr>
          <w:p w:rsidR="009A6B10" w:rsidRPr="009A6B10" w:rsidRDefault="009A6B10" w:rsidP="009A6B10">
            <w:pPr>
              <w:jc w:val="center"/>
            </w:pPr>
            <w:r w:rsidRPr="009A6B10">
              <w:t>2</w:t>
            </w:r>
          </w:p>
        </w:tc>
        <w:tc>
          <w:tcPr>
            <w:tcW w:w="1761" w:type="dxa"/>
            <w:shd w:val="clear" w:color="auto" w:fill="auto"/>
          </w:tcPr>
          <w:p w:rsidR="009A6B10" w:rsidRPr="009A6B10" w:rsidRDefault="009A6B10" w:rsidP="009A6B10">
            <w:pPr>
              <w:jc w:val="center"/>
            </w:pPr>
            <w:r w:rsidRPr="009A6B10">
              <w:t>9</w:t>
            </w:r>
          </w:p>
        </w:tc>
      </w:tr>
      <w:tr w:rsidR="009A6B10" w:rsidRPr="009A6B10" w:rsidTr="00E124FA">
        <w:tc>
          <w:tcPr>
            <w:tcW w:w="1809" w:type="dxa"/>
            <w:shd w:val="clear" w:color="auto" w:fill="auto"/>
          </w:tcPr>
          <w:p w:rsidR="009A6B10" w:rsidRPr="009A6B10" w:rsidRDefault="009A6B10" w:rsidP="009A6B10">
            <w:pPr>
              <w:jc w:val="center"/>
            </w:pPr>
            <w:r w:rsidRPr="009A6B10">
              <w:t xml:space="preserve">Česká republika </w:t>
            </w:r>
          </w:p>
        </w:tc>
        <w:tc>
          <w:tcPr>
            <w:tcW w:w="1560" w:type="dxa"/>
            <w:shd w:val="clear" w:color="auto" w:fill="auto"/>
          </w:tcPr>
          <w:p w:rsidR="009A6B10" w:rsidRPr="009A6B10" w:rsidRDefault="009A6B10" w:rsidP="009A6B10">
            <w:pPr>
              <w:jc w:val="center"/>
            </w:pPr>
            <w:r w:rsidRPr="009A6B10">
              <w:t>98.</w:t>
            </w:r>
          </w:p>
        </w:tc>
        <w:tc>
          <w:tcPr>
            <w:tcW w:w="1275" w:type="dxa"/>
            <w:shd w:val="clear" w:color="auto" w:fill="auto"/>
          </w:tcPr>
          <w:p w:rsidR="009A6B10" w:rsidRPr="009A6B10" w:rsidRDefault="009A6B10" w:rsidP="009A6B10">
            <w:pPr>
              <w:jc w:val="center"/>
            </w:pPr>
            <w:r w:rsidRPr="009A6B10">
              <w:t>5,0</w:t>
            </w:r>
          </w:p>
        </w:tc>
        <w:tc>
          <w:tcPr>
            <w:tcW w:w="1701" w:type="dxa"/>
            <w:shd w:val="clear" w:color="auto" w:fill="auto"/>
          </w:tcPr>
          <w:p w:rsidR="009A6B10" w:rsidRPr="009A6B10" w:rsidRDefault="009A6B10" w:rsidP="009A6B10">
            <w:pPr>
              <w:jc w:val="center"/>
            </w:pPr>
            <w:r w:rsidRPr="009A6B10">
              <w:t>2</w:t>
            </w:r>
          </w:p>
        </w:tc>
        <w:tc>
          <w:tcPr>
            <w:tcW w:w="1843" w:type="dxa"/>
            <w:shd w:val="clear" w:color="auto" w:fill="auto"/>
          </w:tcPr>
          <w:p w:rsidR="009A6B10" w:rsidRPr="009A6B10" w:rsidRDefault="009A6B10" w:rsidP="009A6B10">
            <w:pPr>
              <w:jc w:val="center"/>
            </w:pPr>
            <w:r w:rsidRPr="009A6B10">
              <w:t>5</w:t>
            </w:r>
          </w:p>
        </w:tc>
        <w:tc>
          <w:tcPr>
            <w:tcW w:w="1761" w:type="dxa"/>
            <w:shd w:val="clear" w:color="auto" w:fill="auto"/>
          </w:tcPr>
          <w:p w:rsidR="009A6B10" w:rsidRPr="009A6B10" w:rsidRDefault="009A6B10" w:rsidP="009A6B10">
            <w:pPr>
              <w:jc w:val="center"/>
            </w:pPr>
            <w:r w:rsidRPr="009A6B10">
              <w:t>8</w:t>
            </w:r>
          </w:p>
        </w:tc>
      </w:tr>
      <w:tr w:rsidR="00E56B8D" w:rsidRPr="009A6B10" w:rsidTr="009A6B10">
        <w:tc>
          <w:tcPr>
            <w:tcW w:w="1809" w:type="dxa"/>
            <w:shd w:val="clear" w:color="auto" w:fill="8DB3E2"/>
          </w:tcPr>
          <w:p w:rsidR="009A6B10" w:rsidRPr="009A6B10" w:rsidRDefault="009A6B10" w:rsidP="009A6B10">
            <w:pPr>
              <w:jc w:val="center"/>
            </w:pPr>
            <w:r w:rsidRPr="009A6B10">
              <w:t>Slovensko</w:t>
            </w:r>
          </w:p>
        </w:tc>
        <w:tc>
          <w:tcPr>
            <w:tcW w:w="1560" w:type="dxa"/>
            <w:shd w:val="clear" w:color="auto" w:fill="8DB3E2"/>
          </w:tcPr>
          <w:p w:rsidR="009A6B10" w:rsidRPr="009A6B10" w:rsidRDefault="009A6B10" w:rsidP="009A6B10">
            <w:pPr>
              <w:jc w:val="center"/>
            </w:pPr>
            <w:r w:rsidRPr="009A6B10">
              <w:t>115.</w:t>
            </w:r>
          </w:p>
        </w:tc>
        <w:tc>
          <w:tcPr>
            <w:tcW w:w="1275" w:type="dxa"/>
            <w:shd w:val="clear" w:color="auto" w:fill="8DB3E2"/>
          </w:tcPr>
          <w:p w:rsidR="009A6B10" w:rsidRPr="009A6B10" w:rsidRDefault="009A6B10" w:rsidP="009A6B10">
            <w:pPr>
              <w:jc w:val="center"/>
            </w:pPr>
            <w:r w:rsidRPr="009A6B10">
              <w:t>4,7</w:t>
            </w:r>
          </w:p>
        </w:tc>
        <w:tc>
          <w:tcPr>
            <w:tcW w:w="1701" w:type="dxa"/>
            <w:shd w:val="clear" w:color="auto" w:fill="8DB3E2"/>
          </w:tcPr>
          <w:p w:rsidR="009A6B10" w:rsidRPr="009A6B10" w:rsidRDefault="009A6B10" w:rsidP="009A6B10">
            <w:pPr>
              <w:jc w:val="center"/>
            </w:pPr>
            <w:r w:rsidRPr="009A6B10">
              <w:t>3</w:t>
            </w:r>
          </w:p>
        </w:tc>
        <w:tc>
          <w:tcPr>
            <w:tcW w:w="1843" w:type="dxa"/>
            <w:shd w:val="clear" w:color="auto" w:fill="8DB3E2"/>
          </w:tcPr>
          <w:p w:rsidR="009A6B10" w:rsidRPr="009A6B10" w:rsidRDefault="009A6B10" w:rsidP="009A6B10">
            <w:pPr>
              <w:jc w:val="center"/>
            </w:pPr>
            <w:r w:rsidRPr="009A6B10">
              <w:t>4</w:t>
            </w:r>
          </w:p>
        </w:tc>
        <w:tc>
          <w:tcPr>
            <w:tcW w:w="1761" w:type="dxa"/>
            <w:shd w:val="clear" w:color="auto" w:fill="8DB3E2"/>
          </w:tcPr>
          <w:p w:rsidR="009A6B10" w:rsidRPr="009A6B10" w:rsidRDefault="009A6B10" w:rsidP="009A6B10">
            <w:pPr>
              <w:jc w:val="center"/>
            </w:pPr>
            <w:r w:rsidRPr="009A6B10">
              <w:t>7</w:t>
            </w:r>
          </w:p>
        </w:tc>
      </w:tr>
      <w:tr w:rsidR="009A6B10" w:rsidRPr="009A6B10" w:rsidTr="00E124FA">
        <w:tc>
          <w:tcPr>
            <w:tcW w:w="1809" w:type="dxa"/>
            <w:shd w:val="clear" w:color="auto" w:fill="auto"/>
          </w:tcPr>
          <w:p w:rsidR="009A6B10" w:rsidRPr="009A6B10" w:rsidRDefault="009A6B10" w:rsidP="009A6B10">
            <w:pPr>
              <w:jc w:val="center"/>
            </w:pPr>
            <w:r w:rsidRPr="009A6B10">
              <w:t xml:space="preserve">Maďarsko </w:t>
            </w:r>
          </w:p>
        </w:tc>
        <w:tc>
          <w:tcPr>
            <w:tcW w:w="1560" w:type="dxa"/>
            <w:shd w:val="clear" w:color="auto" w:fill="auto"/>
          </w:tcPr>
          <w:p w:rsidR="009A6B10" w:rsidRPr="009A6B10" w:rsidRDefault="009A6B10" w:rsidP="009A6B10">
            <w:pPr>
              <w:jc w:val="center"/>
            </w:pPr>
            <w:r w:rsidRPr="009A6B10">
              <w:t>128.</w:t>
            </w:r>
          </w:p>
        </w:tc>
        <w:tc>
          <w:tcPr>
            <w:tcW w:w="1275" w:type="dxa"/>
            <w:shd w:val="clear" w:color="auto" w:fill="auto"/>
          </w:tcPr>
          <w:p w:rsidR="009A6B10" w:rsidRPr="009A6B10" w:rsidRDefault="009A6B10" w:rsidP="009A6B10">
            <w:pPr>
              <w:jc w:val="center"/>
            </w:pPr>
            <w:r w:rsidRPr="009A6B10">
              <w:t>4,3</w:t>
            </w:r>
          </w:p>
        </w:tc>
        <w:tc>
          <w:tcPr>
            <w:tcW w:w="1701" w:type="dxa"/>
            <w:shd w:val="clear" w:color="auto" w:fill="auto"/>
          </w:tcPr>
          <w:p w:rsidR="009A6B10" w:rsidRPr="009A6B10" w:rsidRDefault="009A6B10" w:rsidP="009A6B10">
            <w:pPr>
              <w:jc w:val="center"/>
            </w:pPr>
            <w:r w:rsidRPr="009A6B10">
              <w:t>2</w:t>
            </w:r>
          </w:p>
        </w:tc>
        <w:tc>
          <w:tcPr>
            <w:tcW w:w="1843" w:type="dxa"/>
            <w:shd w:val="clear" w:color="auto" w:fill="auto"/>
          </w:tcPr>
          <w:p w:rsidR="009A6B10" w:rsidRPr="009A6B10" w:rsidRDefault="009A6B10" w:rsidP="009A6B10">
            <w:pPr>
              <w:jc w:val="center"/>
            </w:pPr>
            <w:r w:rsidRPr="009A6B10">
              <w:t>4</w:t>
            </w:r>
          </w:p>
        </w:tc>
        <w:tc>
          <w:tcPr>
            <w:tcW w:w="1761" w:type="dxa"/>
            <w:shd w:val="clear" w:color="auto" w:fill="auto"/>
          </w:tcPr>
          <w:p w:rsidR="009A6B10" w:rsidRPr="009A6B10" w:rsidRDefault="009A6B10" w:rsidP="009A6B10">
            <w:pPr>
              <w:jc w:val="center"/>
            </w:pPr>
            <w:r w:rsidRPr="009A6B10">
              <w:t>7 </w:t>
            </w:r>
          </w:p>
        </w:tc>
      </w:tr>
    </w:tbl>
    <w:p w:rsidR="009A6B10" w:rsidRPr="009A6B10" w:rsidRDefault="009A6B10" w:rsidP="009A6B10">
      <w:pPr>
        <w:rPr>
          <w:b/>
          <w:i/>
        </w:rPr>
      </w:pPr>
    </w:p>
    <w:p w:rsidR="009A6B10" w:rsidRPr="009A6B10" w:rsidRDefault="009A6B10" w:rsidP="009A6B10">
      <w:pPr>
        <w:rPr>
          <w:b/>
          <w:i/>
        </w:rPr>
      </w:pPr>
      <w:r w:rsidRPr="009A6B10">
        <w:rPr>
          <w:b/>
          <w:i/>
        </w:rPr>
        <w:t xml:space="preserve">Daňové povinnosti </w:t>
      </w:r>
    </w:p>
    <w:p w:rsidR="009A6B10" w:rsidRPr="009A6B10" w:rsidRDefault="009A6B10" w:rsidP="009A6B10">
      <w:pPr>
        <w:spacing w:before="120"/>
        <w:ind w:firstLine="708"/>
        <w:jc w:val="both"/>
        <w:rPr>
          <w:iCs/>
        </w:rPr>
      </w:pPr>
      <w:r w:rsidRPr="009A6B10">
        <w:rPr>
          <w:iCs/>
        </w:rPr>
        <w:t xml:space="preserve">V hodnotení štúdie DB sa Slovensko v oblasti daňových povinností umiestnilo na celkovom 102. mieste rebríčka (medziročné zhoršenie o 2 miesta). </w:t>
      </w:r>
      <w:r w:rsidRPr="009A6B10">
        <w:t xml:space="preserve">Najlepšie hodnotenou krajinou sú podľa DB 2013 Spojené arabské emiráty. </w:t>
      </w: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87"/>
        <w:gridCol w:w="1490"/>
        <w:gridCol w:w="1701"/>
        <w:gridCol w:w="2772"/>
      </w:tblGrid>
      <w:tr w:rsidR="009A6B10" w:rsidRPr="009A6B10" w:rsidTr="00E124FA">
        <w:tc>
          <w:tcPr>
            <w:tcW w:w="2660"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87" w:type="dxa"/>
            <w:shd w:val="clear" w:color="auto" w:fill="auto"/>
          </w:tcPr>
          <w:p w:rsidR="009A6B10" w:rsidRPr="009A6B10" w:rsidRDefault="009A6B10" w:rsidP="009A6B10">
            <w:pPr>
              <w:jc w:val="center"/>
              <w:rPr>
                <w:b/>
              </w:rPr>
            </w:pPr>
            <w:r w:rsidRPr="009A6B10">
              <w:rPr>
                <w:b/>
              </w:rPr>
              <w:t>Umiestnenie</w:t>
            </w:r>
          </w:p>
        </w:tc>
        <w:tc>
          <w:tcPr>
            <w:tcW w:w="1490" w:type="dxa"/>
            <w:shd w:val="clear" w:color="auto" w:fill="auto"/>
          </w:tcPr>
          <w:p w:rsidR="009A6B10" w:rsidRPr="009A6B10" w:rsidRDefault="009A6B10" w:rsidP="009A6B10">
            <w:pPr>
              <w:jc w:val="center"/>
              <w:rPr>
                <w:b/>
              </w:rPr>
            </w:pPr>
            <w:r w:rsidRPr="009A6B10">
              <w:rPr>
                <w:b/>
              </w:rPr>
              <w:t xml:space="preserve">Počet daňových platieb do roka </w:t>
            </w:r>
          </w:p>
        </w:tc>
        <w:tc>
          <w:tcPr>
            <w:tcW w:w="1701" w:type="dxa"/>
            <w:shd w:val="clear" w:color="auto" w:fill="auto"/>
          </w:tcPr>
          <w:p w:rsidR="009A6B10" w:rsidRPr="009A6B10" w:rsidRDefault="009A6B10" w:rsidP="009A6B10">
            <w:pPr>
              <w:jc w:val="center"/>
              <w:rPr>
                <w:b/>
              </w:rPr>
            </w:pPr>
            <w:r w:rsidRPr="009A6B10">
              <w:rPr>
                <w:b/>
              </w:rPr>
              <w:t>Počet hodín v priemere</w:t>
            </w:r>
          </w:p>
          <w:p w:rsidR="009A6B10" w:rsidRPr="009A6B10" w:rsidRDefault="009A6B10" w:rsidP="009A6B10">
            <w:pPr>
              <w:jc w:val="center"/>
            </w:pPr>
          </w:p>
        </w:tc>
        <w:tc>
          <w:tcPr>
            <w:tcW w:w="2772" w:type="dxa"/>
            <w:shd w:val="clear" w:color="auto" w:fill="auto"/>
          </w:tcPr>
          <w:p w:rsidR="009A6B10" w:rsidRPr="009A6B10" w:rsidRDefault="009A6B10" w:rsidP="009A6B10">
            <w:pPr>
              <w:jc w:val="center"/>
              <w:rPr>
                <w:b/>
              </w:rPr>
            </w:pPr>
            <w:r w:rsidRPr="009A6B10">
              <w:rPr>
                <w:b/>
              </w:rPr>
              <w:t>Celková daňová sadzba</w:t>
            </w:r>
          </w:p>
          <w:p w:rsidR="009A6B10" w:rsidRPr="009A6B10" w:rsidRDefault="009A6B10" w:rsidP="009A6B10">
            <w:pPr>
              <w:jc w:val="center"/>
            </w:pPr>
            <w:r w:rsidRPr="009A6B10">
              <w:t>(</w:t>
            </w:r>
            <w:r w:rsidRPr="009A6B10">
              <w:rPr>
                <w:iCs/>
              </w:rPr>
              <w:t>% zo zisku spoločnosti)</w:t>
            </w:r>
          </w:p>
        </w:tc>
      </w:tr>
      <w:tr w:rsidR="009A6B10" w:rsidRPr="009A6B10" w:rsidTr="00E124FA">
        <w:tc>
          <w:tcPr>
            <w:tcW w:w="2660" w:type="dxa"/>
            <w:shd w:val="clear" w:color="auto" w:fill="auto"/>
          </w:tcPr>
          <w:p w:rsidR="009A6B10" w:rsidRPr="009A6B10" w:rsidRDefault="009A6B10" w:rsidP="009A6B10">
            <w:pPr>
              <w:jc w:val="center"/>
            </w:pPr>
            <w:r w:rsidRPr="009A6B10">
              <w:t>Spojené arabské emiráty</w:t>
            </w:r>
          </w:p>
        </w:tc>
        <w:tc>
          <w:tcPr>
            <w:tcW w:w="1487" w:type="dxa"/>
            <w:shd w:val="clear" w:color="auto" w:fill="auto"/>
          </w:tcPr>
          <w:p w:rsidR="009A6B10" w:rsidRPr="009A6B10" w:rsidRDefault="009A6B10" w:rsidP="009A6B10">
            <w:pPr>
              <w:jc w:val="center"/>
            </w:pPr>
            <w:r w:rsidRPr="009A6B10">
              <w:t>1.</w:t>
            </w:r>
          </w:p>
        </w:tc>
        <w:tc>
          <w:tcPr>
            <w:tcW w:w="1490" w:type="dxa"/>
            <w:shd w:val="clear" w:color="auto" w:fill="auto"/>
          </w:tcPr>
          <w:p w:rsidR="009A6B10" w:rsidRPr="009A6B10" w:rsidRDefault="009A6B10" w:rsidP="009A6B10">
            <w:pPr>
              <w:jc w:val="center"/>
            </w:pPr>
            <w:r w:rsidRPr="009A6B10">
              <w:t>4</w:t>
            </w:r>
          </w:p>
        </w:tc>
        <w:tc>
          <w:tcPr>
            <w:tcW w:w="1701" w:type="dxa"/>
            <w:shd w:val="clear" w:color="auto" w:fill="auto"/>
          </w:tcPr>
          <w:p w:rsidR="009A6B10" w:rsidRPr="009A6B10" w:rsidRDefault="009A6B10" w:rsidP="009A6B10">
            <w:pPr>
              <w:jc w:val="center"/>
            </w:pPr>
            <w:r w:rsidRPr="009A6B10">
              <w:t>12</w:t>
            </w:r>
          </w:p>
        </w:tc>
        <w:tc>
          <w:tcPr>
            <w:tcW w:w="2772" w:type="dxa"/>
            <w:shd w:val="clear" w:color="auto" w:fill="auto"/>
          </w:tcPr>
          <w:p w:rsidR="009A6B10" w:rsidRPr="009A6B10" w:rsidRDefault="009A6B10" w:rsidP="009A6B10">
            <w:pPr>
              <w:jc w:val="center"/>
            </w:pPr>
            <w:r w:rsidRPr="009A6B10">
              <w:t>14,9</w:t>
            </w:r>
          </w:p>
        </w:tc>
      </w:tr>
      <w:tr w:rsidR="00E56B8D" w:rsidRPr="009A6B10" w:rsidTr="009A6B10">
        <w:tc>
          <w:tcPr>
            <w:tcW w:w="2660" w:type="dxa"/>
            <w:shd w:val="clear" w:color="auto" w:fill="8DB3E2"/>
          </w:tcPr>
          <w:p w:rsidR="009A6B10" w:rsidRPr="009A6B10" w:rsidRDefault="009A6B10" w:rsidP="009A6B10">
            <w:pPr>
              <w:jc w:val="center"/>
            </w:pPr>
            <w:r w:rsidRPr="009A6B10">
              <w:t>Slovensko</w:t>
            </w:r>
          </w:p>
        </w:tc>
        <w:tc>
          <w:tcPr>
            <w:tcW w:w="1487" w:type="dxa"/>
            <w:shd w:val="clear" w:color="auto" w:fill="8DB3E2"/>
          </w:tcPr>
          <w:p w:rsidR="009A6B10" w:rsidRPr="009A6B10" w:rsidRDefault="009A6B10" w:rsidP="009A6B10">
            <w:pPr>
              <w:jc w:val="center"/>
            </w:pPr>
            <w:r w:rsidRPr="009A6B10">
              <w:t>102.</w:t>
            </w:r>
          </w:p>
        </w:tc>
        <w:tc>
          <w:tcPr>
            <w:tcW w:w="1490" w:type="dxa"/>
            <w:shd w:val="clear" w:color="auto" w:fill="8DB3E2"/>
          </w:tcPr>
          <w:p w:rsidR="009A6B10" w:rsidRPr="009A6B10" w:rsidRDefault="009A6B10" w:rsidP="009A6B10">
            <w:pPr>
              <w:jc w:val="center"/>
            </w:pPr>
            <w:r w:rsidRPr="009A6B10">
              <w:t>20</w:t>
            </w:r>
          </w:p>
        </w:tc>
        <w:tc>
          <w:tcPr>
            <w:tcW w:w="1701" w:type="dxa"/>
            <w:shd w:val="clear" w:color="auto" w:fill="8DB3E2"/>
          </w:tcPr>
          <w:p w:rsidR="009A6B10" w:rsidRPr="009A6B10" w:rsidRDefault="009A6B10" w:rsidP="009A6B10">
            <w:pPr>
              <w:jc w:val="center"/>
            </w:pPr>
            <w:r w:rsidRPr="009A6B10">
              <w:t>207</w:t>
            </w:r>
          </w:p>
        </w:tc>
        <w:tc>
          <w:tcPr>
            <w:tcW w:w="2772" w:type="dxa"/>
            <w:shd w:val="clear" w:color="auto" w:fill="8DB3E2"/>
          </w:tcPr>
          <w:p w:rsidR="009A6B10" w:rsidRPr="009A6B10" w:rsidRDefault="009A6B10" w:rsidP="009A6B10">
            <w:pPr>
              <w:jc w:val="center"/>
            </w:pPr>
            <w:r w:rsidRPr="009A6B10">
              <w:t>47,2</w:t>
            </w:r>
          </w:p>
        </w:tc>
      </w:tr>
      <w:tr w:rsidR="009A6B10" w:rsidRPr="009A6B10" w:rsidTr="00E124FA">
        <w:tc>
          <w:tcPr>
            <w:tcW w:w="2660" w:type="dxa"/>
            <w:shd w:val="clear" w:color="auto" w:fill="auto"/>
          </w:tcPr>
          <w:p w:rsidR="009A6B10" w:rsidRPr="009A6B10" w:rsidRDefault="009A6B10" w:rsidP="009A6B10">
            <w:pPr>
              <w:jc w:val="center"/>
            </w:pPr>
            <w:r w:rsidRPr="009A6B10">
              <w:t>Poľsko</w:t>
            </w:r>
          </w:p>
        </w:tc>
        <w:tc>
          <w:tcPr>
            <w:tcW w:w="1487" w:type="dxa"/>
            <w:shd w:val="clear" w:color="auto" w:fill="auto"/>
          </w:tcPr>
          <w:p w:rsidR="009A6B10" w:rsidRPr="009A6B10" w:rsidRDefault="009A6B10" w:rsidP="009A6B10">
            <w:pPr>
              <w:jc w:val="center"/>
            </w:pPr>
            <w:r w:rsidRPr="009A6B10">
              <w:t>113.</w:t>
            </w:r>
          </w:p>
        </w:tc>
        <w:tc>
          <w:tcPr>
            <w:tcW w:w="1490" w:type="dxa"/>
            <w:shd w:val="clear" w:color="auto" w:fill="auto"/>
          </w:tcPr>
          <w:p w:rsidR="009A6B10" w:rsidRPr="009A6B10" w:rsidRDefault="009A6B10" w:rsidP="009A6B10">
            <w:pPr>
              <w:jc w:val="center"/>
            </w:pPr>
            <w:r w:rsidRPr="009A6B10">
              <w:t>18</w:t>
            </w:r>
          </w:p>
        </w:tc>
        <w:tc>
          <w:tcPr>
            <w:tcW w:w="1701" w:type="dxa"/>
            <w:shd w:val="clear" w:color="auto" w:fill="auto"/>
          </w:tcPr>
          <w:p w:rsidR="009A6B10" w:rsidRPr="009A6B10" w:rsidRDefault="009A6B10" w:rsidP="009A6B10">
            <w:pPr>
              <w:jc w:val="center"/>
            </w:pPr>
            <w:r w:rsidRPr="009A6B10">
              <w:t>286</w:t>
            </w:r>
          </w:p>
        </w:tc>
        <w:tc>
          <w:tcPr>
            <w:tcW w:w="2772" w:type="dxa"/>
            <w:shd w:val="clear" w:color="auto" w:fill="auto"/>
          </w:tcPr>
          <w:p w:rsidR="009A6B10" w:rsidRPr="009A6B10" w:rsidRDefault="009A6B10" w:rsidP="009A6B10">
            <w:pPr>
              <w:jc w:val="center"/>
            </w:pPr>
            <w:r w:rsidRPr="009A6B10">
              <w:t>41,6</w:t>
            </w:r>
          </w:p>
        </w:tc>
      </w:tr>
      <w:tr w:rsidR="009A6B10" w:rsidRPr="009A6B10" w:rsidTr="00E124FA">
        <w:tc>
          <w:tcPr>
            <w:tcW w:w="2660" w:type="dxa"/>
            <w:shd w:val="clear" w:color="auto" w:fill="auto"/>
          </w:tcPr>
          <w:p w:rsidR="009A6B10" w:rsidRPr="009A6B10" w:rsidRDefault="00F72E8D" w:rsidP="00F72E8D">
            <w:pPr>
              <w:jc w:val="center"/>
            </w:pPr>
            <w:r w:rsidRPr="009A6B10">
              <w:t>Česká republika</w:t>
            </w:r>
          </w:p>
        </w:tc>
        <w:tc>
          <w:tcPr>
            <w:tcW w:w="1487" w:type="dxa"/>
            <w:shd w:val="clear" w:color="auto" w:fill="auto"/>
          </w:tcPr>
          <w:p w:rsidR="009A6B10" w:rsidRPr="009A6B10" w:rsidRDefault="009A6B10" w:rsidP="009A6B10">
            <w:pPr>
              <w:jc w:val="center"/>
            </w:pPr>
            <w:r w:rsidRPr="009A6B10">
              <w:t>122.</w:t>
            </w:r>
          </w:p>
        </w:tc>
        <w:tc>
          <w:tcPr>
            <w:tcW w:w="1490" w:type="dxa"/>
            <w:shd w:val="clear" w:color="auto" w:fill="auto"/>
          </w:tcPr>
          <w:p w:rsidR="009A6B10" w:rsidRPr="009A6B10" w:rsidRDefault="00F72E8D" w:rsidP="009A6B10">
            <w:pPr>
              <w:jc w:val="center"/>
            </w:pPr>
            <w:r>
              <w:t>8</w:t>
            </w:r>
          </w:p>
        </w:tc>
        <w:tc>
          <w:tcPr>
            <w:tcW w:w="1701" w:type="dxa"/>
            <w:shd w:val="clear" w:color="auto" w:fill="auto"/>
          </w:tcPr>
          <w:p w:rsidR="009A6B10" w:rsidRPr="009A6B10" w:rsidRDefault="00F72E8D" w:rsidP="009A6B10">
            <w:pPr>
              <w:jc w:val="center"/>
            </w:pPr>
            <w:r>
              <w:t>413</w:t>
            </w:r>
          </w:p>
        </w:tc>
        <w:tc>
          <w:tcPr>
            <w:tcW w:w="2772" w:type="dxa"/>
            <w:shd w:val="clear" w:color="auto" w:fill="auto"/>
          </w:tcPr>
          <w:p w:rsidR="009A6B10" w:rsidRPr="009A6B10" w:rsidRDefault="00F72E8D" w:rsidP="009A6B10">
            <w:pPr>
              <w:jc w:val="center"/>
            </w:pPr>
            <w:r>
              <w:t>48</w:t>
            </w:r>
            <w:r w:rsidR="009A6B10" w:rsidRPr="009A6B10">
              <w:t>,</w:t>
            </w:r>
            <w:r>
              <w:t>1</w:t>
            </w:r>
          </w:p>
        </w:tc>
      </w:tr>
      <w:tr w:rsidR="009A6B10" w:rsidRPr="009A6B10" w:rsidTr="00E124FA">
        <w:tc>
          <w:tcPr>
            <w:tcW w:w="2660" w:type="dxa"/>
            <w:shd w:val="clear" w:color="auto" w:fill="auto"/>
          </w:tcPr>
          <w:p w:rsidR="009A6B10" w:rsidRPr="009A6B10" w:rsidRDefault="00F72E8D" w:rsidP="009A6B10">
            <w:pPr>
              <w:jc w:val="center"/>
            </w:pPr>
            <w:r w:rsidRPr="009A6B10">
              <w:t>Maďarsko</w:t>
            </w:r>
          </w:p>
        </w:tc>
        <w:tc>
          <w:tcPr>
            <w:tcW w:w="1487" w:type="dxa"/>
            <w:shd w:val="clear" w:color="auto" w:fill="auto"/>
          </w:tcPr>
          <w:p w:rsidR="009A6B10" w:rsidRPr="009A6B10" w:rsidRDefault="009A6B10" w:rsidP="009A6B10">
            <w:pPr>
              <w:jc w:val="center"/>
            </w:pPr>
            <w:r w:rsidRPr="009A6B10">
              <w:t>124.</w:t>
            </w:r>
          </w:p>
        </w:tc>
        <w:tc>
          <w:tcPr>
            <w:tcW w:w="1490" w:type="dxa"/>
            <w:shd w:val="clear" w:color="auto" w:fill="auto"/>
          </w:tcPr>
          <w:p w:rsidR="009A6B10" w:rsidRPr="009A6B10" w:rsidRDefault="00F72E8D" w:rsidP="009A6B10">
            <w:pPr>
              <w:jc w:val="center"/>
            </w:pPr>
            <w:r>
              <w:t>12</w:t>
            </w:r>
          </w:p>
        </w:tc>
        <w:tc>
          <w:tcPr>
            <w:tcW w:w="1701" w:type="dxa"/>
            <w:shd w:val="clear" w:color="auto" w:fill="auto"/>
          </w:tcPr>
          <w:p w:rsidR="009A6B10" w:rsidRPr="009A6B10" w:rsidRDefault="00F72E8D" w:rsidP="009A6B10">
            <w:pPr>
              <w:jc w:val="center"/>
            </w:pPr>
            <w:r>
              <w:t>277</w:t>
            </w:r>
          </w:p>
        </w:tc>
        <w:tc>
          <w:tcPr>
            <w:tcW w:w="2772" w:type="dxa"/>
            <w:shd w:val="clear" w:color="auto" w:fill="auto"/>
          </w:tcPr>
          <w:p w:rsidR="009A6B10" w:rsidRPr="009A6B10" w:rsidRDefault="00F72E8D" w:rsidP="009A6B10">
            <w:pPr>
              <w:jc w:val="center"/>
            </w:pPr>
            <w:r>
              <w:t>49</w:t>
            </w:r>
            <w:r w:rsidR="009A6B10" w:rsidRPr="009A6B10">
              <w:t>,</w:t>
            </w:r>
            <w:r>
              <w:t>7</w:t>
            </w:r>
          </w:p>
        </w:tc>
      </w:tr>
    </w:tbl>
    <w:p w:rsidR="009A6B10" w:rsidRPr="009A6B10" w:rsidRDefault="009A6B10" w:rsidP="009A6B10">
      <w:pPr>
        <w:spacing w:before="120"/>
        <w:rPr>
          <w:b/>
          <w:i/>
        </w:rPr>
      </w:pPr>
      <w:r w:rsidRPr="009A6B10">
        <w:rPr>
          <w:b/>
          <w:i/>
        </w:rPr>
        <w:t>Cezhraničné obchodovanie</w:t>
      </w:r>
    </w:p>
    <w:p w:rsidR="009A6B10" w:rsidRPr="009A6B10" w:rsidRDefault="009A6B10" w:rsidP="009A6B10">
      <w:pPr>
        <w:spacing w:before="120"/>
        <w:ind w:firstLine="708"/>
        <w:jc w:val="both"/>
      </w:pPr>
      <w:r w:rsidRPr="009A6B10">
        <w:rPr>
          <w:iCs/>
        </w:rPr>
        <w:t xml:space="preserve">Podľa hodnotenia DB sa Slovensko umiestnilo na  108. mieste, čo je v porovnaní s predchádzajúcim hodnotením zlepšenie o 3 priečky. Na vývoz jedného kontajnera bolo podľa DB 2014 potrebné zabezpečiť 7 dokumentov, vývoz trval 17 dní, s nákladmi 1500 USD na jeden kontajner a na dovoz jedného kontajnera bolo potrebných 6 dokumentov, v čase 16 dní a nákladmi 1480 USD na jeden kontajner. </w:t>
      </w:r>
      <w:r w:rsidRPr="009A6B10">
        <w:t xml:space="preserve">Najúspešnejšou krajinou sa podľa DB stal </w:t>
      </w:r>
      <w:r w:rsidRPr="009A6B10">
        <w:rPr>
          <w:iCs/>
        </w:rPr>
        <w:t xml:space="preserve">Singapur. </w:t>
      </w: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512"/>
        <w:gridCol w:w="1181"/>
        <w:gridCol w:w="1134"/>
        <w:gridCol w:w="1512"/>
        <w:gridCol w:w="1181"/>
        <w:gridCol w:w="1181"/>
      </w:tblGrid>
      <w:tr w:rsidR="009A6B10" w:rsidRPr="009A6B10" w:rsidTr="00E124FA">
        <w:tc>
          <w:tcPr>
            <w:tcW w:w="1384"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276" w:type="dxa"/>
            <w:shd w:val="clear" w:color="auto" w:fill="auto"/>
          </w:tcPr>
          <w:p w:rsidR="009A6B10" w:rsidRPr="009A6B10" w:rsidRDefault="009A6B10" w:rsidP="009A6B10">
            <w:pPr>
              <w:jc w:val="center"/>
              <w:rPr>
                <w:b/>
              </w:rPr>
            </w:pPr>
            <w:r w:rsidRPr="009A6B10">
              <w:rPr>
                <w:b/>
              </w:rPr>
              <w:t>Umiestnenie</w:t>
            </w:r>
          </w:p>
        </w:tc>
        <w:tc>
          <w:tcPr>
            <w:tcW w:w="1512" w:type="dxa"/>
            <w:shd w:val="clear" w:color="auto" w:fill="auto"/>
          </w:tcPr>
          <w:p w:rsidR="009A6B10" w:rsidRPr="009A6B10" w:rsidRDefault="009A6B10" w:rsidP="009A6B10">
            <w:pPr>
              <w:jc w:val="center"/>
              <w:rPr>
                <w:b/>
              </w:rPr>
            </w:pPr>
            <w:r w:rsidRPr="009A6B10">
              <w:rPr>
                <w:b/>
              </w:rPr>
              <w:t>Dokumentácia pre export (počet)</w:t>
            </w:r>
          </w:p>
        </w:tc>
        <w:tc>
          <w:tcPr>
            <w:tcW w:w="1181" w:type="dxa"/>
            <w:shd w:val="clear" w:color="auto" w:fill="auto"/>
          </w:tcPr>
          <w:p w:rsidR="009A6B10" w:rsidRPr="009A6B10" w:rsidRDefault="009A6B10" w:rsidP="009A6B10">
            <w:pPr>
              <w:jc w:val="center"/>
              <w:rPr>
                <w:b/>
              </w:rPr>
            </w:pPr>
            <w:r w:rsidRPr="009A6B10">
              <w:rPr>
                <w:b/>
              </w:rPr>
              <w:t>Časová náročnosť na export (dní)</w:t>
            </w:r>
          </w:p>
          <w:p w:rsidR="009A6B10" w:rsidRPr="009A6B10" w:rsidRDefault="009A6B10" w:rsidP="009A6B10">
            <w:pPr>
              <w:jc w:val="center"/>
            </w:pPr>
          </w:p>
        </w:tc>
        <w:tc>
          <w:tcPr>
            <w:tcW w:w="1134" w:type="dxa"/>
            <w:shd w:val="clear" w:color="auto" w:fill="auto"/>
          </w:tcPr>
          <w:p w:rsidR="009A6B10" w:rsidRPr="009A6B10" w:rsidRDefault="009A6B10" w:rsidP="009A6B10">
            <w:pPr>
              <w:jc w:val="center"/>
              <w:rPr>
                <w:b/>
              </w:rPr>
            </w:pPr>
            <w:r w:rsidRPr="009A6B10">
              <w:rPr>
                <w:b/>
              </w:rPr>
              <w:t>Náklady na export</w:t>
            </w:r>
          </w:p>
          <w:p w:rsidR="009A6B10" w:rsidRPr="009A6B10" w:rsidRDefault="009A6B10" w:rsidP="009A6B10">
            <w:pPr>
              <w:jc w:val="center"/>
            </w:pPr>
            <w:r w:rsidRPr="009A6B10">
              <w:t>(USD za</w:t>
            </w:r>
          </w:p>
          <w:p w:rsidR="009A6B10" w:rsidRPr="009A6B10" w:rsidRDefault="009A6B10" w:rsidP="009A6B10">
            <w:pPr>
              <w:jc w:val="center"/>
            </w:pPr>
            <w:r w:rsidRPr="009A6B10">
              <w:t>kontajner)</w:t>
            </w:r>
          </w:p>
        </w:tc>
        <w:tc>
          <w:tcPr>
            <w:tcW w:w="1512" w:type="dxa"/>
          </w:tcPr>
          <w:p w:rsidR="009A6B10" w:rsidRPr="009A6B10" w:rsidRDefault="009A6B10" w:rsidP="009A6B10">
            <w:pPr>
              <w:jc w:val="center"/>
              <w:rPr>
                <w:b/>
              </w:rPr>
            </w:pPr>
            <w:r w:rsidRPr="009A6B10">
              <w:rPr>
                <w:b/>
              </w:rPr>
              <w:t>Dokumentácia pre import (počet)</w:t>
            </w:r>
          </w:p>
        </w:tc>
        <w:tc>
          <w:tcPr>
            <w:tcW w:w="1181" w:type="dxa"/>
          </w:tcPr>
          <w:p w:rsidR="009A6B10" w:rsidRPr="009A6B10" w:rsidRDefault="009A6B10" w:rsidP="009A6B10">
            <w:pPr>
              <w:jc w:val="center"/>
              <w:rPr>
                <w:b/>
              </w:rPr>
            </w:pPr>
            <w:r w:rsidRPr="009A6B10">
              <w:rPr>
                <w:b/>
              </w:rPr>
              <w:t>Časová náročnosť na import</w:t>
            </w:r>
          </w:p>
          <w:p w:rsidR="009A6B10" w:rsidRPr="009A6B10" w:rsidRDefault="009A6B10" w:rsidP="009A6B10">
            <w:pPr>
              <w:jc w:val="center"/>
              <w:rPr>
                <w:b/>
              </w:rPr>
            </w:pPr>
            <w:r w:rsidRPr="009A6B10">
              <w:rPr>
                <w:b/>
              </w:rPr>
              <w:t>(dní)</w:t>
            </w:r>
          </w:p>
        </w:tc>
        <w:tc>
          <w:tcPr>
            <w:tcW w:w="1181" w:type="dxa"/>
          </w:tcPr>
          <w:p w:rsidR="009A6B10" w:rsidRPr="009A6B10" w:rsidRDefault="009A6B10" w:rsidP="009A6B10">
            <w:pPr>
              <w:jc w:val="center"/>
              <w:rPr>
                <w:b/>
              </w:rPr>
            </w:pPr>
            <w:r w:rsidRPr="009A6B10">
              <w:rPr>
                <w:b/>
              </w:rPr>
              <w:t>Náklady na import</w:t>
            </w:r>
          </w:p>
          <w:p w:rsidR="009A6B10" w:rsidRPr="009A6B10" w:rsidRDefault="009A6B10" w:rsidP="009A6B10">
            <w:pPr>
              <w:jc w:val="center"/>
            </w:pPr>
            <w:r w:rsidRPr="009A6B10">
              <w:t>(USD za</w:t>
            </w:r>
          </w:p>
          <w:p w:rsidR="009A6B10" w:rsidRPr="009A6B10" w:rsidRDefault="009A6B10" w:rsidP="009A6B10">
            <w:pPr>
              <w:jc w:val="center"/>
              <w:rPr>
                <w:b/>
              </w:rPr>
            </w:pPr>
            <w:r w:rsidRPr="009A6B10">
              <w:t>kontajner)</w:t>
            </w:r>
          </w:p>
        </w:tc>
      </w:tr>
      <w:tr w:rsidR="009A6B10" w:rsidRPr="009A6B10" w:rsidTr="00E124FA">
        <w:tc>
          <w:tcPr>
            <w:tcW w:w="1384" w:type="dxa"/>
            <w:shd w:val="clear" w:color="auto" w:fill="auto"/>
          </w:tcPr>
          <w:p w:rsidR="009A6B10" w:rsidRPr="009A6B10" w:rsidRDefault="009A6B10" w:rsidP="009A6B10">
            <w:pPr>
              <w:jc w:val="center"/>
            </w:pPr>
            <w:r w:rsidRPr="009A6B10">
              <w:t>Singapur</w:t>
            </w:r>
          </w:p>
        </w:tc>
        <w:tc>
          <w:tcPr>
            <w:tcW w:w="1276" w:type="dxa"/>
            <w:shd w:val="clear" w:color="auto" w:fill="auto"/>
          </w:tcPr>
          <w:p w:rsidR="009A6B10" w:rsidRPr="009A6B10" w:rsidRDefault="009A6B10" w:rsidP="009A6B10">
            <w:pPr>
              <w:jc w:val="center"/>
            </w:pPr>
            <w:r w:rsidRPr="009A6B10">
              <w:t>1.</w:t>
            </w:r>
          </w:p>
        </w:tc>
        <w:tc>
          <w:tcPr>
            <w:tcW w:w="1512" w:type="dxa"/>
            <w:shd w:val="clear" w:color="auto" w:fill="auto"/>
          </w:tcPr>
          <w:p w:rsidR="009A6B10" w:rsidRPr="009A6B10" w:rsidRDefault="009A6B10" w:rsidP="009A6B10">
            <w:pPr>
              <w:jc w:val="center"/>
            </w:pPr>
            <w:r w:rsidRPr="009A6B10">
              <w:t>3</w:t>
            </w:r>
          </w:p>
        </w:tc>
        <w:tc>
          <w:tcPr>
            <w:tcW w:w="1181" w:type="dxa"/>
            <w:shd w:val="clear" w:color="auto" w:fill="auto"/>
          </w:tcPr>
          <w:p w:rsidR="009A6B10" w:rsidRPr="009A6B10" w:rsidRDefault="009A6B10" w:rsidP="009A6B10">
            <w:pPr>
              <w:jc w:val="center"/>
            </w:pPr>
            <w:r w:rsidRPr="009A6B10">
              <w:t>6</w:t>
            </w:r>
          </w:p>
        </w:tc>
        <w:tc>
          <w:tcPr>
            <w:tcW w:w="1134" w:type="dxa"/>
            <w:shd w:val="clear" w:color="auto" w:fill="auto"/>
          </w:tcPr>
          <w:p w:rsidR="009A6B10" w:rsidRPr="009A6B10" w:rsidRDefault="009A6B10" w:rsidP="009A6B10">
            <w:pPr>
              <w:jc w:val="center"/>
            </w:pPr>
            <w:r w:rsidRPr="009A6B10">
              <w:t>460</w:t>
            </w:r>
          </w:p>
        </w:tc>
        <w:tc>
          <w:tcPr>
            <w:tcW w:w="1512" w:type="dxa"/>
          </w:tcPr>
          <w:p w:rsidR="009A6B10" w:rsidRPr="009A6B10" w:rsidRDefault="009A6B10" w:rsidP="009A6B10">
            <w:pPr>
              <w:jc w:val="center"/>
            </w:pPr>
            <w:r w:rsidRPr="009A6B10">
              <w:t>3</w:t>
            </w:r>
          </w:p>
        </w:tc>
        <w:tc>
          <w:tcPr>
            <w:tcW w:w="1181" w:type="dxa"/>
          </w:tcPr>
          <w:p w:rsidR="009A6B10" w:rsidRPr="009A6B10" w:rsidRDefault="009A6B10" w:rsidP="009A6B10">
            <w:pPr>
              <w:jc w:val="center"/>
            </w:pPr>
            <w:r w:rsidRPr="009A6B10">
              <w:t>4</w:t>
            </w:r>
          </w:p>
        </w:tc>
        <w:tc>
          <w:tcPr>
            <w:tcW w:w="1181" w:type="dxa"/>
          </w:tcPr>
          <w:p w:rsidR="009A6B10" w:rsidRPr="009A6B10" w:rsidRDefault="009A6B10" w:rsidP="009A6B10">
            <w:pPr>
              <w:jc w:val="center"/>
            </w:pPr>
            <w:r w:rsidRPr="009A6B10">
              <w:t>440</w:t>
            </w:r>
          </w:p>
        </w:tc>
      </w:tr>
      <w:tr w:rsidR="009A6B10" w:rsidRPr="009A6B10" w:rsidTr="00E124FA">
        <w:tc>
          <w:tcPr>
            <w:tcW w:w="1384" w:type="dxa"/>
            <w:shd w:val="clear" w:color="auto" w:fill="auto"/>
          </w:tcPr>
          <w:p w:rsidR="009A6B10" w:rsidRPr="009A6B10" w:rsidRDefault="009A6B10" w:rsidP="009A6B10">
            <w:pPr>
              <w:jc w:val="center"/>
            </w:pPr>
            <w:r w:rsidRPr="009A6B10">
              <w:t>Poľsko</w:t>
            </w:r>
          </w:p>
        </w:tc>
        <w:tc>
          <w:tcPr>
            <w:tcW w:w="1276" w:type="dxa"/>
            <w:shd w:val="clear" w:color="auto" w:fill="auto"/>
          </w:tcPr>
          <w:p w:rsidR="009A6B10" w:rsidRPr="009A6B10" w:rsidRDefault="009A6B10" w:rsidP="009A6B10">
            <w:pPr>
              <w:jc w:val="center"/>
            </w:pPr>
            <w:r w:rsidRPr="009A6B10">
              <w:t>49.</w:t>
            </w:r>
          </w:p>
        </w:tc>
        <w:tc>
          <w:tcPr>
            <w:tcW w:w="1512" w:type="dxa"/>
            <w:shd w:val="clear" w:color="auto" w:fill="auto"/>
          </w:tcPr>
          <w:p w:rsidR="009A6B10" w:rsidRPr="009A6B10" w:rsidRDefault="009A6B10" w:rsidP="009A6B10">
            <w:pPr>
              <w:jc w:val="center"/>
            </w:pPr>
            <w:r w:rsidRPr="009A6B10">
              <w:t>5</w:t>
            </w:r>
          </w:p>
        </w:tc>
        <w:tc>
          <w:tcPr>
            <w:tcW w:w="1181" w:type="dxa"/>
            <w:shd w:val="clear" w:color="auto" w:fill="auto"/>
          </w:tcPr>
          <w:p w:rsidR="009A6B10" w:rsidRPr="009A6B10" w:rsidRDefault="009A6B10" w:rsidP="009A6B10">
            <w:pPr>
              <w:jc w:val="center"/>
            </w:pPr>
            <w:r w:rsidRPr="009A6B10">
              <w:t>17</w:t>
            </w:r>
          </w:p>
        </w:tc>
        <w:tc>
          <w:tcPr>
            <w:tcW w:w="1134" w:type="dxa"/>
            <w:shd w:val="clear" w:color="auto" w:fill="auto"/>
          </w:tcPr>
          <w:p w:rsidR="009A6B10" w:rsidRPr="009A6B10" w:rsidRDefault="009A6B10" w:rsidP="009A6B10">
            <w:pPr>
              <w:jc w:val="center"/>
            </w:pPr>
            <w:r w:rsidRPr="009A6B10">
              <w:t>1050</w:t>
            </w:r>
          </w:p>
        </w:tc>
        <w:tc>
          <w:tcPr>
            <w:tcW w:w="1512" w:type="dxa"/>
          </w:tcPr>
          <w:p w:rsidR="009A6B10" w:rsidRPr="009A6B10" w:rsidRDefault="009A6B10" w:rsidP="009A6B10">
            <w:pPr>
              <w:jc w:val="center"/>
            </w:pPr>
            <w:r w:rsidRPr="009A6B10">
              <w:t>4</w:t>
            </w:r>
          </w:p>
        </w:tc>
        <w:tc>
          <w:tcPr>
            <w:tcW w:w="1181" w:type="dxa"/>
          </w:tcPr>
          <w:p w:rsidR="009A6B10" w:rsidRPr="009A6B10" w:rsidRDefault="009A6B10" w:rsidP="009A6B10">
            <w:pPr>
              <w:jc w:val="center"/>
            </w:pPr>
            <w:r w:rsidRPr="009A6B10">
              <w:t>14</w:t>
            </w:r>
          </w:p>
        </w:tc>
        <w:tc>
          <w:tcPr>
            <w:tcW w:w="1181" w:type="dxa"/>
          </w:tcPr>
          <w:p w:rsidR="009A6B10" w:rsidRPr="009A6B10" w:rsidRDefault="009A6B10" w:rsidP="009A6B10">
            <w:pPr>
              <w:jc w:val="center"/>
            </w:pPr>
            <w:r w:rsidRPr="009A6B10">
              <w:t>1025</w:t>
            </w:r>
          </w:p>
        </w:tc>
      </w:tr>
      <w:tr w:rsidR="009A6B10" w:rsidRPr="009A6B10" w:rsidTr="00E124FA">
        <w:tc>
          <w:tcPr>
            <w:tcW w:w="1384" w:type="dxa"/>
            <w:shd w:val="clear" w:color="auto" w:fill="auto"/>
          </w:tcPr>
          <w:p w:rsidR="009A6B10" w:rsidRPr="009A6B10" w:rsidRDefault="009A6B10" w:rsidP="009A6B10">
            <w:pPr>
              <w:jc w:val="center"/>
            </w:pPr>
            <w:r w:rsidRPr="009A6B10">
              <w:t xml:space="preserve">Česká republika </w:t>
            </w:r>
          </w:p>
        </w:tc>
        <w:tc>
          <w:tcPr>
            <w:tcW w:w="1276" w:type="dxa"/>
            <w:shd w:val="clear" w:color="auto" w:fill="auto"/>
          </w:tcPr>
          <w:p w:rsidR="009A6B10" w:rsidRPr="009A6B10" w:rsidRDefault="009A6B10" w:rsidP="009A6B10">
            <w:pPr>
              <w:jc w:val="center"/>
            </w:pPr>
            <w:r w:rsidRPr="009A6B10">
              <w:t>68.</w:t>
            </w:r>
          </w:p>
        </w:tc>
        <w:tc>
          <w:tcPr>
            <w:tcW w:w="1512" w:type="dxa"/>
            <w:shd w:val="clear" w:color="auto" w:fill="auto"/>
          </w:tcPr>
          <w:p w:rsidR="009A6B10" w:rsidRPr="009A6B10" w:rsidRDefault="009A6B10" w:rsidP="009A6B10">
            <w:pPr>
              <w:jc w:val="center"/>
            </w:pPr>
            <w:r w:rsidRPr="009A6B10">
              <w:t>4</w:t>
            </w:r>
          </w:p>
        </w:tc>
        <w:tc>
          <w:tcPr>
            <w:tcW w:w="1181" w:type="dxa"/>
            <w:shd w:val="clear" w:color="auto" w:fill="auto"/>
          </w:tcPr>
          <w:p w:rsidR="009A6B10" w:rsidRPr="009A6B10" w:rsidRDefault="009A6B10" w:rsidP="009A6B10">
            <w:pPr>
              <w:jc w:val="center"/>
            </w:pPr>
            <w:r w:rsidRPr="009A6B10">
              <w:t>17</w:t>
            </w:r>
          </w:p>
        </w:tc>
        <w:tc>
          <w:tcPr>
            <w:tcW w:w="1134" w:type="dxa"/>
            <w:shd w:val="clear" w:color="auto" w:fill="auto"/>
          </w:tcPr>
          <w:p w:rsidR="009A6B10" w:rsidRPr="009A6B10" w:rsidRDefault="009A6B10" w:rsidP="009A6B10">
            <w:pPr>
              <w:jc w:val="center"/>
            </w:pPr>
            <w:r w:rsidRPr="009A6B10">
              <w:t>1215</w:t>
            </w:r>
          </w:p>
        </w:tc>
        <w:tc>
          <w:tcPr>
            <w:tcW w:w="1512" w:type="dxa"/>
          </w:tcPr>
          <w:p w:rsidR="009A6B10" w:rsidRPr="009A6B10" w:rsidRDefault="009A6B10" w:rsidP="009A6B10">
            <w:pPr>
              <w:jc w:val="center"/>
            </w:pPr>
            <w:r w:rsidRPr="009A6B10">
              <w:t>6</w:t>
            </w:r>
          </w:p>
        </w:tc>
        <w:tc>
          <w:tcPr>
            <w:tcW w:w="1181" w:type="dxa"/>
          </w:tcPr>
          <w:p w:rsidR="009A6B10" w:rsidRPr="009A6B10" w:rsidRDefault="009A6B10" w:rsidP="009A6B10">
            <w:pPr>
              <w:jc w:val="center"/>
            </w:pPr>
            <w:r w:rsidRPr="009A6B10">
              <w:t>17</w:t>
            </w:r>
          </w:p>
        </w:tc>
        <w:tc>
          <w:tcPr>
            <w:tcW w:w="1181" w:type="dxa"/>
          </w:tcPr>
          <w:p w:rsidR="009A6B10" w:rsidRPr="009A6B10" w:rsidRDefault="009A6B10" w:rsidP="009A6B10">
            <w:pPr>
              <w:jc w:val="center"/>
            </w:pPr>
            <w:r w:rsidRPr="009A6B10">
              <w:t>1190</w:t>
            </w:r>
          </w:p>
        </w:tc>
      </w:tr>
      <w:tr w:rsidR="009A6B10" w:rsidRPr="009A6B10" w:rsidTr="00E124FA">
        <w:tc>
          <w:tcPr>
            <w:tcW w:w="1384" w:type="dxa"/>
            <w:shd w:val="clear" w:color="auto" w:fill="auto"/>
          </w:tcPr>
          <w:p w:rsidR="009A6B10" w:rsidRPr="009A6B10" w:rsidRDefault="009A6B10" w:rsidP="009A6B10">
            <w:pPr>
              <w:jc w:val="center"/>
            </w:pPr>
            <w:r w:rsidRPr="009A6B10">
              <w:lastRenderedPageBreak/>
              <w:t xml:space="preserve">Maďarsko </w:t>
            </w:r>
          </w:p>
        </w:tc>
        <w:tc>
          <w:tcPr>
            <w:tcW w:w="1276" w:type="dxa"/>
            <w:shd w:val="clear" w:color="auto" w:fill="auto"/>
          </w:tcPr>
          <w:p w:rsidR="009A6B10" w:rsidRPr="009A6B10" w:rsidRDefault="009A6B10" w:rsidP="009A6B10">
            <w:pPr>
              <w:jc w:val="center"/>
            </w:pPr>
            <w:r w:rsidRPr="009A6B10">
              <w:t>70.</w:t>
            </w:r>
          </w:p>
        </w:tc>
        <w:tc>
          <w:tcPr>
            <w:tcW w:w="1512" w:type="dxa"/>
            <w:shd w:val="clear" w:color="auto" w:fill="auto"/>
          </w:tcPr>
          <w:p w:rsidR="009A6B10" w:rsidRPr="009A6B10" w:rsidRDefault="009A6B10" w:rsidP="009A6B10">
            <w:pPr>
              <w:jc w:val="center"/>
            </w:pPr>
            <w:r w:rsidRPr="009A6B10">
              <w:t>6</w:t>
            </w:r>
          </w:p>
        </w:tc>
        <w:tc>
          <w:tcPr>
            <w:tcW w:w="1181" w:type="dxa"/>
            <w:shd w:val="clear" w:color="auto" w:fill="auto"/>
          </w:tcPr>
          <w:p w:rsidR="009A6B10" w:rsidRPr="009A6B10" w:rsidRDefault="009A6B10" w:rsidP="009A6B10">
            <w:pPr>
              <w:jc w:val="center"/>
            </w:pPr>
            <w:r w:rsidRPr="009A6B10">
              <w:t>17</w:t>
            </w:r>
          </w:p>
        </w:tc>
        <w:tc>
          <w:tcPr>
            <w:tcW w:w="1134" w:type="dxa"/>
            <w:shd w:val="clear" w:color="auto" w:fill="auto"/>
          </w:tcPr>
          <w:p w:rsidR="009A6B10" w:rsidRPr="009A6B10" w:rsidRDefault="009A6B10" w:rsidP="009A6B10">
            <w:pPr>
              <w:jc w:val="center"/>
            </w:pPr>
            <w:r w:rsidRPr="009A6B10">
              <w:t>885</w:t>
            </w:r>
          </w:p>
        </w:tc>
        <w:tc>
          <w:tcPr>
            <w:tcW w:w="1512" w:type="dxa"/>
          </w:tcPr>
          <w:p w:rsidR="009A6B10" w:rsidRPr="009A6B10" w:rsidRDefault="009A6B10" w:rsidP="009A6B10">
            <w:pPr>
              <w:jc w:val="center"/>
            </w:pPr>
            <w:r w:rsidRPr="009A6B10">
              <w:t>6</w:t>
            </w:r>
          </w:p>
        </w:tc>
        <w:tc>
          <w:tcPr>
            <w:tcW w:w="1181" w:type="dxa"/>
          </w:tcPr>
          <w:p w:rsidR="009A6B10" w:rsidRPr="009A6B10" w:rsidRDefault="009A6B10" w:rsidP="009A6B10">
            <w:pPr>
              <w:jc w:val="center"/>
            </w:pPr>
            <w:r w:rsidRPr="009A6B10">
              <w:t>19</w:t>
            </w:r>
          </w:p>
        </w:tc>
        <w:tc>
          <w:tcPr>
            <w:tcW w:w="1181" w:type="dxa"/>
          </w:tcPr>
          <w:p w:rsidR="009A6B10" w:rsidRPr="009A6B10" w:rsidRDefault="009A6B10" w:rsidP="009A6B10">
            <w:pPr>
              <w:jc w:val="center"/>
            </w:pPr>
            <w:r w:rsidRPr="009A6B10">
              <w:t>845</w:t>
            </w:r>
          </w:p>
        </w:tc>
      </w:tr>
      <w:tr w:rsidR="00E56B8D" w:rsidRPr="009A6B10" w:rsidTr="009A6B10">
        <w:tc>
          <w:tcPr>
            <w:tcW w:w="1384" w:type="dxa"/>
            <w:shd w:val="clear" w:color="auto" w:fill="8DB3E2"/>
          </w:tcPr>
          <w:p w:rsidR="009A6B10" w:rsidRPr="009A6B10" w:rsidRDefault="009A6B10" w:rsidP="009A6B10">
            <w:pPr>
              <w:jc w:val="center"/>
            </w:pPr>
            <w:r w:rsidRPr="009A6B10">
              <w:t>Slovensko</w:t>
            </w:r>
          </w:p>
        </w:tc>
        <w:tc>
          <w:tcPr>
            <w:tcW w:w="1276" w:type="dxa"/>
            <w:shd w:val="clear" w:color="auto" w:fill="8DB3E2"/>
          </w:tcPr>
          <w:p w:rsidR="009A6B10" w:rsidRPr="009A6B10" w:rsidRDefault="009A6B10" w:rsidP="009A6B10">
            <w:pPr>
              <w:jc w:val="center"/>
            </w:pPr>
            <w:r w:rsidRPr="009A6B10">
              <w:t>108.</w:t>
            </w:r>
          </w:p>
        </w:tc>
        <w:tc>
          <w:tcPr>
            <w:tcW w:w="1512" w:type="dxa"/>
            <w:shd w:val="clear" w:color="auto" w:fill="8DB3E2"/>
          </w:tcPr>
          <w:p w:rsidR="009A6B10" w:rsidRPr="009A6B10" w:rsidRDefault="009A6B10" w:rsidP="009A6B10">
            <w:pPr>
              <w:jc w:val="center"/>
            </w:pPr>
            <w:r w:rsidRPr="009A6B10">
              <w:t>7</w:t>
            </w:r>
          </w:p>
        </w:tc>
        <w:tc>
          <w:tcPr>
            <w:tcW w:w="1181" w:type="dxa"/>
            <w:shd w:val="clear" w:color="auto" w:fill="8DB3E2"/>
          </w:tcPr>
          <w:p w:rsidR="009A6B10" w:rsidRPr="009A6B10" w:rsidRDefault="009A6B10" w:rsidP="009A6B10">
            <w:pPr>
              <w:jc w:val="center"/>
            </w:pPr>
            <w:r w:rsidRPr="009A6B10">
              <w:t>17</w:t>
            </w:r>
          </w:p>
        </w:tc>
        <w:tc>
          <w:tcPr>
            <w:tcW w:w="1134" w:type="dxa"/>
            <w:shd w:val="clear" w:color="auto" w:fill="8DB3E2"/>
          </w:tcPr>
          <w:p w:rsidR="009A6B10" w:rsidRPr="009A6B10" w:rsidRDefault="009A6B10" w:rsidP="009A6B10">
            <w:pPr>
              <w:jc w:val="center"/>
            </w:pPr>
            <w:r w:rsidRPr="009A6B10">
              <w:t>1500</w:t>
            </w:r>
          </w:p>
        </w:tc>
        <w:tc>
          <w:tcPr>
            <w:tcW w:w="1512" w:type="dxa"/>
            <w:shd w:val="clear" w:color="auto" w:fill="8DB3E2"/>
          </w:tcPr>
          <w:p w:rsidR="009A6B10" w:rsidRPr="009A6B10" w:rsidRDefault="009A6B10" w:rsidP="009A6B10">
            <w:pPr>
              <w:jc w:val="center"/>
            </w:pPr>
            <w:r w:rsidRPr="009A6B10">
              <w:t>6</w:t>
            </w:r>
          </w:p>
        </w:tc>
        <w:tc>
          <w:tcPr>
            <w:tcW w:w="1181" w:type="dxa"/>
            <w:shd w:val="clear" w:color="auto" w:fill="8DB3E2"/>
          </w:tcPr>
          <w:p w:rsidR="009A6B10" w:rsidRPr="009A6B10" w:rsidRDefault="009A6B10" w:rsidP="009A6B10">
            <w:pPr>
              <w:jc w:val="center"/>
            </w:pPr>
            <w:r w:rsidRPr="009A6B10">
              <w:t>16</w:t>
            </w:r>
          </w:p>
        </w:tc>
        <w:tc>
          <w:tcPr>
            <w:tcW w:w="1181" w:type="dxa"/>
            <w:shd w:val="clear" w:color="auto" w:fill="8DB3E2"/>
          </w:tcPr>
          <w:p w:rsidR="009A6B10" w:rsidRPr="009A6B10" w:rsidRDefault="009A6B10" w:rsidP="009A6B10">
            <w:pPr>
              <w:jc w:val="center"/>
            </w:pPr>
            <w:r w:rsidRPr="009A6B10">
              <w:t>1480</w:t>
            </w:r>
          </w:p>
        </w:tc>
      </w:tr>
    </w:tbl>
    <w:p w:rsidR="009A6B10" w:rsidRPr="009A6B10" w:rsidRDefault="009A6B10" w:rsidP="009A6B10">
      <w:pPr>
        <w:ind w:firstLine="709"/>
        <w:rPr>
          <w:iCs/>
        </w:rPr>
      </w:pPr>
    </w:p>
    <w:p w:rsidR="009A6B10" w:rsidRPr="009A6B10" w:rsidRDefault="009A6B10" w:rsidP="009A6B10">
      <w:pPr>
        <w:rPr>
          <w:b/>
          <w:i/>
        </w:rPr>
      </w:pPr>
      <w:r w:rsidRPr="009A6B10">
        <w:rPr>
          <w:b/>
          <w:i/>
        </w:rPr>
        <w:t>Vymáhateľnosť zmlúv</w:t>
      </w:r>
    </w:p>
    <w:p w:rsidR="009A6B10" w:rsidRPr="009A6B10" w:rsidRDefault="009A6B10" w:rsidP="009A6B10">
      <w:pPr>
        <w:spacing w:before="120"/>
        <w:ind w:firstLine="708"/>
        <w:jc w:val="both"/>
      </w:pPr>
      <w:r w:rsidRPr="009A6B10">
        <w:t>Podľa štúdie DB v</w:t>
      </w:r>
      <w:r w:rsidRPr="009A6B10">
        <w:rPr>
          <w:iCs/>
        </w:rPr>
        <w:t xml:space="preserve"> modelovom prípade </w:t>
      </w:r>
      <w:r w:rsidRPr="009A6B10">
        <w:t xml:space="preserve">sa Slovensko umiestnilo na celkovom 65. mieste. Parametre v prípade Slovenska dosiahli v posudzovanom modelovom príklade nasledovné hodnoty: počet procedúr: 32, potrebný čas: 545 dní (zlepšenie o 20 dní) a náklady konania vo výške 30 % z výšky nároku navrhovateľa. </w:t>
      </w:r>
    </w:p>
    <w:p w:rsidR="009A6B10" w:rsidRPr="009A6B10" w:rsidRDefault="009A6B10" w:rsidP="009A6B10">
      <w:pPr>
        <w:spacing w:before="120" w:after="120"/>
        <w:ind w:firstLine="709"/>
        <w:jc w:val="both"/>
      </w:pPr>
      <w:r w:rsidRPr="009A6B10">
        <w:rPr>
          <w:iCs/>
        </w:rPr>
        <w:t xml:space="preserve">Najlepšie hodnoteným štátom v tejto oblasti bolo Luxembursko. Najlepšie postavenie z krajín V4 dosiahlo Maďarsko (15. miesto), ktoré v modelovom príklade dosiahlo 35 </w:t>
      </w:r>
      <w:r w:rsidRPr="009A6B10">
        <w:t xml:space="preserve">procedúr, 395 dní </w:t>
      </w:r>
      <w:r w:rsidR="00A07396">
        <w:t>a náklady konania vo výške 15,0</w:t>
      </w:r>
      <w:r w:rsidRPr="009A6B10">
        <w:t>% z výšky nároku navrhovateľa (rovnaké ako hodnotenie DB 2013).</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452"/>
        <w:gridCol w:w="2340"/>
        <w:gridCol w:w="1988"/>
        <w:gridCol w:w="2016"/>
      </w:tblGrid>
      <w:tr w:rsidR="009A6B10" w:rsidRPr="009A6B10" w:rsidTr="00E124FA">
        <w:tc>
          <w:tcPr>
            <w:tcW w:w="2153"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52" w:type="dxa"/>
            <w:shd w:val="clear" w:color="auto" w:fill="auto"/>
          </w:tcPr>
          <w:p w:rsidR="009A6B10" w:rsidRPr="009A6B10" w:rsidRDefault="009A6B10" w:rsidP="009A6B10">
            <w:pPr>
              <w:jc w:val="center"/>
              <w:rPr>
                <w:b/>
              </w:rPr>
            </w:pPr>
            <w:r w:rsidRPr="009A6B10">
              <w:rPr>
                <w:b/>
              </w:rPr>
              <w:t>Umiestnenie</w:t>
            </w:r>
          </w:p>
        </w:tc>
        <w:tc>
          <w:tcPr>
            <w:tcW w:w="2340" w:type="dxa"/>
            <w:shd w:val="clear" w:color="auto" w:fill="auto"/>
          </w:tcPr>
          <w:p w:rsidR="009A6B10" w:rsidRPr="009A6B10" w:rsidRDefault="009A6B10" w:rsidP="009A6B10">
            <w:pPr>
              <w:jc w:val="center"/>
              <w:rPr>
                <w:b/>
              </w:rPr>
            </w:pPr>
            <w:r w:rsidRPr="009A6B10">
              <w:rPr>
                <w:b/>
              </w:rPr>
              <w:t>Počet potrebných procedúr</w:t>
            </w:r>
          </w:p>
        </w:tc>
        <w:tc>
          <w:tcPr>
            <w:tcW w:w="1988" w:type="dxa"/>
            <w:shd w:val="clear" w:color="auto" w:fill="auto"/>
          </w:tcPr>
          <w:p w:rsidR="009A6B10" w:rsidRPr="009A6B10" w:rsidRDefault="009A6B10" w:rsidP="009A6B10">
            <w:pPr>
              <w:jc w:val="center"/>
              <w:rPr>
                <w:b/>
              </w:rPr>
            </w:pPr>
            <w:r w:rsidRPr="009A6B10">
              <w:rPr>
                <w:b/>
              </w:rPr>
              <w:t xml:space="preserve">Potrebný čas </w:t>
            </w:r>
          </w:p>
          <w:p w:rsidR="009A6B10" w:rsidRPr="009A6B10" w:rsidRDefault="009A6B10" w:rsidP="009A6B10">
            <w:pPr>
              <w:jc w:val="center"/>
            </w:pPr>
            <w:r w:rsidRPr="009A6B10">
              <w:t>(v dňoch)</w:t>
            </w:r>
          </w:p>
        </w:tc>
        <w:tc>
          <w:tcPr>
            <w:tcW w:w="2016" w:type="dxa"/>
            <w:shd w:val="clear" w:color="auto" w:fill="auto"/>
          </w:tcPr>
          <w:p w:rsidR="009A6B10" w:rsidRPr="009A6B10" w:rsidRDefault="009A6B10" w:rsidP="009A6B10">
            <w:pPr>
              <w:jc w:val="center"/>
              <w:rPr>
                <w:b/>
              </w:rPr>
            </w:pPr>
            <w:r w:rsidRPr="009A6B10">
              <w:rPr>
                <w:b/>
              </w:rPr>
              <w:t>Náklady konania</w:t>
            </w:r>
          </w:p>
          <w:p w:rsidR="009A6B10" w:rsidRPr="009A6B10" w:rsidRDefault="009A6B10" w:rsidP="009A6B10">
            <w:pPr>
              <w:jc w:val="center"/>
            </w:pPr>
            <w:r w:rsidRPr="009A6B10">
              <w:t>(% z výšky nároku navrhovateľa)</w:t>
            </w:r>
          </w:p>
        </w:tc>
      </w:tr>
      <w:tr w:rsidR="009A6B10" w:rsidRPr="009A6B10" w:rsidTr="00E124FA">
        <w:tc>
          <w:tcPr>
            <w:tcW w:w="2153" w:type="dxa"/>
            <w:shd w:val="clear" w:color="auto" w:fill="auto"/>
          </w:tcPr>
          <w:p w:rsidR="009A6B10" w:rsidRPr="009A6B10" w:rsidRDefault="009A6B10" w:rsidP="009A6B10">
            <w:pPr>
              <w:jc w:val="center"/>
            </w:pPr>
            <w:r w:rsidRPr="009A6B10">
              <w:t xml:space="preserve">Luxembursko </w:t>
            </w:r>
          </w:p>
        </w:tc>
        <w:tc>
          <w:tcPr>
            <w:tcW w:w="1452" w:type="dxa"/>
            <w:shd w:val="clear" w:color="auto" w:fill="auto"/>
          </w:tcPr>
          <w:p w:rsidR="009A6B10" w:rsidRPr="009A6B10" w:rsidRDefault="009A6B10" w:rsidP="009A6B10">
            <w:pPr>
              <w:jc w:val="center"/>
            </w:pPr>
            <w:r w:rsidRPr="009A6B10">
              <w:t>1.</w:t>
            </w:r>
          </w:p>
        </w:tc>
        <w:tc>
          <w:tcPr>
            <w:tcW w:w="2340" w:type="dxa"/>
            <w:shd w:val="clear" w:color="auto" w:fill="auto"/>
          </w:tcPr>
          <w:p w:rsidR="009A6B10" w:rsidRPr="009A6B10" w:rsidRDefault="009A6B10" w:rsidP="009A6B10">
            <w:pPr>
              <w:jc w:val="center"/>
            </w:pPr>
            <w:r w:rsidRPr="009A6B10">
              <w:t>26</w:t>
            </w:r>
          </w:p>
        </w:tc>
        <w:tc>
          <w:tcPr>
            <w:tcW w:w="1988" w:type="dxa"/>
            <w:shd w:val="clear" w:color="auto" w:fill="auto"/>
          </w:tcPr>
          <w:p w:rsidR="009A6B10" w:rsidRPr="009A6B10" w:rsidRDefault="009A6B10" w:rsidP="009A6B10">
            <w:pPr>
              <w:jc w:val="center"/>
            </w:pPr>
            <w:r w:rsidRPr="009A6B10">
              <w:t>321</w:t>
            </w:r>
          </w:p>
        </w:tc>
        <w:tc>
          <w:tcPr>
            <w:tcW w:w="2016" w:type="dxa"/>
            <w:shd w:val="clear" w:color="auto" w:fill="auto"/>
          </w:tcPr>
          <w:p w:rsidR="009A6B10" w:rsidRPr="009A6B10" w:rsidRDefault="009A6B10" w:rsidP="009A6B10">
            <w:pPr>
              <w:jc w:val="center"/>
            </w:pPr>
            <w:r w:rsidRPr="009A6B10">
              <w:t>9,7</w:t>
            </w:r>
          </w:p>
        </w:tc>
      </w:tr>
      <w:tr w:rsidR="009A6B10" w:rsidRPr="009A6B10" w:rsidTr="00E124FA">
        <w:tc>
          <w:tcPr>
            <w:tcW w:w="2153" w:type="dxa"/>
            <w:shd w:val="clear" w:color="auto" w:fill="auto"/>
          </w:tcPr>
          <w:p w:rsidR="009A6B10" w:rsidRPr="009A6B10" w:rsidRDefault="009A6B10" w:rsidP="009A6B10">
            <w:pPr>
              <w:jc w:val="center"/>
            </w:pPr>
            <w:r w:rsidRPr="009A6B10">
              <w:t xml:space="preserve">Maďarsko </w:t>
            </w:r>
          </w:p>
        </w:tc>
        <w:tc>
          <w:tcPr>
            <w:tcW w:w="1452" w:type="dxa"/>
            <w:shd w:val="clear" w:color="auto" w:fill="auto"/>
          </w:tcPr>
          <w:p w:rsidR="009A6B10" w:rsidRPr="009A6B10" w:rsidRDefault="009A6B10" w:rsidP="009A6B10">
            <w:pPr>
              <w:jc w:val="center"/>
            </w:pPr>
            <w:r w:rsidRPr="009A6B10">
              <w:t>15.</w:t>
            </w:r>
          </w:p>
        </w:tc>
        <w:tc>
          <w:tcPr>
            <w:tcW w:w="2340" w:type="dxa"/>
            <w:shd w:val="clear" w:color="auto" w:fill="auto"/>
          </w:tcPr>
          <w:p w:rsidR="009A6B10" w:rsidRPr="009A6B10" w:rsidRDefault="009A6B10" w:rsidP="009A6B10">
            <w:pPr>
              <w:jc w:val="center"/>
            </w:pPr>
            <w:r w:rsidRPr="009A6B10">
              <w:t>35</w:t>
            </w:r>
          </w:p>
        </w:tc>
        <w:tc>
          <w:tcPr>
            <w:tcW w:w="1988" w:type="dxa"/>
            <w:shd w:val="clear" w:color="auto" w:fill="auto"/>
          </w:tcPr>
          <w:p w:rsidR="009A6B10" w:rsidRPr="009A6B10" w:rsidRDefault="009A6B10" w:rsidP="009A6B10">
            <w:pPr>
              <w:jc w:val="center"/>
            </w:pPr>
            <w:r w:rsidRPr="009A6B10">
              <w:t>395</w:t>
            </w:r>
          </w:p>
        </w:tc>
        <w:tc>
          <w:tcPr>
            <w:tcW w:w="2016" w:type="dxa"/>
            <w:shd w:val="clear" w:color="auto" w:fill="auto"/>
          </w:tcPr>
          <w:p w:rsidR="009A6B10" w:rsidRPr="009A6B10" w:rsidRDefault="009A6B10" w:rsidP="009A6B10">
            <w:pPr>
              <w:jc w:val="center"/>
            </w:pPr>
            <w:r w:rsidRPr="009A6B10">
              <w:t>15,0</w:t>
            </w:r>
          </w:p>
        </w:tc>
      </w:tr>
      <w:tr w:rsidR="009A6B10" w:rsidRPr="009A6B10" w:rsidTr="00E124FA">
        <w:tc>
          <w:tcPr>
            <w:tcW w:w="2153" w:type="dxa"/>
            <w:shd w:val="clear" w:color="auto" w:fill="auto"/>
          </w:tcPr>
          <w:p w:rsidR="009A6B10" w:rsidRPr="009A6B10" w:rsidRDefault="009A6B10" w:rsidP="009A6B10">
            <w:pPr>
              <w:jc w:val="center"/>
            </w:pPr>
            <w:r w:rsidRPr="009A6B10">
              <w:t>Poľsko</w:t>
            </w:r>
          </w:p>
        </w:tc>
        <w:tc>
          <w:tcPr>
            <w:tcW w:w="1452" w:type="dxa"/>
            <w:shd w:val="clear" w:color="auto" w:fill="auto"/>
          </w:tcPr>
          <w:p w:rsidR="009A6B10" w:rsidRPr="009A6B10" w:rsidRDefault="009A6B10" w:rsidP="009A6B10">
            <w:pPr>
              <w:jc w:val="center"/>
            </w:pPr>
            <w:r w:rsidRPr="009A6B10">
              <w:t>55.</w:t>
            </w:r>
          </w:p>
        </w:tc>
        <w:tc>
          <w:tcPr>
            <w:tcW w:w="2340" w:type="dxa"/>
            <w:shd w:val="clear" w:color="auto" w:fill="auto"/>
          </w:tcPr>
          <w:p w:rsidR="009A6B10" w:rsidRPr="009A6B10" w:rsidRDefault="009A6B10" w:rsidP="009A6B10">
            <w:pPr>
              <w:jc w:val="center"/>
            </w:pPr>
            <w:r w:rsidRPr="009A6B10">
              <w:t>33</w:t>
            </w:r>
          </w:p>
        </w:tc>
        <w:tc>
          <w:tcPr>
            <w:tcW w:w="1988" w:type="dxa"/>
            <w:shd w:val="clear" w:color="auto" w:fill="auto"/>
          </w:tcPr>
          <w:p w:rsidR="009A6B10" w:rsidRPr="009A6B10" w:rsidRDefault="009A6B10" w:rsidP="009A6B10">
            <w:pPr>
              <w:jc w:val="center"/>
            </w:pPr>
            <w:r w:rsidRPr="009A6B10">
              <w:t>685</w:t>
            </w:r>
          </w:p>
        </w:tc>
        <w:tc>
          <w:tcPr>
            <w:tcW w:w="2016" w:type="dxa"/>
            <w:shd w:val="clear" w:color="auto" w:fill="auto"/>
          </w:tcPr>
          <w:p w:rsidR="009A6B10" w:rsidRPr="009A6B10" w:rsidRDefault="009A6B10" w:rsidP="009A6B10">
            <w:pPr>
              <w:jc w:val="center"/>
            </w:pPr>
            <w:r w:rsidRPr="009A6B10">
              <w:t>30,0</w:t>
            </w:r>
          </w:p>
        </w:tc>
      </w:tr>
      <w:tr w:rsidR="00E56B8D" w:rsidRPr="009A6B10" w:rsidTr="009A6B10">
        <w:tc>
          <w:tcPr>
            <w:tcW w:w="2153" w:type="dxa"/>
            <w:shd w:val="clear" w:color="auto" w:fill="8DB3E2"/>
          </w:tcPr>
          <w:p w:rsidR="009A6B10" w:rsidRPr="009A6B10" w:rsidRDefault="009A6B10" w:rsidP="009A6B10">
            <w:pPr>
              <w:jc w:val="center"/>
            </w:pPr>
            <w:r w:rsidRPr="009A6B10">
              <w:t>Slovensko</w:t>
            </w:r>
          </w:p>
        </w:tc>
        <w:tc>
          <w:tcPr>
            <w:tcW w:w="1452" w:type="dxa"/>
            <w:shd w:val="clear" w:color="auto" w:fill="8DB3E2"/>
          </w:tcPr>
          <w:p w:rsidR="009A6B10" w:rsidRPr="009A6B10" w:rsidRDefault="009A6B10" w:rsidP="009A6B10">
            <w:pPr>
              <w:jc w:val="center"/>
            </w:pPr>
            <w:r w:rsidRPr="009A6B10">
              <w:t>65.</w:t>
            </w:r>
          </w:p>
        </w:tc>
        <w:tc>
          <w:tcPr>
            <w:tcW w:w="2340" w:type="dxa"/>
            <w:shd w:val="clear" w:color="auto" w:fill="8DB3E2"/>
          </w:tcPr>
          <w:p w:rsidR="009A6B10" w:rsidRPr="009A6B10" w:rsidRDefault="009A6B10" w:rsidP="009A6B10">
            <w:pPr>
              <w:jc w:val="center"/>
            </w:pPr>
            <w:r w:rsidRPr="009A6B10">
              <w:t>32</w:t>
            </w:r>
          </w:p>
        </w:tc>
        <w:tc>
          <w:tcPr>
            <w:tcW w:w="1988" w:type="dxa"/>
            <w:shd w:val="clear" w:color="auto" w:fill="8DB3E2"/>
          </w:tcPr>
          <w:p w:rsidR="009A6B10" w:rsidRPr="009A6B10" w:rsidRDefault="009A6B10" w:rsidP="009A6B10">
            <w:pPr>
              <w:jc w:val="center"/>
            </w:pPr>
            <w:r w:rsidRPr="009A6B10">
              <w:t>545</w:t>
            </w:r>
          </w:p>
        </w:tc>
        <w:tc>
          <w:tcPr>
            <w:tcW w:w="2016" w:type="dxa"/>
            <w:shd w:val="clear" w:color="auto" w:fill="8DB3E2"/>
          </w:tcPr>
          <w:p w:rsidR="009A6B10" w:rsidRPr="009A6B10" w:rsidRDefault="009A6B10" w:rsidP="009A6B10">
            <w:pPr>
              <w:jc w:val="center"/>
            </w:pPr>
            <w:r w:rsidRPr="009A6B10">
              <w:t>30,0</w:t>
            </w:r>
          </w:p>
        </w:tc>
      </w:tr>
      <w:tr w:rsidR="009A6B10" w:rsidRPr="009A6B10" w:rsidTr="00E124FA">
        <w:tc>
          <w:tcPr>
            <w:tcW w:w="2153" w:type="dxa"/>
            <w:shd w:val="clear" w:color="auto" w:fill="auto"/>
          </w:tcPr>
          <w:p w:rsidR="009A6B10" w:rsidRPr="009A6B10" w:rsidRDefault="009A6B10" w:rsidP="009A6B10">
            <w:pPr>
              <w:jc w:val="center"/>
            </w:pPr>
            <w:r w:rsidRPr="009A6B10">
              <w:t xml:space="preserve">Česká republika </w:t>
            </w:r>
          </w:p>
        </w:tc>
        <w:tc>
          <w:tcPr>
            <w:tcW w:w="1452" w:type="dxa"/>
            <w:shd w:val="clear" w:color="auto" w:fill="auto"/>
          </w:tcPr>
          <w:p w:rsidR="009A6B10" w:rsidRPr="009A6B10" w:rsidRDefault="009A6B10" w:rsidP="009A6B10">
            <w:pPr>
              <w:jc w:val="center"/>
            </w:pPr>
            <w:r w:rsidRPr="009A6B10">
              <w:t>75.</w:t>
            </w:r>
          </w:p>
        </w:tc>
        <w:tc>
          <w:tcPr>
            <w:tcW w:w="2340" w:type="dxa"/>
            <w:shd w:val="clear" w:color="auto" w:fill="auto"/>
          </w:tcPr>
          <w:p w:rsidR="009A6B10" w:rsidRPr="009A6B10" w:rsidRDefault="009A6B10" w:rsidP="009A6B10">
            <w:pPr>
              <w:jc w:val="center"/>
            </w:pPr>
            <w:r w:rsidRPr="009A6B10">
              <w:t>27</w:t>
            </w:r>
          </w:p>
        </w:tc>
        <w:tc>
          <w:tcPr>
            <w:tcW w:w="1988" w:type="dxa"/>
            <w:shd w:val="clear" w:color="auto" w:fill="auto"/>
          </w:tcPr>
          <w:p w:rsidR="009A6B10" w:rsidRPr="009A6B10" w:rsidRDefault="009A6B10" w:rsidP="009A6B10">
            <w:pPr>
              <w:jc w:val="center"/>
            </w:pPr>
            <w:r w:rsidRPr="009A6B10">
              <w:t>611</w:t>
            </w:r>
          </w:p>
        </w:tc>
        <w:tc>
          <w:tcPr>
            <w:tcW w:w="2016" w:type="dxa"/>
            <w:shd w:val="clear" w:color="auto" w:fill="auto"/>
          </w:tcPr>
          <w:p w:rsidR="009A6B10" w:rsidRPr="009A6B10" w:rsidRDefault="009A6B10" w:rsidP="009A6B10">
            <w:pPr>
              <w:jc w:val="center"/>
            </w:pPr>
            <w:r w:rsidRPr="009A6B10">
              <w:t>33,0</w:t>
            </w:r>
          </w:p>
        </w:tc>
      </w:tr>
    </w:tbl>
    <w:p w:rsidR="009A6B10" w:rsidRPr="009A6B10" w:rsidRDefault="009A6B10" w:rsidP="009A6B10">
      <w:pPr>
        <w:ind w:firstLine="709"/>
      </w:pPr>
    </w:p>
    <w:p w:rsidR="009A6B10" w:rsidRPr="009A6B10" w:rsidRDefault="009A6B10" w:rsidP="009A6B10">
      <w:pPr>
        <w:rPr>
          <w:b/>
          <w:i/>
        </w:rPr>
      </w:pPr>
      <w:r w:rsidRPr="009A6B10">
        <w:rPr>
          <w:b/>
          <w:i/>
        </w:rPr>
        <w:t>Riešenie platobnej neschopnosti</w:t>
      </w:r>
    </w:p>
    <w:p w:rsidR="009A6B10" w:rsidRDefault="009A6B10" w:rsidP="009A6B10">
      <w:pPr>
        <w:spacing w:before="120"/>
        <w:ind w:firstLine="708"/>
        <w:jc w:val="both"/>
        <w:rPr>
          <w:iCs/>
        </w:rPr>
      </w:pPr>
      <w:r w:rsidRPr="009A6B10">
        <w:t xml:space="preserve">V hodnotení Svetovej banky </w:t>
      </w:r>
      <w:r w:rsidRPr="009A6B10">
        <w:rPr>
          <w:iCs/>
        </w:rPr>
        <w:t xml:space="preserve">sa v oblasti „riešenie platobnej neschopnosti“ Slovensko umiestnilo na 38. mieste. Potrebný čas na vymoženie pohľadávky je 4 roky, </w:t>
      </w:r>
      <w:r w:rsidRPr="009A6B10">
        <w:t>náklady</w:t>
      </w:r>
      <w:r w:rsidR="00A07396">
        <w:t xml:space="preserve"> s tým spojené predstavujú 18,0</w:t>
      </w:r>
      <w:r w:rsidRPr="009A6B10">
        <w:t>% hodnoty konkurznej podstaty</w:t>
      </w:r>
      <w:r w:rsidRPr="009A6B10">
        <w:rPr>
          <w:iCs/>
        </w:rPr>
        <w:t xml:space="preserve"> a </w:t>
      </w:r>
      <w:r w:rsidRPr="009A6B10">
        <w:t>stupeň odškodnenia veriteľov predstavuje hodnotu 54,1 centu na dolár z ich pohľadávky</w:t>
      </w:r>
      <w:r w:rsidRPr="009A6B10">
        <w:rPr>
          <w:iCs/>
        </w:rPr>
        <w:t xml:space="preserve">. </w:t>
      </w:r>
    </w:p>
    <w:p w:rsidR="00E01DCD" w:rsidRPr="009A6B10" w:rsidRDefault="00E01DCD" w:rsidP="009A6B10">
      <w:pPr>
        <w:spacing w:before="120"/>
        <w:ind w:firstLine="708"/>
        <w:jc w:val="both"/>
        <w:rPr>
          <w:i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701"/>
        <w:gridCol w:w="2268"/>
        <w:gridCol w:w="2126"/>
      </w:tblGrid>
      <w:tr w:rsidR="009A6B10" w:rsidRPr="009A6B10" w:rsidTr="00E124FA">
        <w:tc>
          <w:tcPr>
            <w:tcW w:w="2235" w:type="dxa"/>
            <w:shd w:val="clear" w:color="auto" w:fill="auto"/>
          </w:tcPr>
          <w:p w:rsidR="009A6B10" w:rsidRPr="009A6B10" w:rsidRDefault="009A6B10" w:rsidP="009A6B10">
            <w:pPr>
              <w:jc w:val="center"/>
              <w:rPr>
                <w:b/>
              </w:rPr>
            </w:pPr>
            <w:r w:rsidRPr="009A6B10">
              <w:rPr>
                <w:b/>
              </w:rPr>
              <w:t>Krajina</w:t>
            </w:r>
          </w:p>
          <w:p w:rsidR="009A6B10" w:rsidRPr="009A6B10" w:rsidRDefault="009A6B10" w:rsidP="009A6B10">
            <w:pPr>
              <w:jc w:val="center"/>
              <w:rPr>
                <w:b/>
              </w:rPr>
            </w:pPr>
          </w:p>
          <w:p w:rsidR="009A6B10" w:rsidRPr="009A6B10" w:rsidRDefault="009A6B10" w:rsidP="009A6B10">
            <w:pPr>
              <w:jc w:val="center"/>
              <w:rPr>
                <w:b/>
              </w:rPr>
            </w:pPr>
          </w:p>
        </w:tc>
        <w:tc>
          <w:tcPr>
            <w:tcW w:w="1417" w:type="dxa"/>
            <w:shd w:val="clear" w:color="auto" w:fill="auto"/>
          </w:tcPr>
          <w:p w:rsidR="009A6B10" w:rsidRPr="009A6B10" w:rsidRDefault="009A6B10" w:rsidP="009A6B10">
            <w:pPr>
              <w:jc w:val="center"/>
              <w:rPr>
                <w:b/>
              </w:rPr>
            </w:pPr>
            <w:r w:rsidRPr="009A6B10">
              <w:rPr>
                <w:b/>
              </w:rPr>
              <w:t>Umiestnenie</w:t>
            </w:r>
          </w:p>
        </w:tc>
        <w:tc>
          <w:tcPr>
            <w:tcW w:w="1701" w:type="dxa"/>
            <w:shd w:val="clear" w:color="auto" w:fill="auto"/>
          </w:tcPr>
          <w:p w:rsidR="009A6B10" w:rsidRPr="009A6B10" w:rsidRDefault="009A6B10" w:rsidP="009A6B10">
            <w:pPr>
              <w:jc w:val="center"/>
            </w:pPr>
            <w:r w:rsidRPr="009A6B10">
              <w:rPr>
                <w:b/>
              </w:rPr>
              <w:t xml:space="preserve">Potrebný čas na vymoženie pohľadávky </w:t>
            </w:r>
          </w:p>
          <w:p w:rsidR="009A6B10" w:rsidRPr="009A6B10" w:rsidRDefault="009A6B10" w:rsidP="009A6B10">
            <w:pPr>
              <w:jc w:val="center"/>
              <w:rPr>
                <w:b/>
              </w:rPr>
            </w:pPr>
            <w:r w:rsidRPr="009A6B10">
              <w:t>(rok)</w:t>
            </w:r>
            <w:r w:rsidRPr="009A6B10">
              <w:rPr>
                <w:b/>
              </w:rPr>
              <w:t xml:space="preserve"> </w:t>
            </w:r>
          </w:p>
        </w:tc>
        <w:tc>
          <w:tcPr>
            <w:tcW w:w="2268" w:type="dxa"/>
            <w:shd w:val="clear" w:color="auto" w:fill="auto"/>
          </w:tcPr>
          <w:p w:rsidR="009A6B10" w:rsidRPr="009A6B10" w:rsidRDefault="009A6B10" w:rsidP="009A6B10">
            <w:pPr>
              <w:jc w:val="center"/>
              <w:rPr>
                <w:b/>
              </w:rPr>
            </w:pPr>
            <w:r w:rsidRPr="009A6B10">
              <w:rPr>
                <w:b/>
              </w:rPr>
              <w:t>Náklady na vymoženie pohľadávky</w:t>
            </w:r>
          </w:p>
          <w:p w:rsidR="009A6B10" w:rsidRPr="009A6B10" w:rsidRDefault="009A6B10" w:rsidP="009A6B10">
            <w:pPr>
              <w:jc w:val="center"/>
            </w:pPr>
            <w:r w:rsidRPr="009A6B10">
              <w:t>(% hodnoty konkurznej podstaty)</w:t>
            </w:r>
          </w:p>
        </w:tc>
        <w:tc>
          <w:tcPr>
            <w:tcW w:w="2126" w:type="dxa"/>
            <w:shd w:val="clear" w:color="auto" w:fill="auto"/>
          </w:tcPr>
          <w:p w:rsidR="009A6B10" w:rsidRPr="009A6B10" w:rsidRDefault="009A6B10" w:rsidP="009A6B10">
            <w:pPr>
              <w:jc w:val="center"/>
              <w:rPr>
                <w:b/>
              </w:rPr>
            </w:pPr>
            <w:r w:rsidRPr="009A6B10">
              <w:rPr>
                <w:b/>
              </w:rPr>
              <w:t>Stupeň odškodnenia veriteľov</w:t>
            </w:r>
          </w:p>
          <w:p w:rsidR="009A6B10" w:rsidRPr="009A6B10" w:rsidRDefault="009A6B10" w:rsidP="009A6B10">
            <w:pPr>
              <w:jc w:val="center"/>
            </w:pPr>
            <w:r w:rsidRPr="009A6B10">
              <w:t>(cent na dolár</w:t>
            </w:r>
            <w:r w:rsidRPr="009A6B10">
              <w:rPr>
                <w:iCs/>
              </w:rPr>
              <w:t>)</w:t>
            </w:r>
          </w:p>
        </w:tc>
      </w:tr>
      <w:tr w:rsidR="009A6B10" w:rsidRPr="009A6B10" w:rsidTr="00E124FA">
        <w:tc>
          <w:tcPr>
            <w:tcW w:w="2235" w:type="dxa"/>
            <w:shd w:val="clear" w:color="auto" w:fill="auto"/>
          </w:tcPr>
          <w:p w:rsidR="009A6B10" w:rsidRPr="009A6B10" w:rsidRDefault="009A6B10" w:rsidP="009A6B10">
            <w:pPr>
              <w:jc w:val="center"/>
            </w:pPr>
            <w:r w:rsidRPr="009A6B10">
              <w:rPr>
                <w:iCs/>
              </w:rPr>
              <w:t>Japonsko</w:t>
            </w:r>
          </w:p>
        </w:tc>
        <w:tc>
          <w:tcPr>
            <w:tcW w:w="1417" w:type="dxa"/>
            <w:shd w:val="clear" w:color="auto" w:fill="auto"/>
          </w:tcPr>
          <w:p w:rsidR="009A6B10" w:rsidRPr="009A6B10" w:rsidRDefault="009A6B10" w:rsidP="009A6B10">
            <w:pPr>
              <w:jc w:val="center"/>
            </w:pPr>
            <w:r w:rsidRPr="009A6B10">
              <w:t>1.</w:t>
            </w:r>
          </w:p>
        </w:tc>
        <w:tc>
          <w:tcPr>
            <w:tcW w:w="1701" w:type="dxa"/>
            <w:shd w:val="clear" w:color="auto" w:fill="auto"/>
          </w:tcPr>
          <w:p w:rsidR="009A6B10" w:rsidRPr="009A6B10" w:rsidRDefault="009A6B10" w:rsidP="009A6B10">
            <w:pPr>
              <w:jc w:val="center"/>
            </w:pPr>
            <w:r w:rsidRPr="009A6B10">
              <w:t>0,6</w:t>
            </w:r>
          </w:p>
        </w:tc>
        <w:tc>
          <w:tcPr>
            <w:tcW w:w="2268" w:type="dxa"/>
            <w:shd w:val="clear" w:color="auto" w:fill="auto"/>
          </w:tcPr>
          <w:p w:rsidR="009A6B10" w:rsidRPr="009A6B10" w:rsidRDefault="009A6B10" w:rsidP="009A6B10">
            <w:pPr>
              <w:jc w:val="center"/>
            </w:pPr>
            <w:r w:rsidRPr="009A6B10">
              <w:t>4,0</w:t>
            </w:r>
          </w:p>
        </w:tc>
        <w:tc>
          <w:tcPr>
            <w:tcW w:w="2126" w:type="dxa"/>
            <w:shd w:val="clear" w:color="auto" w:fill="auto"/>
          </w:tcPr>
          <w:p w:rsidR="009A6B10" w:rsidRPr="009A6B10" w:rsidRDefault="009A6B10" w:rsidP="009A6B10">
            <w:pPr>
              <w:jc w:val="center"/>
            </w:pPr>
            <w:r w:rsidRPr="009A6B10">
              <w:t>92,8</w:t>
            </w:r>
          </w:p>
        </w:tc>
      </w:tr>
      <w:tr w:rsidR="009A6B10" w:rsidRPr="009A6B10" w:rsidTr="00E124FA">
        <w:tc>
          <w:tcPr>
            <w:tcW w:w="2235" w:type="dxa"/>
            <w:shd w:val="clear" w:color="auto" w:fill="auto"/>
          </w:tcPr>
          <w:p w:rsidR="009A6B10" w:rsidRPr="009A6B10" w:rsidRDefault="009A6B10" w:rsidP="009A6B10">
            <w:pPr>
              <w:jc w:val="center"/>
            </w:pPr>
            <w:r w:rsidRPr="009A6B10">
              <w:t xml:space="preserve">Česká republika </w:t>
            </w:r>
          </w:p>
        </w:tc>
        <w:tc>
          <w:tcPr>
            <w:tcW w:w="1417" w:type="dxa"/>
            <w:shd w:val="clear" w:color="auto" w:fill="auto"/>
          </w:tcPr>
          <w:p w:rsidR="009A6B10" w:rsidRPr="009A6B10" w:rsidRDefault="009A6B10" w:rsidP="009A6B10">
            <w:pPr>
              <w:jc w:val="center"/>
            </w:pPr>
            <w:r w:rsidRPr="009A6B10">
              <w:t>29.</w:t>
            </w:r>
          </w:p>
        </w:tc>
        <w:tc>
          <w:tcPr>
            <w:tcW w:w="1701" w:type="dxa"/>
            <w:shd w:val="clear" w:color="auto" w:fill="auto"/>
          </w:tcPr>
          <w:p w:rsidR="009A6B10" w:rsidRPr="009A6B10" w:rsidRDefault="009A6B10" w:rsidP="009A6B10">
            <w:pPr>
              <w:jc w:val="center"/>
            </w:pPr>
            <w:r w:rsidRPr="009A6B10">
              <w:t>2,1</w:t>
            </w:r>
          </w:p>
        </w:tc>
        <w:tc>
          <w:tcPr>
            <w:tcW w:w="2268" w:type="dxa"/>
            <w:shd w:val="clear" w:color="auto" w:fill="auto"/>
          </w:tcPr>
          <w:p w:rsidR="009A6B10" w:rsidRPr="009A6B10" w:rsidRDefault="009A6B10" w:rsidP="009A6B10">
            <w:pPr>
              <w:jc w:val="center"/>
            </w:pPr>
            <w:r w:rsidRPr="009A6B10">
              <w:t>17</w:t>
            </w:r>
          </w:p>
        </w:tc>
        <w:tc>
          <w:tcPr>
            <w:tcW w:w="2126" w:type="dxa"/>
            <w:shd w:val="clear" w:color="auto" w:fill="auto"/>
          </w:tcPr>
          <w:p w:rsidR="009A6B10" w:rsidRPr="009A6B10" w:rsidRDefault="009A6B10" w:rsidP="009A6B10">
            <w:pPr>
              <w:jc w:val="center"/>
            </w:pPr>
            <w:r w:rsidRPr="009A6B10">
              <w:t>65</w:t>
            </w:r>
          </w:p>
        </w:tc>
      </w:tr>
      <w:tr w:rsidR="009A6B10" w:rsidRPr="009A6B10" w:rsidTr="00E124FA">
        <w:tc>
          <w:tcPr>
            <w:tcW w:w="2235" w:type="dxa"/>
            <w:shd w:val="clear" w:color="auto" w:fill="auto"/>
          </w:tcPr>
          <w:p w:rsidR="009A6B10" w:rsidRPr="009A6B10" w:rsidRDefault="009A6B10" w:rsidP="009A6B10">
            <w:pPr>
              <w:jc w:val="center"/>
            </w:pPr>
            <w:r w:rsidRPr="009A6B10">
              <w:t>Poľsko</w:t>
            </w:r>
          </w:p>
        </w:tc>
        <w:tc>
          <w:tcPr>
            <w:tcW w:w="1417" w:type="dxa"/>
            <w:shd w:val="clear" w:color="auto" w:fill="auto"/>
          </w:tcPr>
          <w:p w:rsidR="009A6B10" w:rsidRPr="009A6B10" w:rsidRDefault="009A6B10" w:rsidP="009A6B10">
            <w:pPr>
              <w:jc w:val="center"/>
            </w:pPr>
            <w:r w:rsidRPr="009A6B10">
              <w:t>37.</w:t>
            </w:r>
          </w:p>
        </w:tc>
        <w:tc>
          <w:tcPr>
            <w:tcW w:w="1701" w:type="dxa"/>
            <w:shd w:val="clear" w:color="auto" w:fill="auto"/>
          </w:tcPr>
          <w:p w:rsidR="009A6B10" w:rsidRPr="009A6B10" w:rsidRDefault="009A6B10" w:rsidP="009A6B10">
            <w:pPr>
              <w:jc w:val="center"/>
            </w:pPr>
            <w:r w:rsidRPr="009A6B10">
              <w:t>3</w:t>
            </w:r>
          </w:p>
        </w:tc>
        <w:tc>
          <w:tcPr>
            <w:tcW w:w="2268" w:type="dxa"/>
            <w:shd w:val="clear" w:color="auto" w:fill="auto"/>
          </w:tcPr>
          <w:p w:rsidR="009A6B10" w:rsidRPr="009A6B10" w:rsidRDefault="009A6B10" w:rsidP="009A6B10">
            <w:pPr>
              <w:jc w:val="center"/>
            </w:pPr>
            <w:r w:rsidRPr="009A6B10">
              <w:t>15</w:t>
            </w:r>
          </w:p>
        </w:tc>
        <w:tc>
          <w:tcPr>
            <w:tcW w:w="2126" w:type="dxa"/>
            <w:shd w:val="clear" w:color="auto" w:fill="auto"/>
          </w:tcPr>
          <w:p w:rsidR="009A6B10" w:rsidRPr="009A6B10" w:rsidRDefault="009A6B10" w:rsidP="009A6B10">
            <w:pPr>
              <w:jc w:val="center"/>
            </w:pPr>
            <w:r w:rsidRPr="009A6B10">
              <w:t>54,8</w:t>
            </w:r>
          </w:p>
        </w:tc>
      </w:tr>
      <w:tr w:rsidR="00E56B8D" w:rsidRPr="009A6B10" w:rsidTr="009A6B10">
        <w:tc>
          <w:tcPr>
            <w:tcW w:w="2235" w:type="dxa"/>
            <w:shd w:val="clear" w:color="auto" w:fill="8DB3E2"/>
          </w:tcPr>
          <w:p w:rsidR="009A6B10" w:rsidRPr="009A6B10" w:rsidRDefault="009A6B10" w:rsidP="009A6B10">
            <w:pPr>
              <w:jc w:val="center"/>
            </w:pPr>
            <w:r w:rsidRPr="009A6B10">
              <w:t>Slovensko</w:t>
            </w:r>
          </w:p>
        </w:tc>
        <w:tc>
          <w:tcPr>
            <w:tcW w:w="1417" w:type="dxa"/>
            <w:shd w:val="clear" w:color="auto" w:fill="8DB3E2"/>
          </w:tcPr>
          <w:p w:rsidR="009A6B10" w:rsidRPr="009A6B10" w:rsidRDefault="009A6B10" w:rsidP="009A6B10">
            <w:pPr>
              <w:jc w:val="center"/>
            </w:pPr>
            <w:r w:rsidRPr="009A6B10">
              <w:t>38.</w:t>
            </w:r>
          </w:p>
        </w:tc>
        <w:tc>
          <w:tcPr>
            <w:tcW w:w="1701" w:type="dxa"/>
            <w:shd w:val="clear" w:color="auto" w:fill="8DB3E2"/>
          </w:tcPr>
          <w:p w:rsidR="009A6B10" w:rsidRPr="009A6B10" w:rsidRDefault="009A6B10" w:rsidP="009A6B10">
            <w:pPr>
              <w:jc w:val="center"/>
            </w:pPr>
            <w:r w:rsidRPr="009A6B10">
              <w:t>4</w:t>
            </w:r>
          </w:p>
        </w:tc>
        <w:tc>
          <w:tcPr>
            <w:tcW w:w="2268" w:type="dxa"/>
            <w:shd w:val="clear" w:color="auto" w:fill="8DB3E2"/>
          </w:tcPr>
          <w:p w:rsidR="009A6B10" w:rsidRPr="009A6B10" w:rsidRDefault="009A6B10" w:rsidP="009A6B10">
            <w:pPr>
              <w:jc w:val="center"/>
            </w:pPr>
            <w:r w:rsidRPr="009A6B10">
              <w:t>18,0</w:t>
            </w:r>
          </w:p>
        </w:tc>
        <w:tc>
          <w:tcPr>
            <w:tcW w:w="2126" w:type="dxa"/>
            <w:shd w:val="clear" w:color="auto" w:fill="8DB3E2"/>
          </w:tcPr>
          <w:p w:rsidR="009A6B10" w:rsidRPr="009A6B10" w:rsidRDefault="009A6B10" w:rsidP="009A6B10">
            <w:pPr>
              <w:jc w:val="center"/>
            </w:pPr>
            <w:r w:rsidRPr="009A6B10">
              <w:t>54,1</w:t>
            </w:r>
          </w:p>
        </w:tc>
      </w:tr>
      <w:tr w:rsidR="009A6B10" w:rsidRPr="009A6B10" w:rsidTr="00E124FA">
        <w:tc>
          <w:tcPr>
            <w:tcW w:w="2235" w:type="dxa"/>
            <w:shd w:val="clear" w:color="auto" w:fill="auto"/>
          </w:tcPr>
          <w:p w:rsidR="009A6B10" w:rsidRPr="009A6B10" w:rsidRDefault="009A6B10" w:rsidP="009A6B10">
            <w:pPr>
              <w:jc w:val="center"/>
            </w:pPr>
            <w:r w:rsidRPr="009A6B10">
              <w:t xml:space="preserve">Maďarsko </w:t>
            </w:r>
          </w:p>
        </w:tc>
        <w:tc>
          <w:tcPr>
            <w:tcW w:w="1417" w:type="dxa"/>
            <w:shd w:val="clear" w:color="auto" w:fill="auto"/>
          </w:tcPr>
          <w:p w:rsidR="009A6B10" w:rsidRPr="009A6B10" w:rsidRDefault="009A6B10" w:rsidP="009A6B10">
            <w:pPr>
              <w:jc w:val="center"/>
            </w:pPr>
            <w:r w:rsidRPr="009A6B10">
              <w:t>70.</w:t>
            </w:r>
          </w:p>
        </w:tc>
        <w:tc>
          <w:tcPr>
            <w:tcW w:w="1701" w:type="dxa"/>
            <w:shd w:val="clear" w:color="auto" w:fill="auto"/>
          </w:tcPr>
          <w:p w:rsidR="009A6B10" w:rsidRPr="009A6B10" w:rsidRDefault="009A6B10" w:rsidP="009A6B10">
            <w:pPr>
              <w:jc w:val="center"/>
            </w:pPr>
            <w:r w:rsidRPr="009A6B10">
              <w:t>2</w:t>
            </w:r>
          </w:p>
        </w:tc>
        <w:tc>
          <w:tcPr>
            <w:tcW w:w="2268" w:type="dxa"/>
            <w:shd w:val="clear" w:color="auto" w:fill="auto"/>
          </w:tcPr>
          <w:p w:rsidR="009A6B10" w:rsidRPr="009A6B10" w:rsidRDefault="009A6B10" w:rsidP="009A6B10">
            <w:pPr>
              <w:jc w:val="center"/>
            </w:pPr>
            <w:r w:rsidRPr="009A6B10">
              <w:t>15</w:t>
            </w:r>
          </w:p>
        </w:tc>
        <w:tc>
          <w:tcPr>
            <w:tcW w:w="2126" w:type="dxa"/>
            <w:shd w:val="clear" w:color="auto" w:fill="auto"/>
          </w:tcPr>
          <w:p w:rsidR="009A6B10" w:rsidRPr="009A6B10" w:rsidRDefault="009A6B10" w:rsidP="009A6B10">
            <w:pPr>
              <w:jc w:val="center"/>
            </w:pPr>
            <w:r w:rsidRPr="009A6B10">
              <w:t>38,3</w:t>
            </w:r>
          </w:p>
        </w:tc>
      </w:tr>
    </w:tbl>
    <w:p w:rsidR="009A6B10" w:rsidRPr="009A6B10" w:rsidRDefault="009A6B10" w:rsidP="009A6B10">
      <w:pPr>
        <w:rPr>
          <w:sz w:val="28"/>
          <w:szCs w:val="28"/>
          <w:u w:val="single"/>
        </w:rPr>
      </w:pPr>
    </w:p>
    <w:p w:rsidR="009A6B10" w:rsidRPr="009A6B10" w:rsidRDefault="009A6B10" w:rsidP="009A6B10">
      <w:pPr>
        <w:rPr>
          <w:sz w:val="28"/>
          <w:szCs w:val="28"/>
          <w:u w:val="single"/>
        </w:rPr>
      </w:pPr>
      <w:r w:rsidRPr="009A6B10">
        <w:rPr>
          <w:sz w:val="28"/>
          <w:szCs w:val="28"/>
          <w:u w:val="single"/>
        </w:rPr>
        <w:t>2.4 Politika finančného sektora</w:t>
      </w:r>
    </w:p>
    <w:p w:rsidR="009A6B10" w:rsidRPr="009A6B10" w:rsidRDefault="009A6B10" w:rsidP="009A6B10">
      <w:pPr>
        <w:rPr>
          <w:sz w:val="28"/>
          <w:szCs w:val="28"/>
          <w:u w:val="single"/>
        </w:rPr>
      </w:pPr>
    </w:p>
    <w:p w:rsidR="009A6B10" w:rsidRPr="009A6B10" w:rsidRDefault="009A6B10" w:rsidP="009A6B10">
      <w:pPr>
        <w:jc w:val="both"/>
      </w:pPr>
      <w:r w:rsidRPr="009A6B10">
        <w:t>V rámci Slovenskej republiky celkový objem úverov dosiahol v polke roka 2013 takmer 38 mld. €. Medziročné tempo rastu bolo za posledné tri roky priemerne 5,9%. Rast pochádzal najmä z neprestajne sa zvyšujúceho množstva poskytnutých úverov domácnostiam (18,8 mld. € ), ktorých stav stúpal medziročne v priemere o 10,6%. Naopak, úvery podnikom vo výške 14,6 mld. € dosiahli svojím, od roku 2012 takmer neprestajným poklesom úrovne zo začiatku roka 2011. Priemerné medziročné tempo rastu úverov podnikom dosiahlo za posledné roky 1,45%.</w:t>
      </w:r>
    </w:p>
    <w:tbl>
      <w:tblPr>
        <w:tblpPr w:leftFromText="141" w:rightFromText="141" w:vertAnchor="text" w:horzAnchor="margin" w:tblpY="126"/>
        <w:tblOverlap w:val="never"/>
        <w:tblW w:w="5123"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9437"/>
      </w:tblGrid>
      <w:tr w:rsidR="009A6B10" w:rsidRPr="009A6B10" w:rsidTr="009A6B10">
        <w:trPr>
          <w:trHeight w:val="361"/>
        </w:trPr>
        <w:tc>
          <w:tcPr>
            <w:tcW w:w="5000" w:type="pct"/>
            <w:tcBorders>
              <w:top w:val="nil"/>
              <w:left w:val="nil"/>
              <w:bottom w:val="single" w:sz="4" w:space="0" w:color="auto"/>
              <w:right w:val="nil"/>
            </w:tcBorders>
            <w:shd w:val="clear" w:color="auto" w:fill="000000"/>
            <w:vAlign w:val="center"/>
          </w:tcPr>
          <w:p w:rsidR="009A6B10" w:rsidRPr="009A6B10" w:rsidRDefault="009A6B10" w:rsidP="00D1230F">
            <w:pPr>
              <w:keepNext/>
              <w:numPr>
                <w:ilvl w:val="0"/>
                <w:numId w:val="23"/>
              </w:numPr>
              <w:spacing w:after="60"/>
              <w:ind w:left="0" w:firstLine="0"/>
              <w:jc w:val="both"/>
              <w:outlineLvl w:val="2"/>
              <w:rPr>
                <w:rFonts w:ascii="Arial Narrow" w:hAnsi="Arial Narrow" w:cs="Arial"/>
                <w:b/>
                <w:color w:val="2C9ADC"/>
                <w:sz w:val="18"/>
                <w:szCs w:val="18"/>
              </w:rPr>
            </w:pPr>
            <w:r w:rsidRPr="009A6B10">
              <w:rPr>
                <w:rFonts w:ascii="Arial Narrow" w:hAnsi="Arial Narrow"/>
                <w:b/>
                <w:bCs/>
                <w:sz w:val="20"/>
                <w:szCs w:val="20"/>
              </w:rPr>
              <w:lastRenderedPageBreak/>
              <w:t>Celkový objem úverov na Slovensku</w:t>
            </w:r>
          </w:p>
        </w:tc>
      </w:tr>
      <w:tr w:rsidR="009A6B10" w:rsidRPr="009A6B10" w:rsidTr="009A6B10">
        <w:trPr>
          <w:trHeight w:val="920"/>
        </w:trPr>
        <w:tc>
          <w:tcPr>
            <w:tcW w:w="5000" w:type="pct"/>
            <w:tcBorders>
              <w:top w:val="single" w:sz="4" w:space="0" w:color="auto"/>
              <w:left w:val="nil"/>
              <w:bottom w:val="single" w:sz="4" w:space="0" w:color="auto"/>
              <w:right w:val="nil"/>
            </w:tcBorders>
            <w:vAlign w:val="center"/>
          </w:tcPr>
          <w:p w:rsidR="009A6B10" w:rsidRPr="009A6B10" w:rsidRDefault="00CB5F71" w:rsidP="009A6B10">
            <w:pPr>
              <w:spacing w:before="40" w:after="40"/>
              <w:jc w:val="both"/>
              <w:rPr>
                <w:rFonts w:ascii="Arial Narrow" w:hAnsi="Arial Narrow" w:cs="Arial"/>
                <w:b/>
                <w:sz w:val="20"/>
                <w:szCs w:val="20"/>
              </w:rPr>
            </w:pPr>
            <w:r>
              <w:rPr>
                <w:rFonts w:ascii="Arial Narrow" w:hAnsi="Arial Narrow"/>
                <w:noProof/>
              </w:rPr>
              <w:pict>
                <v:shape id="_x0000_i1026" type="#_x0000_t75" style="width:426pt;height:12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aq4V3gAAAAUBAAAPAAAAZHJzL2Rvd25y&#10;ZXYueG1sTI/NTsMwEITvSLyDtUjcqE35SQlxKorEBSEi2qqot228JBHxOordJLw9hgtcVhrNaObb&#10;bDnZVgzU+8axhsuZAkFcOtNwpWG7ebpYgPAB2WDrmDR8kYdlfnqSYWrcyG80rEMlYgn7FDXUIXSp&#10;lL6syaKfuY44eh+utxii7CtpehxjuW3lXKlbabHhuFBjR481lZ/ro9Wwv35dPe/fw67Al02xqrbF&#10;WCeD1udn08M9iEBT+AvDD35EhzwyHdyRjRethvhI+L3Ru1PJDYiDhnlypUDmmfxPn38D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">
                  <v:imagedata r:id="rId16" o:title="" croptop="-1939f" cropbottom="-1285f" cropleft="-72f" cropright="-22f"/>
                  <o:lock v:ext="edit" aspectratio="f"/>
                </v:shape>
              </w:pict>
            </w:r>
          </w:p>
        </w:tc>
      </w:tr>
      <w:tr w:rsidR="009A6B10" w:rsidRPr="009A6B10" w:rsidTr="009A6B10">
        <w:trPr>
          <w:trHeight w:val="117"/>
        </w:trPr>
        <w:tc>
          <w:tcPr>
            <w:tcW w:w="5000" w:type="pct"/>
            <w:tcBorders>
              <w:top w:val="single" w:sz="4" w:space="0" w:color="auto"/>
              <w:left w:val="nil"/>
              <w:bottom w:val="nil"/>
              <w:right w:val="nil"/>
            </w:tcBorders>
            <w:vAlign w:val="center"/>
          </w:tcPr>
          <w:p w:rsidR="009A6B10" w:rsidRPr="009A6B10" w:rsidRDefault="009A6B10" w:rsidP="009A6B10">
            <w:pPr>
              <w:spacing w:before="40" w:after="40"/>
              <w:jc w:val="both"/>
              <w:rPr>
                <w:rFonts w:ascii="Arial Narrow" w:hAnsi="Arial Narrow" w:cs="Arial"/>
                <w:sz w:val="14"/>
                <w:szCs w:val="14"/>
              </w:rPr>
            </w:pPr>
            <w:r w:rsidRPr="009A6B10">
              <w:rPr>
                <w:rFonts w:ascii="Arial Narrow" w:hAnsi="Arial Narrow" w:cs="Arial"/>
                <w:sz w:val="14"/>
                <w:szCs w:val="14"/>
              </w:rPr>
              <w:t xml:space="preserve">Zdroj: NBS, IFP </w:t>
            </w:r>
          </w:p>
        </w:tc>
      </w:tr>
    </w:tbl>
    <w:p w:rsidR="009A6B10" w:rsidRPr="009A6B10" w:rsidRDefault="009A6B10" w:rsidP="009A6B10">
      <w:pPr>
        <w:spacing w:after="200" w:line="276" w:lineRule="auto"/>
        <w:jc w:val="both"/>
        <w:rPr>
          <w:rFonts w:ascii="Arial Narrow" w:hAnsi="Arial Narrow"/>
        </w:rPr>
      </w:pPr>
    </w:p>
    <w:tbl>
      <w:tblPr>
        <w:tblpPr w:leftFromText="141" w:rightFromText="141" w:vertAnchor="text" w:horzAnchor="margin" w:tblpY="126"/>
        <w:tblOverlap w:val="never"/>
        <w:tblW w:w="5123"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9437"/>
      </w:tblGrid>
      <w:tr w:rsidR="009A6B10" w:rsidRPr="009A6B10" w:rsidTr="009A6B10">
        <w:trPr>
          <w:trHeight w:val="361"/>
        </w:trPr>
        <w:tc>
          <w:tcPr>
            <w:tcW w:w="2515" w:type="pct"/>
            <w:tcBorders>
              <w:top w:val="nil"/>
              <w:left w:val="nil"/>
              <w:bottom w:val="single" w:sz="4" w:space="0" w:color="auto"/>
              <w:right w:val="nil"/>
            </w:tcBorders>
            <w:shd w:val="clear" w:color="auto" w:fill="000000"/>
            <w:vAlign w:val="center"/>
          </w:tcPr>
          <w:p w:rsidR="009A6B10" w:rsidRPr="009A6B10" w:rsidRDefault="009A6B10" w:rsidP="00D1230F">
            <w:pPr>
              <w:keepNext/>
              <w:numPr>
                <w:ilvl w:val="0"/>
                <w:numId w:val="23"/>
              </w:numPr>
              <w:spacing w:after="60"/>
              <w:ind w:left="0" w:firstLine="0"/>
              <w:jc w:val="both"/>
              <w:outlineLvl w:val="2"/>
              <w:rPr>
                <w:rFonts w:ascii="Arial Narrow" w:hAnsi="Arial Narrow"/>
                <w:b/>
                <w:bCs/>
                <w:sz w:val="20"/>
                <w:szCs w:val="20"/>
              </w:rPr>
            </w:pPr>
            <w:r w:rsidRPr="009A6B10">
              <w:rPr>
                <w:rFonts w:ascii="Arial Narrow" w:hAnsi="Arial Narrow"/>
                <w:b/>
                <w:bCs/>
                <w:sz w:val="20"/>
                <w:szCs w:val="20"/>
              </w:rPr>
              <w:t>Úvery podnikom</w:t>
            </w:r>
          </w:p>
        </w:tc>
      </w:tr>
      <w:tr w:rsidR="009A6B10" w:rsidRPr="009A6B10" w:rsidTr="009A6B10">
        <w:trPr>
          <w:trHeight w:val="920"/>
        </w:trPr>
        <w:tc>
          <w:tcPr>
            <w:tcW w:w="2515" w:type="pct"/>
            <w:tcBorders>
              <w:top w:val="single" w:sz="4" w:space="0" w:color="auto"/>
              <w:left w:val="nil"/>
              <w:bottom w:val="single" w:sz="4" w:space="0" w:color="auto"/>
              <w:right w:val="nil"/>
            </w:tcBorders>
            <w:vAlign w:val="center"/>
          </w:tcPr>
          <w:p w:rsidR="009A6B10" w:rsidRPr="009A6B10" w:rsidRDefault="00CB5F71" w:rsidP="009A6B10">
            <w:pPr>
              <w:spacing w:before="40" w:after="40"/>
              <w:jc w:val="both"/>
              <w:rPr>
                <w:rFonts w:ascii="Arial Narrow" w:hAnsi="Arial Narrow" w:cs="Arial"/>
                <w:b/>
                <w:sz w:val="20"/>
                <w:szCs w:val="20"/>
              </w:rPr>
            </w:pPr>
            <w:r>
              <w:rPr>
                <w:rFonts w:ascii="Arial Narrow" w:hAnsi="Arial Narrow"/>
                <w:noProof/>
              </w:rPr>
              <w:pict>
                <v:shape id="Graf 3" o:spid="_x0000_i1027" type="#_x0000_t75" style="width:424.5pt;height:12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taEn3QAAAAUBAAAPAAAAZHJzL2Rvd25y&#10;ZXYueG1sTI9BT8JAEIXvJvyHzZB4k61EQWq3hIA9GLkIXrgt3aFt6M6W7lLaf+/oRS+TN3mT975J&#10;lr2tRYetrxwpeJxEIJByZyoqFHzts4cXED5oMrp2hAoG9LBMR3eJjo270Sd2u1AIDiEfawVlCE0s&#10;pc9LtNpPXIPE3sm1Vgde20KaVt843NZyGkUzaXVF3FDqBtcl5ufd1SpYDx9PGb6/XbbZ6bA/X2Zy&#10;yDadUvfjfvUKImAf/o7hB5/RIWWmo7uS8aJWwI+E38neIpo/gzgqmM5ZyDSR/+nT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">
                  <v:imagedata r:id="rId17" o:title="" croptop="-4457f" cropbottom="-1494f" cropleft="-138f" cropright="-22f"/>
                  <o:lock v:ext="edit" aspectratio="f"/>
                </v:shape>
              </w:pict>
            </w:r>
          </w:p>
        </w:tc>
      </w:tr>
      <w:tr w:rsidR="009A6B10" w:rsidRPr="009A6B10" w:rsidTr="009A6B10">
        <w:trPr>
          <w:trHeight w:val="117"/>
        </w:trPr>
        <w:tc>
          <w:tcPr>
            <w:tcW w:w="2515" w:type="pct"/>
            <w:tcBorders>
              <w:top w:val="single" w:sz="4" w:space="0" w:color="auto"/>
              <w:left w:val="nil"/>
              <w:bottom w:val="nil"/>
              <w:right w:val="nil"/>
            </w:tcBorders>
            <w:vAlign w:val="center"/>
          </w:tcPr>
          <w:p w:rsidR="009A6B10" w:rsidRPr="009A6B10" w:rsidRDefault="009A6B10" w:rsidP="009A6B10">
            <w:pPr>
              <w:spacing w:before="40" w:after="40"/>
              <w:jc w:val="both"/>
              <w:rPr>
                <w:rFonts w:ascii="Arial Narrow" w:hAnsi="Arial Narrow" w:cs="Arial"/>
                <w:sz w:val="14"/>
                <w:szCs w:val="14"/>
              </w:rPr>
            </w:pPr>
            <w:r w:rsidRPr="009A6B10">
              <w:rPr>
                <w:rFonts w:ascii="Arial Narrow" w:hAnsi="Arial Narrow" w:cs="Arial"/>
                <w:sz w:val="14"/>
                <w:szCs w:val="14"/>
              </w:rPr>
              <w:t xml:space="preserve">Zdroj: NBS, IFP </w:t>
            </w:r>
          </w:p>
        </w:tc>
      </w:tr>
    </w:tbl>
    <w:p w:rsidR="009A6B10" w:rsidRPr="009A6B10" w:rsidRDefault="009A6B10" w:rsidP="009A6B10">
      <w:pPr>
        <w:jc w:val="both"/>
        <w:rPr>
          <w:rFonts w:ascii="Arial Narrow" w:hAnsi="Arial Narrow"/>
        </w:rPr>
      </w:pPr>
    </w:p>
    <w:tbl>
      <w:tblPr>
        <w:tblW w:w="6942" w:type="dxa"/>
        <w:jc w:val="center"/>
        <w:tblCellMar>
          <w:left w:w="70" w:type="dxa"/>
          <w:right w:w="70" w:type="dxa"/>
        </w:tblCellMar>
        <w:tblLook w:val="00A0" w:firstRow="1" w:lastRow="0" w:firstColumn="1" w:lastColumn="0" w:noHBand="0" w:noVBand="0"/>
      </w:tblPr>
      <w:tblGrid>
        <w:gridCol w:w="3964"/>
        <w:gridCol w:w="501"/>
        <w:gridCol w:w="501"/>
        <w:gridCol w:w="494"/>
        <w:gridCol w:w="494"/>
        <w:gridCol w:w="494"/>
        <w:gridCol w:w="494"/>
      </w:tblGrid>
      <w:tr w:rsidR="009A6B10" w:rsidRPr="009A6B10" w:rsidTr="009A6B10">
        <w:trPr>
          <w:trHeight w:val="284"/>
          <w:jc w:val="center"/>
        </w:trPr>
        <w:tc>
          <w:tcPr>
            <w:tcW w:w="0" w:type="auto"/>
            <w:gridSpan w:val="7"/>
            <w:tcBorders>
              <w:top w:val="nil"/>
              <w:left w:val="nil"/>
              <w:bottom w:val="nil"/>
              <w:right w:val="nil"/>
            </w:tcBorders>
            <w:noWrap/>
            <w:vAlign w:val="bottom"/>
          </w:tcPr>
          <w:p w:rsidR="009A6B10" w:rsidRPr="009A6B10" w:rsidRDefault="009A6B10" w:rsidP="009A6B10">
            <w:pPr>
              <w:jc w:val="both"/>
              <w:rPr>
                <w:rFonts w:ascii="Arial Narrow" w:hAnsi="Arial Narrow"/>
                <w:b/>
                <w:bCs/>
                <w:color w:val="2C9ADC"/>
                <w:szCs w:val="22"/>
              </w:rPr>
            </w:pPr>
            <w:r w:rsidRPr="009A6B10">
              <w:rPr>
                <w:rFonts w:ascii="Arial Narrow" w:hAnsi="Arial Narrow"/>
                <w:b/>
                <w:bCs/>
                <w:color w:val="2C9ADC"/>
                <w:sz w:val="22"/>
                <w:szCs w:val="22"/>
              </w:rPr>
              <w:t>Prognóza vybraných ukazovateľov ekonomiky (september 2013)</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b/>
                <w:bCs/>
                <w:color w:val="000000"/>
                <w:sz w:val="18"/>
                <w:szCs w:val="18"/>
              </w:rPr>
            </w:pPr>
            <w:r w:rsidRPr="009A6B10">
              <w:rPr>
                <w:rFonts w:ascii="Arial Narrow" w:hAnsi="Arial Narrow"/>
                <w:b/>
                <w:bCs/>
                <w:color w:val="000000"/>
                <w:sz w:val="18"/>
                <w:szCs w:val="18"/>
              </w:rPr>
              <w:t>ukazovateľ</w:t>
            </w:r>
          </w:p>
        </w:tc>
        <w:tc>
          <w:tcPr>
            <w:tcW w:w="0" w:type="auto"/>
            <w:gridSpan w:val="2"/>
            <w:tcBorders>
              <w:top w:val="nil"/>
              <w:left w:val="nil"/>
              <w:bottom w:val="nil"/>
              <w:right w:val="single" w:sz="4" w:space="0" w:color="000000"/>
            </w:tcBorders>
            <w:noWrap/>
            <w:vAlign w:val="bottom"/>
          </w:tcPr>
          <w:p w:rsidR="009A6B10" w:rsidRPr="009A6B10" w:rsidRDefault="009A6B10" w:rsidP="009A6B10">
            <w:pPr>
              <w:jc w:val="both"/>
              <w:rPr>
                <w:rFonts w:ascii="Arial Narrow" w:hAnsi="Arial Narrow"/>
                <w:b/>
                <w:bCs/>
                <w:color w:val="000000"/>
                <w:sz w:val="18"/>
                <w:szCs w:val="18"/>
              </w:rPr>
            </w:pPr>
            <w:r w:rsidRPr="009A6B10">
              <w:rPr>
                <w:rFonts w:ascii="Arial Narrow" w:hAnsi="Arial Narrow"/>
                <w:b/>
                <w:bCs/>
                <w:color w:val="000000"/>
                <w:sz w:val="18"/>
                <w:szCs w:val="18"/>
              </w:rPr>
              <w:t>skutočnosť</w:t>
            </w:r>
          </w:p>
        </w:tc>
        <w:tc>
          <w:tcPr>
            <w:tcW w:w="0" w:type="auto"/>
            <w:gridSpan w:val="4"/>
            <w:tcBorders>
              <w:top w:val="nil"/>
              <w:left w:val="nil"/>
              <w:bottom w:val="nil"/>
              <w:right w:val="nil"/>
            </w:tcBorders>
            <w:noWrap/>
            <w:vAlign w:val="bottom"/>
          </w:tcPr>
          <w:p w:rsidR="009A6B10" w:rsidRPr="009A6B10" w:rsidRDefault="009A6B10" w:rsidP="009A6B10">
            <w:pPr>
              <w:jc w:val="both"/>
              <w:rPr>
                <w:rFonts w:ascii="Arial Narrow" w:hAnsi="Arial Narrow"/>
                <w:b/>
                <w:bCs/>
                <w:color w:val="000000"/>
                <w:sz w:val="18"/>
                <w:szCs w:val="18"/>
              </w:rPr>
            </w:pPr>
            <w:r w:rsidRPr="009A6B10">
              <w:rPr>
                <w:rFonts w:ascii="Arial Narrow" w:hAnsi="Arial Narrow"/>
                <w:b/>
                <w:bCs/>
                <w:color w:val="000000"/>
                <w:sz w:val="18"/>
                <w:szCs w:val="18"/>
              </w:rPr>
              <w:t>prognóza</w:t>
            </w:r>
          </w:p>
        </w:tc>
      </w:tr>
      <w:tr w:rsidR="009A6B10" w:rsidRPr="009A6B10" w:rsidTr="009A6B10">
        <w:trPr>
          <w:trHeight w:val="284"/>
          <w:jc w:val="center"/>
        </w:trPr>
        <w:tc>
          <w:tcPr>
            <w:tcW w:w="0" w:type="auto"/>
            <w:tcBorders>
              <w:top w:val="nil"/>
              <w:left w:val="nil"/>
              <w:bottom w:val="single" w:sz="4" w:space="0" w:color="auto"/>
              <w:right w:val="single" w:sz="4" w:space="0" w:color="auto"/>
            </w:tcBorders>
            <w:noWrap/>
            <w:vAlign w:val="bottom"/>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 rast v % ak nie je uvedené inak)</w:t>
            </w:r>
          </w:p>
        </w:tc>
        <w:tc>
          <w:tcPr>
            <w:tcW w:w="0" w:type="auto"/>
            <w:tcBorders>
              <w:top w:val="nil"/>
              <w:left w:val="nil"/>
              <w:bottom w:val="single" w:sz="4" w:space="0" w:color="auto"/>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2011</w:t>
            </w:r>
          </w:p>
        </w:tc>
        <w:tc>
          <w:tcPr>
            <w:tcW w:w="0" w:type="auto"/>
            <w:tcBorders>
              <w:top w:val="nil"/>
              <w:left w:val="nil"/>
              <w:bottom w:val="single" w:sz="4" w:space="0" w:color="auto"/>
              <w:right w:val="single" w:sz="4" w:space="0" w:color="auto"/>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2012</w:t>
            </w:r>
          </w:p>
        </w:tc>
        <w:tc>
          <w:tcPr>
            <w:tcW w:w="0" w:type="auto"/>
            <w:tcBorders>
              <w:top w:val="nil"/>
              <w:left w:val="nil"/>
              <w:bottom w:val="single" w:sz="4" w:space="0" w:color="auto"/>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2013</w:t>
            </w:r>
          </w:p>
        </w:tc>
        <w:tc>
          <w:tcPr>
            <w:tcW w:w="0" w:type="auto"/>
            <w:tcBorders>
              <w:top w:val="nil"/>
              <w:left w:val="nil"/>
              <w:bottom w:val="single" w:sz="4" w:space="0" w:color="auto"/>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2014</w:t>
            </w:r>
          </w:p>
        </w:tc>
        <w:tc>
          <w:tcPr>
            <w:tcW w:w="0" w:type="auto"/>
            <w:tcBorders>
              <w:top w:val="nil"/>
              <w:left w:val="nil"/>
              <w:bottom w:val="single" w:sz="4" w:space="0" w:color="auto"/>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2015</w:t>
            </w:r>
          </w:p>
        </w:tc>
        <w:tc>
          <w:tcPr>
            <w:tcW w:w="0" w:type="auto"/>
            <w:tcBorders>
              <w:top w:val="nil"/>
              <w:left w:val="nil"/>
              <w:bottom w:val="single" w:sz="4" w:space="0" w:color="auto"/>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2016</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b/>
                <w:bCs/>
                <w:color w:val="000000"/>
                <w:sz w:val="18"/>
                <w:szCs w:val="18"/>
              </w:rPr>
            </w:pPr>
            <w:r w:rsidRPr="009A6B10">
              <w:rPr>
                <w:rFonts w:ascii="Arial Narrow" w:hAnsi="Arial Narrow"/>
                <w:b/>
                <w:bCs/>
                <w:color w:val="000000"/>
                <w:sz w:val="18"/>
                <w:szCs w:val="18"/>
              </w:rPr>
              <w:t>Hrubý domáci produkt</w:t>
            </w:r>
          </w:p>
        </w:tc>
        <w:tc>
          <w:tcPr>
            <w:tcW w:w="0" w:type="auto"/>
            <w:tcBorders>
              <w:top w:val="nil"/>
              <w:left w:val="nil"/>
              <w:bottom w:val="nil"/>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 </w:t>
            </w:r>
          </w:p>
        </w:tc>
        <w:tc>
          <w:tcPr>
            <w:tcW w:w="0" w:type="auto"/>
            <w:tcBorders>
              <w:top w:val="nil"/>
              <w:left w:val="nil"/>
              <w:bottom w:val="nil"/>
              <w:right w:val="single" w:sz="4" w:space="0" w:color="auto"/>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 </w:t>
            </w:r>
          </w:p>
        </w:tc>
        <w:tc>
          <w:tcPr>
            <w:tcW w:w="0" w:type="auto"/>
            <w:tcBorders>
              <w:top w:val="nil"/>
              <w:left w:val="nil"/>
              <w:bottom w:val="nil"/>
              <w:right w:val="nil"/>
            </w:tcBorders>
            <w:noWrap/>
            <w:vAlign w:val="center"/>
          </w:tcPr>
          <w:p w:rsidR="009A6B10" w:rsidRPr="009A6B10" w:rsidRDefault="009A6B10" w:rsidP="009A6B10">
            <w:pPr>
              <w:jc w:val="both"/>
              <w:rPr>
                <w:rFonts w:ascii="Arial Narrow" w:hAnsi="Arial Narrow"/>
                <w:color w:val="000000"/>
                <w:sz w:val="18"/>
                <w:szCs w:val="18"/>
              </w:rPr>
            </w:pPr>
            <w:r w:rsidRPr="009A6B10">
              <w:rPr>
                <w:rFonts w:ascii="Arial Narrow" w:hAnsi="Arial Narrow"/>
                <w:color w:val="000000"/>
                <w:sz w:val="18"/>
                <w:szCs w:val="18"/>
              </w:rPr>
              <w:t> </w:t>
            </w:r>
          </w:p>
        </w:tc>
        <w:tc>
          <w:tcPr>
            <w:tcW w:w="0" w:type="auto"/>
            <w:tcBorders>
              <w:top w:val="nil"/>
              <w:left w:val="nil"/>
              <w:bottom w:val="nil"/>
              <w:right w:val="nil"/>
            </w:tcBorders>
            <w:noWrap/>
            <w:vAlign w:val="center"/>
          </w:tcPr>
          <w:p w:rsidR="009A6B10" w:rsidRPr="009A6B10" w:rsidRDefault="009A6B10" w:rsidP="009A6B10">
            <w:pPr>
              <w:jc w:val="both"/>
              <w:rPr>
                <w:rFonts w:ascii="Arial Narrow" w:hAnsi="Arial Narrow"/>
                <w:color w:val="000000"/>
                <w:sz w:val="18"/>
                <w:szCs w:val="18"/>
              </w:rPr>
            </w:pPr>
          </w:p>
        </w:tc>
        <w:tc>
          <w:tcPr>
            <w:tcW w:w="0" w:type="auto"/>
            <w:tcBorders>
              <w:top w:val="nil"/>
              <w:left w:val="nil"/>
              <w:bottom w:val="nil"/>
              <w:right w:val="nil"/>
            </w:tcBorders>
            <w:noWrap/>
            <w:vAlign w:val="center"/>
          </w:tcPr>
          <w:p w:rsidR="009A6B10" w:rsidRPr="009A6B10" w:rsidRDefault="009A6B10" w:rsidP="009A6B10">
            <w:pPr>
              <w:jc w:val="both"/>
              <w:rPr>
                <w:rFonts w:ascii="Arial Narrow" w:hAnsi="Arial Narrow"/>
                <w:color w:val="000000"/>
                <w:sz w:val="18"/>
                <w:szCs w:val="18"/>
              </w:rPr>
            </w:pPr>
          </w:p>
        </w:tc>
        <w:tc>
          <w:tcPr>
            <w:tcW w:w="0" w:type="auto"/>
            <w:tcBorders>
              <w:top w:val="nil"/>
              <w:left w:val="nil"/>
              <w:bottom w:val="nil"/>
              <w:right w:val="nil"/>
            </w:tcBorders>
            <w:noWrap/>
            <w:vAlign w:val="center"/>
          </w:tcPr>
          <w:p w:rsidR="009A6B10" w:rsidRPr="009A6B10" w:rsidRDefault="009A6B10" w:rsidP="009A6B10">
            <w:pPr>
              <w:jc w:val="both"/>
              <w:rPr>
                <w:rFonts w:ascii="Arial Narrow" w:hAnsi="Arial Narrow"/>
                <w:color w:val="000000"/>
                <w:sz w:val="18"/>
                <w:szCs w:val="18"/>
              </w:rPr>
            </w:pP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xml:space="preserve">HDP, v bežných cenách (mld. </w:t>
            </w:r>
            <w:r w:rsidRPr="009A6B10">
              <w:rPr>
                <w:rFonts w:ascii="Arial" w:hAnsi="Arial" w:cs="Arial"/>
                <w:sz w:val="18"/>
                <w:szCs w:val="18"/>
              </w:rPr>
              <w:t>€</w:t>
            </w:r>
            <w:r w:rsidRPr="009A6B10">
              <w:rPr>
                <w:rFonts w:ascii="Arial Narrow" w:hAnsi="Arial Narrow"/>
                <w:sz w:val="18"/>
                <w:szCs w:val="18"/>
              </w:rPr>
              <w:t>)</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69,1</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71,5</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73,0</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75,8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79,5</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83,5</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HDP, reálny rast</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3,2</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2,0</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2,2</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2,9</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3,1</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Súkromná spotreba, reálny rast</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-0,5</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-0,6</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0,5</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2,1</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2,2</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Súkromná spotreba, nominálny rast</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3,4</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3,1</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2,0</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2,5</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4,3</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4,6</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Vládna spotreba</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-4,3</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-0,6</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-0,7</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-1,2</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-2,3</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-2,2</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Fixné investície</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14,2</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-3,7</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-5,8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2,9</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-0,1</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-1,5</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Export tovarov a služieb</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12,7</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8,6</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4,8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4,3</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4,5</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5,1</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Import tovarov a služieb</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10,1</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1,7</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3,3</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2,9</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3,3</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b/>
                <w:bCs/>
                <w:color w:val="000000"/>
                <w:sz w:val="18"/>
                <w:szCs w:val="18"/>
              </w:rPr>
            </w:pPr>
            <w:r w:rsidRPr="009A6B10">
              <w:rPr>
                <w:rFonts w:ascii="Arial Narrow" w:hAnsi="Arial Narrow"/>
                <w:b/>
                <w:bCs/>
                <w:color w:val="000000"/>
                <w:sz w:val="18"/>
                <w:szCs w:val="18"/>
              </w:rPr>
              <w:t>Trh práce</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Zamestnanosť (podľa podnikového výkazníctva)</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1,9</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-0,1</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-1,0</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0,2</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0,6</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0,7</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xml:space="preserve">Priemerná mesačná mzda za hospodárstvo; </w:t>
            </w:r>
            <w:proofErr w:type="spellStart"/>
            <w:r w:rsidRPr="009A6B10">
              <w:rPr>
                <w:rFonts w:ascii="Arial Narrow" w:hAnsi="Arial Narrow"/>
                <w:sz w:val="18"/>
                <w:szCs w:val="18"/>
              </w:rPr>
              <w:t>nom</w:t>
            </w:r>
            <w:proofErr w:type="spellEnd"/>
            <w:r w:rsidRPr="009A6B10">
              <w:rPr>
                <w:rFonts w:ascii="Arial Narrow" w:hAnsi="Arial Narrow"/>
                <w:sz w:val="18"/>
                <w:szCs w:val="18"/>
              </w:rPr>
              <w:t>. rast</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2,2</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2,4</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2,6</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2,8</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3,4</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3,5</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Priemerná mesačná mzda za hospodárstvo; reálny rast</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-1,6</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-1,2</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0,9</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1,1</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1,3</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1,2</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Miera nezamestnanosti (VZPS)</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13,6</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14,0</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14,5</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14,3</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13,6</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12,7</w:t>
            </w: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r>
      <w:tr w:rsidR="009A6B10" w:rsidRPr="009A6B10" w:rsidTr="009A6B10">
        <w:trPr>
          <w:trHeight w:val="284"/>
          <w:jc w:val="center"/>
        </w:trPr>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b/>
                <w:bCs/>
                <w:color w:val="000000"/>
                <w:sz w:val="18"/>
                <w:szCs w:val="18"/>
              </w:rPr>
            </w:pPr>
            <w:r w:rsidRPr="009A6B10">
              <w:rPr>
                <w:rFonts w:ascii="Arial Narrow" w:hAnsi="Arial Narrow"/>
                <w:b/>
                <w:bCs/>
                <w:color w:val="000000"/>
                <w:sz w:val="18"/>
                <w:szCs w:val="18"/>
              </w:rPr>
              <w:t>Inflácia</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 </w:t>
            </w: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c>
          <w:tcPr>
            <w:tcW w:w="0" w:type="auto"/>
            <w:tcBorders>
              <w:top w:val="nil"/>
              <w:left w:val="nil"/>
              <w:bottom w:val="nil"/>
              <w:right w:val="nil"/>
            </w:tcBorders>
            <w:noWrap/>
            <w:vAlign w:val="bottom"/>
          </w:tcPr>
          <w:p w:rsidR="009A6B10" w:rsidRPr="009A6B10" w:rsidRDefault="009A6B10" w:rsidP="009A6B10">
            <w:pPr>
              <w:jc w:val="both"/>
              <w:rPr>
                <w:rFonts w:ascii="Arial Narrow" w:hAnsi="Arial Narrow"/>
                <w:sz w:val="18"/>
                <w:szCs w:val="18"/>
              </w:rPr>
            </w:pPr>
          </w:p>
        </w:tc>
      </w:tr>
      <w:tr w:rsidR="009A6B10" w:rsidRPr="009A6B10" w:rsidTr="009A6B10">
        <w:trPr>
          <w:trHeight w:val="284"/>
          <w:jc w:val="center"/>
        </w:trPr>
        <w:tc>
          <w:tcPr>
            <w:tcW w:w="0" w:type="auto"/>
            <w:tcBorders>
              <w:top w:val="nil"/>
              <w:left w:val="nil"/>
              <w:bottom w:val="single" w:sz="4" w:space="0" w:color="auto"/>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Index spotrebiteľských cien</w:t>
            </w:r>
          </w:p>
        </w:tc>
        <w:tc>
          <w:tcPr>
            <w:tcW w:w="0" w:type="auto"/>
            <w:tcBorders>
              <w:top w:val="nil"/>
              <w:left w:val="nil"/>
              <w:bottom w:val="single" w:sz="4" w:space="0" w:color="auto"/>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3,9</w:t>
            </w:r>
          </w:p>
        </w:tc>
        <w:tc>
          <w:tcPr>
            <w:tcW w:w="0" w:type="auto"/>
            <w:tcBorders>
              <w:top w:val="nil"/>
              <w:left w:val="nil"/>
              <w:bottom w:val="single" w:sz="4" w:space="0" w:color="auto"/>
              <w:right w:val="single" w:sz="4" w:space="0" w:color="auto"/>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3,6</w:t>
            </w:r>
          </w:p>
        </w:tc>
        <w:tc>
          <w:tcPr>
            <w:tcW w:w="0" w:type="auto"/>
            <w:tcBorders>
              <w:top w:val="nil"/>
              <w:left w:val="nil"/>
              <w:bottom w:val="single" w:sz="4" w:space="0" w:color="auto"/>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1,6</w:t>
            </w:r>
          </w:p>
        </w:tc>
        <w:tc>
          <w:tcPr>
            <w:tcW w:w="0" w:type="auto"/>
            <w:tcBorders>
              <w:top w:val="nil"/>
              <w:left w:val="nil"/>
              <w:bottom w:val="single" w:sz="4" w:space="0" w:color="auto"/>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1,7</w:t>
            </w:r>
          </w:p>
        </w:tc>
        <w:tc>
          <w:tcPr>
            <w:tcW w:w="0" w:type="auto"/>
            <w:tcBorders>
              <w:top w:val="nil"/>
              <w:left w:val="nil"/>
              <w:bottom w:val="single" w:sz="4" w:space="0" w:color="auto"/>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2,1</w:t>
            </w:r>
          </w:p>
        </w:tc>
        <w:tc>
          <w:tcPr>
            <w:tcW w:w="0" w:type="auto"/>
            <w:tcBorders>
              <w:top w:val="nil"/>
              <w:left w:val="nil"/>
              <w:bottom w:val="single" w:sz="4" w:space="0" w:color="auto"/>
              <w:right w:val="nil"/>
            </w:tcBorders>
            <w:noWrap/>
            <w:vAlign w:val="bottom"/>
          </w:tcPr>
          <w:p w:rsidR="009A6B10" w:rsidRPr="009A6B10" w:rsidRDefault="009A6B10" w:rsidP="009A6B10">
            <w:pPr>
              <w:jc w:val="both"/>
              <w:rPr>
                <w:rFonts w:ascii="Arial Narrow" w:hAnsi="Arial Narrow"/>
                <w:sz w:val="18"/>
                <w:szCs w:val="18"/>
              </w:rPr>
            </w:pPr>
            <w:r w:rsidRPr="009A6B10">
              <w:rPr>
                <w:rFonts w:ascii="Arial Narrow" w:hAnsi="Arial Narrow"/>
                <w:sz w:val="18"/>
                <w:szCs w:val="18"/>
              </w:rPr>
              <w:t>2,3</w:t>
            </w:r>
          </w:p>
        </w:tc>
      </w:tr>
      <w:tr w:rsidR="009A6B10" w:rsidRPr="009A6B10" w:rsidTr="009A6B10">
        <w:trPr>
          <w:trHeight w:val="284"/>
          <w:jc w:val="center"/>
        </w:trPr>
        <w:tc>
          <w:tcPr>
            <w:tcW w:w="0" w:type="auto"/>
            <w:gridSpan w:val="7"/>
            <w:tcBorders>
              <w:top w:val="single" w:sz="4" w:space="0" w:color="auto"/>
              <w:left w:val="nil"/>
              <w:bottom w:val="nil"/>
              <w:right w:val="nil"/>
            </w:tcBorders>
            <w:noWrap/>
            <w:vAlign w:val="bottom"/>
          </w:tcPr>
          <w:p w:rsidR="009A6B10" w:rsidRPr="009A6B10" w:rsidRDefault="009A6B10" w:rsidP="009A6B10">
            <w:pPr>
              <w:jc w:val="both"/>
              <w:rPr>
                <w:rFonts w:ascii="Arial Narrow" w:hAnsi="Arial Narrow"/>
                <w:i/>
                <w:iCs/>
                <w:color w:val="000000"/>
                <w:sz w:val="16"/>
                <w:szCs w:val="16"/>
              </w:rPr>
            </w:pPr>
            <w:r w:rsidRPr="009A6B10">
              <w:rPr>
                <w:rFonts w:ascii="Arial Narrow" w:hAnsi="Arial Narrow"/>
                <w:i/>
                <w:iCs/>
                <w:color w:val="000000"/>
                <w:sz w:val="16"/>
                <w:szCs w:val="16"/>
              </w:rPr>
              <w:t>Zdroj: ŠÚ SR, IFP</w:t>
            </w:r>
          </w:p>
        </w:tc>
      </w:tr>
    </w:tbl>
    <w:p w:rsidR="009A6B10" w:rsidRPr="009A6B10" w:rsidRDefault="009A6B10" w:rsidP="009A6B10">
      <w:pPr>
        <w:rPr>
          <w:sz w:val="28"/>
          <w:szCs w:val="28"/>
          <w:u w:val="single"/>
        </w:rPr>
      </w:pPr>
      <w:r w:rsidRPr="009A6B10">
        <w:rPr>
          <w:sz w:val="28"/>
          <w:szCs w:val="28"/>
          <w:u w:val="single"/>
        </w:rPr>
        <w:lastRenderedPageBreak/>
        <w:t>2.5 Priemyselná politika</w:t>
      </w:r>
    </w:p>
    <w:p w:rsidR="009A6B10" w:rsidRPr="009A6B10" w:rsidRDefault="009A6B10" w:rsidP="009A6B10">
      <w:pPr>
        <w:rPr>
          <w:sz w:val="28"/>
          <w:szCs w:val="28"/>
          <w:u w:val="single"/>
        </w:rPr>
      </w:pPr>
    </w:p>
    <w:p w:rsidR="009A6B10" w:rsidRPr="009A6B10" w:rsidRDefault="009A6B10" w:rsidP="009A6B10">
      <w:pPr>
        <w:spacing w:before="120" w:after="120"/>
        <w:ind w:firstLine="709"/>
        <w:jc w:val="both"/>
        <w:rPr>
          <w:noProof/>
        </w:rPr>
      </w:pPr>
      <w:r w:rsidRPr="009A6B10">
        <w:rPr>
          <w:noProof/>
        </w:rPr>
        <w:t>Na rozdiel od priemeru EÚ, kde priemysel v roku 2012 prispel k ce</w:t>
      </w:r>
      <w:r w:rsidR="00A07396">
        <w:rPr>
          <w:noProof/>
        </w:rPr>
        <w:t>lkovej tvorbe HDP podielom 15,5</w:t>
      </w:r>
      <w:r w:rsidRPr="009A6B10">
        <w:rPr>
          <w:noProof/>
        </w:rPr>
        <w:t>%, v uvedenom období</w:t>
      </w:r>
      <w:r w:rsidR="00A07396">
        <w:rPr>
          <w:noProof/>
        </w:rPr>
        <w:t xml:space="preserve"> v SR priemysel zabezpečil 25,5</w:t>
      </w:r>
      <w:r w:rsidRPr="009A6B10">
        <w:rPr>
          <w:noProof/>
        </w:rPr>
        <w:t>% HDP</w:t>
      </w:r>
      <w:r w:rsidR="00A07396">
        <w:rPr>
          <w:noProof/>
        </w:rPr>
        <w:t>, v tom priemyselná výroba 20,3</w:t>
      </w:r>
      <w:r w:rsidRPr="009A6B10">
        <w:rPr>
          <w:noProof/>
        </w:rPr>
        <w:t>%, pričom tento segment hospodárstva vykázal vysoký medziročný ra</w:t>
      </w:r>
      <w:r w:rsidR="00A07396">
        <w:rPr>
          <w:noProof/>
        </w:rPr>
        <w:t>st hrubej pridanej hodnoty o 10</w:t>
      </w:r>
      <w:r w:rsidRPr="009A6B10">
        <w:rPr>
          <w:noProof/>
        </w:rPr>
        <w:t>% . Podrobnejšie údaje podľa zdrojov ŠÚ SR sú uvedené v nasledujúcej tabuľke.</w:t>
      </w:r>
    </w:p>
    <w:p w:rsidR="0049441D" w:rsidRPr="00CB5F71" w:rsidRDefault="0049441D" w:rsidP="009A6B10">
      <w:pPr>
        <w:spacing w:before="120" w:after="120"/>
        <w:ind w:firstLine="709"/>
        <w:jc w:val="center"/>
        <w:rPr>
          <w:noProof/>
        </w:rPr>
      </w:pPr>
      <w:r w:rsidRPr="00CB5F71">
        <w:rPr>
          <w:noProof/>
        </w:rPr>
        <w:t>Štruktúra HDP SR v bežných cenách</w:t>
      </w:r>
    </w:p>
    <w:tbl>
      <w:tblPr>
        <w:tblW w:w="13986" w:type="dxa"/>
        <w:tblInd w:w="55" w:type="dxa"/>
        <w:tblCellMar>
          <w:left w:w="70" w:type="dxa"/>
          <w:right w:w="70" w:type="dxa"/>
        </w:tblCellMar>
        <w:tblLook w:val="00A0" w:firstRow="1" w:lastRow="0" w:firstColumn="1" w:lastColumn="0" w:noHBand="0" w:noVBand="0"/>
      </w:tblPr>
      <w:tblGrid>
        <w:gridCol w:w="13986"/>
      </w:tblGrid>
      <w:tr w:rsidR="009A6B10" w:rsidRPr="009A6B10" w:rsidTr="009A6B10">
        <w:trPr>
          <w:trHeight w:val="300"/>
        </w:trPr>
        <w:tc>
          <w:tcPr>
            <w:tcW w:w="13986" w:type="dxa"/>
            <w:tcBorders>
              <w:top w:val="nil"/>
              <w:left w:val="nil"/>
              <w:bottom w:val="nil"/>
              <w:right w:val="nil"/>
            </w:tcBorders>
            <w:shd w:val="clear" w:color="000000" w:fill="FFFFFF"/>
          </w:tcPr>
          <w:tbl>
            <w:tblPr>
              <w:tblW w:w="8798" w:type="dxa"/>
              <w:tblCellMar>
                <w:left w:w="70" w:type="dxa"/>
                <w:right w:w="70" w:type="dxa"/>
              </w:tblCellMar>
              <w:tblLook w:val="00A0" w:firstRow="1" w:lastRow="0" w:firstColumn="1" w:lastColumn="0" w:noHBand="0" w:noVBand="0"/>
            </w:tblPr>
            <w:tblGrid>
              <w:gridCol w:w="5742"/>
              <w:gridCol w:w="1701"/>
              <w:gridCol w:w="1355"/>
            </w:tblGrid>
            <w:tr w:rsidR="009A6B10" w:rsidRPr="009A6B10" w:rsidTr="009A6B10">
              <w:trPr>
                <w:trHeight w:val="315"/>
              </w:trPr>
              <w:tc>
                <w:tcPr>
                  <w:tcW w:w="5742" w:type="dxa"/>
                  <w:vMerge w:val="restart"/>
                  <w:tcBorders>
                    <w:top w:val="single" w:sz="8" w:space="0" w:color="BBCEDC"/>
                    <w:left w:val="single" w:sz="12" w:space="0" w:color="BBCEDC"/>
                    <w:bottom w:val="single" w:sz="8" w:space="0" w:color="BBCEDC"/>
                    <w:right w:val="single" w:sz="12" w:space="0" w:color="BBCEDC"/>
                  </w:tcBorders>
                  <w:shd w:val="clear" w:color="000000" w:fill="84ADCE"/>
                  <w:vAlign w:val="center"/>
                </w:tcPr>
                <w:p w:rsidR="009A6B10" w:rsidRPr="009A6B10" w:rsidRDefault="009A6B10" w:rsidP="009A6B10">
                  <w:pPr>
                    <w:jc w:val="center"/>
                    <w:rPr>
                      <w:rFonts w:ascii="Tahoma" w:hAnsi="Tahoma" w:cs="Tahoma"/>
                      <w:b/>
                      <w:bCs/>
                      <w:sz w:val="16"/>
                      <w:szCs w:val="16"/>
                    </w:rPr>
                  </w:pPr>
                  <w:r w:rsidRPr="009A6B10">
                    <w:rPr>
                      <w:rFonts w:ascii="Tahoma" w:hAnsi="Tahoma" w:cs="Tahoma"/>
                      <w:b/>
                      <w:bCs/>
                      <w:sz w:val="16"/>
                      <w:szCs w:val="16"/>
                    </w:rPr>
                    <w:t>Štatistická klasifikácia ekonomických činností SK NACE Rev. 2</w:t>
                  </w:r>
                </w:p>
              </w:tc>
              <w:tc>
                <w:tcPr>
                  <w:tcW w:w="3056" w:type="dxa"/>
                  <w:gridSpan w:val="2"/>
                  <w:tcBorders>
                    <w:top w:val="single" w:sz="8" w:space="0" w:color="BBCEDC"/>
                    <w:bottom w:val="single" w:sz="8" w:space="0" w:color="BBCEDC"/>
                    <w:right w:val="single" w:sz="8" w:space="0" w:color="BBCEDC"/>
                  </w:tcBorders>
                  <w:shd w:val="clear" w:color="000000" w:fill="84ADCE"/>
                  <w:vAlign w:val="center"/>
                </w:tcPr>
                <w:p w:rsidR="009A6B10" w:rsidRPr="009A6B10" w:rsidRDefault="009A6B10" w:rsidP="009A6B10">
                  <w:pPr>
                    <w:jc w:val="center"/>
                    <w:rPr>
                      <w:rFonts w:ascii="Tahoma" w:hAnsi="Tahoma" w:cs="Tahoma"/>
                      <w:b/>
                      <w:bCs/>
                      <w:sz w:val="16"/>
                      <w:szCs w:val="16"/>
                    </w:rPr>
                  </w:pPr>
                  <w:r w:rsidRPr="009A6B10">
                    <w:rPr>
                      <w:rFonts w:ascii="Tahoma" w:hAnsi="Tahoma" w:cs="Tahoma"/>
                      <w:b/>
                      <w:bCs/>
                      <w:sz w:val="16"/>
                      <w:szCs w:val="16"/>
                    </w:rPr>
                    <w:t>2012</w:t>
                  </w:r>
                </w:p>
              </w:tc>
            </w:tr>
            <w:tr w:rsidR="009A6B10" w:rsidRPr="009A6B10" w:rsidTr="009A6B10">
              <w:trPr>
                <w:trHeight w:val="315"/>
              </w:trPr>
              <w:tc>
                <w:tcPr>
                  <w:tcW w:w="5742" w:type="dxa"/>
                  <w:vMerge/>
                  <w:tcBorders>
                    <w:top w:val="single" w:sz="8" w:space="0" w:color="BBCEDC"/>
                    <w:left w:val="single" w:sz="12" w:space="0" w:color="BBCEDC"/>
                    <w:bottom w:val="single" w:sz="8" w:space="0" w:color="BBCEDC"/>
                    <w:right w:val="single" w:sz="12" w:space="0" w:color="BBCEDC"/>
                  </w:tcBorders>
                  <w:vAlign w:val="center"/>
                </w:tcPr>
                <w:p w:rsidR="009A6B10" w:rsidRPr="009A6B10" w:rsidRDefault="009A6B10" w:rsidP="009A6B10">
                  <w:pPr>
                    <w:rPr>
                      <w:rFonts w:ascii="Tahoma" w:hAnsi="Tahoma" w:cs="Tahoma"/>
                      <w:b/>
                      <w:bCs/>
                      <w:sz w:val="16"/>
                      <w:szCs w:val="16"/>
                    </w:rPr>
                  </w:pPr>
                </w:p>
              </w:tc>
              <w:tc>
                <w:tcPr>
                  <w:tcW w:w="3056" w:type="dxa"/>
                  <w:gridSpan w:val="2"/>
                  <w:tcBorders>
                    <w:top w:val="single" w:sz="8" w:space="0" w:color="BBCEDC"/>
                    <w:bottom w:val="single" w:sz="8" w:space="0" w:color="BBCEDC"/>
                    <w:right w:val="single" w:sz="8" w:space="0" w:color="BBCEDC"/>
                  </w:tcBorders>
                  <w:shd w:val="clear" w:color="000000" w:fill="84ADCE"/>
                  <w:vAlign w:val="center"/>
                </w:tcPr>
                <w:p w:rsidR="009A6B10" w:rsidRPr="009A6B10" w:rsidRDefault="009A6B10" w:rsidP="009A6B10">
                  <w:pPr>
                    <w:jc w:val="center"/>
                    <w:rPr>
                      <w:rFonts w:ascii="Tahoma" w:hAnsi="Tahoma" w:cs="Tahoma"/>
                      <w:b/>
                      <w:bCs/>
                      <w:sz w:val="16"/>
                      <w:szCs w:val="16"/>
                    </w:rPr>
                  </w:pPr>
                  <w:r w:rsidRPr="009A6B10">
                    <w:rPr>
                      <w:rFonts w:ascii="Tahoma" w:hAnsi="Tahoma" w:cs="Tahoma"/>
                      <w:b/>
                      <w:bCs/>
                      <w:sz w:val="16"/>
                      <w:szCs w:val="16"/>
                    </w:rPr>
                    <w:t>rok</w:t>
                  </w:r>
                </w:p>
              </w:tc>
            </w:tr>
            <w:tr w:rsidR="009A6B10" w:rsidRPr="009A6B10" w:rsidTr="009A6B10">
              <w:trPr>
                <w:trHeight w:val="315"/>
              </w:trPr>
              <w:tc>
                <w:tcPr>
                  <w:tcW w:w="5742" w:type="dxa"/>
                  <w:vMerge/>
                  <w:tcBorders>
                    <w:top w:val="single" w:sz="8" w:space="0" w:color="BBCEDC"/>
                    <w:left w:val="single" w:sz="12" w:space="0" w:color="BBCEDC"/>
                    <w:bottom w:val="single" w:sz="8" w:space="0" w:color="BBCEDC"/>
                    <w:right w:val="single" w:sz="12" w:space="0" w:color="BBCEDC"/>
                  </w:tcBorders>
                  <w:vAlign w:val="center"/>
                </w:tcPr>
                <w:p w:rsidR="009A6B10" w:rsidRPr="009A6B10" w:rsidRDefault="009A6B10" w:rsidP="009A6B10">
                  <w:pPr>
                    <w:rPr>
                      <w:rFonts w:ascii="Tahoma" w:hAnsi="Tahoma" w:cs="Tahoma"/>
                      <w:b/>
                      <w:bCs/>
                      <w:sz w:val="16"/>
                      <w:szCs w:val="16"/>
                    </w:rPr>
                  </w:pPr>
                </w:p>
              </w:tc>
              <w:tc>
                <w:tcPr>
                  <w:tcW w:w="1701" w:type="dxa"/>
                  <w:tcBorders>
                    <w:bottom w:val="single" w:sz="8" w:space="0" w:color="BBCEDC"/>
                    <w:right w:val="single" w:sz="8" w:space="0" w:color="BBCEDC"/>
                  </w:tcBorders>
                  <w:shd w:val="clear" w:color="000000" w:fill="84ADCE"/>
                  <w:vAlign w:val="center"/>
                </w:tcPr>
                <w:p w:rsidR="009A6B10" w:rsidRPr="009A6B10" w:rsidRDefault="009A6B10" w:rsidP="009A6B10">
                  <w:pPr>
                    <w:jc w:val="center"/>
                    <w:rPr>
                      <w:rFonts w:ascii="Tahoma" w:hAnsi="Tahoma" w:cs="Tahoma"/>
                      <w:b/>
                      <w:bCs/>
                      <w:sz w:val="16"/>
                      <w:szCs w:val="16"/>
                    </w:rPr>
                  </w:pPr>
                  <w:r w:rsidRPr="009A6B10">
                    <w:rPr>
                      <w:rFonts w:ascii="Tahoma" w:hAnsi="Tahoma" w:cs="Tahoma"/>
                      <w:b/>
                      <w:bCs/>
                      <w:sz w:val="16"/>
                      <w:szCs w:val="16"/>
                    </w:rPr>
                    <w:t>mil. Eur</w:t>
                  </w:r>
                </w:p>
              </w:tc>
              <w:tc>
                <w:tcPr>
                  <w:tcW w:w="1355" w:type="dxa"/>
                  <w:tcBorders>
                    <w:left w:val="single" w:sz="12" w:space="0" w:color="BBCEDC"/>
                    <w:bottom w:val="single" w:sz="8" w:space="0" w:color="BBCEDC"/>
                    <w:right w:val="single" w:sz="8" w:space="0" w:color="BBCEDC"/>
                  </w:tcBorders>
                  <w:shd w:val="clear" w:color="000000" w:fill="84ADCE"/>
                  <w:vAlign w:val="center"/>
                </w:tcPr>
                <w:p w:rsidR="009A6B10" w:rsidRPr="009A6B10" w:rsidRDefault="009A6B10" w:rsidP="009A6B10">
                  <w:pPr>
                    <w:jc w:val="center"/>
                    <w:rPr>
                      <w:rFonts w:ascii="Tahoma" w:hAnsi="Tahoma" w:cs="Tahoma"/>
                      <w:b/>
                      <w:bCs/>
                      <w:sz w:val="16"/>
                      <w:szCs w:val="16"/>
                    </w:rPr>
                  </w:pPr>
                  <w:r w:rsidRPr="009A6B10">
                    <w:rPr>
                      <w:rFonts w:ascii="Tahoma" w:hAnsi="Tahoma" w:cs="Tahoma"/>
                      <w:b/>
                      <w:bCs/>
                      <w:sz w:val="16"/>
                      <w:szCs w:val="16"/>
                    </w:rPr>
                    <w:t>index</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b/>
                      <w:bCs/>
                      <w:sz w:val="16"/>
                      <w:szCs w:val="16"/>
                    </w:rPr>
                  </w:pPr>
                  <w:r w:rsidRPr="009A6B10">
                    <w:rPr>
                      <w:rFonts w:ascii="Tahoma" w:hAnsi="Tahoma" w:cs="Tahoma"/>
                      <w:b/>
                      <w:bCs/>
                      <w:sz w:val="16"/>
                      <w:szCs w:val="16"/>
                    </w:rPr>
                    <w:t>Hospodárstvo úhrnom</w:t>
                  </w:r>
                </w:p>
              </w:tc>
              <w:tc>
                <w:tcPr>
                  <w:tcW w:w="1701" w:type="dxa"/>
                  <w:tcBorders>
                    <w:left w:val="single" w:sz="12" w:space="0" w:color="BBCEDC"/>
                    <w:bottom w:val="single" w:sz="8" w:space="0" w:color="BBCEDC"/>
                    <w:right w:val="single" w:sz="8" w:space="0" w:color="BBCEDC"/>
                  </w:tcBorders>
                  <w:shd w:val="clear" w:color="000000" w:fill="FFFFFF"/>
                  <w:noWrap/>
                </w:tcPr>
                <w:p w:rsidR="009A6B10" w:rsidRPr="009A6B10" w:rsidRDefault="009A6B10" w:rsidP="009A6B10">
                  <w:pPr>
                    <w:jc w:val="right"/>
                    <w:rPr>
                      <w:rFonts w:ascii="Tahoma" w:hAnsi="Tahoma" w:cs="Tahoma"/>
                      <w:b/>
                      <w:bCs/>
                      <w:sz w:val="16"/>
                      <w:szCs w:val="16"/>
                    </w:rPr>
                  </w:pPr>
                  <w:r w:rsidRPr="009A6B10">
                    <w:rPr>
                      <w:rFonts w:ascii="Tahoma" w:hAnsi="Tahoma" w:cs="Tahoma"/>
                      <w:b/>
                      <w:bCs/>
                      <w:sz w:val="16"/>
                      <w:szCs w:val="16"/>
                    </w:rPr>
                    <w:t>71 463,00</w:t>
                  </w:r>
                </w:p>
              </w:tc>
              <w:tc>
                <w:tcPr>
                  <w:tcW w:w="1355" w:type="dxa"/>
                  <w:tcBorders>
                    <w:left w:val="single" w:sz="12" w:space="0" w:color="BBCEDC"/>
                    <w:bottom w:val="single" w:sz="8" w:space="0" w:color="BBCEDC"/>
                    <w:right w:val="single" w:sz="8" w:space="0" w:color="BBCEDC"/>
                  </w:tcBorders>
                  <w:shd w:val="clear" w:color="000000" w:fill="FFFFFF"/>
                  <w:noWrap/>
                </w:tcPr>
                <w:p w:rsidR="009A6B10" w:rsidRPr="009A6B10" w:rsidRDefault="009A6B10" w:rsidP="009A6B10">
                  <w:pPr>
                    <w:jc w:val="right"/>
                    <w:rPr>
                      <w:rFonts w:ascii="Tahoma" w:hAnsi="Tahoma" w:cs="Tahoma"/>
                      <w:b/>
                      <w:bCs/>
                      <w:sz w:val="16"/>
                      <w:szCs w:val="16"/>
                    </w:rPr>
                  </w:pPr>
                  <w:r w:rsidRPr="009A6B10">
                    <w:rPr>
                      <w:rFonts w:ascii="Tahoma" w:hAnsi="Tahoma" w:cs="Tahoma"/>
                      <w:b/>
                      <w:bCs/>
                      <w:sz w:val="16"/>
                      <w:szCs w:val="16"/>
                    </w:rPr>
                    <w:t>103,4</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v tom</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 </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 </w:t>
                  </w:r>
                </w:p>
              </w:tc>
            </w:tr>
            <w:tr w:rsidR="009A6B10" w:rsidRPr="009A6B10" w:rsidTr="009A6B10">
              <w:trPr>
                <w:trHeight w:val="43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A - Poľnohospodárstvo, lesníctvo a rybolov</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2 375,80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110,7</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B-E - Priemysel spolu</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18 202,60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108,2</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z toho: C - Priemyselná výroba</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14 476,60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110</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F - Stavebníctvo</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5 311,10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93,2</w:t>
                  </w:r>
                </w:p>
              </w:tc>
            </w:tr>
            <w:tr w:rsidR="009A6B10" w:rsidRPr="009A6B10" w:rsidTr="009A6B10">
              <w:trPr>
                <w:trHeight w:val="85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G-I - Veľkoobchod a maloobchod, oprava motorových vozidiel a motocyklov; doprava a skladovanie; ubytovacie a stravovacie služby</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13 785,20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104,4</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J - Informácie a komunikácia</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2 993,60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103,4</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K - Finančné a poisťovacie činnosti</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2 422,40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102,3</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L - Činnosti v oblasti nehnuteľností</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4 596,40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107,6</w:t>
                  </w:r>
                </w:p>
              </w:tc>
            </w:tr>
            <w:tr w:rsidR="009A6B10" w:rsidRPr="009A6B10" w:rsidTr="009A6B10">
              <w:trPr>
                <w:trHeight w:val="43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M-N - Odborné, vedecké a technické činnosti; administratívne služby</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4 898,80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104,7</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noWrap/>
                </w:tcPr>
                <w:p w:rsidR="009A6B10" w:rsidRPr="009A6B10" w:rsidRDefault="009A6B10" w:rsidP="009A6B10">
                  <w:pPr>
                    <w:rPr>
                      <w:rFonts w:ascii="Tahoma" w:hAnsi="Tahoma" w:cs="Tahoma"/>
                      <w:sz w:val="16"/>
                      <w:szCs w:val="16"/>
                    </w:rPr>
                  </w:pPr>
                  <w:r w:rsidRPr="009A6B10">
                    <w:rPr>
                      <w:rFonts w:ascii="Tahoma" w:hAnsi="Tahoma" w:cs="Tahoma"/>
                      <w:sz w:val="16"/>
                      <w:szCs w:val="16"/>
                    </w:rPr>
                    <w:t xml:space="preserve">O-Q - Verejná správa, obrana, </w:t>
                  </w:r>
                  <w:proofErr w:type="spellStart"/>
                  <w:r w:rsidRPr="009A6B10">
                    <w:rPr>
                      <w:rFonts w:ascii="Tahoma" w:hAnsi="Tahoma" w:cs="Tahoma"/>
                      <w:sz w:val="16"/>
                      <w:szCs w:val="16"/>
                    </w:rPr>
                    <w:t>povin</w:t>
                  </w:r>
                  <w:proofErr w:type="spellEnd"/>
                  <w:r w:rsidRPr="009A6B10">
                    <w:rPr>
                      <w:rFonts w:ascii="Tahoma" w:hAnsi="Tahoma" w:cs="Tahoma"/>
                      <w:sz w:val="16"/>
                      <w:szCs w:val="16"/>
                    </w:rPr>
                    <w:t xml:space="preserve">. </w:t>
                  </w:r>
                  <w:proofErr w:type="spellStart"/>
                  <w:r w:rsidRPr="009A6B10">
                    <w:rPr>
                      <w:rFonts w:ascii="Tahoma" w:hAnsi="Tahoma" w:cs="Tahoma"/>
                      <w:sz w:val="16"/>
                      <w:szCs w:val="16"/>
                    </w:rPr>
                    <w:t>sociál</w:t>
                  </w:r>
                  <w:proofErr w:type="spellEnd"/>
                  <w:r w:rsidRPr="009A6B10">
                    <w:rPr>
                      <w:rFonts w:ascii="Tahoma" w:hAnsi="Tahoma" w:cs="Tahoma"/>
                      <w:sz w:val="16"/>
                      <w:szCs w:val="16"/>
                    </w:rPr>
                    <w:t>. zabezpečenie; vzdelávanie; zdravotníctvo a sociálna pomoc</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8 647,30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103,4</w:t>
                  </w:r>
                </w:p>
              </w:tc>
            </w:tr>
            <w:tr w:rsidR="009A6B10" w:rsidRPr="009A6B10" w:rsidTr="009A6B10">
              <w:trPr>
                <w:trHeight w:val="43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R-U - Umenie, zábava a rekreácia; ostatné činnosti</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2 175,70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104,8</w:t>
                  </w:r>
                </w:p>
              </w:tc>
            </w:tr>
            <w:tr w:rsidR="009A6B10" w:rsidRPr="009A6B10" w:rsidTr="009A6B10">
              <w:trPr>
                <w:trHeight w:val="315"/>
              </w:trPr>
              <w:tc>
                <w:tcPr>
                  <w:tcW w:w="5742"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rPr>
                      <w:rFonts w:ascii="Tahoma" w:hAnsi="Tahoma" w:cs="Tahoma"/>
                      <w:sz w:val="16"/>
                      <w:szCs w:val="16"/>
                    </w:rPr>
                  </w:pPr>
                  <w:r w:rsidRPr="009A6B10">
                    <w:rPr>
                      <w:rFonts w:ascii="Tahoma" w:hAnsi="Tahoma" w:cs="Tahoma"/>
                      <w:sz w:val="16"/>
                      <w:szCs w:val="16"/>
                    </w:rPr>
                    <w:t xml:space="preserve">Čisté dane z produktov </w:t>
                  </w:r>
                  <w:r w:rsidRPr="009A6B10">
                    <w:rPr>
                      <w:rFonts w:ascii="Tahoma" w:hAnsi="Tahoma" w:cs="Tahoma"/>
                      <w:sz w:val="16"/>
                      <w:szCs w:val="16"/>
                      <w:vertAlign w:val="superscript"/>
                    </w:rPr>
                    <w:t>1)</w:t>
                  </w:r>
                </w:p>
              </w:tc>
              <w:tc>
                <w:tcPr>
                  <w:tcW w:w="1701"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6 054,00</w:t>
                  </w:r>
                </w:p>
              </w:tc>
              <w:tc>
                <w:tcPr>
                  <w:tcW w:w="1355" w:type="dxa"/>
                  <w:tcBorders>
                    <w:left w:val="single" w:sz="12" w:space="0" w:color="BBCEDC"/>
                    <w:bottom w:val="single" w:sz="8" w:space="0" w:color="BBCEDC"/>
                    <w:right w:val="single" w:sz="8" w:space="0" w:color="BBCEDC"/>
                  </w:tcBorders>
                  <w:shd w:val="clear" w:color="000000" w:fill="FFFFFF"/>
                </w:tcPr>
                <w:p w:rsidR="009A6B10" w:rsidRPr="009A6B10" w:rsidRDefault="009A6B10" w:rsidP="009A6B10">
                  <w:pPr>
                    <w:jc w:val="right"/>
                    <w:rPr>
                      <w:rFonts w:ascii="Tahoma" w:hAnsi="Tahoma" w:cs="Tahoma"/>
                      <w:sz w:val="16"/>
                      <w:szCs w:val="16"/>
                    </w:rPr>
                  </w:pPr>
                  <w:r w:rsidRPr="009A6B10">
                    <w:rPr>
                      <w:rFonts w:ascii="Tahoma" w:hAnsi="Tahoma" w:cs="Tahoma"/>
                      <w:sz w:val="16"/>
                      <w:szCs w:val="16"/>
                    </w:rPr>
                    <w:t>92</w:t>
                  </w:r>
                </w:p>
              </w:tc>
            </w:tr>
          </w:tbl>
          <w:p w:rsidR="009A6B10" w:rsidRPr="009A6B10" w:rsidRDefault="009A6B10" w:rsidP="009A6B10">
            <w:pPr>
              <w:spacing w:before="120" w:after="120"/>
              <w:ind w:firstLineChars="100" w:firstLine="240"/>
              <w:rPr>
                <w:rFonts w:ascii="Calibri" w:hAnsi="Calibri" w:cs="Calibri"/>
                <w:color w:val="000000"/>
              </w:rPr>
            </w:pPr>
          </w:p>
        </w:tc>
      </w:tr>
    </w:tbl>
    <w:p w:rsidR="009A6B10" w:rsidRPr="009A6B10" w:rsidRDefault="009A6B10" w:rsidP="009A6B10">
      <w:pPr>
        <w:rPr>
          <w:sz w:val="28"/>
          <w:szCs w:val="28"/>
          <w:u w:val="single"/>
        </w:rPr>
      </w:pPr>
    </w:p>
    <w:p w:rsidR="009A6B10" w:rsidRPr="009A6B10" w:rsidRDefault="009A6B10" w:rsidP="009A6B10">
      <w:pPr>
        <w:spacing w:before="120" w:after="120"/>
        <w:ind w:firstLine="709"/>
        <w:jc w:val="both"/>
        <w:rPr>
          <w:noProof/>
        </w:rPr>
      </w:pPr>
      <w:r w:rsidRPr="009A6B10">
        <w:rPr>
          <w:noProof/>
        </w:rPr>
        <w:t>Za polrok 2013 HDP SR vykázal medziročný rast v bežnýc</w:t>
      </w:r>
      <w:r w:rsidR="00A07396">
        <w:rPr>
          <w:noProof/>
        </w:rPr>
        <w:t>h cenách o 2</w:t>
      </w:r>
      <w:r w:rsidRPr="009A6B10">
        <w:rPr>
          <w:noProof/>
        </w:rPr>
        <w:t>%, priemysel celkom prispe</w:t>
      </w:r>
      <w:r w:rsidR="00A07396">
        <w:rPr>
          <w:noProof/>
        </w:rPr>
        <w:t>l k tvorbe HDP SR podielom 25,8% v tom priemyselná výroba 20,8</w:t>
      </w:r>
      <w:r w:rsidRPr="009A6B10">
        <w:rPr>
          <w:noProof/>
        </w:rPr>
        <w:t>%, avšak medziročný rast hrubej pridanej hodnoty</w:t>
      </w:r>
      <w:r w:rsidR="00A07396">
        <w:rPr>
          <w:noProof/>
        </w:rPr>
        <w:t xml:space="preserve"> v tomto segmente spomalil na 2</w:t>
      </w:r>
      <w:r w:rsidRPr="009A6B10">
        <w:rPr>
          <w:noProof/>
        </w:rPr>
        <w:t>%. Z uvedeného vyplýva, že priemyselná výroba je najvýznamnejším sektorom slovenského hospodárstva.</w:t>
      </w:r>
    </w:p>
    <w:p w:rsidR="009A6B10" w:rsidRPr="009A6B10" w:rsidRDefault="009A6B10" w:rsidP="009A6B10">
      <w:pPr>
        <w:spacing w:before="120" w:after="120"/>
        <w:ind w:firstLine="709"/>
        <w:jc w:val="both"/>
      </w:pPr>
      <w:r w:rsidRPr="009A6B10">
        <w:t xml:space="preserve">Vzhľadom k uvedenému je teda prirodzené, že rastový potenciál Slovenska v prvom rade závisí na tomto sektore, ktorý v rámci vlastného rozvoja zároveň vytvára podmienky </w:t>
      </w:r>
      <w:r w:rsidRPr="009A6B10">
        <w:br/>
        <w:t xml:space="preserve">pre rast </w:t>
      </w:r>
      <w:proofErr w:type="spellStart"/>
      <w:r w:rsidRPr="009A6B10">
        <w:t>high</w:t>
      </w:r>
      <w:proofErr w:type="spellEnd"/>
      <w:r w:rsidRPr="009A6B10">
        <w:t xml:space="preserve"> – </w:t>
      </w:r>
      <w:proofErr w:type="spellStart"/>
      <w:r w:rsidRPr="009A6B10">
        <w:t>tech</w:t>
      </w:r>
      <w:proofErr w:type="spellEnd"/>
      <w:r w:rsidRPr="009A6B10">
        <w:t xml:space="preserve"> služieb najmä v oblasti výrazného rastu podielu využívania informatiky v komplexnom manažmente podnikov. V neposlednom rade je však aj zdrojom rozvoja obchodu a tiež aj stavebníctva za predpokladu oživenia investovania v priemysle. </w:t>
      </w:r>
    </w:p>
    <w:p w:rsidR="009A6B10" w:rsidRPr="009A6B10" w:rsidRDefault="009A6B10" w:rsidP="009A6B10">
      <w:pPr>
        <w:spacing w:before="120" w:after="120"/>
        <w:ind w:firstLine="709"/>
        <w:jc w:val="both"/>
      </w:pPr>
      <w:r w:rsidRPr="009A6B10">
        <w:t xml:space="preserve">Vzhľadom na skutočnosť, že </w:t>
      </w:r>
      <w:proofErr w:type="spellStart"/>
      <w:r w:rsidRPr="009A6B10">
        <w:t>sektorálne</w:t>
      </w:r>
      <w:proofErr w:type="spellEnd"/>
      <w:r w:rsidR="000843C6">
        <w:t xml:space="preserve"> sektorové</w:t>
      </w:r>
      <w:r w:rsidRPr="009A6B10">
        <w:t xml:space="preserve"> príspevky k HDP zodpovedajú hrubej pridanej hodnote jednotlivých sektorov uvádzame v nasledujúcom grafe vývoj indexu pridanej hodnoty priemyselnej výroby v porovnaní s vývojom indexu priemyselnej produkcie a indexu zamestnanosti za obdobie 2008 až 2012, pričom údaje za rok 2010 sú referenčnými hodnotami.</w:t>
      </w:r>
    </w:p>
    <w:p w:rsidR="009A6B10" w:rsidRPr="009A6B10" w:rsidRDefault="009A6B10" w:rsidP="00861475">
      <w:pPr>
        <w:spacing w:before="120" w:after="120"/>
        <w:ind w:firstLine="709"/>
        <w:jc w:val="center"/>
      </w:pPr>
      <w:r w:rsidRPr="009A6B10">
        <w:lastRenderedPageBreak/>
        <w:t>Vývoj indexov základných ukazovateľov priemyselnej výroby</w:t>
      </w:r>
    </w:p>
    <w:p w:rsidR="009A6B10" w:rsidRPr="009A6B10" w:rsidRDefault="00CB5F71" w:rsidP="009A6B10">
      <w:pPr>
        <w:spacing w:before="120" w:after="120"/>
        <w:jc w:val="center"/>
        <w:rPr>
          <w:noProof/>
        </w:rPr>
      </w:pPr>
      <w:r>
        <w:rPr>
          <w:noProof/>
        </w:rPr>
        <w:pict>
          <v:shape id="_x0000_i1028" type="#_x0000_t75" style="width:351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">
            <v:imagedata r:id="rId18" o:title="" croptop="8560f" cropbottom="-22f"/>
            <o:lock v:ext="edit" aspectratio="f"/>
          </v:shape>
        </w:pict>
      </w:r>
    </w:p>
    <w:p w:rsidR="009A6B10" w:rsidRPr="009A6B10" w:rsidRDefault="009A6B10" w:rsidP="009A6B10">
      <w:pPr>
        <w:spacing w:before="120" w:after="120"/>
        <w:ind w:firstLine="709"/>
        <w:jc w:val="both"/>
      </w:pPr>
      <w:r w:rsidRPr="009A6B10">
        <w:t>Ako vidieť z vyššie uvedeného vývoja pridaná hodnota priemyselnej výroby po kríze odbytu z roku 2009 vykazuje rastovú tendenciu rovnako ako index priemyselnej produkcie a v roku 2012 prekročila úroveň z roku predkrízového roku 2008 podobne ako index priemyselnej produkcie. Zamestnanosť však napriek tomu, že vykázala mierny rast oproti roku 2009 už úroveň roku 2008 nedosahuje a bez masívnych nových investícií ani nie je reálne, aby zamestnanosť v priemyselnej výrobe dosiahla úroveň roku 2008, keďže je z dôvodu udržania konkurenčnej schopnosti snaha udržiavať rast produktivity práce.</w:t>
      </w:r>
    </w:p>
    <w:p w:rsidR="009A6B10" w:rsidRDefault="009A6B10" w:rsidP="00E01DCD">
      <w:pPr>
        <w:spacing w:before="120" w:after="120"/>
        <w:ind w:firstLine="709"/>
        <w:jc w:val="both"/>
      </w:pPr>
      <w:r w:rsidRPr="009A6B10">
        <w:t>Keďže príspevky sektorov k HDP sú počítané cez hrubú pridanú hodnotu vytváranú v týchto sektoroch, možno skonštatovať, že v rámci priemyselnej výroby je najvýznamnejším odvetvím výroba dopravných prostriedkov, ktorá (na základe výsledkov</w:t>
      </w:r>
      <w:r w:rsidR="00A07396">
        <w:t xml:space="preserve"> roku 2012) zabezpečovala 24,88</w:t>
      </w:r>
      <w:r w:rsidRPr="009A6B10">
        <w:t>% podiel z pridanej hodnoty vytvorenej v priemyselnej výrobe. Medzi ďalšie významné odvetvia patria výroba kovov a kovový</w:t>
      </w:r>
      <w:r w:rsidR="00A07396">
        <w:t>ch konštrukcií s podielom 14,26</w:t>
      </w:r>
      <w:r w:rsidRPr="009A6B10">
        <w:t xml:space="preserve">%, výroba elektronických a optických prístrojov a elektrických zariadení (11,25%), výroba </w:t>
      </w:r>
      <w:r w:rsidR="00A07396">
        <w:t>strojov inde nezaradených (9,18</w:t>
      </w:r>
      <w:r w:rsidRPr="009A6B10">
        <w:t xml:space="preserve">%) a výroba gumárenských výrobkov a spracovanie plastov (8,16%). Tieto odvetvia spolu tvoria viac ako 2/3 pridanej hodnoty priemyselnej výroby. </w:t>
      </w:r>
    </w:p>
    <w:p w:rsidR="00E01DCD" w:rsidRPr="009A6B10" w:rsidRDefault="00E01DCD" w:rsidP="00E01DCD">
      <w:pPr>
        <w:spacing w:before="120" w:after="120"/>
        <w:ind w:firstLine="709"/>
        <w:jc w:val="both"/>
      </w:pPr>
    </w:p>
    <w:p w:rsidR="009A6B10" w:rsidRPr="009A6B10" w:rsidRDefault="009A6B10" w:rsidP="009A6B10">
      <w:pPr>
        <w:jc w:val="center"/>
      </w:pPr>
      <w:r w:rsidRPr="009A6B10">
        <w:t>Podiely odvetví priemyselnej výroby na pridanej hodnote a zamestnanosti v sektore za rok 2012 a za polrok 2013</w:t>
      </w:r>
    </w:p>
    <w:p w:rsidR="009A6B10" w:rsidRPr="009A6B10" w:rsidRDefault="009A6B10" w:rsidP="009A6B10">
      <w:pPr>
        <w:jc w:val="both"/>
        <w:rPr>
          <w:rFonts w:ascii="Arial" w:hAnsi="Arial" w:cs="Arial"/>
          <w:sz w:val="20"/>
          <w:szCs w:val="20"/>
        </w:rPr>
      </w:pPr>
    </w:p>
    <w:tbl>
      <w:tblPr>
        <w:tblW w:w="6440" w:type="dxa"/>
        <w:tblInd w:w="55" w:type="dxa"/>
        <w:tblCellMar>
          <w:left w:w="70" w:type="dxa"/>
          <w:right w:w="70" w:type="dxa"/>
        </w:tblCellMar>
        <w:tblLook w:val="00A0" w:firstRow="1" w:lastRow="0" w:firstColumn="1" w:lastColumn="0" w:noHBand="0" w:noVBand="0"/>
      </w:tblPr>
      <w:tblGrid>
        <w:gridCol w:w="960"/>
        <w:gridCol w:w="1420"/>
        <w:gridCol w:w="1405"/>
        <w:gridCol w:w="1260"/>
        <w:gridCol w:w="1460"/>
      </w:tblGrid>
      <w:tr w:rsidR="009A6B10" w:rsidRPr="009A6B10" w:rsidTr="009A6B10">
        <w:trPr>
          <w:trHeight w:val="255"/>
        </w:trPr>
        <w:tc>
          <w:tcPr>
            <w:tcW w:w="960" w:type="dxa"/>
            <w:tcBorders>
              <w:top w:val="single" w:sz="8" w:space="0" w:color="auto"/>
              <w:left w:val="single" w:sz="8" w:space="0" w:color="auto"/>
              <w:bottom w:val="nil"/>
              <w:right w:val="single" w:sz="4" w:space="0" w:color="auto"/>
            </w:tcBorders>
            <w:noWrap/>
            <w:vAlign w:val="bottom"/>
          </w:tcPr>
          <w:p w:rsidR="009A6B10" w:rsidRPr="009A6B10" w:rsidRDefault="009A6B10" w:rsidP="009A6B10">
            <w:pPr>
              <w:rPr>
                <w:rFonts w:ascii="Arial" w:hAnsi="Arial" w:cs="Arial"/>
                <w:sz w:val="20"/>
                <w:szCs w:val="20"/>
              </w:rPr>
            </w:pPr>
            <w:r w:rsidRPr="009A6B10">
              <w:rPr>
                <w:rFonts w:ascii="Arial" w:hAnsi="Arial" w:cs="Arial"/>
                <w:sz w:val="20"/>
                <w:szCs w:val="20"/>
              </w:rPr>
              <w:t> </w:t>
            </w:r>
          </w:p>
        </w:tc>
        <w:tc>
          <w:tcPr>
            <w:tcW w:w="2760" w:type="dxa"/>
            <w:gridSpan w:val="2"/>
            <w:tcBorders>
              <w:top w:val="single" w:sz="8" w:space="0" w:color="auto"/>
              <w:left w:val="nil"/>
              <w:bottom w:val="single" w:sz="4" w:space="0" w:color="auto"/>
              <w:right w:val="single" w:sz="4" w:space="0" w:color="000000"/>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2012</w:t>
            </w:r>
          </w:p>
        </w:tc>
        <w:tc>
          <w:tcPr>
            <w:tcW w:w="2720" w:type="dxa"/>
            <w:gridSpan w:val="2"/>
            <w:tcBorders>
              <w:top w:val="single" w:sz="8" w:space="0" w:color="auto"/>
              <w:left w:val="nil"/>
              <w:bottom w:val="nil"/>
              <w:right w:val="single" w:sz="8" w:space="0" w:color="000000"/>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polrok 2013</w:t>
            </w:r>
          </w:p>
        </w:tc>
      </w:tr>
      <w:tr w:rsidR="009A6B10" w:rsidRPr="009A6B10" w:rsidTr="009A6B10">
        <w:trPr>
          <w:trHeight w:val="510"/>
        </w:trPr>
        <w:tc>
          <w:tcPr>
            <w:tcW w:w="960" w:type="dxa"/>
            <w:tcBorders>
              <w:top w:val="nil"/>
              <w:left w:val="single" w:sz="8" w:space="0" w:color="auto"/>
              <w:bottom w:val="nil"/>
              <w:right w:val="single" w:sz="4" w:space="0" w:color="auto"/>
            </w:tcBorders>
            <w:noWrap/>
            <w:vAlign w:val="bottom"/>
          </w:tcPr>
          <w:p w:rsidR="009A6B10" w:rsidRPr="009A6B10" w:rsidRDefault="009A6B10" w:rsidP="009A6B10">
            <w:pPr>
              <w:rPr>
                <w:rFonts w:ascii="Arial" w:hAnsi="Arial" w:cs="Arial"/>
                <w:sz w:val="20"/>
                <w:szCs w:val="20"/>
              </w:rPr>
            </w:pPr>
            <w:r w:rsidRPr="009A6B10">
              <w:rPr>
                <w:rFonts w:ascii="Arial" w:hAnsi="Arial" w:cs="Arial"/>
                <w:sz w:val="20"/>
                <w:szCs w:val="20"/>
              </w:rPr>
              <w:t>SK NACE</w:t>
            </w:r>
          </w:p>
        </w:tc>
        <w:tc>
          <w:tcPr>
            <w:tcW w:w="1420" w:type="dxa"/>
            <w:tcBorders>
              <w:top w:val="nil"/>
              <w:left w:val="nil"/>
              <w:bottom w:val="nil"/>
              <w:right w:val="single" w:sz="4" w:space="0" w:color="auto"/>
            </w:tcBorders>
            <w:vAlign w:val="bottom"/>
          </w:tcPr>
          <w:p w:rsidR="009A6B10" w:rsidRPr="009A6B10" w:rsidRDefault="009A6B10" w:rsidP="009A6B10">
            <w:pPr>
              <w:rPr>
                <w:rFonts w:ascii="Arial" w:hAnsi="Arial" w:cs="Arial"/>
                <w:sz w:val="20"/>
                <w:szCs w:val="20"/>
              </w:rPr>
            </w:pPr>
            <w:r w:rsidRPr="009A6B10">
              <w:rPr>
                <w:rFonts w:ascii="Arial" w:hAnsi="Arial" w:cs="Arial"/>
                <w:sz w:val="20"/>
                <w:szCs w:val="20"/>
              </w:rPr>
              <w:t xml:space="preserve">pridaná hodnota </w:t>
            </w:r>
          </w:p>
        </w:tc>
        <w:tc>
          <w:tcPr>
            <w:tcW w:w="1340" w:type="dxa"/>
            <w:tcBorders>
              <w:top w:val="nil"/>
              <w:left w:val="nil"/>
              <w:bottom w:val="nil"/>
              <w:right w:val="single" w:sz="4" w:space="0" w:color="auto"/>
            </w:tcBorders>
            <w:vAlign w:val="bottom"/>
          </w:tcPr>
          <w:p w:rsidR="009A6B10" w:rsidRPr="009A6B10" w:rsidRDefault="009A6B10" w:rsidP="009A6B10">
            <w:pPr>
              <w:rPr>
                <w:rFonts w:ascii="Arial" w:hAnsi="Arial" w:cs="Arial"/>
                <w:sz w:val="20"/>
                <w:szCs w:val="20"/>
              </w:rPr>
            </w:pPr>
            <w:r w:rsidRPr="009A6B10">
              <w:rPr>
                <w:rFonts w:ascii="Arial" w:hAnsi="Arial" w:cs="Arial"/>
                <w:sz w:val="20"/>
                <w:szCs w:val="20"/>
              </w:rPr>
              <w:t>zamestnanosť</w:t>
            </w:r>
          </w:p>
        </w:tc>
        <w:tc>
          <w:tcPr>
            <w:tcW w:w="1260" w:type="dxa"/>
            <w:tcBorders>
              <w:top w:val="single" w:sz="4" w:space="0" w:color="auto"/>
              <w:left w:val="nil"/>
              <w:bottom w:val="nil"/>
              <w:right w:val="single" w:sz="4" w:space="0" w:color="auto"/>
            </w:tcBorders>
            <w:vAlign w:val="bottom"/>
          </w:tcPr>
          <w:p w:rsidR="009A6B10" w:rsidRPr="009A6B10" w:rsidRDefault="009A6B10" w:rsidP="009A6B10">
            <w:pPr>
              <w:rPr>
                <w:rFonts w:ascii="Arial" w:hAnsi="Arial" w:cs="Arial"/>
                <w:sz w:val="20"/>
                <w:szCs w:val="20"/>
              </w:rPr>
            </w:pPr>
            <w:r w:rsidRPr="009A6B10">
              <w:rPr>
                <w:rFonts w:ascii="Arial" w:hAnsi="Arial" w:cs="Arial"/>
                <w:sz w:val="20"/>
                <w:szCs w:val="20"/>
              </w:rPr>
              <w:t xml:space="preserve">pridaná hodnota </w:t>
            </w:r>
          </w:p>
        </w:tc>
        <w:tc>
          <w:tcPr>
            <w:tcW w:w="1460" w:type="dxa"/>
            <w:tcBorders>
              <w:top w:val="single" w:sz="4" w:space="0" w:color="auto"/>
              <w:left w:val="nil"/>
              <w:bottom w:val="nil"/>
              <w:right w:val="single" w:sz="8" w:space="0" w:color="auto"/>
            </w:tcBorders>
            <w:vAlign w:val="bottom"/>
          </w:tcPr>
          <w:p w:rsidR="009A6B10" w:rsidRPr="009A6B10" w:rsidRDefault="009A6B10" w:rsidP="009A6B10">
            <w:pPr>
              <w:rPr>
                <w:rFonts w:ascii="Arial" w:hAnsi="Arial" w:cs="Arial"/>
                <w:sz w:val="20"/>
                <w:szCs w:val="20"/>
              </w:rPr>
            </w:pPr>
            <w:r w:rsidRPr="009A6B10">
              <w:rPr>
                <w:rFonts w:ascii="Arial" w:hAnsi="Arial" w:cs="Arial"/>
                <w:sz w:val="20"/>
                <w:szCs w:val="20"/>
              </w:rPr>
              <w:t>zamestnanosť</w:t>
            </w:r>
          </w:p>
        </w:tc>
      </w:tr>
      <w:tr w:rsidR="009A6B10" w:rsidRPr="009A6B10" w:rsidTr="009A6B10">
        <w:trPr>
          <w:trHeight w:val="255"/>
        </w:trPr>
        <w:tc>
          <w:tcPr>
            <w:tcW w:w="960" w:type="dxa"/>
            <w:tcBorders>
              <w:top w:val="single" w:sz="4" w:space="0" w:color="auto"/>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C</w:t>
            </w:r>
          </w:p>
        </w:tc>
        <w:tc>
          <w:tcPr>
            <w:tcW w:w="1420" w:type="dxa"/>
            <w:tcBorders>
              <w:top w:val="single" w:sz="4" w:space="0" w:color="auto"/>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100,00%</w:t>
            </w:r>
          </w:p>
        </w:tc>
        <w:tc>
          <w:tcPr>
            <w:tcW w:w="1340" w:type="dxa"/>
            <w:tcBorders>
              <w:top w:val="single" w:sz="4" w:space="0" w:color="auto"/>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100,00%</w:t>
            </w:r>
          </w:p>
        </w:tc>
        <w:tc>
          <w:tcPr>
            <w:tcW w:w="1260" w:type="dxa"/>
            <w:tcBorders>
              <w:top w:val="single" w:sz="4" w:space="0" w:color="auto"/>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100,00%</w:t>
            </w:r>
          </w:p>
        </w:tc>
        <w:tc>
          <w:tcPr>
            <w:tcW w:w="1460" w:type="dxa"/>
            <w:tcBorders>
              <w:top w:val="single" w:sz="4" w:space="0" w:color="auto"/>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100,00%</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10a11</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8,11%</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8,59%</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7,00%</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8,60%</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13a14</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1,79%</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4,66%</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1,85%</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4,76%</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15</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1,43%</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2,92%</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1,39%</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2,83%</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16</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0,80%</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1,50%</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0,83%</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1,48%</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17a18</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3,58%</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2,87%</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3,67%</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2,83%</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19</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2,96%</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0,73%</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2,09%</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0,80%</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20a21</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4,42%</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3,27%</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4,33%</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3,15%</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22</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8,16%</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7,26%</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8,19%</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7,37%</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23</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4,05%</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3,90%</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3,50%</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3,75%</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24a25</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14,26%</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15,41%</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15,27%</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15,23%</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28</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9,18%</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10,30%</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9,71%</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10,83%</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lastRenderedPageBreak/>
              <w:t>26a27</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11,25%</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11,85%</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10,20%</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11,60%</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29a30</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24,88%</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19,63%</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26,55%</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19,68%</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31a32</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2,68%</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4,11%</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2,17%</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4,10%</w:t>
            </w:r>
          </w:p>
        </w:tc>
      </w:tr>
      <w:tr w:rsidR="009A6B10" w:rsidRPr="009A6B10" w:rsidTr="009A6B10">
        <w:trPr>
          <w:trHeight w:val="255"/>
        </w:trPr>
        <w:tc>
          <w:tcPr>
            <w:tcW w:w="960" w:type="dxa"/>
            <w:tcBorders>
              <w:top w:val="nil"/>
              <w:left w:val="single" w:sz="4" w:space="0" w:color="auto"/>
              <w:bottom w:val="single" w:sz="4" w:space="0" w:color="auto"/>
              <w:right w:val="single" w:sz="4" w:space="0" w:color="auto"/>
            </w:tcBorders>
            <w:noWrap/>
            <w:vAlign w:val="bottom"/>
          </w:tcPr>
          <w:p w:rsidR="009A6B10" w:rsidRPr="009A6B10" w:rsidRDefault="009A6B10" w:rsidP="009A6B10">
            <w:pPr>
              <w:jc w:val="center"/>
              <w:rPr>
                <w:rFonts w:ascii="Arial" w:hAnsi="Arial" w:cs="Arial"/>
                <w:sz w:val="20"/>
                <w:szCs w:val="20"/>
              </w:rPr>
            </w:pPr>
            <w:r w:rsidRPr="009A6B10">
              <w:rPr>
                <w:rFonts w:ascii="Arial" w:hAnsi="Arial" w:cs="Arial"/>
                <w:sz w:val="20"/>
                <w:szCs w:val="20"/>
              </w:rPr>
              <w:t>33</w:t>
            </w:r>
          </w:p>
        </w:tc>
        <w:tc>
          <w:tcPr>
            <w:tcW w:w="142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2,43%</w:t>
            </w:r>
          </w:p>
        </w:tc>
        <w:tc>
          <w:tcPr>
            <w:tcW w:w="134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3,02%</w:t>
            </w:r>
          </w:p>
        </w:tc>
        <w:tc>
          <w:tcPr>
            <w:tcW w:w="12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3,25%</w:t>
            </w:r>
          </w:p>
        </w:tc>
        <w:tc>
          <w:tcPr>
            <w:tcW w:w="1460" w:type="dxa"/>
            <w:tcBorders>
              <w:top w:val="nil"/>
              <w:left w:val="nil"/>
              <w:bottom w:val="single" w:sz="4" w:space="0" w:color="auto"/>
              <w:right w:val="single" w:sz="4" w:space="0" w:color="auto"/>
            </w:tcBorders>
            <w:noWrap/>
            <w:vAlign w:val="bottom"/>
          </w:tcPr>
          <w:p w:rsidR="009A6B10" w:rsidRPr="009A6B10" w:rsidRDefault="009A6B10" w:rsidP="009A6B10">
            <w:pPr>
              <w:jc w:val="right"/>
              <w:rPr>
                <w:rFonts w:ascii="Arial" w:hAnsi="Arial" w:cs="Arial"/>
                <w:sz w:val="20"/>
                <w:szCs w:val="20"/>
              </w:rPr>
            </w:pPr>
            <w:r w:rsidRPr="009A6B10">
              <w:rPr>
                <w:rFonts w:ascii="Arial" w:hAnsi="Arial" w:cs="Arial"/>
                <w:sz w:val="20"/>
                <w:szCs w:val="20"/>
              </w:rPr>
              <w:t>2,99%</w:t>
            </w:r>
          </w:p>
        </w:tc>
      </w:tr>
    </w:tbl>
    <w:p w:rsidR="009A6B10" w:rsidRPr="009A6B10" w:rsidRDefault="009A6B10" w:rsidP="009A6B10">
      <w:pPr>
        <w:jc w:val="both"/>
        <w:rPr>
          <w:rFonts w:ascii="Arial" w:hAnsi="Arial" w:cs="Arial"/>
          <w:sz w:val="20"/>
          <w:szCs w:val="20"/>
        </w:rPr>
      </w:pPr>
    </w:p>
    <w:p w:rsidR="009A6B10" w:rsidRPr="009A6B10" w:rsidRDefault="009A6B10" w:rsidP="009A6B10">
      <w:pPr>
        <w:jc w:val="both"/>
        <w:rPr>
          <w:rFonts w:ascii="Arial" w:hAnsi="Arial" w:cs="Arial"/>
          <w:sz w:val="20"/>
          <w:szCs w:val="20"/>
        </w:rPr>
      </w:pPr>
    </w:p>
    <w:p w:rsidR="009A6B10" w:rsidRPr="009A6B10" w:rsidRDefault="009A6B10" w:rsidP="009A6B10">
      <w:pPr>
        <w:ind w:firstLine="709"/>
        <w:jc w:val="both"/>
      </w:pPr>
      <w:r w:rsidRPr="009A6B10">
        <w:t>Z údajov za prvý polrok 2013 možno konštatovať, že ťažiskové odvetvia z roku 2012 si zachovali svoju pozíciu z pohľadu príspevkov k HDP, pričom však podiel produkcie elektroniky a elektrických zariadení poklesol pri súčasnom raste podielu tak dopravných prostriedkov ako aj strojov a zariadení inde nezaradených. Tieto odvetvia sú tiež ťažiskovými zamestnávateľmi v priemyselnej výrobe. Z pohľadu zamestnanosti však majú dôležitú úlohu aj odvetvia výroby textilných, odevných a kožiarskych výrobkov, vykazujúcich v poslednej dobe oživenie a dôležitým zamestnávateľom sú aj podniky z oblasti výroby potravín a nápojov, ktorých podiel na HDP má dlhodobo kolísavý trend s medziročným poklesom k polroku</w:t>
      </w:r>
      <w:r w:rsidR="00DE0D88" w:rsidRPr="00DE0D88">
        <w:t>2013.</w:t>
      </w:r>
      <w:r w:rsidRPr="009A6B10">
        <w:t>.</w:t>
      </w:r>
    </w:p>
    <w:p w:rsidR="009A6B10" w:rsidRPr="009A6B10" w:rsidRDefault="009A6B10" w:rsidP="009A6B10">
      <w:pPr>
        <w:ind w:firstLine="709"/>
        <w:jc w:val="both"/>
      </w:pPr>
    </w:p>
    <w:p w:rsidR="009A6B10" w:rsidRPr="009A6B10" w:rsidRDefault="009A6B10" w:rsidP="009A6B10">
      <w:pPr>
        <w:ind w:firstLine="709"/>
        <w:jc w:val="both"/>
      </w:pPr>
      <w:r w:rsidRPr="009A6B10">
        <w:t xml:space="preserve">Z nasledujúceho grafu vidieť, že dynamika rastu pridanej hodnoty je nižšia ako dynamika vývoja tržieb za vlastné výkony a tovar, čo indikuje, že zhodnotenie vstupov je nižšie ako rast nákladov v rámci výrobnej spotreby, čo vytvára riziko pre udržanie konkurenčnej schopnosti v ďalšom vývoji. V tejto súvislosti je potrebné poznamenať, že </w:t>
      </w:r>
      <w:r w:rsidRPr="009A6B10">
        <w:rPr>
          <w:color w:val="000000"/>
        </w:rPr>
        <w:t>podľa štatistík Európskej ko</w:t>
      </w:r>
      <w:r w:rsidR="00F7499D">
        <w:rPr>
          <w:color w:val="000000"/>
        </w:rPr>
        <w:t>misie je slovenská elektrina v Európ</w:t>
      </w:r>
      <w:r w:rsidRPr="009A6B10">
        <w:rPr>
          <w:color w:val="000000"/>
        </w:rPr>
        <w:t xml:space="preserve">e aktuálne desiata najdrahšia a po zohľadnení platov sú jej ceny siedme najvyššie, čo pri pomerne vysokej energetickej náročnosti priemyselnej výroby SR má značný vplyv na konkurenčnú schopnosť priemyselnej produkcie. Keďže cena elektriny z výroby sa na konečnej cene podieľa približne polovicou, možné zníženie cien tak závisí hlavne od výšky regulovaných poplatkov za prenos elektriny po vysokonapäťových linkách, poplatkov za distribúciu a stanovených úrovní dotácií pre rôzne sektory. Priemyselnej výrobe by teda malo prospieť budúcoročné očakávané </w:t>
      </w:r>
      <w:r w:rsidRPr="009A6B10">
        <w:t xml:space="preserve">zníženie distribučných poplatkov, ktoré tvoria významnú časť koncovej ceny elektriny. </w:t>
      </w:r>
    </w:p>
    <w:p w:rsidR="009A6B10" w:rsidRPr="009A6B10" w:rsidRDefault="009A6B10" w:rsidP="009A6B10">
      <w:pPr>
        <w:ind w:firstLine="709"/>
        <w:jc w:val="both"/>
      </w:pPr>
    </w:p>
    <w:p w:rsidR="009A6B10" w:rsidRPr="009A6B10" w:rsidRDefault="009A6B10" w:rsidP="009A6B10">
      <w:pPr>
        <w:ind w:firstLine="709"/>
        <w:jc w:val="center"/>
      </w:pPr>
      <w:r w:rsidRPr="009A6B10">
        <w:t>Vývoj indexu tržieb a pridanej hodnoty</w:t>
      </w:r>
    </w:p>
    <w:p w:rsidR="009A6B10" w:rsidRPr="009A6B10" w:rsidRDefault="00CB5F71" w:rsidP="009A6B10">
      <w:pPr>
        <w:ind w:firstLine="709"/>
        <w:jc w:val="center"/>
      </w:pPr>
      <w:r>
        <w:rPr>
          <w:noProof/>
        </w:rPr>
        <w:pict>
          <v:shape id="Graf 2" o:spid="_x0000_i1029" type="#_x0000_t75" style="width:324.75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">
            <v:imagedata r:id="rId19" o:title=""/>
            <o:lock v:ext="edit" aspectratio="f"/>
          </v:shape>
        </w:pict>
      </w:r>
    </w:p>
    <w:p w:rsidR="009A6B10" w:rsidRPr="009A6B10" w:rsidRDefault="009A6B10" w:rsidP="009A6B10">
      <w:pPr>
        <w:ind w:firstLine="709"/>
        <w:jc w:val="both"/>
      </w:pPr>
    </w:p>
    <w:p w:rsidR="009A6B10" w:rsidRPr="009A6B10" w:rsidRDefault="009A6B10" w:rsidP="009A6B10">
      <w:pPr>
        <w:ind w:firstLine="709"/>
        <w:jc w:val="both"/>
      </w:pPr>
      <w:r w:rsidRPr="009A6B10">
        <w:t xml:space="preserve">Treba tiež zdôrazniť, že Slovensko je otvorená ekonomika, ktorej konkurenčná schopnosť je výrazne závislá na predaji tovarov do zahraničia a posledné roky si udržuje kladné saldo zahraničného obchodu. Od roku 2009, kedy predaj priemyselných tovarov do zahraničia medziročne poklesol  o takmer 20%, sme zaznamenali pravidelne výrazné </w:t>
      </w:r>
      <w:r w:rsidRPr="009A6B10">
        <w:lastRenderedPageBreak/>
        <w:t>medziročné rasty tohto ukazovateľa. V</w:t>
      </w:r>
      <w:r w:rsidR="00A07396">
        <w:t> roku 2010 export narástol o 23</w:t>
      </w:r>
      <w:r w:rsidRPr="009A6B10">
        <w:t xml:space="preserve">% pri súčasnom </w:t>
      </w:r>
      <w:r w:rsidR="00A07396">
        <w:t>zlepšení kladného salda ZO o 14</w:t>
      </w:r>
      <w:r w:rsidRPr="009A6B10">
        <w:t xml:space="preserve">%. V roku 2011 sa dynamika rastu exportu mierne znížila na 16% avšak kladné saldo ZO rástlo vďaka spomaleniu importu o 49 %. V roku 2012 tržby z predaja do </w:t>
      </w:r>
      <w:r w:rsidR="00A07396">
        <w:t>zahraničia tvorili podiel 62,50</w:t>
      </w:r>
      <w:r w:rsidRPr="009A6B10">
        <w:t xml:space="preserve">% na tržbách za vlastné výkony a tovar priemyselnej výroby. Export priemyselných tovarov v tomto období medziročne vzrástol o 9,66% a pozitívne saldo ZO </w:t>
      </w:r>
      <w:r w:rsidR="00A07396">
        <w:t>s priemyselnými tovarmi o 29,63</w:t>
      </w:r>
      <w:r w:rsidRPr="009A6B10">
        <w:t xml:space="preserve">%. </w:t>
      </w:r>
    </w:p>
    <w:p w:rsidR="009A6B10" w:rsidRPr="009A6B10" w:rsidRDefault="009A6B10" w:rsidP="009A6B10">
      <w:pPr>
        <w:ind w:firstLine="709"/>
        <w:jc w:val="both"/>
      </w:pPr>
    </w:p>
    <w:p w:rsidR="009A6B10" w:rsidRPr="009A6B10" w:rsidRDefault="009A6B10" w:rsidP="009A6B10">
      <w:pPr>
        <w:ind w:firstLine="709"/>
        <w:jc w:val="center"/>
      </w:pPr>
      <w:r w:rsidRPr="009A6B10">
        <w:t>Podiely jednotlivých odvetví priemyselnej výrobe na predaji priemyselných produktov do zahraničia</w:t>
      </w:r>
    </w:p>
    <w:p w:rsidR="009A6B10" w:rsidRPr="009A6B10" w:rsidRDefault="009A6B10" w:rsidP="009A6B10">
      <w:pPr>
        <w:ind w:firstLine="709"/>
        <w:jc w:val="both"/>
      </w:pPr>
      <w:r w:rsidRPr="009A6B10">
        <w:t xml:space="preserve">  </w:t>
      </w:r>
    </w:p>
    <w:p w:rsidR="009A6B10" w:rsidRPr="009A6B10" w:rsidRDefault="00CB5F71" w:rsidP="009A6B10">
      <w:pPr>
        <w:ind w:firstLine="709"/>
        <w:jc w:val="both"/>
      </w:pPr>
      <w:r>
        <w:rPr>
          <w:noProof/>
        </w:rPr>
        <w:pict>
          <v:shape id="Graf 4" o:spid="_x0000_i1030" type="#_x0000_t75" style="width:337.5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">
            <v:imagedata r:id="rId20" o:title="" croptop="9427f" cropbottom="-22f"/>
            <o:lock v:ext="edit" aspectratio="f"/>
          </v:shape>
        </w:pict>
      </w:r>
    </w:p>
    <w:p w:rsidR="009A6B10" w:rsidRPr="009A6B10" w:rsidRDefault="009A6B10" w:rsidP="009A6B10">
      <w:pPr>
        <w:ind w:firstLine="709"/>
        <w:jc w:val="both"/>
      </w:pPr>
    </w:p>
    <w:p w:rsidR="009A6B10" w:rsidRPr="009A6B10" w:rsidRDefault="009A6B10" w:rsidP="009A6B10">
      <w:pPr>
        <w:ind w:firstLine="709"/>
        <w:jc w:val="center"/>
      </w:pPr>
      <w:r w:rsidRPr="009A6B10">
        <w:t>Rozdiel medziročnej dynamiky vývoja exportu priemyselných výrobkov jednotlivých odvetví oproti dynamike priemyselnej výroby celkom v roku 2012</w:t>
      </w:r>
    </w:p>
    <w:p w:rsidR="009A6B10" w:rsidRPr="009A6B10" w:rsidRDefault="009A6B10" w:rsidP="009A6B10">
      <w:pPr>
        <w:jc w:val="both"/>
      </w:pPr>
    </w:p>
    <w:p w:rsidR="009A6B10" w:rsidRPr="009A6B10" w:rsidRDefault="00CB5F71" w:rsidP="009A6B10">
      <w:pPr>
        <w:ind w:firstLine="709"/>
        <w:jc w:val="both"/>
      </w:pPr>
      <w:r>
        <w:rPr>
          <w:noProof/>
        </w:rPr>
        <w:pict>
          <v:shape id="Graf 5" o:spid="_x0000_i1031" type="#_x0000_t75" style="width:346.5pt;height:215.2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">
            <v:imagedata r:id="rId21" o:title="" croptop="-2322f" cropbottom="-1238f" cropleft="-1173f" cropright="-741f"/>
            <o:lock v:ext="edit" aspectratio="f"/>
          </v:shape>
        </w:pict>
      </w:r>
    </w:p>
    <w:p w:rsidR="009A6B10" w:rsidRPr="009A6B10" w:rsidRDefault="009A6B10" w:rsidP="009A6B10">
      <w:pPr>
        <w:ind w:firstLine="709"/>
        <w:jc w:val="both"/>
      </w:pPr>
    </w:p>
    <w:p w:rsidR="009A6B10" w:rsidRPr="009A6B10" w:rsidRDefault="009A6B10" w:rsidP="009A6B10">
      <w:pPr>
        <w:ind w:firstLine="709"/>
        <w:jc w:val="both"/>
      </w:pPr>
      <w:r w:rsidRPr="009A6B10">
        <w:t>V prvom štvrťroku 2013 sa dynamika rastu exportu priemyselných</w:t>
      </w:r>
      <w:r w:rsidR="00A07396">
        <w:t xml:space="preserve"> tovarov znížila na hodnotu 2,6</w:t>
      </w:r>
      <w:r w:rsidRPr="009A6B10">
        <w:t>% a</w:t>
      </w:r>
      <w:r w:rsidR="00A07396">
        <w:t> kladné saldo sa zvýšilo o 13,6</w:t>
      </w:r>
      <w:r w:rsidRPr="009A6B10">
        <w:t>%, čo znamená, že import stále rastie pomalšie ako export, pričom hlavným dôvodom je zrejme výrazne nízka investičná aktivita sprevádzaná celkovo nízkym dopytom na vnútornom trhu</w:t>
      </w:r>
      <w:r w:rsidR="00F7499D">
        <w:t xml:space="preserve">, </w:t>
      </w:r>
      <w:r w:rsidR="00F7499D" w:rsidRPr="00F7499D">
        <w:rPr>
          <w:color w:val="FF0000"/>
        </w:rPr>
        <w:t xml:space="preserve"> </w:t>
      </w:r>
      <w:r w:rsidR="00F7499D" w:rsidRPr="00DE0D88">
        <w:t>pritom podiel exportu a importu do medzispotreby zostáva zhruba konštantný.</w:t>
      </w:r>
      <w:r w:rsidRPr="00DE0D88">
        <w:t xml:space="preserve"> </w:t>
      </w:r>
      <w:r w:rsidRPr="009A6B10">
        <w:t xml:space="preserve">Rozdiel medziročnej dynamiky vývoja exportu </w:t>
      </w:r>
      <w:r w:rsidRPr="009A6B10">
        <w:lastRenderedPageBreak/>
        <w:t>priemyselných výrobkov jednotlivých odvetví oproti dynamike priemyselnej výroby celkom v prvom polroku 2013 je uvedený v nasledujúcom grafe.</w:t>
      </w:r>
    </w:p>
    <w:p w:rsidR="009A6B10" w:rsidRPr="009A6B10" w:rsidRDefault="009A6B10" w:rsidP="009A6B10">
      <w:pPr>
        <w:ind w:firstLine="709"/>
        <w:jc w:val="both"/>
      </w:pPr>
    </w:p>
    <w:p w:rsidR="009A6B10" w:rsidRPr="009A6B10" w:rsidRDefault="009A6B10" w:rsidP="009A6B10">
      <w:pPr>
        <w:jc w:val="center"/>
      </w:pPr>
      <w:r w:rsidRPr="009A6B10">
        <w:t>Rozdiel medziročnej dynamiky vývoja exportu priemyselných výrobkov jednotlivých odvetví oproti dynamike priemyselnej výroby celkom v prvom polroku 2013</w:t>
      </w:r>
    </w:p>
    <w:p w:rsidR="009A6B10" w:rsidRPr="009A6B10" w:rsidRDefault="00CB5F71" w:rsidP="009A6B10">
      <w:pPr>
        <w:jc w:val="both"/>
      </w:pPr>
      <w:r>
        <w:rPr>
          <w:noProof/>
        </w:rPr>
        <w:pict>
          <v:shape id="Graf 10" o:spid="_x0000_i1032" type="#_x0000_t75" style="width:393.75pt;height:236.2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">
            <v:imagedata r:id="rId22" o:title="" cropbottom="-11f"/>
            <o:lock v:ext="edit" aspectratio="f"/>
          </v:shape>
        </w:pict>
      </w:r>
    </w:p>
    <w:p w:rsidR="009A6B10" w:rsidRPr="009A6B10" w:rsidRDefault="009A6B10" w:rsidP="009A6B10">
      <w:pPr>
        <w:jc w:val="both"/>
      </w:pPr>
    </w:p>
    <w:p w:rsidR="009A6B10" w:rsidRPr="009A6B10" w:rsidRDefault="009A6B10" w:rsidP="009A6B10">
      <w:pPr>
        <w:ind w:firstLine="709"/>
        <w:jc w:val="both"/>
      </w:pPr>
    </w:p>
    <w:p w:rsidR="009A6B10" w:rsidRPr="009A6B10" w:rsidRDefault="009A6B10" w:rsidP="009A6B10">
      <w:pPr>
        <w:ind w:firstLine="709"/>
        <w:jc w:val="both"/>
      </w:pPr>
      <w:r w:rsidRPr="009A6B10">
        <w:t>Dôležitou skutočnosťou je</w:t>
      </w:r>
      <w:r w:rsidR="00A07396">
        <w:t>, že v roku 2012 35,35</w:t>
      </w:r>
      <w:r w:rsidRPr="009A6B10">
        <w:t>% vyvezených tovarov konkurovalo na trhu kvalitou (rozdiel oproti m</w:t>
      </w:r>
      <w:r w:rsidR="00A07396">
        <w:t xml:space="preserve">inulému roku -2,54 </w:t>
      </w:r>
      <w:proofErr w:type="spellStart"/>
      <w:r w:rsidR="00A07396">
        <w:t>p.b</w:t>
      </w:r>
      <w:proofErr w:type="spellEnd"/>
      <w:r w:rsidR="00A07396">
        <w:t>.), 14,18</w:t>
      </w:r>
      <w:r w:rsidRPr="009A6B10">
        <w:t>% vykazovalo deficit cenovej</w:t>
      </w:r>
      <w:r w:rsidR="00A07396">
        <w:t xml:space="preserve"> konkurencie (-0,1 </w:t>
      </w:r>
      <w:proofErr w:type="spellStart"/>
      <w:r w:rsidR="00A07396">
        <w:t>p.b</w:t>
      </w:r>
      <w:proofErr w:type="spellEnd"/>
      <w:r w:rsidR="00A07396">
        <w:t>.), 41,24</w:t>
      </w:r>
      <w:r w:rsidRPr="009A6B10">
        <w:t>% konku</w:t>
      </w:r>
      <w:r w:rsidR="00A07396">
        <w:t xml:space="preserve">rovalo cenou (0,61 </w:t>
      </w:r>
      <w:proofErr w:type="spellStart"/>
      <w:r w:rsidR="00A07396">
        <w:t>p.b</w:t>
      </w:r>
      <w:proofErr w:type="spellEnd"/>
      <w:r w:rsidR="00A07396">
        <w:t>.) a 9,23</w:t>
      </w:r>
      <w:r w:rsidRPr="009A6B10">
        <w:t xml:space="preserve">% vykazovalo štrukturálne problémy (2,03 </w:t>
      </w:r>
      <w:proofErr w:type="spellStart"/>
      <w:r w:rsidRPr="009A6B10">
        <w:t>p.b</w:t>
      </w:r>
      <w:proofErr w:type="spellEnd"/>
      <w:r w:rsidRPr="009A6B10">
        <w:t>.). Uvedený trend v podstate pokračuje aj v súčasnosti, keď v prvom polroku 2013 konkurovalo kvalitou na trhu 38,90% vyvezených priemyselných produktov (medziročná zmena oproti 1. št</w:t>
      </w:r>
      <w:r w:rsidR="00A07396">
        <w:t xml:space="preserve">vrťroku 2012 +4,34 </w:t>
      </w:r>
      <w:proofErr w:type="spellStart"/>
      <w:r w:rsidR="00A07396">
        <w:t>p.b</w:t>
      </w:r>
      <w:proofErr w:type="spellEnd"/>
      <w:r w:rsidR="00A07396">
        <w:t>.), 11,75</w:t>
      </w:r>
      <w:r w:rsidRPr="009A6B10">
        <w:t>% vykazovalo deficit cenovej kon</w:t>
      </w:r>
      <w:r w:rsidR="00A07396">
        <w:t xml:space="preserve">kurencie (-1,04 </w:t>
      </w:r>
      <w:proofErr w:type="spellStart"/>
      <w:r w:rsidR="00A07396">
        <w:t>p.b</w:t>
      </w:r>
      <w:proofErr w:type="spellEnd"/>
      <w:r w:rsidR="00A07396">
        <w:t>.), 37,91</w:t>
      </w:r>
      <w:r w:rsidRPr="009A6B10">
        <w:t>% konkurovalo na t</w:t>
      </w:r>
      <w:r w:rsidR="00A07396">
        <w:t xml:space="preserve">rhu cenou ( -5,43 </w:t>
      </w:r>
      <w:proofErr w:type="spellStart"/>
      <w:r w:rsidR="00A07396">
        <w:t>p.b</w:t>
      </w:r>
      <w:proofErr w:type="spellEnd"/>
      <w:r w:rsidR="00A07396">
        <w:t>.) a 11,43</w:t>
      </w:r>
      <w:r w:rsidRPr="009A6B10">
        <w:t xml:space="preserve">% vykazovalo štrukturálne problémy ( +2,013 </w:t>
      </w:r>
      <w:proofErr w:type="spellStart"/>
      <w:r w:rsidRPr="009A6B10">
        <w:t>p.b</w:t>
      </w:r>
      <w:proofErr w:type="spellEnd"/>
      <w:r w:rsidRPr="009A6B10">
        <w:t>.).</w:t>
      </w:r>
    </w:p>
    <w:p w:rsidR="009A6B10" w:rsidRPr="009A6B10" w:rsidRDefault="009A6B10" w:rsidP="009A6B10">
      <w:pPr>
        <w:ind w:firstLine="709"/>
        <w:jc w:val="both"/>
      </w:pPr>
    </w:p>
    <w:p w:rsidR="009A6B10" w:rsidRDefault="009A6B10" w:rsidP="009A6B10">
      <w:pPr>
        <w:ind w:firstLine="709"/>
        <w:jc w:val="both"/>
      </w:pPr>
      <w:r w:rsidRPr="009A6B10">
        <w:t xml:space="preserve"> Podrobnejšie údaje o celkových príspevkoch jednotlivých odvetví k segmentom konkurencieschopnosti vyvážaných priemyselných výrobkov sú uvedené v nasledujúcej tabuľke. V tabuľke „Vývoj segmentácie“ zase vidieť aké sú podiely segmentov konkurencieschopnosti na vývoze produkcie jednotlivých odvetví.</w:t>
      </w:r>
    </w:p>
    <w:p w:rsidR="00DE0D88" w:rsidRDefault="00DE0D88" w:rsidP="009A6B10">
      <w:pPr>
        <w:ind w:firstLine="709"/>
        <w:jc w:val="both"/>
      </w:pPr>
    </w:p>
    <w:p w:rsidR="00DE0D88" w:rsidRDefault="00DE0D88" w:rsidP="009A6B10">
      <w:pPr>
        <w:ind w:firstLine="709"/>
        <w:jc w:val="both"/>
      </w:pPr>
    </w:p>
    <w:p w:rsidR="00DE0D88" w:rsidRDefault="00DE0D88" w:rsidP="009A6B10">
      <w:pPr>
        <w:ind w:firstLine="709"/>
        <w:jc w:val="both"/>
      </w:pPr>
    </w:p>
    <w:p w:rsidR="00DE0D88" w:rsidRDefault="00DE0D88" w:rsidP="009A6B10">
      <w:pPr>
        <w:ind w:firstLine="709"/>
        <w:jc w:val="both"/>
      </w:pPr>
    </w:p>
    <w:p w:rsidR="00DE0D88" w:rsidRDefault="00DE0D88" w:rsidP="009A6B10">
      <w:pPr>
        <w:ind w:firstLine="709"/>
        <w:jc w:val="both"/>
      </w:pPr>
    </w:p>
    <w:p w:rsidR="00DE0D88" w:rsidRDefault="00DE0D88" w:rsidP="009A6B10">
      <w:pPr>
        <w:ind w:firstLine="709"/>
        <w:jc w:val="both"/>
      </w:pPr>
    </w:p>
    <w:p w:rsidR="00DE0D88" w:rsidRDefault="00DE0D88" w:rsidP="009A6B10">
      <w:pPr>
        <w:ind w:firstLine="709"/>
        <w:jc w:val="both"/>
      </w:pPr>
    </w:p>
    <w:p w:rsidR="00DE0D88" w:rsidRDefault="00DE0D88" w:rsidP="009A6B10">
      <w:pPr>
        <w:ind w:firstLine="709"/>
        <w:jc w:val="both"/>
      </w:pPr>
    </w:p>
    <w:p w:rsidR="00E01DCD" w:rsidRDefault="00E01DCD" w:rsidP="009A6B10">
      <w:pPr>
        <w:ind w:firstLine="709"/>
        <w:jc w:val="both"/>
      </w:pPr>
    </w:p>
    <w:p w:rsidR="00E01DCD" w:rsidRDefault="00E01DCD" w:rsidP="009A6B10">
      <w:pPr>
        <w:ind w:firstLine="709"/>
        <w:jc w:val="both"/>
      </w:pPr>
    </w:p>
    <w:p w:rsidR="00E01DCD" w:rsidRDefault="00E01DCD" w:rsidP="009A6B10">
      <w:pPr>
        <w:ind w:firstLine="709"/>
        <w:jc w:val="both"/>
      </w:pPr>
    </w:p>
    <w:p w:rsidR="00DE0D88" w:rsidRPr="009A6B10" w:rsidRDefault="00DE0D88" w:rsidP="009A6B10">
      <w:pPr>
        <w:ind w:firstLine="709"/>
        <w:jc w:val="both"/>
      </w:pPr>
    </w:p>
    <w:p w:rsidR="009A6B10" w:rsidRPr="009A6B10" w:rsidRDefault="009A6B10" w:rsidP="009A6B10">
      <w:pPr>
        <w:ind w:firstLine="709"/>
        <w:jc w:val="both"/>
      </w:pPr>
    </w:p>
    <w:p w:rsidR="009A6B10" w:rsidRPr="009A6B10" w:rsidRDefault="009A6B10" w:rsidP="009A6B10">
      <w:pPr>
        <w:jc w:val="center"/>
      </w:pPr>
      <w:r w:rsidRPr="009A6B10">
        <w:lastRenderedPageBreak/>
        <w:t xml:space="preserve">Príspevky odvetvových </w:t>
      </w:r>
      <w:proofErr w:type="spellStart"/>
      <w:r w:rsidRPr="009A6B10">
        <w:t>agregácií</w:t>
      </w:r>
      <w:proofErr w:type="spellEnd"/>
      <w:r w:rsidRPr="009A6B10">
        <w:t xml:space="preserve"> k segmentom </w:t>
      </w:r>
      <w:r w:rsidR="000843C6" w:rsidRPr="009A6B10">
        <w:t>konkurencieschopnosti</w:t>
      </w:r>
      <w:r w:rsidRPr="009A6B10">
        <w:t xml:space="preserve"> vyvážaných priemyselných tovarov  v 1p 2013 a 1p 2012 (vývoz priemyselnej výroby = 100%)</w:t>
      </w:r>
    </w:p>
    <w:p w:rsidR="009A6B10" w:rsidRPr="009A6B10" w:rsidRDefault="009A6B10" w:rsidP="009A6B10">
      <w:pPr>
        <w:jc w:val="both"/>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DE0D88" w:rsidTr="004D4403">
        <w:tc>
          <w:tcPr>
            <w:tcW w:w="9210" w:type="dxa"/>
          </w:tcPr>
          <w:tbl>
            <w:tblPr>
              <w:tblW w:w="8925" w:type="dxa"/>
              <w:tblInd w:w="55" w:type="dxa"/>
              <w:tblCellMar>
                <w:left w:w="70" w:type="dxa"/>
                <w:right w:w="70" w:type="dxa"/>
              </w:tblCellMar>
              <w:tblLook w:val="00A0" w:firstRow="1" w:lastRow="0" w:firstColumn="1" w:lastColumn="0" w:noHBand="0" w:noVBand="0"/>
            </w:tblPr>
            <w:tblGrid>
              <w:gridCol w:w="960"/>
              <w:gridCol w:w="160"/>
              <w:gridCol w:w="875"/>
              <w:gridCol w:w="1010"/>
              <w:gridCol w:w="195"/>
              <w:gridCol w:w="805"/>
              <w:gridCol w:w="1000"/>
              <w:gridCol w:w="180"/>
              <w:gridCol w:w="820"/>
              <w:gridCol w:w="1000"/>
              <w:gridCol w:w="210"/>
              <w:gridCol w:w="750"/>
              <w:gridCol w:w="960"/>
            </w:tblGrid>
            <w:tr w:rsidR="00B42BAC" w:rsidRPr="00DE0D88" w:rsidTr="004D4403">
              <w:trPr>
                <w:trHeight w:val="255"/>
              </w:trPr>
              <w:tc>
                <w:tcPr>
                  <w:tcW w:w="960" w:type="dxa"/>
                  <w:tcBorders>
                    <w:top w:val="single" w:sz="4" w:space="0" w:color="auto"/>
                    <w:left w:val="single" w:sz="4" w:space="0" w:color="auto"/>
                    <w:bottom w:val="nil"/>
                    <w:right w:val="nil"/>
                  </w:tcBorders>
                  <w:noWrap/>
                  <w:vAlign w:val="bottom"/>
                </w:tcPr>
                <w:p w:rsidR="00B42BAC" w:rsidRPr="00DE0D88" w:rsidRDefault="00B42BAC" w:rsidP="00DE0D88">
                  <w:pPr>
                    <w:rPr>
                      <w:rFonts w:ascii="Arial" w:hAnsi="Arial" w:cs="Arial"/>
                      <w:sz w:val="20"/>
                      <w:szCs w:val="20"/>
                    </w:rPr>
                  </w:pPr>
                </w:p>
              </w:tc>
              <w:tc>
                <w:tcPr>
                  <w:tcW w:w="160" w:type="dxa"/>
                  <w:tcBorders>
                    <w:top w:val="single" w:sz="4" w:space="0" w:color="auto"/>
                    <w:left w:val="nil"/>
                    <w:bottom w:val="nil"/>
                    <w:right w:val="single" w:sz="4" w:space="0" w:color="auto"/>
                  </w:tcBorders>
                  <w:noWrap/>
                  <w:vAlign w:val="bottom"/>
                </w:tcPr>
                <w:p w:rsidR="00B42BAC" w:rsidRPr="00DE0D88" w:rsidRDefault="00B42BAC" w:rsidP="00DE0D88">
                  <w:pPr>
                    <w:jc w:val="center"/>
                    <w:rPr>
                      <w:rFonts w:ascii="Arial" w:hAnsi="Arial" w:cs="Arial"/>
                      <w:sz w:val="20"/>
                      <w:szCs w:val="20"/>
                    </w:rPr>
                  </w:pPr>
                </w:p>
              </w:tc>
              <w:tc>
                <w:tcPr>
                  <w:tcW w:w="1885" w:type="dxa"/>
                  <w:gridSpan w:val="2"/>
                  <w:tcBorders>
                    <w:top w:val="single" w:sz="4" w:space="0" w:color="auto"/>
                    <w:left w:val="single" w:sz="4" w:space="0" w:color="auto"/>
                    <w:bottom w:val="nil"/>
                    <w:right w:val="nil"/>
                  </w:tcBorders>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I</w:t>
                  </w:r>
                </w:p>
              </w:tc>
              <w:tc>
                <w:tcPr>
                  <w:tcW w:w="195" w:type="dxa"/>
                  <w:tcBorders>
                    <w:top w:val="single" w:sz="4" w:space="0" w:color="auto"/>
                    <w:left w:val="nil"/>
                    <w:bottom w:val="nil"/>
                    <w:right w:val="single" w:sz="4" w:space="0" w:color="auto"/>
                  </w:tcBorders>
                  <w:noWrap/>
                  <w:vAlign w:val="bottom"/>
                </w:tcPr>
                <w:p w:rsidR="00B42BAC" w:rsidRPr="00DE0D88" w:rsidRDefault="00B42BAC" w:rsidP="00B42BAC">
                  <w:pPr>
                    <w:jc w:val="center"/>
                    <w:rPr>
                      <w:rFonts w:ascii="Arial" w:hAnsi="Arial" w:cs="Arial"/>
                      <w:sz w:val="20"/>
                      <w:szCs w:val="20"/>
                    </w:rPr>
                  </w:pPr>
                </w:p>
              </w:tc>
              <w:tc>
                <w:tcPr>
                  <w:tcW w:w="1805" w:type="dxa"/>
                  <w:gridSpan w:val="2"/>
                  <w:tcBorders>
                    <w:top w:val="single" w:sz="4" w:space="0" w:color="auto"/>
                    <w:left w:val="single" w:sz="4" w:space="0" w:color="auto"/>
                    <w:bottom w:val="nil"/>
                    <w:right w:val="nil"/>
                  </w:tcBorders>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II</w:t>
                  </w:r>
                </w:p>
              </w:tc>
              <w:tc>
                <w:tcPr>
                  <w:tcW w:w="180" w:type="dxa"/>
                  <w:tcBorders>
                    <w:top w:val="single" w:sz="4" w:space="0" w:color="auto"/>
                    <w:left w:val="nil"/>
                    <w:bottom w:val="nil"/>
                    <w:right w:val="single" w:sz="4" w:space="0" w:color="auto"/>
                  </w:tcBorders>
                  <w:noWrap/>
                  <w:vAlign w:val="bottom"/>
                </w:tcPr>
                <w:p w:rsidR="00B42BAC" w:rsidRPr="00DE0D88" w:rsidRDefault="00B42BAC" w:rsidP="00B42BAC">
                  <w:pPr>
                    <w:jc w:val="center"/>
                    <w:rPr>
                      <w:rFonts w:ascii="Arial" w:hAnsi="Arial" w:cs="Arial"/>
                      <w:sz w:val="20"/>
                      <w:szCs w:val="20"/>
                    </w:rPr>
                  </w:pPr>
                </w:p>
              </w:tc>
              <w:tc>
                <w:tcPr>
                  <w:tcW w:w="1820" w:type="dxa"/>
                  <w:gridSpan w:val="2"/>
                  <w:tcBorders>
                    <w:top w:val="single" w:sz="4" w:space="0" w:color="auto"/>
                    <w:left w:val="single" w:sz="4" w:space="0" w:color="auto"/>
                    <w:bottom w:val="nil"/>
                    <w:right w:val="nil"/>
                  </w:tcBorders>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III</w:t>
                  </w:r>
                </w:p>
              </w:tc>
              <w:tc>
                <w:tcPr>
                  <w:tcW w:w="210" w:type="dxa"/>
                  <w:tcBorders>
                    <w:top w:val="single" w:sz="4" w:space="0" w:color="auto"/>
                    <w:left w:val="nil"/>
                    <w:bottom w:val="nil"/>
                    <w:right w:val="single" w:sz="4" w:space="0" w:color="auto"/>
                  </w:tcBorders>
                  <w:noWrap/>
                  <w:vAlign w:val="bottom"/>
                </w:tcPr>
                <w:p w:rsidR="00B42BAC" w:rsidRPr="00DE0D88" w:rsidRDefault="00B42BAC" w:rsidP="00B42BAC">
                  <w:pPr>
                    <w:jc w:val="center"/>
                    <w:rPr>
                      <w:rFonts w:ascii="Arial" w:hAnsi="Arial" w:cs="Arial"/>
                      <w:sz w:val="20"/>
                      <w:szCs w:val="20"/>
                    </w:rPr>
                  </w:pPr>
                </w:p>
              </w:tc>
              <w:tc>
                <w:tcPr>
                  <w:tcW w:w="1710" w:type="dxa"/>
                  <w:gridSpan w:val="2"/>
                  <w:tcBorders>
                    <w:top w:val="single" w:sz="4" w:space="0" w:color="auto"/>
                    <w:left w:val="single" w:sz="4" w:space="0" w:color="auto"/>
                    <w:bottom w:val="nil"/>
                    <w:right w:val="single" w:sz="4" w:space="0" w:color="auto"/>
                  </w:tcBorders>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IV</w:t>
                  </w:r>
                </w:p>
              </w:tc>
            </w:tr>
            <w:tr w:rsidR="00B42BAC" w:rsidRPr="00DE0D88" w:rsidTr="004D4403">
              <w:trPr>
                <w:trHeight w:val="255"/>
              </w:trPr>
              <w:tc>
                <w:tcPr>
                  <w:tcW w:w="960" w:type="dxa"/>
                  <w:tcBorders>
                    <w:top w:val="nil"/>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SK NACE</w:t>
                  </w:r>
                </w:p>
              </w:tc>
              <w:tc>
                <w:tcPr>
                  <w:tcW w:w="160" w:type="dxa"/>
                  <w:tcBorders>
                    <w:top w:val="nil"/>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nil"/>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2013</w:t>
                  </w:r>
                </w:p>
              </w:tc>
              <w:tc>
                <w:tcPr>
                  <w:tcW w:w="1010" w:type="dxa"/>
                  <w:tcBorders>
                    <w:top w:val="nil"/>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2012</w:t>
                  </w:r>
                </w:p>
              </w:tc>
              <w:tc>
                <w:tcPr>
                  <w:tcW w:w="195" w:type="dxa"/>
                  <w:tcBorders>
                    <w:top w:val="nil"/>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nil"/>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2013</w:t>
                  </w:r>
                </w:p>
              </w:tc>
              <w:tc>
                <w:tcPr>
                  <w:tcW w:w="1000" w:type="dxa"/>
                  <w:tcBorders>
                    <w:top w:val="nil"/>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2012</w:t>
                  </w:r>
                </w:p>
              </w:tc>
              <w:tc>
                <w:tcPr>
                  <w:tcW w:w="180" w:type="dxa"/>
                  <w:tcBorders>
                    <w:top w:val="nil"/>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nil"/>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2013</w:t>
                  </w:r>
                </w:p>
              </w:tc>
              <w:tc>
                <w:tcPr>
                  <w:tcW w:w="1000" w:type="dxa"/>
                  <w:tcBorders>
                    <w:top w:val="nil"/>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2012</w:t>
                  </w:r>
                </w:p>
              </w:tc>
              <w:tc>
                <w:tcPr>
                  <w:tcW w:w="210" w:type="dxa"/>
                  <w:tcBorders>
                    <w:top w:val="nil"/>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nil"/>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2013</w:t>
                  </w:r>
                </w:p>
              </w:tc>
              <w:tc>
                <w:tcPr>
                  <w:tcW w:w="960" w:type="dxa"/>
                  <w:tcBorders>
                    <w:top w:val="nil"/>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2012</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10 až 12</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1,61%</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0,85%</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0,35%</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0,82%</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0,99%</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1,64%</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0,63%</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0,48%</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13 a 14</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0,52%</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0,79%</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0,63%</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0,70%</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0,35%</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0,28%</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0,27%</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0,21%</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15</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1,08%</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0,97%</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0,45%</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0,33%</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0,13%</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0,34%</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0,10%</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0,11%</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16</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0,38%</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0,43%</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0,04%</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0,06%</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0,27%</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0,35%</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0,10%</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0,06%</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17 a 18</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0,21%</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0,27%</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0,17%</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0,12%</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1,31%</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1,29%</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0,06%</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0,09%</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19</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0,49%</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0,09%</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0,04%</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0,18%</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4,62%</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4,48%</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0,03%</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0,02%</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20</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1,39%</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1,47%</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0,52%</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0,64%</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1,35%</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1,26%</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0,33%</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0,31%</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21</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0,02%</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0,01%</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0,44%</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0,43%</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0,01%</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0,01%</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0,07%</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0,08%</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22</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1,07%</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1,04%</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0,85%</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0,96%</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2,20%</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2,26%</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0,22%</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0,15%</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23</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0,58%</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0,47%</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0,19%</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0,19%</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0,54%</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0,72%</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0,14%</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0,06%</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24 a 25</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4,50%</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3,25%</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1,56%</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1,62%</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4,53%</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7,26%</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1,12%</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0,75%</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26 a 27</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11,12%</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10,79%</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2,66%</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3,30%</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1,61%</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3,13%</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6,54%</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4,32%</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28</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3,62%</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3,95%</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0,73%</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0,72%</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4,06%</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3,50%</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0,82%</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1,01%</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29 a 30</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11,06%</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8,94%</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2,75%</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2,48%</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14,91%</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15,86%</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0,33%</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0,95%</w:t>
                  </w:r>
                </w:p>
              </w:tc>
            </w:tr>
            <w:tr w:rsidR="00B42BAC" w:rsidRPr="00DE0D88" w:rsidTr="004D4403">
              <w:trPr>
                <w:trHeight w:val="255"/>
              </w:trPr>
              <w:tc>
                <w:tcPr>
                  <w:tcW w:w="960" w:type="dxa"/>
                  <w:tcBorders>
                    <w:top w:val="single" w:sz="4" w:space="0" w:color="auto"/>
                    <w:left w:val="single" w:sz="4" w:space="0" w:color="auto"/>
                    <w:bottom w:val="single" w:sz="4" w:space="0" w:color="auto"/>
                    <w:right w:val="nil"/>
                  </w:tcBorders>
                  <w:noWrap/>
                  <w:vAlign w:val="bottom"/>
                </w:tcPr>
                <w:p w:rsidR="00B42BAC" w:rsidRPr="00DE0D88" w:rsidRDefault="00B42BAC" w:rsidP="00DE0D88">
                  <w:pPr>
                    <w:jc w:val="center"/>
                    <w:rPr>
                      <w:rFonts w:ascii="Arial" w:hAnsi="Arial" w:cs="Arial"/>
                      <w:sz w:val="20"/>
                      <w:szCs w:val="20"/>
                    </w:rPr>
                  </w:pPr>
                  <w:r w:rsidRPr="00DE0D88">
                    <w:rPr>
                      <w:rFonts w:ascii="Arial" w:hAnsi="Arial" w:cs="Arial"/>
                      <w:sz w:val="20"/>
                      <w:szCs w:val="20"/>
                    </w:rPr>
                    <w:t>31 a 32</w:t>
                  </w:r>
                </w:p>
              </w:tc>
              <w:tc>
                <w:tcPr>
                  <w:tcW w:w="1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p>
              </w:tc>
              <w:tc>
                <w:tcPr>
                  <w:tcW w:w="87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1,25%</w:t>
                  </w:r>
                </w:p>
              </w:tc>
              <w:tc>
                <w:tcPr>
                  <w:tcW w:w="101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1,23%</w:t>
                  </w:r>
                </w:p>
              </w:tc>
              <w:tc>
                <w:tcPr>
                  <w:tcW w:w="195"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05"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0,37%</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0,24%</w:t>
                  </w:r>
                </w:p>
              </w:tc>
              <w:tc>
                <w:tcPr>
                  <w:tcW w:w="18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82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1,03%</w:t>
                  </w:r>
                </w:p>
              </w:tc>
              <w:tc>
                <w:tcPr>
                  <w:tcW w:w="1000" w:type="dxa"/>
                  <w:tcBorders>
                    <w:top w:val="single" w:sz="4" w:space="0" w:color="auto"/>
                    <w:left w:val="nil"/>
                    <w:bottom w:val="single" w:sz="4" w:space="0" w:color="auto"/>
                    <w:right w:val="nil"/>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0,96%</w:t>
                  </w:r>
                </w:p>
              </w:tc>
              <w:tc>
                <w:tcPr>
                  <w:tcW w:w="210" w:type="dxa"/>
                  <w:tcBorders>
                    <w:top w:val="single" w:sz="4" w:space="0" w:color="auto"/>
                    <w:left w:val="nil"/>
                    <w:bottom w:val="single" w:sz="4" w:space="0" w:color="auto"/>
                    <w:right w:val="single" w:sz="4" w:space="0" w:color="auto"/>
                  </w:tcBorders>
                  <w:noWrap/>
                  <w:vAlign w:val="bottom"/>
                </w:tcPr>
                <w:p w:rsidR="00B42BAC" w:rsidRPr="00DE0D88" w:rsidRDefault="00B42BAC" w:rsidP="00B42BAC">
                  <w:pPr>
                    <w:jc w:val="right"/>
                    <w:rPr>
                      <w:rFonts w:ascii="Arial" w:hAnsi="Arial" w:cs="Arial"/>
                      <w:sz w:val="20"/>
                      <w:szCs w:val="20"/>
                    </w:rPr>
                  </w:pPr>
                </w:p>
              </w:tc>
              <w:tc>
                <w:tcPr>
                  <w:tcW w:w="750" w:type="dxa"/>
                  <w:tcBorders>
                    <w:top w:val="single" w:sz="4" w:space="0" w:color="auto"/>
                    <w:left w:val="single" w:sz="4" w:space="0" w:color="auto"/>
                    <w:bottom w:val="single" w:sz="4" w:space="0" w:color="auto"/>
                    <w:right w:val="nil"/>
                  </w:tcBorders>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0,69%</w:t>
                  </w:r>
                </w:p>
              </w:tc>
              <w:tc>
                <w:tcPr>
                  <w:tcW w:w="960" w:type="dxa"/>
                  <w:tcBorders>
                    <w:top w:val="single" w:sz="4" w:space="0" w:color="auto"/>
                    <w:left w:val="nil"/>
                    <w:bottom w:val="single" w:sz="4" w:space="0" w:color="auto"/>
                    <w:right w:val="single" w:sz="4" w:space="0" w:color="auto"/>
                  </w:tcBorders>
                  <w:noWrap/>
                  <w:vAlign w:val="bottom"/>
                </w:tcPr>
                <w:p w:rsidR="00B42BAC" w:rsidRPr="00DE0D88" w:rsidRDefault="00B42BAC" w:rsidP="00DE0D88">
                  <w:pPr>
                    <w:jc w:val="right"/>
                    <w:rPr>
                      <w:rFonts w:ascii="Arial" w:hAnsi="Arial" w:cs="Arial"/>
                      <w:sz w:val="20"/>
                      <w:szCs w:val="20"/>
                    </w:rPr>
                  </w:pPr>
                  <w:r w:rsidRPr="00DE0D88">
                    <w:rPr>
                      <w:rFonts w:ascii="Arial" w:hAnsi="Arial" w:cs="Arial"/>
                      <w:sz w:val="20"/>
                      <w:szCs w:val="20"/>
                    </w:rPr>
                    <w:t>0,72%</w:t>
                  </w:r>
                </w:p>
              </w:tc>
            </w:tr>
          </w:tbl>
          <w:p w:rsidR="00DE0D88" w:rsidRDefault="00DE0D88"/>
        </w:tc>
      </w:tr>
    </w:tbl>
    <w:p w:rsidR="00B42BAC" w:rsidRDefault="00B42BAC" w:rsidP="009A6B10">
      <w:pPr>
        <w:jc w:val="center"/>
      </w:pPr>
    </w:p>
    <w:p w:rsidR="009A6B10" w:rsidRPr="009A6B10" w:rsidRDefault="009A6B10" w:rsidP="009A6B10">
      <w:pPr>
        <w:jc w:val="center"/>
      </w:pPr>
      <w:r w:rsidRPr="009A6B10">
        <w:t xml:space="preserve">Vývoj segmentácie jednotlivých odvetvových </w:t>
      </w:r>
      <w:proofErr w:type="spellStart"/>
      <w:r w:rsidRPr="009A6B10">
        <w:t>agregácií</w:t>
      </w:r>
      <w:proofErr w:type="spellEnd"/>
      <w:r w:rsidRPr="009A6B10">
        <w:t xml:space="preserve">  v 1p 2013 a 1p 2012 (vývoz odvetvia = 100 %)</w:t>
      </w:r>
    </w:p>
    <w:tbl>
      <w:tblPr>
        <w:tblW w:w="8805" w:type="dxa"/>
        <w:tblInd w:w="55" w:type="dxa"/>
        <w:tblCellMar>
          <w:left w:w="70" w:type="dxa"/>
          <w:right w:w="70" w:type="dxa"/>
        </w:tblCellMar>
        <w:tblLook w:val="00A0" w:firstRow="1" w:lastRow="0" w:firstColumn="1" w:lastColumn="0" w:noHBand="0" w:noVBand="0"/>
      </w:tblPr>
      <w:tblGrid>
        <w:gridCol w:w="960"/>
        <w:gridCol w:w="160"/>
        <w:gridCol w:w="880"/>
        <w:gridCol w:w="1000"/>
        <w:gridCol w:w="160"/>
        <w:gridCol w:w="825"/>
        <w:gridCol w:w="960"/>
        <w:gridCol w:w="970"/>
        <w:gridCol w:w="970"/>
        <w:gridCol w:w="960"/>
        <w:gridCol w:w="960"/>
      </w:tblGrid>
      <w:tr w:rsidR="00B42BAC" w:rsidRPr="009A6B10" w:rsidTr="00B42BAC">
        <w:trPr>
          <w:trHeight w:val="255"/>
        </w:trPr>
        <w:tc>
          <w:tcPr>
            <w:tcW w:w="960" w:type="dxa"/>
            <w:tcBorders>
              <w:top w:val="single" w:sz="4" w:space="0" w:color="auto"/>
              <w:left w:val="single" w:sz="4" w:space="0" w:color="auto"/>
              <w:bottom w:val="nil"/>
              <w:right w:val="nil"/>
            </w:tcBorders>
            <w:noWrap/>
            <w:vAlign w:val="bottom"/>
          </w:tcPr>
          <w:p w:rsidR="00B42BAC" w:rsidRPr="009A6B10" w:rsidRDefault="00B42BAC" w:rsidP="00B42BAC">
            <w:pPr>
              <w:rPr>
                <w:rFonts w:ascii="Arial" w:hAnsi="Arial" w:cs="Arial"/>
                <w:sz w:val="20"/>
                <w:szCs w:val="20"/>
              </w:rPr>
            </w:pPr>
          </w:p>
        </w:tc>
        <w:tc>
          <w:tcPr>
            <w:tcW w:w="160" w:type="dxa"/>
            <w:tcBorders>
              <w:top w:val="single" w:sz="4" w:space="0" w:color="auto"/>
              <w:left w:val="nil"/>
              <w:bottom w:val="nil"/>
              <w:right w:val="single" w:sz="4" w:space="0" w:color="auto"/>
            </w:tcBorders>
            <w:noWrap/>
            <w:vAlign w:val="bottom"/>
          </w:tcPr>
          <w:p w:rsidR="00B42BAC" w:rsidRPr="009A6B10" w:rsidRDefault="00B42BAC" w:rsidP="00B42BAC">
            <w:pPr>
              <w:jc w:val="center"/>
              <w:rPr>
                <w:rFonts w:ascii="Arial" w:hAnsi="Arial" w:cs="Arial"/>
                <w:sz w:val="20"/>
                <w:szCs w:val="20"/>
              </w:rPr>
            </w:pPr>
          </w:p>
        </w:tc>
        <w:tc>
          <w:tcPr>
            <w:tcW w:w="1880" w:type="dxa"/>
            <w:gridSpan w:val="2"/>
            <w:tcBorders>
              <w:top w:val="single" w:sz="4" w:space="0" w:color="auto"/>
              <w:left w:val="single" w:sz="4" w:space="0" w:color="auto"/>
              <w:bottom w:val="nil"/>
              <w:right w:val="nil"/>
            </w:tcBorders>
            <w:vAlign w:val="bottom"/>
          </w:tcPr>
          <w:p w:rsidR="00B42BAC" w:rsidRPr="009A6B10" w:rsidRDefault="00B42BAC" w:rsidP="00B42BAC">
            <w:pPr>
              <w:jc w:val="center"/>
              <w:rPr>
                <w:rFonts w:ascii="Arial" w:hAnsi="Arial" w:cs="Arial"/>
                <w:sz w:val="20"/>
                <w:szCs w:val="20"/>
              </w:rPr>
            </w:pPr>
            <w:r w:rsidRPr="009A6B10">
              <w:rPr>
                <w:rFonts w:ascii="Arial" w:hAnsi="Arial" w:cs="Arial"/>
                <w:sz w:val="20"/>
                <w:szCs w:val="20"/>
              </w:rPr>
              <w:t>I</w:t>
            </w:r>
          </w:p>
        </w:tc>
        <w:tc>
          <w:tcPr>
            <w:tcW w:w="160" w:type="dxa"/>
            <w:tcBorders>
              <w:top w:val="single" w:sz="4" w:space="0" w:color="auto"/>
              <w:left w:val="nil"/>
              <w:bottom w:val="nil"/>
              <w:right w:val="single" w:sz="4" w:space="0" w:color="auto"/>
            </w:tcBorders>
            <w:noWrap/>
            <w:vAlign w:val="bottom"/>
          </w:tcPr>
          <w:p w:rsidR="00B42BAC" w:rsidRPr="009A6B10" w:rsidRDefault="00B42BAC" w:rsidP="00B42BAC">
            <w:pPr>
              <w:jc w:val="center"/>
              <w:rPr>
                <w:rFonts w:ascii="Arial" w:hAnsi="Arial" w:cs="Arial"/>
                <w:sz w:val="20"/>
                <w:szCs w:val="20"/>
              </w:rPr>
            </w:pPr>
          </w:p>
        </w:tc>
        <w:tc>
          <w:tcPr>
            <w:tcW w:w="1785" w:type="dxa"/>
            <w:gridSpan w:val="2"/>
            <w:tcBorders>
              <w:top w:val="single" w:sz="4" w:space="0" w:color="auto"/>
              <w:left w:val="single" w:sz="4" w:space="0" w:color="auto"/>
              <w:bottom w:val="nil"/>
              <w:right w:val="single" w:sz="4" w:space="0" w:color="auto"/>
            </w:tcBorders>
            <w:vAlign w:val="bottom"/>
          </w:tcPr>
          <w:p w:rsidR="00B42BAC" w:rsidRPr="009A6B10" w:rsidRDefault="00B42BAC" w:rsidP="00B42BAC">
            <w:pPr>
              <w:jc w:val="center"/>
              <w:rPr>
                <w:rFonts w:ascii="Arial" w:hAnsi="Arial" w:cs="Arial"/>
                <w:sz w:val="20"/>
                <w:szCs w:val="20"/>
              </w:rPr>
            </w:pPr>
            <w:r w:rsidRPr="009A6B10">
              <w:rPr>
                <w:rFonts w:ascii="Arial" w:hAnsi="Arial" w:cs="Arial"/>
                <w:sz w:val="20"/>
                <w:szCs w:val="20"/>
              </w:rPr>
              <w:t>II</w:t>
            </w:r>
          </w:p>
        </w:tc>
        <w:tc>
          <w:tcPr>
            <w:tcW w:w="1940" w:type="dxa"/>
            <w:gridSpan w:val="2"/>
            <w:tcBorders>
              <w:top w:val="single" w:sz="4" w:space="0" w:color="auto"/>
              <w:left w:val="single" w:sz="4" w:space="0" w:color="auto"/>
              <w:bottom w:val="nil"/>
              <w:right w:val="single" w:sz="4" w:space="0" w:color="auto"/>
            </w:tcBorders>
            <w:noWrap/>
            <w:vAlign w:val="bottom"/>
          </w:tcPr>
          <w:p w:rsidR="00B42BAC" w:rsidRPr="009A6B10" w:rsidRDefault="00B42BAC" w:rsidP="00B42BAC">
            <w:pPr>
              <w:jc w:val="center"/>
              <w:rPr>
                <w:rFonts w:ascii="Arial" w:hAnsi="Arial" w:cs="Arial"/>
                <w:sz w:val="20"/>
                <w:szCs w:val="20"/>
              </w:rPr>
            </w:pPr>
            <w:r w:rsidRPr="009A6B10">
              <w:rPr>
                <w:rFonts w:ascii="Arial" w:hAnsi="Arial" w:cs="Arial"/>
                <w:sz w:val="20"/>
                <w:szCs w:val="20"/>
              </w:rPr>
              <w:t>III</w:t>
            </w:r>
          </w:p>
        </w:tc>
        <w:tc>
          <w:tcPr>
            <w:tcW w:w="1920" w:type="dxa"/>
            <w:gridSpan w:val="2"/>
            <w:tcBorders>
              <w:top w:val="single" w:sz="4" w:space="0" w:color="auto"/>
              <w:left w:val="single" w:sz="4" w:space="0" w:color="auto"/>
              <w:bottom w:val="nil"/>
              <w:right w:val="single" w:sz="4" w:space="0" w:color="auto"/>
            </w:tcBorders>
            <w:noWrap/>
            <w:vAlign w:val="bottom"/>
          </w:tcPr>
          <w:p w:rsidR="00B42BAC" w:rsidRPr="009A6B10" w:rsidRDefault="00B42BAC" w:rsidP="00B42BAC">
            <w:pPr>
              <w:jc w:val="center"/>
              <w:rPr>
                <w:rFonts w:ascii="Arial" w:hAnsi="Arial" w:cs="Arial"/>
                <w:sz w:val="20"/>
                <w:szCs w:val="20"/>
              </w:rPr>
            </w:pPr>
            <w:r w:rsidRPr="009A6B10">
              <w:rPr>
                <w:rFonts w:ascii="Arial" w:hAnsi="Arial" w:cs="Arial"/>
                <w:sz w:val="20"/>
                <w:szCs w:val="20"/>
              </w:rPr>
              <w:t>IV</w:t>
            </w:r>
          </w:p>
        </w:tc>
      </w:tr>
      <w:tr w:rsidR="00B42BAC" w:rsidRPr="009A6B10" w:rsidTr="00B42BAC">
        <w:trPr>
          <w:trHeight w:val="255"/>
        </w:trPr>
        <w:tc>
          <w:tcPr>
            <w:tcW w:w="960" w:type="dxa"/>
            <w:tcBorders>
              <w:top w:val="nil"/>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SK NACE</w:t>
            </w:r>
          </w:p>
        </w:tc>
        <w:tc>
          <w:tcPr>
            <w:tcW w:w="160" w:type="dxa"/>
            <w:tcBorders>
              <w:top w:val="nil"/>
              <w:left w:val="nil"/>
              <w:bottom w:val="single" w:sz="4" w:space="0" w:color="auto"/>
              <w:right w:val="single" w:sz="4" w:space="0" w:color="auto"/>
            </w:tcBorders>
            <w:noWrap/>
            <w:vAlign w:val="bottom"/>
          </w:tcPr>
          <w:p w:rsidR="00B42BAC" w:rsidRPr="009A6B10" w:rsidRDefault="00B42BAC" w:rsidP="00B42BAC">
            <w:pPr>
              <w:rPr>
                <w:rFonts w:ascii="Arial" w:hAnsi="Arial" w:cs="Arial"/>
                <w:sz w:val="20"/>
                <w:szCs w:val="20"/>
              </w:rPr>
            </w:pPr>
          </w:p>
        </w:tc>
        <w:tc>
          <w:tcPr>
            <w:tcW w:w="880" w:type="dxa"/>
            <w:tcBorders>
              <w:top w:val="nil"/>
              <w:left w:val="single" w:sz="4" w:space="0" w:color="auto"/>
              <w:bottom w:val="single" w:sz="4" w:space="0" w:color="auto"/>
              <w:right w:val="nil"/>
            </w:tcBorders>
            <w:vAlign w:val="bottom"/>
          </w:tcPr>
          <w:p w:rsidR="00B42BAC" w:rsidRPr="009A6B10" w:rsidRDefault="00B42BAC" w:rsidP="00B42BAC">
            <w:pPr>
              <w:ind w:left="110"/>
              <w:rPr>
                <w:rFonts w:ascii="Arial" w:hAnsi="Arial" w:cs="Arial"/>
                <w:sz w:val="20"/>
                <w:szCs w:val="20"/>
              </w:rPr>
            </w:pPr>
            <w:r w:rsidRPr="009A6B10">
              <w:rPr>
                <w:rFonts w:ascii="Arial" w:hAnsi="Arial" w:cs="Arial"/>
                <w:sz w:val="20"/>
                <w:szCs w:val="20"/>
              </w:rPr>
              <w:t>2013</w:t>
            </w:r>
          </w:p>
        </w:tc>
        <w:tc>
          <w:tcPr>
            <w:tcW w:w="1000" w:type="dxa"/>
            <w:tcBorders>
              <w:top w:val="nil"/>
              <w:left w:val="nil"/>
              <w:bottom w:val="single" w:sz="4" w:space="0" w:color="auto"/>
              <w:right w:val="nil"/>
            </w:tcBorders>
            <w:noWrap/>
            <w:vAlign w:val="bottom"/>
          </w:tcPr>
          <w:p w:rsidR="00B42BAC" w:rsidRPr="009A6B10" w:rsidRDefault="00B42BAC" w:rsidP="00B42BAC">
            <w:pPr>
              <w:rPr>
                <w:rFonts w:ascii="Arial" w:hAnsi="Arial" w:cs="Arial"/>
                <w:sz w:val="20"/>
                <w:szCs w:val="20"/>
              </w:rPr>
            </w:pPr>
            <w:r w:rsidRPr="009A6B10">
              <w:rPr>
                <w:rFonts w:ascii="Arial" w:hAnsi="Arial" w:cs="Arial"/>
                <w:sz w:val="20"/>
                <w:szCs w:val="20"/>
              </w:rPr>
              <w:t xml:space="preserve">    2012</w:t>
            </w:r>
          </w:p>
        </w:tc>
        <w:tc>
          <w:tcPr>
            <w:tcW w:w="160" w:type="dxa"/>
            <w:tcBorders>
              <w:top w:val="nil"/>
              <w:left w:val="nil"/>
              <w:bottom w:val="single" w:sz="4" w:space="0" w:color="auto"/>
              <w:right w:val="single" w:sz="4" w:space="0" w:color="auto"/>
            </w:tcBorders>
            <w:noWrap/>
            <w:vAlign w:val="bottom"/>
          </w:tcPr>
          <w:p w:rsidR="00B42BAC" w:rsidRPr="009A6B10" w:rsidRDefault="00B42BAC" w:rsidP="00B42BAC">
            <w:pPr>
              <w:rPr>
                <w:rFonts w:ascii="Arial" w:hAnsi="Arial" w:cs="Arial"/>
                <w:sz w:val="20"/>
                <w:szCs w:val="20"/>
              </w:rPr>
            </w:pPr>
          </w:p>
        </w:tc>
        <w:tc>
          <w:tcPr>
            <w:tcW w:w="825" w:type="dxa"/>
            <w:tcBorders>
              <w:top w:val="nil"/>
              <w:left w:val="single" w:sz="4" w:space="0" w:color="auto"/>
              <w:bottom w:val="single" w:sz="4" w:space="0" w:color="auto"/>
              <w:right w:val="nil"/>
            </w:tcBorders>
            <w:vAlign w:val="bottom"/>
          </w:tcPr>
          <w:p w:rsidR="00B42BAC" w:rsidRPr="009A6B10" w:rsidRDefault="00B42BAC" w:rsidP="00B42BAC">
            <w:pPr>
              <w:ind w:left="95"/>
              <w:rPr>
                <w:rFonts w:ascii="Arial" w:hAnsi="Arial" w:cs="Arial"/>
                <w:sz w:val="20"/>
                <w:szCs w:val="20"/>
              </w:rPr>
            </w:pPr>
            <w:r w:rsidRPr="009A6B10">
              <w:rPr>
                <w:rFonts w:ascii="Arial" w:hAnsi="Arial" w:cs="Arial"/>
                <w:sz w:val="20"/>
                <w:szCs w:val="20"/>
              </w:rPr>
              <w:t>2013</w:t>
            </w:r>
          </w:p>
        </w:tc>
        <w:tc>
          <w:tcPr>
            <w:tcW w:w="960" w:type="dxa"/>
            <w:tcBorders>
              <w:top w:val="nil"/>
              <w:left w:val="nil"/>
              <w:bottom w:val="single" w:sz="4" w:space="0" w:color="auto"/>
              <w:right w:val="single" w:sz="4" w:space="0" w:color="auto"/>
            </w:tcBorders>
            <w:noWrap/>
            <w:vAlign w:val="bottom"/>
          </w:tcPr>
          <w:p w:rsidR="00B42BAC" w:rsidRPr="009A6B10" w:rsidRDefault="00B42BAC" w:rsidP="00B42BAC">
            <w:pPr>
              <w:rPr>
                <w:rFonts w:ascii="Arial" w:hAnsi="Arial" w:cs="Arial"/>
                <w:sz w:val="20"/>
                <w:szCs w:val="20"/>
              </w:rPr>
            </w:pPr>
            <w:r w:rsidRPr="009A6B10">
              <w:rPr>
                <w:rFonts w:ascii="Arial" w:hAnsi="Arial" w:cs="Arial"/>
                <w:sz w:val="20"/>
                <w:szCs w:val="20"/>
              </w:rPr>
              <w:t xml:space="preserve">   2012</w:t>
            </w:r>
          </w:p>
        </w:tc>
        <w:tc>
          <w:tcPr>
            <w:tcW w:w="970" w:type="dxa"/>
            <w:tcBorders>
              <w:top w:val="nil"/>
              <w:left w:val="single" w:sz="4" w:space="0" w:color="auto"/>
              <w:bottom w:val="single" w:sz="4" w:space="0" w:color="auto"/>
              <w:right w:val="nil"/>
            </w:tcBorders>
            <w:noWrap/>
            <w:vAlign w:val="bottom"/>
          </w:tcPr>
          <w:p w:rsidR="00B42BAC" w:rsidRPr="009A6B10" w:rsidRDefault="00B42BAC" w:rsidP="00B42BAC">
            <w:pPr>
              <w:rPr>
                <w:rFonts w:ascii="Arial" w:hAnsi="Arial" w:cs="Arial"/>
                <w:sz w:val="20"/>
                <w:szCs w:val="20"/>
              </w:rPr>
            </w:pPr>
            <w:r w:rsidRPr="009A6B10">
              <w:rPr>
                <w:rFonts w:ascii="Arial" w:hAnsi="Arial" w:cs="Arial"/>
                <w:sz w:val="20"/>
                <w:szCs w:val="20"/>
              </w:rPr>
              <w:t xml:space="preserve">    2013</w:t>
            </w:r>
          </w:p>
        </w:tc>
        <w:tc>
          <w:tcPr>
            <w:tcW w:w="970" w:type="dxa"/>
            <w:tcBorders>
              <w:top w:val="nil"/>
              <w:left w:val="nil"/>
              <w:bottom w:val="single" w:sz="4" w:space="0" w:color="auto"/>
              <w:right w:val="single" w:sz="4" w:space="0" w:color="auto"/>
            </w:tcBorders>
            <w:noWrap/>
            <w:vAlign w:val="bottom"/>
          </w:tcPr>
          <w:p w:rsidR="00B42BAC" w:rsidRPr="009A6B10" w:rsidRDefault="00B42BAC" w:rsidP="00B42BAC">
            <w:pPr>
              <w:rPr>
                <w:rFonts w:ascii="Arial" w:hAnsi="Arial" w:cs="Arial"/>
                <w:sz w:val="20"/>
                <w:szCs w:val="20"/>
              </w:rPr>
            </w:pPr>
            <w:r w:rsidRPr="009A6B10">
              <w:rPr>
                <w:rFonts w:ascii="Arial" w:hAnsi="Arial" w:cs="Arial"/>
                <w:sz w:val="20"/>
                <w:szCs w:val="20"/>
              </w:rPr>
              <w:t xml:space="preserve">    2012</w:t>
            </w:r>
          </w:p>
        </w:tc>
        <w:tc>
          <w:tcPr>
            <w:tcW w:w="960" w:type="dxa"/>
            <w:tcBorders>
              <w:top w:val="nil"/>
              <w:left w:val="single" w:sz="4" w:space="0" w:color="auto"/>
              <w:bottom w:val="single" w:sz="4" w:space="0" w:color="auto"/>
              <w:right w:val="nil"/>
            </w:tcBorders>
            <w:noWrap/>
            <w:vAlign w:val="bottom"/>
          </w:tcPr>
          <w:p w:rsidR="00B42BAC" w:rsidRPr="009A6B10" w:rsidRDefault="00B42BAC" w:rsidP="00B42BAC">
            <w:pPr>
              <w:rPr>
                <w:rFonts w:ascii="Arial" w:hAnsi="Arial" w:cs="Arial"/>
                <w:sz w:val="20"/>
                <w:szCs w:val="20"/>
              </w:rPr>
            </w:pPr>
            <w:r w:rsidRPr="009A6B10">
              <w:rPr>
                <w:rFonts w:ascii="Arial" w:hAnsi="Arial" w:cs="Arial"/>
                <w:sz w:val="20"/>
                <w:szCs w:val="20"/>
              </w:rPr>
              <w:t xml:space="preserve">    2013</w:t>
            </w:r>
          </w:p>
        </w:tc>
        <w:tc>
          <w:tcPr>
            <w:tcW w:w="960" w:type="dxa"/>
            <w:tcBorders>
              <w:top w:val="nil"/>
              <w:left w:val="nil"/>
              <w:bottom w:val="single" w:sz="4" w:space="0" w:color="auto"/>
              <w:right w:val="single" w:sz="4" w:space="0" w:color="auto"/>
            </w:tcBorders>
            <w:noWrap/>
            <w:vAlign w:val="bottom"/>
          </w:tcPr>
          <w:p w:rsidR="00B42BAC" w:rsidRPr="009A6B10" w:rsidRDefault="00B42BAC" w:rsidP="00B42BAC">
            <w:pPr>
              <w:rPr>
                <w:rFonts w:ascii="Arial" w:hAnsi="Arial" w:cs="Arial"/>
                <w:sz w:val="20"/>
                <w:szCs w:val="20"/>
              </w:rPr>
            </w:pPr>
            <w:r w:rsidRPr="009A6B10">
              <w:rPr>
                <w:rFonts w:ascii="Arial" w:hAnsi="Arial" w:cs="Arial"/>
                <w:sz w:val="20"/>
                <w:szCs w:val="20"/>
              </w:rPr>
              <w:t xml:space="preserve">    2012</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10 až 12</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45,00%</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22,38%</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9,75%</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21,66%</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27,70%</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43,38%</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17,55%</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12,58%</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13 a 14</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29,42%</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39,97%</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35,64%</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35,28%</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19,77%</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13,94%</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15,17%</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10,80%</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15</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61,30%</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55,31%</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25,50%</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18,95%</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7,57%</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19,54%</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5,63%</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6,19%</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16</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48,02%</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47,85%</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5,62%</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6,92%</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33,58%</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39,05%</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12,77%</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6,19%</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17 a 18</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11,90%</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15,40%</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9,84%</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6,76%</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74,96%</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72,68%</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3,30%</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5,15%</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19</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9,44%</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1,92%</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0,86%</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3,81%</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89,16%</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93,86%</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0,54%</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0,42%</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20</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38,62%</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39,85%</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14,44%</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17,35%</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37,63%</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34,30%</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9,31%</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8,50%</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21</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4,08%</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1,40%</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80,63%</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81,77%</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2,29%</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1,52%</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13,01%</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15,31%</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22</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24,72%</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23,65%</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19,55%</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21,76%</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50,76%</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51,29%</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4,97%</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3,30%</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23</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40,08%</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32,74%</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13,13%</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13,06%</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37,15%</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50,09%</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9,64%</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4,10%</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24 a 25</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38,42%</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25,24%</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13,29%</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12,59%</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38,71%</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56,36%</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9,57%</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5,81%</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26 a 27</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50,72%</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50,09%</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12,14%</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15,33%</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7,33%</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14,52%</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29,81%</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20,07%</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28</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39,23%</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42,98%</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7,93%</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7,89%</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43,99%</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38,16%</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8,85%</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10,98%</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29 a30</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38,06%</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31,68%</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9,48%</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8,79%</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51,33%</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56,17%</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1,13%</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3,36%</w:t>
            </w:r>
          </w:p>
        </w:tc>
      </w:tr>
      <w:tr w:rsidR="00B42BAC" w:rsidRPr="009A6B10" w:rsidTr="00B42BAC">
        <w:trPr>
          <w:trHeight w:val="255"/>
        </w:trPr>
        <w:tc>
          <w:tcPr>
            <w:tcW w:w="960" w:type="dxa"/>
            <w:tcBorders>
              <w:top w:val="single" w:sz="4" w:space="0" w:color="auto"/>
              <w:left w:val="single" w:sz="4" w:space="0" w:color="auto"/>
              <w:bottom w:val="single" w:sz="4" w:space="0" w:color="auto"/>
              <w:right w:val="nil"/>
            </w:tcBorders>
            <w:noWrap/>
          </w:tcPr>
          <w:p w:rsidR="00B42BAC" w:rsidRPr="009A6B10" w:rsidRDefault="00B42BAC" w:rsidP="00B42BAC">
            <w:pPr>
              <w:jc w:val="center"/>
              <w:rPr>
                <w:rFonts w:ascii="Arial" w:hAnsi="Arial" w:cs="Arial"/>
                <w:sz w:val="20"/>
                <w:szCs w:val="20"/>
              </w:rPr>
            </w:pPr>
            <w:r w:rsidRPr="009A6B10">
              <w:rPr>
                <w:rFonts w:ascii="Arial" w:hAnsi="Arial" w:cs="Arial"/>
                <w:sz w:val="20"/>
                <w:szCs w:val="20"/>
              </w:rPr>
              <w:t>31a32</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80"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37,41%</w:t>
            </w:r>
          </w:p>
        </w:tc>
        <w:tc>
          <w:tcPr>
            <w:tcW w:w="1000" w:type="dxa"/>
            <w:tcBorders>
              <w:top w:val="single" w:sz="4" w:space="0" w:color="auto"/>
              <w:left w:val="nil"/>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39,21%</w:t>
            </w:r>
          </w:p>
        </w:tc>
        <w:tc>
          <w:tcPr>
            <w:tcW w:w="1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p>
        </w:tc>
        <w:tc>
          <w:tcPr>
            <w:tcW w:w="825" w:type="dxa"/>
            <w:tcBorders>
              <w:top w:val="single" w:sz="4" w:space="0" w:color="auto"/>
              <w:left w:val="single" w:sz="4" w:space="0" w:color="auto"/>
              <w:bottom w:val="single" w:sz="4" w:space="0" w:color="auto"/>
              <w:right w:val="nil"/>
            </w:tcBorders>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10,99%</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7,51%</w:t>
            </w:r>
          </w:p>
        </w:tc>
        <w:tc>
          <w:tcPr>
            <w:tcW w:w="97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30,88%</w:t>
            </w:r>
          </w:p>
        </w:tc>
        <w:tc>
          <w:tcPr>
            <w:tcW w:w="97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30,42%</w:t>
            </w:r>
          </w:p>
        </w:tc>
        <w:tc>
          <w:tcPr>
            <w:tcW w:w="960" w:type="dxa"/>
            <w:tcBorders>
              <w:top w:val="single" w:sz="4" w:space="0" w:color="auto"/>
              <w:left w:val="single" w:sz="4" w:space="0" w:color="auto"/>
              <w:bottom w:val="single" w:sz="4" w:space="0" w:color="auto"/>
              <w:right w:val="nil"/>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20,72%</w:t>
            </w:r>
          </w:p>
        </w:tc>
        <w:tc>
          <w:tcPr>
            <w:tcW w:w="960" w:type="dxa"/>
            <w:tcBorders>
              <w:top w:val="single" w:sz="4" w:space="0" w:color="auto"/>
              <w:left w:val="nil"/>
              <w:bottom w:val="single" w:sz="4" w:space="0" w:color="auto"/>
              <w:right w:val="single" w:sz="4" w:space="0" w:color="auto"/>
            </w:tcBorders>
            <w:noWrap/>
            <w:vAlign w:val="bottom"/>
          </w:tcPr>
          <w:p w:rsidR="00B42BAC" w:rsidRPr="009A6B10" w:rsidRDefault="00B42BAC" w:rsidP="00B42BAC">
            <w:pPr>
              <w:jc w:val="right"/>
              <w:rPr>
                <w:rFonts w:ascii="Arial" w:hAnsi="Arial" w:cs="Arial"/>
                <w:sz w:val="20"/>
                <w:szCs w:val="20"/>
              </w:rPr>
            </w:pPr>
            <w:r w:rsidRPr="009A6B10">
              <w:rPr>
                <w:rFonts w:ascii="Arial" w:hAnsi="Arial" w:cs="Arial"/>
                <w:sz w:val="20"/>
                <w:szCs w:val="20"/>
              </w:rPr>
              <w:t>22,86%</w:t>
            </w:r>
          </w:p>
        </w:tc>
      </w:tr>
    </w:tbl>
    <w:p w:rsidR="009A6B10" w:rsidRPr="009A6B10" w:rsidRDefault="009A6B10" w:rsidP="009A6B10">
      <w:pPr>
        <w:jc w:val="both"/>
      </w:pPr>
    </w:p>
    <w:p w:rsidR="009A6B10" w:rsidRPr="009A6B10" w:rsidRDefault="009A6B10" w:rsidP="009A6B10">
      <w:pPr>
        <w:jc w:val="both"/>
      </w:pPr>
      <w:r w:rsidRPr="009A6B10">
        <w:t>I – segment konkurencie kvalitou (vývoz – dovoz &gt; 0; jednotková cena vývozu – jednotková cena dovozu &gt; 0);</w:t>
      </w:r>
    </w:p>
    <w:p w:rsidR="009A6B10" w:rsidRPr="009A6B10" w:rsidRDefault="009A6B10" w:rsidP="009A6B10">
      <w:pPr>
        <w:jc w:val="both"/>
      </w:pPr>
      <w:r w:rsidRPr="009A6B10">
        <w:t>II - segment deficitu cenovej konkurencie (vývoz – dovoz  &lt; 0 ; jednotková cena vývozu – jednotková cena dovozu &gt; 0);</w:t>
      </w:r>
    </w:p>
    <w:p w:rsidR="009A6B10" w:rsidRPr="009A6B10" w:rsidRDefault="009A6B10" w:rsidP="009A6B10">
      <w:pPr>
        <w:jc w:val="both"/>
      </w:pPr>
      <w:r w:rsidRPr="009A6B10">
        <w:t>III – segment konkurencie cenou (vývoz – dovoz  &gt; 0; jednotková cena vývozu – jednotková cena dovozu    &lt; 0);</w:t>
      </w:r>
    </w:p>
    <w:p w:rsidR="009A6B10" w:rsidRPr="009A6B10" w:rsidRDefault="009A6B10" w:rsidP="009A6B10">
      <w:pPr>
        <w:jc w:val="both"/>
      </w:pPr>
      <w:r w:rsidRPr="009A6B10">
        <w:t>IV – segment produkcie vykazujúcej štrukturálne problémy (vývoz – dovoz  &lt; 0; jednotková cena vývozu – jednotková cena dovozu   &lt; 0).</w:t>
      </w:r>
    </w:p>
    <w:p w:rsidR="009A6B10" w:rsidRPr="009A6B10" w:rsidRDefault="009A6B10" w:rsidP="009A6B10">
      <w:pPr>
        <w:ind w:firstLine="709"/>
        <w:jc w:val="both"/>
      </w:pPr>
    </w:p>
    <w:p w:rsidR="009A6B10" w:rsidRPr="009A6B10" w:rsidRDefault="009A6B10" w:rsidP="009A6B10">
      <w:pPr>
        <w:ind w:firstLine="709"/>
        <w:jc w:val="both"/>
      </w:pPr>
      <w:r w:rsidRPr="009A6B10">
        <w:lastRenderedPageBreak/>
        <w:t xml:space="preserve">Z uvedeného vidieť, že </w:t>
      </w:r>
      <w:r w:rsidRPr="009A6B10">
        <w:rPr>
          <w:u w:val="single"/>
        </w:rPr>
        <w:t>priemyselná výroba potrebuje</w:t>
      </w:r>
      <w:r w:rsidRPr="009A6B10">
        <w:t xml:space="preserve"> (napriek pozitívnemu  vývoju v raste exportu aj kladného salda ZO) </w:t>
      </w:r>
      <w:r w:rsidRPr="009A6B10">
        <w:rPr>
          <w:u w:val="single"/>
        </w:rPr>
        <w:t>posilniť konkurenčnú schopnosť v smere zabezpečenia rastu podielu tovarov konkurujúcich kvalitou a najmä zníženia podielu tovarov vykazujúcich štrukturálne problémy</w:t>
      </w:r>
      <w:r w:rsidRPr="009A6B10">
        <w:t>.</w:t>
      </w:r>
    </w:p>
    <w:p w:rsidR="009A6B10" w:rsidRPr="009A6B10" w:rsidRDefault="009A6B10" w:rsidP="009A6B10">
      <w:pPr>
        <w:ind w:firstLine="709"/>
        <w:jc w:val="both"/>
      </w:pPr>
    </w:p>
    <w:p w:rsidR="009A6B10" w:rsidRPr="009A6B10" w:rsidRDefault="009A6B10" w:rsidP="009A6B10">
      <w:pPr>
        <w:ind w:firstLine="709"/>
        <w:jc w:val="both"/>
      </w:pPr>
      <w:r w:rsidRPr="009A6B10">
        <w:t>Uvedené problémy vyplývajú jednak zo skutočnosti, že miera investovania v priemyselnej výrobe nepostačuje na udržanie rozvojového trendu, čomu nasvedčuje permanentný pokles relatívnej zostatkovej hodnoty investičného majetku (klesá od roku 2006), ktorá koncom</w:t>
      </w:r>
      <w:r w:rsidR="00DF6D50">
        <w:t xml:space="preserve"> roku 2012 dosiahla 44,7</w:t>
      </w:r>
      <w:r w:rsidRPr="009A6B10">
        <w:t>% z nadobúdacej hodnoty, čo je zdokumentované nasledujúcim grafom.</w:t>
      </w:r>
    </w:p>
    <w:p w:rsidR="009A6B10" w:rsidRPr="009A6B10" w:rsidRDefault="009A6B10" w:rsidP="009A6B10">
      <w:pPr>
        <w:ind w:firstLine="709"/>
        <w:jc w:val="both"/>
      </w:pPr>
    </w:p>
    <w:p w:rsidR="009A6B10" w:rsidRPr="009A6B10" w:rsidRDefault="00CB5F71" w:rsidP="00E01DCD">
      <w:pPr>
        <w:jc w:val="both"/>
      </w:pPr>
      <w:r>
        <w:rPr>
          <w:noProof/>
        </w:rPr>
        <w:pict>
          <v:shape id="Graf 7" o:spid="_x0000_i1033" type="#_x0000_t75" style="width:423.75pt;height:27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d3G73QAAAAUBAAAPAAAAZHJzL2Rvd25y&#10;ZXYueG1sTI9BS8NAEIXvgv9hGcGb3VRNW2ImRQTxIqJtwR6n2TEJzc7G7DaN/fWuXvQy8HiP977J&#10;l6Nt1cC9b5wgTCcJKJbSmUYqhM368WoBygcSQ60TRvhiD8vi/CynzLijvPGwCpWKJeIzQqhD6DKt&#10;fVmzJT9xHUv0PlxvKUTZV9r0dIzlttXXSTLTlhqJCzV1/FBzuV8dLMLL9v310w17tjIdn7dP8xPP&#10;khPi5cV4fwcq8Bj+wvCDH9GhiEw7dxDjVYsQHwm/N3qL23kKaoeQpjcp6CLX/+mL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">
            <v:imagedata r:id="rId23" o:title="" croptop="-2159f" cropbottom="-1385f" cropleft="-1231f" cropright="-983f"/>
            <o:lock v:ext="edit" aspectratio="f"/>
          </v:shape>
        </w:pict>
      </w:r>
    </w:p>
    <w:p w:rsidR="009A6B10" w:rsidRPr="009A6B10" w:rsidRDefault="009A6B10" w:rsidP="009A6B10">
      <w:pPr>
        <w:spacing w:before="120" w:after="120"/>
        <w:ind w:firstLine="709"/>
        <w:jc w:val="both"/>
      </w:pPr>
      <w:r w:rsidRPr="009A6B10">
        <w:t>Vývoj tohto ukazovateľa v jednotlivých odvetviach priemyselnej výroby možno vidieť v nižšie uvedenom grafe, pričom veľkosť bubliny charakterizuje príspevok príslušného odvetvia k zamestnanosti v priemyselnej výrobe.</w:t>
      </w:r>
    </w:p>
    <w:p w:rsidR="009A6B10" w:rsidRPr="009A6B10" w:rsidRDefault="000C3378" w:rsidP="009A6B10">
      <w:pPr>
        <w:rPr>
          <w:noProof/>
        </w:rPr>
      </w:pPr>
      <w:r>
        <w:rPr>
          <w:noProof/>
        </w:rPr>
        <w:lastRenderedPageBreak/>
        <w:drawing>
          <wp:inline distT="0" distB="0" distL="0" distR="0" wp14:anchorId="6821E106" wp14:editId="76C280FD">
            <wp:extent cx="5419725" cy="302895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6B10" w:rsidRPr="009A6B10" w:rsidRDefault="009A6B10" w:rsidP="009A6B10">
      <w:pPr>
        <w:rPr>
          <w:noProof/>
        </w:rPr>
      </w:pPr>
    </w:p>
    <w:p w:rsidR="009A6B10" w:rsidRPr="009A6B10" w:rsidRDefault="009A6B10" w:rsidP="009A6B10">
      <w:r w:rsidRPr="009A6B10">
        <w:t>Uvedený trend pokračuje bez zmeny aj v roku 2013, keď na konci polroka relatívna zostatková hodnota investičnéh</w:t>
      </w:r>
      <w:r w:rsidR="00DF6D50">
        <w:t>o majetku klesla na úroveň 43,9</w:t>
      </w:r>
      <w:r w:rsidRPr="009A6B10">
        <w:t>% jeho nadobúdacej hodnoty.</w:t>
      </w:r>
    </w:p>
    <w:p w:rsidR="009A6B10" w:rsidRPr="009A6B10" w:rsidRDefault="009A6B10" w:rsidP="009A6B10">
      <w:pPr>
        <w:ind w:firstLine="654"/>
        <w:jc w:val="both"/>
      </w:pPr>
      <w:r w:rsidRPr="009A6B10">
        <w:t xml:space="preserve">Vzhľadom na disproporciu medzi dynamikou vývoja pridanej hodnoty a dynamikou vývoja tržieb bol analyzovaný vývoj podielu pridanej hodnoty na jednotku spotreby materiálov a energií v priemyselnej výrobe, kde bolo zistené , že tento podiel vykazuje jasný klesajúci trend, čo znamená, že zhodnocovanie vstupných materiálov a energií sa priebežne zhoršuje z dôvodu, že snaha o udržanie trhových pozícií priemyselných výrobkov vedie k tomu, že ich cena nemôže kopírovať vývoj cien vstupov do výroby. Súčasne je nutné konštatovať, že v úvode spomínaný </w:t>
      </w:r>
      <w:r w:rsidRPr="009A6B10">
        <w:rPr>
          <w:noProof/>
        </w:rPr>
        <w:t xml:space="preserve">vývoj na energetických trhoch má skutočne podstatný vplyv na konkurencieschopnosť priemyselnej výroby a spolu s ním aj vývoj na trhoch surovín. Zvyšujúce sa náklady na tieto položky jednoznačne ohrozujú udržateľnosť konkurenčnej schopnosti, ktorá bude ohrozená bez </w:t>
      </w:r>
      <w:r w:rsidRPr="009A6B10">
        <w:t>koordinovaného  riešenia problematiky energetickej aj surovinovej bezpečnosti a s tým súvisiacej energetickej a materiálovej efektívnosti v priemyselnej výrobe.</w:t>
      </w:r>
    </w:p>
    <w:p w:rsidR="009A6B10" w:rsidRPr="009A6B10" w:rsidRDefault="00CB5F71" w:rsidP="009A6B10">
      <w:pPr>
        <w:ind w:firstLine="654"/>
        <w:jc w:val="center"/>
        <w:rPr>
          <w:noProof/>
        </w:rPr>
      </w:pPr>
      <w:r>
        <w:rPr>
          <w:noProof/>
        </w:rPr>
        <w:pict>
          <v:shape id="_x0000_i1034" type="#_x0000_t75" style="width:388.5pt;height:23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Mp9X2wAAAAUBAAAPAAAAZHJzL2Rvd25y&#10;ZXYueG1sTI9BS8NAEIXvgv9hGcGb3a20EmI2pQhVyM0oxOM2OybB3dmY3bbRX+/oxV4ePN7w3jfF&#10;ZvZOHHGKQyANy4UCgdQGO1Cn4fVld5OBiMmQNS4QavjCCJvy8qIwuQ0nesZjnTrBJRRzo6FPacyl&#10;jG2P3sRFGJE4ew+TN4nt1Ek7mROXeydvlbqT3gzEC70Z8aHH9qM+eA27z+p7eFuFZuVUu63G5qmq&#10;Hxutr6/m7T2IhHP6P4ZffEaHkpn24UA2CqeBH0l/ylmmlmz3GtbrTIEsC3lOX/4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">
            <v:imagedata r:id="rId25" o:title="" croptop="-2012f" cropbottom="-1333f" cropleft="-1213f" cropright="-758f"/>
            <o:lock v:ext="edit" aspectratio="f"/>
          </v:shape>
        </w:pict>
      </w:r>
    </w:p>
    <w:p w:rsidR="009A6B10" w:rsidRPr="009A6B10" w:rsidRDefault="009A6B10" w:rsidP="00E01DCD">
      <w:pPr>
        <w:rPr>
          <w:noProof/>
        </w:rPr>
      </w:pPr>
    </w:p>
    <w:p w:rsidR="009A6B10" w:rsidRPr="009A6B10" w:rsidRDefault="00FF43E1" w:rsidP="00FF43E1">
      <w:pPr>
        <w:ind w:firstLine="654"/>
        <w:jc w:val="center"/>
        <w:rPr>
          <w:noProof/>
        </w:rPr>
      </w:pPr>
      <w:r>
        <w:rPr>
          <w:noProof/>
        </w:rPr>
        <w:lastRenderedPageBreak/>
        <w:drawing>
          <wp:inline distT="0" distB="0" distL="0" distR="0" wp14:anchorId="30FE3843" wp14:editId="46FDBB96">
            <wp:extent cx="5476875" cy="30480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6B10" w:rsidRPr="009A6B10" w:rsidRDefault="009A6B10" w:rsidP="009A6B10">
      <w:pPr>
        <w:jc w:val="both"/>
        <w:rPr>
          <w:noProof/>
        </w:rPr>
      </w:pPr>
    </w:p>
    <w:p w:rsidR="009A6B10" w:rsidRPr="009A6B10" w:rsidRDefault="009A6B10" w:rsidP="009A6B10">
      <w:pPr>
        <w:ind w:firstLine="654"/>
        <w:jc w:val="both"/>
      </w:pPr>
      <w:r w:rsidRPr="009A6B10">
        <w:t>To dokazuje nedostatočnú mieru inovácie, ktorou by sa zabezpečilo, aby výstupy priemyselnej výroby boli zhodnotené v takej miere, aby sa kompenzoval rast nákladov súvisiacich so vstupmi (t. j. materiálmi a energiami). V programovom období 2007 až 2013 bol</w:t>
      </w:r>
      <w:r w:rsidR="000843C6">
        <w:t>i</w:t>
      </w:r>
      <w:r w:rsidRPr="009A6B10">
        <w:t xml:space="preserve"> v rámci OP Konkurencieschopnosť a hospodársky rast </w:t>
      </w:r>
      <w:r w:rsidR="000843C6">
        <w:t xml:space="preserve">uzatvorené zmluvy na </w:t>
      </w:r>
      <w:r w:rsidRPr="009A6B10">
        <w:t>podpor</w:t>
      </w:r>
      <w:r w:rsidR="000843C6">
        <w:t>u</w:t>
      </w:r>
      <w:r w:rsidRPr="009A6B10">
        <w:t xml:space="preserve"> pre 511 projektov v oblasti transferu inovatívnych technológií a podpory inovácie v podnikoch. Celková výška nenávratnej finančnej pomoci pre tieto projekty je 303 737 259,10 eur.  Z toho je 321 projektov riadne ukončených, 187 je v realizácii a zvyšok je schválený a pripravený na realizáciu. V súčasnosti sa nad rámec podpory v rámci OP Konkurencieschopnosť a hospodársky rast rozbiehajú ďalšie formy podpory inovácie súvisiace s rozpracovaním opatrení aktuálnej inovačnej politiky SR. Ide najmä o opatrenia smerované do oblasti inovatívnych MSP so zameraním na podporu klastrov a inovatívnych podnikov formou inovačných </w:t>
      </w:r>
      <w:proofErr w:type="spellStart"/>
      <w:r w:rsidRPr="009A6B10">
        <w:t>voucherov</w:t>
      </w:r>
      <w:proofErr w:type="spellEnd"/>
      <w:r w:rsidRPr="009A6B10">
        <w:t xml:space="preserve">. Ich prínosy sa môžu reálne začať prejavovať po roku 2015. </w:t>
      </w:r>
    </w:p>
    <w:p w:rsidR="009A6B10" w:rsidRPr="009A6B10" w:rsidRDefault="009A6B10" w:rsidP="009A6B10">
      <w:pPr>
        <w:autoSpaceDE w:val="0"/>
        <w:autoSpaceDN w:val="0"/>
        <w:adjustRightInd w:val="0"/>
        <w:ind w:firstLine="796"/>
        <w:jc w:val="both"/>
      </w:pPr>
    </w:p>
    <w:p w:rsidR="00F7499D" w:rsidRPr="004D4403" w:rsidRDefault="009A6B10" w:rsidP="00F7499D">
      <w:pPr>
        <w:autoSpaceDE w:val="0"/>
        <w:autoSpaceDN w:val="0"/>
        <w:adjustRightInd w:val="0"/>
        <w:ind w:firstLine="796"/>
        <w:jc w:val="both"/>
      </w:pPr>
      <w:r w:rsidRPr="009A6B10">
        <w:t>V súvislosti s tým, že SR okrem nerastných surovín k produkcii ostatných nekovových minerálnych výrobkov nedisponuje primárnymi surovinami pre priemyselnú výrobu, je potrebné vytvoriť efektívne podmienky pre zhodnocovanie  najmä druhotných  surovín. V roku 2012 v sektore „Zber, spracúvanie a likvidácia odpadov a recyklácia materiálov“ pôsobilo 71 podnikov s počtom 20 a viac zamestnancov, pričom oproti roku 2011 ich počet kles</w:t>
      </w:r>
      <w:r w:rsidR="00DF6D50">
        <w:t>ol o 7. V odvetví pracovalo 1,7</w:t>
      </w:r>
      <w:r w:rsidRPr="009A6B10">
        <w:t>% z celkového počtu zamestnancov v priemysle</w:t>
      </w:r>
      <w:r w:rsidR="00DF6D50">
        <w:t xml:space="preserve"> SR a bol v ňom zaznamenaný 4,8</w:t>
      </w:r>
      <w:r w:rsidRPr="009A6B10">
        <w:t>% medziročný pokles zamestnanosti. Taktiež tržby za vlastné výkony a tova</w:t>
      </w:r>
      <w:r w:rsidR="00DF6D50">
        <w:t>r, ktoré v odvetví tvorili 0,44</w:t>
      </w:r>
      <w:r w:rsidRPr="009A6B10">
        <w:t>% podiel na tržbách slovenského priemysl</w:t>
      </w:r>
      <w:r w:rsidR="00DF6D50">
        <w:t>u klesli medziročne o takmer 10</w:t>
      </w:r>
      <w:r w:rsidRPr="009A6B10">
        <w:t>%. Pritom však tržby z pred</w:t>
      </w:r>
      <w:r w:rsidR="00DF6D50">
        <w:t>aja do zahraničia tvoriace 0,05</w:t>
      </w:r>
      <w:r w:rsidRPr="009A6B10">
        <w:t>% podiel na tomto ukazovateli za priemysel SR v podstate stagnovali. Problémom však je, že vývoz stúpol v subsektore zber odpadu o 25,8%, ale v subsektore spracúvanie a </w:t>
      </w:r>
      <w:r w:rsidR="00DF6D50">
        <w:t>likvidácia odpadu klesol o 10,5</w:t>
      </w:r>
      <w:r w:rsidRPr="009A6B10">
        <w:t>% a v sekt</w:t>
      </w:r>
      <w:r w:rsidR="00DF6D50">
        <w:t>ore recyklácia materiálov o 4,8</w:t>
      </w:r>
      <w:r w:rsidRPr="009A6B10">
        <w:t>%. Zároveň možno konštatovať, že produktivita práce z tržieb na odpracovanú hodinu v </w:t>
      </w:r>
      <w:r w:rsidR="00DF6D50">
        <w:t>odvetví medziročne klesla o 3,9</w:t>
      </w:r>
      <w:r w:rsidRPr="009A6B10">
        <w:t>%, pričom subsektor zber odpadu vykázal</w:t>
      </w:r>
      <w:r w:rsidR="00DF6D50">
        <w:t xml:space="preserve"> rast tohto ukazovateľa o cca 5</w:t>
      </w:r>
      <w:r w:rsidRPr="009A6B10">
        <w:t>%, subsektor spracúvanie a </w:t>
      </w:r>
      <w:r w:rsidR="00DF6D50">
        <w:t>likvidácia odpadu pokles o 17,4</w:t>
      </w:r>
      <w:r w:rsidRPr="009A6B10">
        <w:t>% a subsektor recyklác</w:t>
      </w:r>
      <w:r w:rsidR="00DF6D50">
        <w:t>ia materiálov mierny rast o 1,2</w:t>
      </w:r>
      <w:r w:rsidRPr="009A6B10">
        <w:t xml:space="preserve">%. Tento vývoj nie je priaznivý najmä z pohľadu, že sa do zahraničia dostáva odpad bez zhodnotenia a domáca výroba prichádza o perspektívne vstupné materiály. </w:t>
      </w:r>
      <w:r w:rsidR="00F7499D" w:rsidRPr="004D4403">
        <w:t xml:space="preserve">Vzhľadom </w:t>
      </w:r>
      <w:r w:rsidR="00F7499D" w:rsidRPr="004D4403">
        <w:lastRenderedPageBreak/>
        <w:t>k uvedenému by sa mali hľadať nástroje na podporu rastu konkurencieschopnosti domácej spracovateľskej základne v oblasti recyklácie.</w:t>
      </w:r>
    </w:p>
    <w:p w:rsidR="009A6B10" w:rsidRPr="009A6B10" w:rsidRDefault="009A6B10" w:rsidP="009A6B10">
      <w:pPr>
        <w:autoSpaceDE w:val="0"/>
        <w:autoSpaceDN w:val="0"/>
        <w:adjustRightInd w:val="0"/>
        <w:ind w:firstLine="796"/>
        <w:jc w:val="both"/>
        <w:rPr>
          <w:color w:val="FF0000"/>
        </w:rPr>
      </w:pPr>
    </w:p>
    <w:p w:rsidR="009A6B10" w:rsidRPr="009A6B10" w:rsidRDefault="009A6B10" w:rsidP="009A6B10">
      <w:pPr>
        <w:jc w:val="both"/>
      </w:pPr>
    </w:p>
    <w:p w:rsidR="009A6B10" w:rsidRPr="009A6B10" w:rsidRDefault="009A6B10" w:rsidP="009A6B10">
      <w:pPr>
        <w:ind w:firstLine="796"/>
        <w:jc w:val="both"/>
      </w:pPr>
      <w:r w:rsidRPr="009A6B10">
        <w:t>Z vývoja ďalších dôležitých ukazovateľov konkurenčnej schopnosti priemyselnej výroby možno uspokojivo hodnotiť vývoj pomeru pridanej hodnoty k objemu miezd, ktorý v rozmedzí rokov 1999 až 2012 osciluje okolo stabilnej hodnoty (2,59 ± 0,05), čo znamená, že náklady na pracovnú silu sa primerane zhodnocujú vo výstupoch.</w:t>
      </w:r>
    </w:p>
    <w:p w:rsidR="009A6B10" w:rsidRPr="009A6B10" w:rsidRDefault="009A6B10" w:rsidP="009A6B10">
      <w:pPr>
        <w:ind w:firstLine="796"/>
        <w:jc w:val="both"/>
      </w:pPr>
    </w:p>
    <w:p w:rsidR="009A6B10" w:rsidRPr="009A6B10" w:rsidRDefault="009A6B10" w:rsidP="009A6B10">
      <w:pPr>
        <w:ind w:firstLine="796"/>
        <w:jc w:val="both"/>
      </w:pPr>
      <w:r w:rsidRPr="009A6B10">
        <w:t xml:space="preserve"> K ďalším aspektom konkurencieschopnosti priemyselnej výroby patrí rentabilita nákladov, ktorá v rokoch 1999 až 2006 vykazoval</w:t>
      </w:r>
      <w:r w:rsidR="00DF6D50">
        <w:t>a rast po maximálnu hodnotu 5,8</w:t>
      </w:r>
      <w:r w:rsidRPr="009A6B10">
        <w:t>%. Odvtedy do roku 2009, kedy bola priemyselná výroba v recesii hodnota r</w:t>
      </w:r>
      <w:r w:rsidR="00DF6D50">
        <w:t>entability klesla na úroveň 0,7</w:t>
      </w:r>
      <w:r w:rsidRPr="009A6B10">
        <w:t>% a do roku 2</w:t>
      </w:r>
      <w:r w:rsidR="00DF6D50">
        <w:t>012 mierne stúpla na úroveň 3,3</w:t>
      </w:r>
      <w:r w:rsidRPr="009A6B10">
        <w:t>%. Rastová tendencia pokračuje aj v roku 2013, keď k polroku dosiahol medziročný rast úroveň 0,3 p. b. pomerne dobrú kondíciu priemyselnej výroby dokazuje aj úroveň pomeru obežných aktív k záväzkom do</w:t>
      </w:r>
      <w:r w:rsidR="00DF6D50">
        <w:t>sahujúci hodnotu vyššiu ako 150</w:t>
      </w:r>
      <w:r w:rsidRPr="009A6B10">
        <w:t>% v období po roku 2009.</w:t>
      </w:r>
    </w:p>
    <w:p w:rsidR="009A6B10" w:rsidRPr="009A6B10" w:rsidRDefault="009A6B10" w:rsidP="009A6B10">
      <w:pPr>
        <w:ind w:firstLine="796"/>
        <w:jc w:val="both"/>
      </w:pPr>
    </w:p>
    <w:p w:rsidR="009A6B10" w:rsidRPr="009A6B10" w:rsidRDefault="009A6B10" w:rsidP="009A6B10">
      <w:pPr>
        <w:ind w:firstLine="796"/>
        <w:jc w:val="both"/>
      </w:pPr>
      <w:r w:rsidRPr="009A6B10">
        <w:t>Po zohľadnení vývoja najvýznamnejších ukazovateľov hospodárenia môžeme konštatovať, že síce z pohľadu podielov na tvorbe HDP a tiež aj zamestnanosti síce dominujú a do roku 2016 aj budú dominovať jednoznačne odvetvia:</w:t>
      </w:r>
    </w:p>
    <w:p w:rsidR="009A6B10" w:rsidRPr="009A6B10" w:rsidRDefault="009A6B10" w:rsidP="009A6B10">
      <w:r w:rsidRPr="009A6B10">
        <w:t>Výroba dopravných prostriedkov,</w:t>
      </w:r>
    </w:p>
    <w:p w:rsidR="009A6B10" w:rsidRPr="009A6B10" w:rsidRDefault="009A6B10" w:rsidP="009A6B10">
      <w:r w:rsidRPr="009A6B10">
        <w:t>Výroba kovov a kovových konštrukcií,</w:t>
      </w:r>
    </w:p>
    <w:p w:rsidR="009A6B10" w:rsidRPr="009A6B10" w:rsidRDefault="009A6B10" w:rsidP="009A6B10">
      <w:r w:rsidRPr="009A6B10">
        <w:t>Výroba elektronických a optických prístrojov a elektrických zariadení ,</w:t>
      </w:r>
    </w:p>
    <w:p w:rsidR="009A6B10" w:rsidRPr="009A6B10" w:rsidRDefault="009A6B10" w:rsidP="009A6B10">
      <w:r w:rsidRPr="009A6B10">
        <w:t>Výroba strojov inde nezaradených a</w:t>
      </w:r>
    </w:p>
    <w:p w:rsidR="009A6B10" w:rsidRPr="009A6B10" w:rsidRDefault="009A6B10" w:rsidP="009A6B10">
      <w:r w:rsidRPr="009A6B10">
        <w:t>Výroba gumárenských výrobkov a spracovanie plastov.</w:t>
      </w:r>
    </w:p>
    <w:p w:rsidR="009A6B10" w:rsidRPr="009A6B10" w:rsidRDefault="009A6B10" w:rsidP="009A6B10">
      <w:pPr>
        <w:jc w:val="both"/>
      </w:pPr>
      <w:r w:rsidRPr="009A6B10">
        <w:t>Tieto odvetvia ostanú ťažiskovými aj z dôvodu ich vzájomnej previazanosti v rámci subdodávateľských vzťahov. Treba však uviesť, že z pohľadu podielu pridanej hodnoty na jednotku spotrebných materiálov a energií vykazuj značné rezervy tak výroba dopravných prostriedkov ako aj výroba elektronických a optických prístrojov a elektrických. Keď sa zhodnotia vyššie uvedené prepočtové ukazovatele ako aj krytie cudzích zdrojov vlastným imaním a vývoj podielov segmentu tovarov konkurujúcich na trhu kvalitou a segmentu tovarov vykazujúcich štrukturálne problémy môžeme konštatovať, že v rámci priemyselnej výroby vykazujú najvyššiu konkurenčnú schopnosť odvetvia:</w:t>
      </w:r>
    </w:p>
    <w:p w:rsidR="009A6B10" w:rsidRPr="009A6B10" w:rsidRDefault="009A6B10" w:rsidP="009A6B10">
      <w:r w:rsidRPr="009A6B10">
        <w:t>- Výroba gumárenských výrobkov a spracovanie plastov,</w:t>
      </w:r>
    </w:p>
    <w:p w:rsidR="009A6B10" w:rsidRPr="009A6B10" w:rsidRDefault="009A6B10" w:rsidP="009A6B10">
      <w:r w:rsidRPr="009A6B10">
        <w:t>- Výroba chemikálií vrátane liekov (s tým, že príspevok výroby liekov je málo významný),</w:t>
      </w:r>
    </w:p>
    <w:p w:rsidR="009A6B10" w:rsidRPr="009A6B10" w:rsidRDefault="009A6B10" w:rsidP="009A6B10">
      <w:r w:rsidRPr="009A6B10">
        <w:t>- Výroba dopravných prostriedkov,</w:t>
      </w:r>
    </w:p>
    <w:p w:rsidR="009A6B10" w:rsidRPr="009A6B10" w:rsidRDefault="009A6B10" w:rsidP="009A6B10">
      <w:r w:rsidRPr="009A6B10">
        <w:t>- Výroba kovov a kovových konštrukcií a</w:t>
      </w:r>
    </w:p>
    <w:p w:rsidR="009A6B10" w:rsidRPr="009A6B10" w:rsidRDefault="009A6B10" w:rsidP="009A6B10">
      <w:r w:rsidRPr="009A6B10">
        <w:t>- Výroba obuvi a spracovanie kože a výroba kožiarskych výrobkov.</w:t>
      </w:r>
    </w:p>
    <w:p w:rsidR="009A6B10" w:rsidRPr="009A6B10" w:rsidRDefault="009A6B10" w:rsidP="009A6B10">
      <w:pPr>
        <w:jc w:val="both"/>
      </w:pPr>
      <w:r w:rsidRPr="009A6B10">
        <w:t xml:space="preserve">Pozície jednotlivých odvetví je vidieť na grafe č. 10, ktorý zohľadňuje priemery transformovaných premenných (na rozsah bezrozmerných čísel v rozpätí -1 až 1) </w:t>
      </w:r>
      <w:r w:rsidR="000843C6" w:rsidRPr="009A6B10">
        <w:t>zahŕňajúcich</w:t>
      </w:r>
      <w:r w:rsidRPr="009A6B10">
        <w:t>:</w:t>
      </w:r>
    </w:p>
    <w:p w:rsidR="009A6B10" w:rsidRPr="009A6B10" w:rsidRDefault="009A6B10" w:rsidP="009A6B10">
      <w:r w:rsidRPr="009A6B10">
        <w:t>- podiel pridanej hodnoty k výrobnej spotrebe;</w:t>
      </w:r>
    </w:p>
    <w:p w:rsidR="009A6B10" w:rsidRPr="009A6B10" w:rsidRDefault="009A6B10" w:rsidP="009A6B10">
      <w:r w:rsidRPr="009A6B10">
        <w:t>-podiel pridanej hodnoty k mzdám;</w:t>
      </w:r>
    </w:p>
    <w:p w:rsidR="009A6B10" w:rsidRPr="009A6B10" w:rsidRDefault="009A6B10" w:rsidP="009A6B10">
      <w:r w:rsidRPr="009A6B10">
        <w:t>-výnosnosť nákladov;</w:t>
      </w:r>
    </w:p>
    <w:p w:rsidR="009A6B10" w:rsidRPr="009A6B10" w:rsidRDefault="009A6B10" w:rsidP="009A6B10">
      <w:r w:rsidRPr="009A6B10">
        <w:t>-podiel obežných aktív k záväzkom;</w:t>
      </w:r>
    </w:p>
    <w:p w:rsidR="009A6B10" w:rsidRPr="009A6B10" w:rsidRDefault="009A6B10" w:rsidP="009A6B10">
      <w:r w:rsidRPr="009A6B10">
        <w:t>-relatívnu zostatkovú hodnotu investičného majetku;</w:t>
      </w:r>
    </w:p>
    <w:p w:rsidR="009A6B10" w:rsidRPr="009A6B10" w:rsidRDefault="009A6B10" w:rsidP="009A6B10">
      <w:r w:rsidRPr="009A6B10">
        <w:t>- podiel vyvážaných produktov konkurujúcich kvalitou;</w:t>
      </w:r>
    </w:p>
    <w:p w:rsidR="009A6B10" w:rsidRPr="009A6B10" w:rsidRDefault="009A6B10" w:rsidP="009A6B10">
      <w:r w:rsidRPr="009A6B10">
        <w:t>- podiel vyvážaných produktov vykazujúcich štrukturálne problémy.</w:t>
      </w:r>
    </w:p>
    <w:p w:rsidR="009A6B10" w:rsidRPr="009A6B10" w:rsidRDefault="009A6B10" w:rsidP="009A6B10"/>
    <w:p w:rsidR="009A6B10" w:rsidRPr="009A6B10" w:rsidRDefault="009A6B10" w:rsidP="009A6B10"/>
    <w:p w:rsidR="009A6B10" w:rsidRPr="009A6B10" w:rsidRDefault="00CB5F71" w:rsidP="009A6B10">
      <w:pPr>
        <w:spacing w:after="200" w:line="276" w:lineRule="auto"/>
        <w:contextualSpacing/>
        <w:jc w:val="center"/>
        <w:rPr>
          <w:rFonts w:ascii="Calibri" w:hAnsi="Calibri"/>
          <w:sz w:val="22"/>
          <w:szCs w:val="22"/>
          <w:lang w:eastAsia="en-US"/>
        </w:rPr>
      </w:pPr>
      <w:r>
        <w:rPr>
          <w:rFonts w:ascii="Calibri" w:hAnsi="Calibri"/>
          <w:noProof/>
          <w:sz w:val="22"/>
          <w:szCs w:val="22"/>
          <w:lang w:eastAsia="en-US"/>
        </w:rPr>
        <w:lastRenderedPageBreak/>
        <w:pict>
          <v:shape id="Graf 11" o:spid="_x0000_i1035" type="#_x0000_t75" style="width:340.5pt;height:2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">
            <v:imagedata r:id="rId27" o:title=""/>
            <o:lock v:ext="edit" aspectratio="f"/>
          </v:shape>
        </w:pict>
      </w:r>
    </w:p>
    <w:p w:rsidR="009A6B10" w:rsidRPr="009A6B10" w:rsidRDefault="009A6B10" w:rsidP="009A6B10">
      <w:pPr>
        <w:spacing w:after="120"/>
        <w:ind w:left="85"/>
        <w:contextualSpacing/>
        <w:jc w:val="both"/>
        <w:rPr>
          <w:lang w:eastAsia="en-US"/>
        </w:rPr>
      </w:pPr>
      <w:r w:rsidRPr="009A6B10">
        <w:rPr>
          <w:lang w:eastAsia="en-US"/>
        </w:rPr>
        <w:t xml:space="preserve">Treba však jednoznačne zohľadniť skutočnosť, že výroba elektronických a optických prístrojov s výrobou elektrických zariadení aj výroba strojov inde nezaradených si svoju významnú pozíciu v oblasti príspevkov k HDP udržia najmä z dôvodu už spomínaných subdodávateľských prepojení na ďalšie </w:t>
      </w:r>
      <w:r w:rsidR="00085F09" w:rsidRPr="00085F09">
        <w:rPr>
          <w:lang w:eastAsia="en-US"/>
        </w:rPr>
        <w:t>odvetvia.</w:t>
      </w:r>
      <w:r w:rsidRPr="009A6B10">
        <w:rPr>
          <w:lang w:eastAsia="en-US"/>
        </w:rPr>
        <w:t>.</w:t>
      </w:r>
    </w:p>
    <w:p w:rsidR="009A6B10" w:rsidRPr="009A6B10" w:rsidRDefault="009A6B10" w:rsidP="009A6B10">
      <w:pPr>
        <w:ind w:firstLine="796"/>
        <w:jc w:val="both"/>
      </w:pPr>
      <w:r w:rsidRPr="009A6B10">
        <w:t>Z vyššie uvedeného je jasne vidieť, že priemyselná výroba na Slovensku je síce dominujúcim hospodárskym sektorom, avšak jej pozícia v prvom rade vzhľadom na otvorenosť slovenskej ekonomiky závisí na dopyte zahraničných trhov, na ktoré je nasmerovaný vývoz slovenských priemyselných tovarov. Tu samozrejme hrá úlohu konkurencieschopnosť našej produkcie, pričom extenzívny rozvoj je podporovaný hlavne cenovou konkurenciou, čo však z dlhodobého hľadiska znamená riziko, pretože naše tovary, ktoré nebudú perspektívne zvyšovať svoju kvalitu, budú z trhu vytláčané produkciou z oblastí z lacnejšou pracovnou silou. Po komplexnom zhodnotení sa javí, že v budúcom roku možno očakávať  ra</w:t>
      </w:r>
      <w:r w:rsidR="00DF6D50">
        <w:t>st priemyselnej výroby cca do 3</w:t>
      </w:r>
      <w:r w:rsidRPr="009A6B10">
        <w:t>%, avšak  z porovnania vývoja indexu nových objednávok v priemysle a indexu priemyselnej produkcie v priemyselnej výrobe vidieť, že výkonnosť priemyselnej výroby môže v najbližšom období začať stagnovať.</w:t>
      </w:r>
    </w:p>
    <w:p w:rsidR="009A6B10" w:rsidRPr="009A6B10" w:rsidRDefault="009A6B10" w:rsidP="009A6B10">
      <w:pPr>
        <w:jc w:val="both"/>
      </w:pPr>
    </w:p>
    <w:p w:rsidR="009A6B10" w:rsidRPr="009A6B10" w:rsidRDefault="00CB5F71" w:rsidP="009A6B10">
      <w:pPr>
        <w:ind w:hanging="55"/>
        <w:jc w:val="center"/>
      </w:pPr>
      <w:r>
        <w:rPr>
          <w:noProof/>
        </w:rPr>
        <w:lastRenderedPageBreak/>
        <w:pict>
          <v:shape id="Graf 6" o:spid="_x0000_i1036" type="#_x0000_t75" style="width:422.25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">
            <v:imagedata r:id="rId28" o:title=""/>
            <o:lock v:ext="edit" aspectratio="f"/>
          </v:shape>
        </w:pict>
      </w:r>
    </w:p>
    <w:p w:rsidR="009A6B10" w:rsidRPr="009A6B10" w:rsidRDefault="009A6B10" w:rsidP="009A6B10">
      <w:pPr>
        <w:ind w:firstLine="796"/>
        <w:jc w:val="both"/>
      </w:pPr>
    </w:p>
    <w:p w:rsidR="00861475" w:rsidRDefault="009A6B10" w:rsidP="00E01DCD">
      <w:pPr>
        <w:ind w:right="374" w:firstLine="796"/>
        <w:jc w:val="both"/>
      </w:pPr>
      <w:r w:rsidRPr="009A6B10">
        <w:t xml:space="preserve">Je tiež potrebné zohľadniť skutočnosť, že v rokoch 2009 až 2012 dynamika vývoja tržieb a zamestnanosti v priemyselnej výrobe vykazovali výrazne rozdielne tendencie. Zamestnanosť v dobe najväčšieho poklesu tržieb vykazovala určitú zotrvačnosť a v období </w:t>
      </w:r>
      <w:r w:rsidR="000843C6" w:rsidRPr="009A6B10">
        <w:t>rýchlejšieho</w:t>
      </w:r>
      <w:r w:rsidRPr="009A6B10">
        <w:t xml:space="preserve"> rastu tržieb sa postupne odstraňovala určitá prezamestnanosť v smere rastu produktivity práce, čo možno vidieť z nasledujúcich 3 grafov .</w:t>
      </w:r>
    </w:p>
    <w:p w:rsidR="00861475" w:rsidRDefault="00861475" w:rsidP="009A6B10">
      <w:pPr>
        <w:jc w:val="center"/>
        <w:rPr>
          <w:noProof/>
        </w:rPr>
      </w:pPr>
    </w:p>
    <w:p w:rsidR="00861475" w:rsidRDefault="00861475" w:rsidP="009A6B10">
      <w:pPr>
        <w:jc w:val="center"/>
        <w:rPr>
          <w:noProof/>
        </w:rPr>
      </w:pPr>
    </w:p>
    <w:p w:rsidR="00861475" w:rsidRDefault="00861475" w:rsidP="009A6B10">
      <w:pPr>
        <w:jc w:val="center"/>
        <w:rPr>
          <w:noProof/>
        </w:rPr>
      </w:pPr>
      <w:r>
        <w:rPr>
          <w:noProof/>
        </w:rPr>
        <w:t>Indexy tržieb za vlastné výkony a tovar za roky 2008 až 2012</w:t>
      </w:r>
    </w:p>
    <w:p w:rsidR="009A6B10" w:rsidRDefault="00CB5F71" w:rsidP="009A6B10">
      <w:pPr>
        <w:jc w:val="center"/>
        <w:rPr>
          <w:noProof/>
        </w:rPr>
      </w:pPr>
      <w:r>
        <w:rPr>
          <w:noProof/>
        </w:rPr>
        <w:pict>
          <v:shape id="Graf 13" o:spid="_x0000_i1037" type="#_x0000_t75" style="width:378.75pt;height:31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">
            <v:imagedata r:id="rId29" o:title="" croptop="18982f" cropbottom="-18f"/>
            <o:lock v:ext="edit" aspectratio="f"/>
          </v:shape>
        </w:pict>
      </w:r>
    </w:p>
    <w:p w:rsidR="00861475" w:rsidRPr="009A6B10" w:rsidRDefault="00861475" w:rsidP="009A6B10">
      <w:pPr>
        <w:jc w:val="center"/>
        <w:rPr>
          <w:color w:val="FF0000"/>
        </w:rPr>
      </w:pPr>
    </w:p>
    <w:p w:rsidR="009A6B10" w:rsidRPr="009A6B10" w:rsidRDefault="009A6B10" w:rsidP="00861475">
      <w:pPr>
        <w:jc w:val="both"/>
      </w:pPr>
    </w:p>
    <w:p w:rsidR="00B34BE7" w:rsidRPr="00CB5F71" w:rsidRDefault="00B34BE7" w:rsidP="00861475">
      <w:pPr>
        <w:jc w:val="center"/>
      </w:pPr>
      <w:r w:rsidRPr="00CB5F71">
        <w:t>Priemerné ročné indexy vývoja počtu zamestnancov</w:t>
      </w:r>
    </w:p>
    <w:p w:rsidR="009A6B10" w:rsidRPr="009A6B10" w:rsidRDefault="009A6B10" w:rsidP="009A6B10">
      <w:pPr>
        <w:jc w:val="both"/>
      </w:pPr>
    </w:p>
    <w:p w:rsidR="009A6B10" w:rsidRPr="009A6B10" w:rsidRDefault="00CB5F71" w:rsidP="009A6B10">
      <w:pPr>
        <w:jc w:val="center"/>
      </w:pPr>
      <w:r>
        <w:rPr>
          <w:noProof/>
        </w:rPr>
        <w:pict>
          <v:shape id="Graf 14" o:spid="_x0000_i1038" type="#_x0000_t75" style="width:380.25pt;height:29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">
            <v:imagedata r:id="rId30" o:title="" croptop="16278f" cropbottom="-13f"/>
            <o:lock v:ext="edit" aspectratio="f"/>
          </v:shape>
        </w:pict>
      </w:r>
    </w:p>
    <w:p w:rsidR="009A6B10" w:rsidRPr="009A6B10" w:rsidRDefault="009A6B10" w:rsidP="009A6B10">
      <w:pPr>
        <w:ind w:firstLine="796"/>
        <w:jc w:val="both"/>
      </w:pPr>
    </w:p>
    <w:p w:rsidR="009A6B10" w:rsidRPr="009A6B10" w:rsidRDefault="009A6B10" w:rsidP="009A6B10">
      <w:pPr>
        <w:ind w:firstLine="796"/>
        <w:jc w:val="both"/>
      </w:pPr>
    </w:p>
    <w:p w:rsidR="009A6B10" w:rsidRPr="009A6B10" w:rsidRDefault="00861475" w:rsidP="00861475">
      <w:pPr>
        <w:jc w:val="center"/>
      </w:pPr>
      <w:r>
        <w:t>Priemerné medziročné indexy produktivity práce z tržieb na zamestnanca</w:t>
      </w:r>
    </w:p>
    <w:p w:rsidR="009A6B10" w:rsidRPr="009A6B10" w:rsidRDefault="009A6B10" w:rsidP="009A6B10">
      <w:pPr>
        <w:ind w:firstLine="796"/>
        <w:jc w:val="both"/>
      </w:pPr>
    </w:p>
    <w:p w:rsidR="009A6B10" w:rsidRPr="009A6B10" w:rsidRDefault="009A6B10" w:rsidP="009A6B10">
      <w:pPr>
        <w:jc w:val="both"/>
        <w:rPr>
          <w:color w:val="FF0000"/>
        </w:rPr>
      </w:pPr>
    </w:p>
    <w:p w:rsidR="009A6B10" w:rsidRPr="009A6B10" w:rsidRDefault="00CB5F71" w:rsidP="009A6B10">
      <w:pPr>
        <w:jc w:val="center"/>
        <w:rPr>
          <w:color w:val="FF0000"/>
        </w:rPr>
      </w:pPr>
      <w:r>
        <w:rPr>
          <w:noProof/>
        </w:rPr>
        <w:pict>
          <v:shape id="Graf 15" o:spid="_x0000_i1039" type="#_x0000_t75" style="width:389.25pt;height:29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ZPfJ3AAAAAUBAAAPAAAAZHJzL2Rvd25y&#10;ZXYueG1sTI9PS8NAEMXvgt9hGcGb3a31T43ZFBG9CEKtLdTbNDsmodnZkN028ds7etHL8IY3vPeb&#10;fDH6Vh2pj01gC9OJAUVcBtdwZWH9/nwxBxUTssM2MFn4ogiL4vQkx8yFgd/ouEqVkhCOGVqoU+oy&#10;rWNZk8c4CR2xeJ+h95hk7Svtehwk3Lf60pgb7bFhaaixo8eayv3q4C3MPmiDuHVPwzBbvk6Xxrxs&#10;9d7a87Px4R5UojH9HcMPvqBDIUy7cGAXVWtBHkm/U7w7c3UNaifidm5AF7n+T198Aw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">
            <v:imagedata r:id="rId31" o:title="" croptop="17673f" cropbottom="-13f"/>
            <o:lock v:ext="edit" aspectratio="f"/>
          </v:shape>
        </w:pict>
      </w:r>
    </w:p>
    <w:p w:rsidR="009A6B10" w:rsidRPr="009A6B10" w:rsidRDefault="009A6B10" w:rsidP="009A6B10">
      <w:pPr>
        <w:ind w:firstLine="796"/>
        <w:jc w:val="both"/>
        <w:rPr>
          <w:color w:val="FF0000"/>
        </w:rPr>
      </w:pPr>
    </w:p>
    <w:p w:rsidR="009A6B10" w:rsidRPr="009A6B10" w:rsidRDefault="009A6B10" w:rsidP="009A6B10">
      <w:pPr>
        <w:ind w:firstLine="796"/>
        <w:jc w:val="both"/>
      </w:pPr>
      <w:r w:rsidRPr="009A6B10">
        <w:t xml:space="preserve">Tento vývoj nasvedčuje tomu, že v rámci existujúcej výrobnej základne nemožno očakávať pri zabezpečovaní modernizácie a realizácii procesných inovácií rast zamestnanosti. </w:t>
      </w:r>
      <w:r w:rsidR="00A25527">
        <w:t>Rast zamestnanosti</w:t>
      </w:r>
      <w:r w:rsidRPr="009A6B10">
        <w:t xml:space="preserve"> je možné </w:t>
      </w:r>
      <w:r w:rsidR="00A25527">
        <w:t>efektívne zabezpečiť najmä</w:t>
      </w:r>
      <w:r w:rsidRPr="009A6B10">
        <w:t xml:space="preserve"> investovaním do nových výrob, čo bez podpory v rámci investičnej pomoci nie je </w:t>
      </w:r>
      <w:r w:rsidR="00085F09" w:rsidRPr="00085F09">
        <w:t>možné</w:t>
      </w:r>
      <w:r w:rsidR="00A25527">
        <w:t>.</w:t>
      </w:r>
    </w:p>
    <w:p w:rsidR="009A6B10" w:rsidRPr="009A6B10" w:rsidRDefault="009A6B10" w:rsidP="009A6B10">
      <w:pPr>
        <w:jc w:val="both"/>
      </w:pPr>
    </w:p>
    <w:p w:rsidR="009A6B10" w:rsidRPr="009A6B10" w:rsidRDefault="009A6B10" w:rsidP="009A6B10">
      <w:pPr>
        <w:ind w:firstLine="796"/>
        <w:jc w:val="both"/>
      </w:pPr>
      <w:r w:rsidRPr="009A6B10">
        <w:t xml:space="preserve">Z vyššie uvedeného vývoja  najmä z dôrazom na vývoj tak relatívnej zostatkovej hodnoty investičného majetku ako aj podielu pridanej hodnoty k spotrebe materiálov a energií vidieť, že slovenská priemyselná výroba potrebuje výrazne inovovať tak, aby sa v prvom rade zvýšilo zhodnotenie materiálov a energií, </w:t>
      </w:r>
      <w:r w:rsidR="00BD6D19" w:rsidRPr="00BD6D19">
        <w:t xml:space="preserve">čo </w:t>
      </w:r>
      <w:r w:rsidRPr="009A6B10">
        <w:t>si vyžaduje aj viac zdrojov na investície. Zároveň však možno konštatovať, že vysoký podiel zdrojov, ktoré je nevyhnutné preinvestovať, súvisí tiež s prispôsobovaním podmienok výroby požiadavkám environmentálnej legislatívy, bez splnenia ktorých nie je možné výrobu udržať. Pritom výsledky takýchto investícií zabezpečia iba zachovanie existujúcich výrob bez toho, aby prispeli k vyššiemu zhodnoteniu materiálov a energií a tým k rastu konkurenčnej schopnosti.</w:t>
      </w:r>
    </w:p>
    <w:p w:rsidR="009A6B10" w:rsidRPr="009A6B10" w:rsidRDefault="009A6B10" w:rsidP="009A6B10">
      <w:pPr>
        <w:ind w:firstLine="796"/>
        <w:jc w:val="both"/>
      </w:pPr>
    </w:p>
    <w:p w:rsidR="009A6B10" w:rsidRPr="009A6B10" w:rsidRDefault="009A6B10" w:rsidP="009A6B10">
      <w:pPr>
        <w:jc w:val="both"/>
      </w:pPr>
    </w:p>
    <w:p w:rsidR="009A6B10" w:rsidRPr="009A6B10" w:rsidRDefault="009A6B10" w:rsidP="009A6B10">
      <w:pPr>
        <w:rPr>
          <w:sz w:val="28"/>
          <w:szCs w:val="28"/>
        </w:rPr>
      </w:pPr>
      <w:r w:rsidRPr="009A6B10">
        <w:rPr>
          <w:sz w:val="28"/>
          <w:szCs w:val="28"/>
        </w:rPr>
        <w:t>Charakteristika malého a stredného podnikania (ďalej len „MSP“) na Slovensku</w:t>
      </w:r>
    </w:p>
    <w:p w:rsidR="009A6B10" w:rsidRPr="009A6B10" w:rsidRDefault="009A6B10" w:rsidP="009A6B10">
      <w:pPr>
        <w:spacing w:before="120" w:after="120"/>
        <w:jc w:val="both"/>
        <w:rPr>
          <w:i/>
        </w:rPr>
      </w:pPr>
      <w:r w:rsidRPr="009A6B10">
        <w:rPr>
          <w:i/>
        </w:rPr>
        <w:t>Malé a stredné podniky sú bezpochyby pilierom sloven</w:t>
      </w:r>
      <w:r w:rsidR="00DF6D50">
        <w:rPr>
          <w:i/>
        </w:rPr>
        <w:t>ského hospodárstva. Tvoria 99,9</w:t>
      </w:r>
      <w:r w:rsidRPr="009A6B10">
        <w:rPr>
          <w:i/>
        </w:rPr>
        <w:t>% podiel z celkového počtu podnikateľských subjektov, v podnikovej ekonomike posky</w:t>
      </w:r>
      <w:r w:rsidR="00DF6D50">
        <w:rPr>
          <w:i/>
        </w:rPr>
        <w:t>tujú pracovné príležitosti 71,8</w:t>
      </w:r>
      <w:r w:rsidRPr="009A6B10">
        <w:rPr>
          <w:i/>
        </w:rPr>
        <w:t>% aktívnej pra</w:t>
      </w:r>
      <w:r w:rsidR="00DF6D50">
        <w:rPr>
          <w:i/>
        </w:rPr>
        <w:t>covnej sily a podieľajú sa 55,1</w:t>
      </w:r>
      <w:r w:rsidRPr="009A6B10">
        <w:rPr>
          <w:i/>
        </w:rPr>
        <w:t xml:space="preserve">% na tvorbe pridanej hodnoty. </w:t>
      </w:r>
    </w:p>
    <w:p w:rsidR="009A6B10" w:rsidRPr="009A6B10" w:rsidRDefault="009A6B10" w:rsidP="009A6B10">
      <w:pPr>
        <w:spacing w:before="120" w:after="120"/>
        <w:jc w:val="both"/>
        <w:rPr>
          <w:b/>
          <w:i/>
        </w:rPr>
      </w:pPr>
    </w:p>
    <w:p w:rsidR="009A6B10" w:rsidRPr="009A6B10" w:rsidRDefault="009A6B10" w:rsidP="00D41BCB">
      <w:pPr>
        <w:keepNext/>
        <w:spacing w:before="120" w:after="120"/>
        <w:outlineLvl w:val="2"/>
        <w:rPr>
          <w:szCs w:val="20"/>
        </w:rPr>
      </w:pPr>
      <w:r w:rsidRPr="009A6B10">
        <w:rPr>
          <w:szCs w:val="20"/>
        </w:rPr>
        <w:t>Stav a vývoj početnosti MSP</w:t>
      </w:r>
    </w:p>
    <w:p w:rsidR="009A6B10" w:rsidRPr="009A6B10" w:rsidRDefault="009A6B10" w:rsidP="009A6B10">
      <w:pPr>
        <w:spacing w:before="120" w:after="120"/>
        <w:jc w:val="both"/>
      </w:pPr>
      <w:r w:rsidRPr="009A6B10">
        <w:t>Z hľadiska početnosti malých a stredných podnikov podľa právnych foriem na Slovensku prevládajú fyzické osoby – podnikatelia. Z celkového počtu malých a stredných podnikov v roku 2012 (551 608) tvorili fy</w:t>
      </w:r>
      <w:r w:rsidR="00DF6D50">
        <w:t>zické osoby – podnikatelia 70,2% a MSP – právnické osoby 29,8</w:t>
      </w:r>
      <w:r w:rsidRPr="009A6B10">
        <w:t>%. V rámci fyzických osôb – podnikateľov majú dominant</w:t>
      </w:r>
      <w:r w:rsidR="00DF6D50">
        <w:t>né zastúpenie živnostníci (92,8</w:t>
      </w:r>
      <w:r w:rsidRPr="009A6B10">
        <w:t>%). Osoby podnikajúce formou</w:t>
      </w:r>
      <w:r w:rsidR="00DF6D50">
        <w:t xml:space="preserve"> slobodných povolaní tvoria 5,3</w:t>
      </w:r>
      <w:r w:rsidRPr="009A6B10">
        <w:t>% a samostatne</w:t>
      </w:r>
      <w:r w:rsidR="00DF6D50">
        <w:t xml:space="preserve"> hospodáriaci roľníci (SHR) 1,9</w:t>
      </w:r>
      <w:r w:rsidRPr="009A6B10">
        <w:t>% z celkového počtu fyzických osôb – podnikateľov.</w:t>
      </w:r>
    </w:p>
    <w:p w:rsidR="009A6B10" w:rsidRPr="009A6B10" w:rsidRDefault="009A6B10" w:rsidP="009A6B10">
      <w:pPr>
        <w:spacing w:before="120" w:after="120"/>
      </w:pPr>
    </w:p>
    <w:p w:rsidR="009A6B10" w:rsidRPr="009A6B10" w:rsidRDefault="009A6B10" w:rsidP="009A6B10">
      <w:pPr>
        <w:spacing w:before="120" w:after="120"/>
        <w:rPr>
          <w:b/>
          <w:i/>
        </w:rPr>
      </w:pPr>
      <w:r w:rsidRPr="009A6B10">
        <w:rPr>
          <w:b/>
          <w:i/>
        </w:rPr>
        <w:t xml:space="preserve">Graf č.1 a č.2 </w:t>
      </w:r>
    </w:p>
    <w:p w:rsidR="009A6B10" w:rsidRPr="009A6B10" w:rsidRDefault="00CB5F71" w:rsidP="009A6B10">
      <w:pPr>
        <w:spacing w:before="120" w:after="120"/>
        <w:jc w:val="center"/>
      </w:pPr>
      <w:r>
        <w:rPr>
          <w:noProof/>
        </w:rPr>
        <w:pict>
          <v:shape id="Objekt 1" o:spid="_x0000_i1040" type="#_x0000_t75" style="width:3in;height:2in;visibility:visible" o:bordertopcolor="this" o:borderleftcolor="this" o:borderbottomcolor="this" o:borderrightcolor="this">
            <v:imagedata r:id="rId32" o:title=""/>
            <o:lock v:ext="edit" aspectratio="f"/>
            <w10:borderbottom type="single" width="4"/>
          </v:shape>
        </w:pict>
      </w:r>
      <w:r>
        <w:rPr>
          <w:noProof/>
        </w:rPr>
        <w:pict>
          <v:shape id="Objekt 2" o:spid="_x0000_i1041" type="#_x0000_t75" style="width:3in;height:2in;visibility:visible" o:bordertopcolor="this" o:borderleftcolor="this" o:borderbottomcolor="this" o:borderrightcolor="this">
            <v:imagedata r:id="rId33" o:title=""/>
            <o:lock v:ext="edit" aspectratio="f"/>
            <w10:borderbottom type="single" width="4"/>
          </v:shape>
        </w:pic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xml:space="preserve"> Štatistický úrad SR, spracované NARMSP</w:t>
      </w:r>
    </w:p>
    <w:p w:rsidR="009A6B10" w:rsidRPr="009A6B10" w:rsidRDefault="009A6B10" w:rsidP="009A6B10">
      <w:pPr>
        <w:spacing w:before="120" w:after="120"/>
      </w:pPr>
    </w:p>
    <w:p w:rsidR="009A6B10" w:rsidRPr="009A6B10" w:rsidRDefault="009A6B10" w:rsidP="009A6B10">
      <w:pPr>
        <w:spacing w:before="120" w:after="120"/>
        <w:rPr>
          <w:b/>
        </w:rPr>
      </w:pPr>
      <w:r w:rsidRPr="009A6B10">
        <w:rPr>
          <w:b/>
        </w:rPr>
        <w:t>Fyzické osoby – podnikatelia</w:t>
      </w:r>
    </w:p>
    <w:p w:rsidR="009A6B10" w:rsidRPr="009A6B10" w:rsidRDefault="009A6B10" w:rsidP="009A6B10">
      <w:pPr>
        <w:spacing w:before="120" w:after="120"/>
        <w:jc w:val="both"/>
      </w:pPr>
      <w:r w:rsidRPr="009A6B10">
        <w:lastRenderedPageBreak/>
        <w:t>Podľa údajov a metodiky Štatistického úradu SR (ŠÚ SR) bolo ku koncu decembra 2012 evidovaných celkovo 387 452 fyzických osôb – podnikateľov, pričom ich p</w:t>
      </w:r>
      <w:r w:rsidR="00DF6D50">
        <w:t>očet sa medziročne znížil o 3,7</w:t>
      </w:r>
      <w:r w:rsidRPr="009A6B10">
        <w:t>%. Z celkového počtu fyzických osôb – podnikateľov bolo 359 575 živnostníkov (z toho 359 574 v kategórii MSP), 20 382</w:t>
      </w:r>
      <w:r w:rsidRPr="009A6B10">
        <w:rPr>
          <w:color w:val="253C73"/>
        </w:rPr>
        <w:t xml:space="preserve"> </w:t>
      </w:r>
      <w:r w:rsidRPr="009A6B10">
        <w:t xml:space="preserve">osôb podnikajúcich v slobodných povolaniach a 7 495 samostatne hospodáriacich roľníkov. </w:t>
      </w:r>
    </w:p>
    <w:p w:rsidR="009A6B10" w:rsidRPr="009A6B10" w:rsidRDefault="009A6B10" w:rsidP="009A6B10">
      <w:pPr>
        <w:spacing w:before="120" w:after="120"/>
        <w:rPr>
          <w:b/>
        </w:rPr>
      </w:pPr>
      <w:r w:rsidRPr="009A6B10">
        <w:rPr>
          <w:b/>
        </w:rPr>
        <w:t>Odvetvová štruktúra živnostníkov</w:t>
      </w:r>
    </w:p>
    <w:p w:rsidR="009A6B10" w:rsidRPr="009A6B10" w:rsidRDefault="009A6B10" w:rsidP="009A6B10">
      <w:pPr>
        <w:spacing w:before="120" w:after="120"/>
        <w:jc w:val="both"/>
      </w:pPr>
      <w:r w:rsidRPr="009A6B10">
        <w:t>V rámci odvetvového členenia živnostníkov patria medzi najvýznamnejšie odvetvia podľa klasifikácie SK NACE</w:t>
      </w:r>
      <w:r w:rsidR="00DF6D50">
        <w:t xml:space="preserve"> obchod so 95 752 (26,6</w:t>
      </w:r>
      <w:r w:rsidRPr="009A6B10">
        <w:t>%) živnostníkm</w:t>
      </w:r>
      <w:r w:rsidR="00DF6D50">
        <w:t xml:space="preserve">i, stavebníctvo s 81 270 </w:t>
      </w:r>
      <w:r w:rsidR="00DF6D50">
        <w:br/>
        <w:t>(22,6</w:t>
      </w:r>
      <w:r w:rsidRPr="009A6B10">
        <w:t>%) živnost</w:t>
      </w:r>
      <w:r w:rsidR="00DF6D50">
        <w:t>níkmi, priemysel s 57 958 (16,1</w:t>
      </w:r>
      <w:r w:rsidRPr="009A6B10">
        <w:t>%) živnostníkmi a obchodné služby (sekcia</w:t>
      </w:r>
      <w:r w:rsidR="00DF6D50">
        <w:t xml:space="preserve"> SK NACE K až N) s 49 923 (13,9</w:t>
      </w:r>
      <w:r w:rsidRPr="009A6B10">
        <w:t xml:space="preserve">%) živnostníkmi. V sektore dopravy a informácií </w:t>
      </w:r>
      <w:r w:rsidRPr="009A6B10">
        <w:rPr>
          <w:color w:val="000000"/>
        </w:rPr>
        <w:t>(</w:t>
      </w:r>
      <w:r w:rsidRPr="009A6B10">
        <w:t>sekcia SK NACE H, J) p</w:t>
      </w:r>
      <w:r w:rsidR="00DF6D50">
        <w:t>ôsobí 24 796 (6,9</w:t>
      </w:r>
      <w:r w:rsidRPr="009A6B10">
        <w:t>%) živnostníkov, v ostatných službách (sekc</w:t>
      </w:r>
      <w:r w:rsidR="00DF6D50">
        <w:t>ia  SK NACE O až S) 23 457 (6,5</w:t>
      </w:r>
      <w:r w:rsidRPr="009A6B10">
        <w:t>%) živnostníkov, v uby</w:t>
      </w:r>
      <w:r w:rsidR="00DF6D50">
        <w:t>tovaní a stravovaní 13 857 (3,9</w:t>
      </w:r>
      <w:r w:rsidRPr="009A6B10">
        <w:t>%) živnostníkov a v pôdohospodárstve</w:t>
      </w:r>
      <w:r w:rsidR="00DF6D50">
        <w:t xml:space="preserve"> (sekcia SK NACE A) 12 561 (3,5</w:t>
      </w:r>
      <w:r w:rsidRPr="009A6B10">
        <w:t>%) živnostníkov.</w:t>
      </w:r>
    </w:p>
    <w:p w:rsidR="009A6B10" w:rsidRPr="009A6B10" w:rsidRDefault="009A6B10" w:rsidP="009A6B10">
      <w:pPr>
        <w:spacing w:before="120" w:after="120"/>
        <w:jc w:val="both"/>
      </w:pPr>
      <w:r w:rsidRPr="009A6B10">
        <w:rPr>
          <w:b/>
          <w:color w:val="000000"/>
        </w:rPr>
        <w:t xml:space="preserve">Medziročný pokles </w:t>
      </w:r>
      <w:r w:rsidRPr="009A6B10">
        <w:rPr>
          <w:color w:val="000000"/>
        </w:rPr>
        <w:t>početnosti živnostníkov bol po prvý krát zaznamenaný</w:t>
      </w:r>
      <w:r w:rsidRPr="009A6B10">
        <w:rPr>
          <w:b/>
          <w:color w:val="000000"/>
        </w:rPr>
        <w:t xml:space="preserve"> vo všetkých odvetviach hospodárstva. </w:t>
      </w:r>
      <w:r w:rsidRPr="009A6B10">
        <w:rPr>
          <w:color w:val="000000"/>
        </w:rPr>
        <w:t xml:space="preserve">Najviac živnostníkov v roku 2012 pokleslo v obchode (o 5 750), v stavebníctve (o 5 114), v priemysle (o 3 152) a v obchodných službách (o 747). Vývoj odvetvovej štruktúry živnostníkov od roku 2009 je charakterizovaný rastúcim zastúpením živnostníkov v odvetví služieb a poklesom v odvetví obchodu, priemyslu a stavebníctva. </w:t>
      </w:r>
    </w:p>
    <w:p w:rsidR="009A6B10" w:rsidRPr="009A6B10" w:rsidRDefault="009A6B10" w:rsidP="009A6B10">
      <w:pPr>
        <w:spacing w:before="120" w:after="120"/>
        <w:ind w:firstLine="360"/>
        <w:jc w:val="both"/>
      </w:pPr>
    </w:p>
    <w:p w:rsidR="009A6B10" w:rsidRPr="009A6B10" w:rsidRDefault="009A6B10" w:rsidP="009A6B10">
      <w:pPr>
        <w:spacing w:before="120" w:after="120"/>
        <w:rPr>
          <w:b/>
          <w:i/>
        </w:rPr>
      </w:pPr>
      <w:r w:rsidRPr="009A6B10">
        <w:rPr>
          <w:b/>
          <w:i/>
        </w:rPr>
        <w:t>Graf č.3</w:t>
      </w:r>
    </w:p>
    <w:p w:rsidR="009A6B10" w:rsidRPr="009A6B10" w:rsidRDefault="00CB5F71" w:rsidP="009A6B10">
      <w:pPr>
        <w:spacing w:before="120" w:after="120"/>
        <w:jc w:val="both"/>
      </w:pPr>
      <w:r>
        <w:rPr>
          <w:noProof/>
        </w:rPr>
        <w:pict>
          <v:shape id="Obrázok 3" o:spid="_x0000_i1042" type="#_x0000_t75" style="width:434.25pt;height:219.75pt;visibility:visible">
            <v:imagedata r:id="rId34" o:title=""/>
          </v:shape>
        </w:pic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xml:space="preserve"> Štatistický úrad SR, spracované NARMSP</w:t>
      </w:r>
    </w:p>
    <w:p w:rsidR="009A6B10" w:rsidRDefault="009A6B10" w:rsidP="009A6B10">
      <w:pPr>
        <w:tabs>
          <w:tab w:val="left" w:pos="709"/>
          <w:tab w:val="left" w:pos="992"/>
        </w:tabs>
        <w:spacing w:before="120" w:after="120"/>
        <w:jc w:val="both"/>
      </w:pPr>
      <w:r w:rsidRPr="009A6B10">
        <w:t xml:space="preserve">Z celkového počtu osôb podnikajúcich v slobodných povolaniach pôsobilo v r. 2012 </w:t>
      </w:r>
      <w:r w:rsidR="00DF6D50">
        <w:t>podľa klasifikácie SK NACE 33,9</w:t>
      </w:r>
      <w:r w:rsidRPr="009A6B10">
        <w:t>% v oblasti pomocných činností v poisťovníctve a </w:t>
      </w:r>
      <w:r w:rsidR="00DF6D50">
        <w:t>v dôchodkovom zabezpečení, 23,4</w:t>
      </w:r>
      <w:r w:rsidRPr="009A6B10">
        <w:t>% v ambulantnej a </w:t>
      </w:r>
      <w:r w:rsidR="00DF6D50">
        <w:t>zubnej lekárskej činnosti, 21,9</w:t>
      </w:r>
      <w:r w:rsidRPr="009A6B10">
        <w:t>% v</w:t>
      </w:r>
      <w:r w:rsidR="00DF6D50">
        <w:t> oblasti právnych činností, 6,2</w:t>
      </w:r>
      <w:r w:rsidRPr="009A6B10">
        <w:t>% v architektonických a</w:t>
      </w:r>
      <w:r w:rsidR="00DF6D50">
        <w:t xml:space="preserve"> inžinierskych činnostiach, 4,2</w:t>
      </w:r>
      <w:r w:rsidRPr="009A6B10">
        <w:t>% vo v</w:t>
      </w:r>
      <w:r w:rsidR="00DF6D50">
        <w:t>eterinárnych činnostiach a 10,4</w:t>
      </w:r>
      <w:r w:rsidRPr="009A6B10">
        <w:t>% v ostatných oblastiach. Vývoj profesijnej štruktúry slobodných povolaní charakterizuje postupný nárast činností v poisťovníctve a v dôchodkovom zabezpečení sprevádzaný postupným poklesom činností v oblasti ambulantnej a zubnej lekárskej starostlivosti. Zároveň sa prejavuje aj diverzifikácia činností (nárast v kategórii ostatné činnosti medzi r. 2010 – 2012 o 4,6 p. b.).</w:t>
      </w:r>
    </w:p>
    <w:p w:rsidR="00E01DCD" w:rsidRPr="009A6B10" w:rsidRDefault="00E01DCD" w:rsidP="009A6B10">
      <w:pPr>
        <w:tabs>
          <w:tab w:val="left" w:pos="709"/>
          <w:tab w:val="left" w:pos="992"/>
        </w:tabs>
        <w:spacing w:before="120" w:after="120"/>
        <w:jc w:val="both"/>
      </w:pPr>
    </w:p>
    <w:p w:rsidR="009A6B10" w:rsidRPr="009A6B10" w:rsidRDefault="009A6B10" w:rsidP="009A6B10">
      <w:pPr>
        <w:spacing w:before="120" w:after="120"/>
        <w:rPr>
          <w:b/>
        </w:rPr>
      </w:pPr>
      <w:r w:rsidRPr="009A6B10">
        <w:rPr>
          <w:b/>
        </w:rPr>
        <w:lastRenderedPageBreak/>
        <w:t>Regionálna štruktúra živnostníkov</w:t>
      </w:r>
    </w:p>
    <w:p w:rsidR="009A6B10" w:rsidRPr="009A6B10" w:rsidRDefault="009A6B10" w:rsidP="009A6B10">
      <w:pPr>
        <w:tabs>
          <w:tab w:val="left" w:pos="709"/>
          <w:tab w:val="left" w:pos="992"/>
        </w:tabs>
        <w:spacing w:before="120" w:after="120"/>
        <w:jc w:val="both"/>
        <w:rPr>
          <w:iCs/>
        </w:rPr>
      </w:pPr>
      <w:r w:rsidRPr="009A6B10">
        <w:rPr>
          <w:iCs/>
        </w:rPr>
        <w:t>Najviac živnostníkov v roku 2012 pôsobilo podľa údajov Registra organizácií ŠÚ</w:t>
      </w:r>
      <w:r w:rsidR="00DF6D50">
        <w:rPr>
          <w:iCs/>
        </w:rPr>
        <w:t xml:space="preserve"> SR v Bratislavskom kraji (15,2%), v Žilinskom kraji (15,1%) a v Prešovskom kraji (14,7</w:t>
      </w:r>
      <w:r w:rsidRPr="009A6B10">
        <w:rPr>
          <w:iCs/>
        </w:rPr>
        <w:t>%). V </w:t>
      </w:r>
      <w:r w:rsidR="00DF6D50">
        <w:rPr>
          <w:iCs/>
        </w:rPr>
        <w:t>Nitrianskom kraji pôsobilo 12,4</w:t>
      </w:r>
      <w:r w:rsidRPr="009A6B10">
        <w:rPr>
          <w:iCs/>
        </w:rPr>
        <w:t>% živnostn</w:t>
      </w:r>
      <w:r w:rsidR="00DF6D50">
        <w:rPr>
          <w:iCs/>
        </w:rPr>
        <w:t>íkov, v Trenčianskom kraji 11,2</w:t>
      </w:r>
      <w:r w:rsidRPr="009A6B10">
        <w:rPr>
          <w:iCs/>
        </w:rPr>
        <w:t>% živno</w:t>
      </w:r>
      <w:r w:rsidR="00DF6D50">
        <w:rPr>
          <w:iCs/>
        </w:rPr>
        <w:t>stníkov, v Trnavskom kraji 10,8</w:t>
      </w:r>
      <w:r w:rsidRPr="009A6B10">
        <w:rPr>
          <w:iCs/>
        </w:rPr>
        <w:t>%  živnostníkov</w:t>
      </w:r>
      <w:r w:rsidR="00DF6D50">
        <w:rPr>
          <w:iCs/>
        </w:rPr>
        <w:t>, v Banskobystrickom kraji 10,6</w:t>
      </w:r>
      <w:r w:rsidRPr="009A6B10">
        <w:rPr>
          <w:iCs/>
        </w:rPr>
        <w:t>% živ</w:t>
      </w:r>
      <w:r w:rsidR="00DF6D50">
        <w:rPr>
          <w:iCs/>
        </w:rPr>
        <w:t>nostníkov a Košickom kraji 10,0</w:t>
      </w:r>
      <w:r w:rsidRPr="009A6B10">
        <w:rPr>
          <w:iCs/>
        </w:rPr>
        <w:t>% živnostníkov. Medziročne najvyšší pokles počtu živnostníkov bol zaz</w:t>
      </w:r>
      <w:r w:rsidR="00DF6D50">
        <w:rPr>
          <w:iCs/>
        </w:rPr>
        <w:t>namenaný v Žilinskom kraji (7,7</w:t>
      </w:r>
      <w:r w:rsidRPr="009A6B10">
        <w:rPr>
          <w:iCs/>
        </w:rPr>
        <w:t xml:space="preserve">%). </w:t>
      </w:r>
    </w:p>
    <w:p w:rsidR="009A6B10" w:rsidRPr="009A6B10" w:rsidRDefault="009A6B10" w:rsidP="009A6B10">
      <w:pPr>
        <w:tabs>
          <w:tab w:val="left" w:pos="709"/>
          <w:tab w:val="left" w:pos="992"/>
        </w:tabs>
        <w:spacing w:before="120" w:after="120"/>
        <w:jc w:val="both"/>
      </w:pPr>
      <w:r w:rsidRPr="009A6B10">
        <w:t>Z celkového počtu samostatne ho</w:t>
      </w:r>
      <w:r w:rsidR="00EC0966">
        <w:t>spodáriacich roľníkov bolo 19,0</w:t>
      </w:r>
      <w:r w:rsidRPr="009A6B10">
        <w:t>% registrov</w:t>
      </w:r>
      <w:r w:rsidR="00EC0966">
        <w:t>aných v Nitrianskom kraji, 18,3</w:t>
      </w:r>
      <w:r w:rsidRPr="009A6B10">
        <w:t>%</w:t>
      </w:r>
      <w:r w:rsidR="00EC0966">
        <w:t xml:space="preserve"> v Banskobystrickom kraji, 14,0</w:t>
      </w:r>
      <w:r w:rsidRPr="009A6B10">
        <w:t>% v Košickom k</w:t>
      </w:r>
      <w:r w:rsidR="00EC0966">
        <w:t>raji a v Prešovskom kraji, 13,2% v Žilinskom kraji, 11,5% v Trnavskom kraji, 6,3% v Bratislavskom kraji a 3,6</w:t>
      </w:r>
      <w:r w:rsidRPr="009A6B10">
        <w:t xml:space="preserve">% v Trenčianskom kraji. </w:t>
      </w:r>
    </w:p>
    <w:p w:rsidR="009A6B10" w:rsidRPr="009A6B10" w:rsidRDefault="009A6B10" w:rsidP="009A6B10">
      <w:pPr>
        <w:tabs>
          <w:tab w:val="left" w:pos="709"/>
          <w:tab w:val="left" w:pos="992"/>
        </w:tabs>
        <w:spacing w:before="120" w:after="120"/>
        <w:jc w:val="both"/>
      </w:pPr>
      <w:r w:rsidRPr="009A6B10">
        <w:t>Osôb podnikajúcich v slobodných povol</w:t>
      </w:r>
      <w:r w:rsidR="00EC0966">
        <w:t>aniach bolo registrovaných 20,6% v Bratislavskom kraji, 14,6% v Košickom kraji, 12,5% v Prešovskom kraji, 12,3</w:t>
      </w:r>
      <w:r w:rsidRPr="009A6B10">
        <w:t>% v Nitrianskom kraji, 11,8%</w:t>
      </w:r>
      <w:r w:rsidR="00EC0966">
        <w:t xml:space="preserve"> v Banskobystrickom kraji, 10,0% v Žilinskom kraji, 9,4% v Trenčianskom kraji a 8,7</w:t>
      </w:r>
      <w:r w:rsidRPr="009A6B10">
        <w:t>% v Trnavskom kraji.</w:t>
      </w:r>
    </w:p>
    <w:p w:rsidR="009A6B10" w:rsidRPr="009A6B10" w:rsidRDefault="009A6B10" w:rsidP="009A6B10">
      <w:pPr>
        <w:tabs>
          <w:tab w:val="left" w:pos="709"/>
          <w:tab w:val="left" w:pos="992"/>
        </w:tabs>
        <w:spacing w:before="120" w:after="120"/>
        <w:jc w:val="both"/>
      </w:pPr>
    </w:p>
    <w:p w:rsidR="009A6B10" w:rsidRPr="009A6B10" w:rsidRDefault="00CB5F71" w:rsidP="00861475">
      <w:pPr>
        <w:spacing w:before="120" w:after="120"/>
        <w:jc w:val="center"/>
      </w:pPr>
      <w:r>
        <w:rPr>
          <w:noProof/>
        </w:rPr>
        <w:pict>
          <v:shape id="Obrázok 4" o:spid="_x0000_i1043" type="#_x0000_t75" style="width:400.5pt;height:220.5pt;visibility:visible">
            <v:imagedata r:id="rId35" o:title=""/>
          </v:shape>
        </w:pict>
      </w:r>
    </w:p>
    <w:p w:rsidR="009A6B10" w:rsidRPr="00861475" w:rsidRDefault="009A6B10" w:rsidP="00861475">
      <w:pPr>
        <w:autoSpaceDE w:val="0"/>
        <w:autoSpaceDN w:val="0"/>
        <w:adjustRightInd w:val="0"/>
        <w:spacing w:before="120" w:after="120"/>
        <w:rPr>
          <w:sz w:val="22"/>
          <w:szCs w:val="22"/>
        </w:rPr>
      </w:pPr>
      <w:r w:rsidRPr="009A6B10">
        <w:rPr>
          <w:sz w:val="22"/>
          <w:szCs w:val="22"/>
        </w:rPr>
        <w:t>Mapový podklad © Úrad geodézie, kartografie a katastra Slovenskej republiky, č. 39-112-1788/2013, vyhotovené NARMSP na základe údajov ŠÚSR.</w:t>
      </w:r>
    </w:p>
    <w:p w:rsidR="009A6B10" w:rsidRPr="009A6B10" w:rsidRDefault="009A6B10" w:rsidP="009A6B10">
      <w:pPr>
        <w:spacing w:before="120" w:after="120"/>
        <w:rPr>
          <w:b/>
        </w:rPr>
      </w:pPr>
      <w:r w:rsidRPr="009A6B10">
        <w:rPr>
          <w:b/>
        </w:rPr>
        <w:t>Rodová štruktúra živnostníkov</w:t>
      </w:r>
    </w:p>
    <w:p w:rsidR="009A6B10" w:rsidRPr="009A6B10" w:rsidRDefault="009A6B10" w:rsidP="009A6B10">
      <w:pPr>
        <w:tabs>
          <w:tab w:val="left" w:pos="720"/>
        </w:tabs>
        <w:spacing w:before="120" w:after="120"/>
        <w:jc w:val="both"/>
      </w:pPr>
      <w:r w:rsidRPr="009A6B10">
        <w:t xml:space="preserve">Z celkového počtu fyzických osôb – podnikateľov evidovaných v registri organizácií ŠÚ </w:t>
      </w:r>
      <w:r w:rsidR="00EC0966">
        <w:t>SR bolo ku koncu roka 2011 72,3</w:t>
      </w:r>
      <w:r w:rsidRPr="009A6B10">
        <w:t>% mužov a 27,7% žien. Z pohľadu jednotlivých právnych foriem dosahovali ženy – podnikateľky v roku 2011 najväčšie zastúpenie u osôb podnikajúcich</w:t>
      </w:r>
      <w:r w:rsidR="00EC0966">
        <w:t xml:space="preserve"> v slobodných povolaniach (53,5</w:t>
      </w:r>
      <w:r w:rsidRPr="009A6B10">
        <w:t>%). Podstatne nižšie zastúpenie mali u živ</w:t>
      </w:r>
      <w:r w:rsidR="00EC0966">
        <w:t>nostníkov (26,5</w:t>
      </w:r>
      <w:r w:rsidRPr="009A6B10">
        <w:t xml:space="preserve">%) a samostatne hospodáriacich roľníkov (24,9%). </w:t>
      </w:r>
    </w:p>
    <w:p w:rsidR="009A6B10" w:rsidRPr="009A6B10" w:rsidRDefault="009A6B10" w:rsidP="009A6B10">
      <w:pPr>
        <w:tabs>
          <w:tab w:val="left" w:pos="720"/>
        </w:tabs>
        <w:spacing w:before="120" w:after="120"/>
        <w:jc w:val="both"/>
      </w:pPr>
      <w:r w:rsidRPr="009A6B10">
        <w:t>Zastúpenie žien živnostníčok v rámci jednotlivých odvetví podľa SK NACE bolo</w:t>
      </w:r>
      <w:r w:rsidR="00F311EE">
        <w:t xml:space="preserve"> v roku 2011 v intervale od 1,8% v stavebníctve  do 61,2</w:t>
      </w:r>
      <w:r w:rsidRPr="009A6B10">
        <w:t>% v ostatných službách (sekcia  SK NACE O až S). V rámci ostatných od</w:t>
      </w:r>
      <w:r w:rsidR="00F311EE">
        <w:t>vetví dosiahol podiel žien 10,8</w:t>
      </w:r>
      <w:r w:rsidRPr="009A6B10">
        <w:t>% v pôdohospod</w:t>
      </w:r>
      <w:r w:rsidR="00F311EE">
        <w:t>árstve (sekcia SK NACE A), 13,5% v priemysle, 38,9% v obchode, 39,6</w:t>
      </w:r>
      <w:r w:rsidRPr="009A6B10">
        <w:t>%</w:t>
      </w:r>
      <w:r w:rsidR="00F311EE">
        <w:t xml:space="preserve"> v ubytovaní a stravovaní, 13,6</w:t>
      </w:r>
      <w:r w:rsidRPr="009A6B10">
        <w:t xml:space="preserve">% v doprave a informáciách </w:t>
      </w:r>
      <w:r w:rsidRPr="009A6B10">
        <w:rPr>
          <w:color w:val="000000"/>
        </w:rPr>
        <w:t>(</w:t>
      </w:r>
      <w:r w:rsidR="00F311EE">
        <w:t>sekcia SK NACE H, J) a 49,6</w:t>
      </w:r>
      <w:r w:rsidRPr="009A6B10">
        <w:t>% v obchodných službách (sekcia SK NACE K až N).</w:t>
      </w:r>
    </w:p>
    <w:p w:rsidR="009A6B10" w:rsidRPr="009A6B10" w:rsidRDefault="009A6B10" w:rsidP="009A6B10">
      <w:pPr>
        <w:tabs>
          <w:tab w:val="left" w:pos="709"/>
          <w:tab w:val="left" w:pos="992"/>
        </w:tabs>
        <w:spacing w:before="120" w:after="120"/>
        <w:jc w:val="both"/>
      </w:pPr>
      <w:r w:rsidRPr="009A6B10">
        <w:lastRenderedPageBreak/>
        <w:t>Zastúpenie žien v podnikaní na Slovensku je jedno z najnižších v rámci krajín EÚ, čo dokazuje nasledujúci graf.  </w:t>
      </w:r>
    </w:p>
    <w:p w:rsidR="009A6B10" w:rsidRPr="009A6B10" w:rsidRDefault="009A6B10" w:rsidP="009A6B10">
      <w:pPr>
        <w:tabs>
          <w:tab w:val="left" w:pos="709"/>
          <w:tab w:val="left" w:pos="992"/>
        </w:tabs>
        <w:spacing w:before="120" w:after="120"/>
        <w:jc w:val="both"/>
        <w:rPr>
          <w:b/>
          <w:i/>
        </w:rPr>
      </w:pPr>
      <w:r w:rsidRPr="009A6B10">
        <w:rPr>
          <w:b/>
          <w:i/>
        </w:rPr>
        <w:t>Graf č.4</w:t>
      </w:r>
    </w:p>
    <w:p w:rsidR="009A6B10" w:rsidRPr="009A6B10" w:rsidRDefault="00CB5F71" w:rsidP="009A6B10">
      <w:pPr>
        <w:tabs>
          <w:tab w:val="left" w:pos="709"/>
          <w:tab w:val="left" w:pos="992"/>
        </w:tabs>
        <w:spacing w:before="120" w:after="120"/>
        <w:jc w:val="center"/>
      </w:pPr>
      <w:r>
        <w:rPr>
          <w:noProof/>
        </w:rPr>
        <w:pict>
          <v:shape id="Obrázok 5" o:spid="_x0000_i1044" type="#_x0000_t75" style="width:386.25pt;height:194.25pt;visibility:visible">
            <v:imagedata r:id="rId36" o:title=""/>
          </v:shape>
        </w:pict>
      </w:r>
    </w:p>
    <w:p w:rsidR="009A6B10" w:rsidRPr="009A6B10" w:rsidRDefault="009A6B10" w:rsidP="009A6B10">
      <w:pPr>
        <w:tabs>
          <w:tab w:val="left" w:pos="709"/>
          <w:tab w:val="left" w:pos="992"/>
        </w:tabs>
        <w:spacing w:before="120" w:after="120"/>
        <w:ind w:firstLine="360"/>
        <w:jc w:val="both"/>
      </w:pPr>
      <w:r w:rsidRPr="009A6B10">
        <w:rPr>
          <w:b/>
          <w:sz w:val="20"/>
          <w:szCs w:val="20"/>
        </w:rPr>
        <w:t xml:space="preserve">Zdroj: </w:t>
      </w:r>
      <w:proofErr w:type="spellStart"/>
      <w:r w:rsidRPr="009A6B10">
        <w:rPr>
          <w:sz w:val="20"/>
          <w:szCs w:val="20"/>
        </w:rPr>
        <w:t>Eurostat</w:t>
      </w:r>
      <w:proofErr w:type="spellEnd"/>
      <w:r w:rsidRPr="009A6B10">
        <w:rPr>
          <w:sz w:val="20"/>
          <w:szCs w:val="20"/>
        </w:rPr>
        <w:t xml:space="preserve">, </w:t>
      </w:r>
      <w:proofErr w:type="spellStart"/>
      <w:r w:rsidRPr="009A6B10">
        <w:rPr>
          <w:sz w:val="20"/>
          <w:szCs w:val="20"/>
        </w:rPr>
        <w:t>the</w:t>
      </w:r>
      <w:proofErr w:type="spellEnd"/>
      <w:r w:rsidRPr="009A6B10">
        <w:rPr>
          <w:sz w:val="20"/>
          <w:szCs w:val="20"/>
        </w:rPr>
        <w:t xml:space="preserve"> </w:t>
      </w:r>
      <w:proofErr w:type="spellStart"/>
      <w:r w:rsidRPr="009A6B10">
        <w:rPr>
          <w:sz w:val="20"/>
          <w:szCs w:val="20"/>
        </w:rPr>
        <w:t>European</w:t>
      </w:r>
      <w:proofErr w:type="spellEnd"/>
      <w:r w:rsidRPr="009A6B10">
        <w:rPr>
          <w:sz w:val="20"/>
          <w:szCs w:val="20"/>
        </w:rPr>
        <w:t xml:space="preserve"> </w:t>
      </w:r>
      <w:proofErr w:type="spellStart"/>
      <w:r w:rsidRPr="009A6B10">
        <w:rPr>
          <w:sz w:val="20"/>
          <w:szCs w:val="20"/>
        </w:rPr>
        <w:t>Union</w:t>
      </w:r>
      <w:proofErr w:type="spellEnd"/>
      <w:r w:rsidRPr="009A6B10">
        <w:rPr>
          <w:sz w:val="20"/>
          <w:szCs w:val="20"/>
        </w:rPr>
        <w:t xml:space="preserve"> </w:t>
      </w:r>
      <w:proofErr w:type="spellStart"/>
      <w:r w:rsidRPr="009A6B10">
        <w:rPr>
          <w:sz w:val="20"/>
          <w:szCs w:val="20"/>
        </w:rPr>
        <w:t>Labour</w:t>
      </w:r>
      <w:proofErr w:type="spellEnd"/>
      <w:r w:rsidRPr="009A6B10">
        <w:rPr>
          <w:sz w:val="20"/>
          <w:szCs w:val="20"/>
        </w:rPr>
        <w:t xml:space="preserve"> </w:t>
      </w:r>
      <w:proofErr w:type="spellStart"/>
      <w:r w:rsidRPr="009A6B10">
        <w:rPr>
          <w:sz w:val="20"/>
          <w:szCs w:val="20"/>
        </w:rPr>
        <w:t>Force</w:t>
      </w:r>
      <w:proofErr w:type="spellEnd"/>
      <w:r w:rsidRPr="009A6B10">
        <w:rPr>
          <w:sz w:val="20"/>
          <w:szCs w:val="20"/>
        </w:rPr>
        <w:t xml:space="preserve"> </w:t>
      </w:r>
      <w:proofErr w:type="spellStart"/>
      <w:r w:rsidRPr="009A6B10">
        <w:rPr>
          <w:sz w:val="20"/>
          <w:szCs w:val="20"/>
        </w:rPr>
        <w:t>Survey</w:t>
      </w:r>
      <w:proofErr w:type="spellEnd"/>
      <w:r w:rsidRPr="009A6B10">
        <w:rPr>
          <w:sz w:val="20"/>
          <w:szCs w:val="20"/>
        </w:rPr>
        <w:t>, spracované NARMSP</w:t>
      </w:r>
    </w:p>
    <w:p w:rsidR="009A6B10" w:rsidRPr="009A6B10" w:rsidRDefault="009A6B10" w:rsidP="009A6B10">
      <w:pPr>
        <w:tabs>
          <w:tab w:val="left" w:pos="709"/>
          <w:tab w:val="left" w:pos="992"/>
        </w:tabs>
        <w:spacing w:before="120" w:after="120"/>
        <w:jc w:val="both"/>
        <w:rPr>
          <w:b/>
        </w:rPr>
      </w:pPr>
      <w:r w:rsidRPr="009A6B10">
        <w:rPr>
          <w:b/>
        </w:rPr>
        <w:t>Veková štruktúra živnostníkov</w:t>
      </w:r>
    </w:p>
    <w:p w:rsidR="009A6B10" w:rsidRPr="009A6B10" w:rsidRDefault="009A6B10" w:rsidP="009A6B10">
      <w:pPr>
        <w:tabs>
          <w:tab w:val="left" w:pos="709"/>
          <w:tab w:val="left" w:pos="992"/>
        </w:tabs>
        <w:spacing w:before="120" w:after="120"/>
        <w:jc w:val="both"/>
      </w:pPr>
      <w:r w:rsidRPr="009A6B10">
        <w:t>Z hľadiska vekovej štruktúry mali v roku 2011 najväčšie zastúpenie fyzické osoby – podnikatelia vo vekovej k</w:t>
      </w:r>
      <w:r w:rsidR="00F311EE">
        <w:t>ategórii 30 až 39 ročných (28,6</w:t>
      </w:r>
      <w:r w:rsidRPr="009A6B10">
        <w:t>%), následne v k</w:t>
      </w:r>
      <w:r w:rsidR="00F311EE">
        <w:t>ategórii 40 až 49 ročných (27,0</w:t>
      </w:r>
      <w:r w:rsidRPr="009A6B10">
        <w:t>%), v k</w:t>
      </w:r>
      <w:r w:rsidR="00F311EE">
        <w:t>ategórii 50 až 59 ročných (22,5</w:t>
      </w:r>
      <w:r w:rsidRPr="009A6B10">
        <w:t>%) a v kategórii menej ako 30 roko</w:t>
      </w:r>
      <w:r w:rsidR="00F311EE">
        <w:t>v (14,7</w:t>
      </w:r>
      <w:r w:rsidRPr="009A6B10">
        <w:t>%). Vo vekovej kategórii 60 a viac ročných</w:t>
      </w:r>
      <w:r w:rsidR="00F311EE">
        <w:t xml:space="preserve"> bolo v roku 2011 aktívnych 7,2</w:t>
      </w:r>
      <w:r w:rsidRPr="009A6B10">
        <w:t>% podnikateľov.</w:t>
      </w:r>
    </w:p>
    <w:p w:rsidR="009A6B10" w:rsidRPr="009A6B10" w:rsidRDefault="009A6B10" w:rsidP="009A6B10">
      <w:pPr>
        <w:tabs>
          <w:tab w:val="left" w:pos="709"/>
          <w:tab w:val="left" w:pos="992"/>
        </w:tabs>
        <w:spacing w:before="120" w:after="120"/>
        <w:jc w:val="both"/>
        <w:rPr>
          <w:b/>
        </w:rPr>
      </w:pPr>
      <w:r w:rsidRPr="009A6B10">
        <w:t>Dlhodobým problémom Slovenska je nízke zapojenie vyšších vekových kategórií obyvateľstva do podnikania (v širšom kontexte do ich zapojenia do ekonomickej aktivity). V medzinárodnom porovnaní dosahuje Slovensko najnižšie zastúpenie generácie 50+ v podnikaní v rámci krajín EÚ (2011). Pomerne vysoký podiel mladých podnikateľov na celkovom počte podnikateľov na Slovensku má každoročne klesajúci charakter.</w:t>
      </w:r>
      <w:r w:rsidRPr="009A6B10">
        <w:rPr>
          <w:rFonts w:eastAsia="Calibri"/>
          <w:vertAlign w:val="superscript"/>
        </w:rPr>
        <w:footnoteReference w:id="7"/>
      </w:r>
      <w:r w:rsidRPr="009A6B10">
        <w:t xml:space="preserve"> V roku 2011 dosiahnutý podiel mladých podnikateľov (fyzických osôb) </w:t>
      </w:r>
      <w:r w:rsidR="00F311EE">
        <w:t>vo veku menej ako 30 rokov 14,7</w:t>
      </w:r>
      <w:r w:rsidRPr="009A6B10">
        <w:t xml:space="preserve">% bol nižší oproti roku 2010 o 0,5 percentuálneho bodu (ďalej „p. b.“), ako aj roku 2008 o 2,2 p. b. Podpore podnikania znevýhodnených skupín obyvateľstva na Slovensku, ako sú ženy, mladí, či seniori, bude preto potrebné v rámci implementácie jednotlivých princípov SBA venovať primeranú pozornosť. </w:t>
      </w:r>
    </w:p>
    <w:p w:rsidR="009A6B10" w:rsidRPr="009A6B10" w:rsidRDefault="009A6B10" w:rsidP="009A6B10">
      <w:pPr>
        <w:spacing w:before="120" w:after="120"/>
        <w:rPr>
          <w:b/>
        </w:rPr>
      </w:pPr>
      <w:r w:rsidRPr="009A6B10">
        <w:rPr>
          <w:b/>
        </w:rPr>
        <w:t xml:space="preserve">Právnické osoby – podniky </w:t>
      </w:r>
    </w:p>
    <w:p w:rsidR="009A6B10" w:rsidRPr="009A6B10" w:rsidRDefault="009A6B10" w:rsidP="009A6B10">
      <w:pPr>
        <w:tabs>
          <w:tab w:val="left" w:pos="709"/>
          <w:tab w:val="left" w:pos="992"/>
        </w:tabs>
        <w:spacing w:before="120" w:after="120"/>
        <w:jc w:val="both"/>
      </w:pPr>
      <w:r w:rsidRPr="009A6B10">
        <w:t xml:space="preserve">V Registri organizácií ŠÚ SR bolo ku koncu decembra 2012 evidovaných 222 929 aktívnych právnických osôb, z toho 164 771 podnikov. Rozhodujúcu časť z celkového počtu podnikov tvorili </w:t>
      </w:r>
      <w:proofErr w:type="spellStart"/>
      <w:r w:rsidRPr="009A6B10">
        <w:t>mikro</w:t>
      </w:r>
      <w:proofErr w:type="spellEnd"/>
      <w:r w:rsidRPr="009A6B10">
        <w:t xml:space="preserve"> podniky (0 až 9 zamestnancov, vrátane podnikov s nezis</w:t>
      </w:r>
      <w:r w:rsidR="00F311EE">
        <w:t>teným počtom zamestnancov) 91,3</w:t>
      </w:r>
      <w:r w:rsidRPr="009A6B10">
        <w:t xml:space="preserve">%. Malé podniky (10 </w:t>
      </w:r>
      <w:r w:rsidR="00F311EE">
        <w:t>až 49 zamestnancov) tvorili 6,8</w:t>
      </w:r>
      <w:r w:rsidRPr="009A6B10">
        <w:t xml:space="preserve">%, stredné podniky (50 </w:t>
      </w:r>
      <w:r w:rsidR="00F311EE">
        <w:t>až 249 zamestnancov) 1,6</w:t>
      </w:r>
      <w:r w:rsidRPr="009A6B10">
        <w:t>% a veľké podnik</w:t>
      </w:r>
      <w:r w:rsidR="00F311EE">
        <w:t>y (250 a viac zamestnancov) 0,4</w:t>
      </w:r>
      <w:r w:rsidRPr="009A6B10">
        <w:t>%. Malé a stred</w:t>
      </w:r>
      <w:r w:rsidR="00F311EE">
        <w:t>né podniky tvorili celkovo 99,6</w:t>
      </w:r>
      <w:r w:rsidRPr="009A6B10">
        <w:t xml:space="preserve">% podiel (164 157 v absolútnom vyjadrení) na celkovom počte podnikov – právnických osôb. Počet evidovaných aktívnych podnikov medziročne narástol len v kategórii mikropodnikov (o 13 761) na 150 433, počet malých podnikov poklesol o 2 699 na 11 151, počet stredných podnikov poklesol o 188 na 2 573. </w:t>
      </w:r>
      <w:r w:rsidRPr="009A6B10">
        <w:lastRenderedPageBreak/>
        <w:t>Súhrnne sa medziročne zvýšil počet malých a stredných podnikov – právnických osôb o 10 890 (o</w:t>
      </w:r>
      <w:r w:rsidR="00F311EE">
        <w:t xml:space="preserve"> 7,1</w:t>
      </w:r>
      <w:r w:rsidRPr="009A6B10">
        <w:t xml:space="preserve">%), avšak len vďaka </w:t>
      </w:r>
      <w:proofErr w:type="spellStart"/>
      <w:r w:rsidRPr="009A6B10">
        <w:t>mikropodnikom</w:t>
      </w:r>
      <w:proofErr w:type="spellEnd"/>
      <w:r w:rsidRPr="009A6B10">
        <w:t xml:space="preserve">. Najviac malých a stredných podnikov – právnických osôb podľa klasifikácie SK NACE pôsobilo v oblasti obchodných služieb (sekcia SK NACE K až N- 51 267), obchodu (48 989), priemyslu (14 993), dopravy a informácií (13 957) a stavebníctva (13 346). V ostatných službách (sekcia SK NACE O až S) pôsobilo 10 436 podnikov, v pôdohospodárstve 5 359 a v oblasti ubytovania a stravovania 5 810. </w:t>
      </w:r>
    </w:p>
    <w:p w:rsidR="009A6B10" w:rsidRPr="009A6B10" w:rsidRDefault="009A6B10" w:rsidP="009A6B10">
      <w:pPr>
        <w:spacing w:before="120" w:after="120"/>
        <w:rPr>
          <w:b/>
          <w:i/>
        </w:rPr>
      </w:pPr>
      <w:r w:rsidRPr="009A6B10">
        <w:rPr>
          <w:b/>
          <w:i/>
        </w:rPr>
        <w:t>Graf č.5</w:t>
      </w:r>
    </w:p>
    <w:p w:rsidR="009A6B10" w:rsidRPr="009A6B10" w:rsidRDefault="00CB5F71" w:rsidP="00861475">
      <w:pPr>
        <w:tabs>
          <w:tab w:val="left" w:pos="709"/>
          <w:tab w:val="left" w:pos="992"/>
        </w:tabs>
        <w:spacing w:before="120" w:after="120"/>
        <w:jc w:val="center"/>
      </w:pPr>
      <w:r>
        <w:rPr>
          <w:noProof/>
        </w:rPr>
        <w:pict>
          <v:shape id="Obrázok 7" o:spid="_x0000_i1045" type="#_x0000_t75" style="width:369.75pt;height:186pt;visibility:visible">
            <v:imagedata r:id="rId37" o:title=""/>
          </v:shape>
        </w:pic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xml:space="preserve"> Štatistický úrad SR, spracované NARMSP</w:t>
      </w:r>
    </w:p>
    <w:p w:rsidR="009A6B10" w:rsidRPr="009A6B10" w:rsidRDefault="009A6B10" w:rsidP="009A6B10">
      <w:pPr>
        <w:tabs>
          <w:tab w:val="left" w:pos="709"/>
          <w:tab w:val="left" w:pos="992"/>
        </w:tabs>
        <w:spacing w:before="120" w:after="120"/>
        <w:jc w:val="both"/>
      </w:pPr>
    </w:p>
    <w:p w:rsidR="009A6B10" w:rsidRPr="009A6B10" w:rsidRDefault="009A6B10" w:rsidP="009A6B10">
      <w:pPr>
        <w:tabs>
          <w:tab w:val="left" w:pos="709"/>
          <w:tab w:val="left" w:pos="992"/>
        </w:tabs>
        <w:spacing w:before="120" w:after="120"/>
        <w:jc w:val="both"/>
      </w:pPr>
      <w:r w:rsidRPr="009A6B10">
        <w:t>V porovnaní s rokom 2011 narástol počet malých a stredných podnikov vo všetkých odvetviach, najviac v oblasti obchodných služieb o 4 691, v obchode o 2 295, v doprave a informáciách o 1 230, v stavebníctve o 868, v ostatných službách o 844, v priemysle o 439, v ubytovaní a stravovaní o 371 a v oblasti pôdohospodárstva o 156. Z dlhodobého hľadiska je odvetvová štruktúra malých a stredných podnikov charakterizovaná klesajúcim zastúpením malých a stredných podnikov, ktoré pôsobia v oblasti obchodu, priemyslu a pôdohospodárstva a naopak rastúcim zastúpením v službách a pomerne stabilným v  stavebníctve. Z celkového počtu malých a stredných podnikov (právnických osôb) pôsobilo v roku 2012 v Bratislavskom kraji 3</w:t>
      </w:r>
      <w:r w:rsidR="00F311EE">
        <w:t>5,5%, v Nitrianskom kraji 10,3%, v Košickom kraji 10,2</w:t>
      </w:r>
      <w:r w:rsidRPr="009A6B10">
        <w:t>%, v Žilinskom kraji 9</w:t>
      </w:r>
      <w:r w:rsidR="00F311EE">
        <w:t>,2</w:t>
      </w:r>
      <w:r w:rsidRPr="009A6B10">
        <w:t>%, v Pre</w:t>
      </w:r>
      <w:r w:rsidR="00F311EE">
        <w:t>šovskom a v Trnavskom kraji 9,1%, v Banskobystrickom kraji 8,6% a v Trenčianskom kraji</w:t>
      </w:r>
      <w:r w:rsidRPr="009A6B10">
        <w:t>7,9 %.</w:t>
      </w:r>
    </w:p>
    <w:p w:rsidR="009A6B10" w:rsidRPr="009A6B10" w:rsidRDefault="009A6B10" w:rsidP="009A6B10">
      <w:pPr>
        <w:spacing w:before="120" w:after="120"/>
        <w:rPr>
          <w:b/>
          <w:color w:val="008080"/>
        </w:rPr>
      </w:pPr>
    </w:p>
    <w:p w:rsidR="009A6B10" w:rsidRPr="009A6B10" w:rsidRDefault="009A6B10" w:rsidP="009A6B10">
      <w:pPr>
        <w:spacing w:before="120" w:after="120"/>
        <w:rPr>
          <w:b/>
        </w:rPr>
      </w:pPr>
      <w:r w:rsidRPr="009A6B10">
        <w:rPr>
          <w:b/>
        </w:rPr>
        <w:t xml:space="preserve">Vývoj celkovej početnosti malých a stredných podnikov </w:t>
      </w:r>
    </w:p>
    <w:p w:rsidR="009A6B10" w:rsidRPr="009A6B10" w:rsidRDefault="009A6B10" w:rsidP="009A6B10">
      <w:pPr>
        <w:tabs>
          <w:tab w:val="left" w:pos="709"/>
          <w:tab w:val="left" w:pos="992"/>
        </w:tabs>
        <w:spacing w:before="120" w:after="120"/>
        <w:jc w:val="both"/>
      </w:pPr>
      <w:r w:rsidRPr="009A6B10">
        <w:t>Základným kvantitatívnym ukazovateľom, ktorý odzrkadľuje aj celkovú kvalitu podmienok pre podnikanie je počet malých a stredných podnikov. Vývoj celkovej početnosti malých a stredných podnikov z dlhodobého hľadiska vykazoval do roku 2008 významné medziročné prírastky, avšak od roku 2009, v ktorom sa v slovenskom hospodárstve plne prejavili následky hospodárskej a finančnej krízy sa priemerná medziročná dynamika rastu malých a stredných</w:t>
      </w:r>
      <w:r w:rsidR="00F311EE">
        <w:t xml:space="preserve"> podnikov znížila na úroveň 0,7</w:t>
      </w:r>
      <w:r w:rsidRPr="009A6B10">
        <w:t>%. Zníženie dynamiky rastu celkovej početnosti malých a stredných podnikov od roku 2009 súvisí s odlišnými vývojovými tendenciami, ktoré sú zaznamenané v rámci jednotlivých právnych foriem. Celkový počet malých a stredných podnikov – právnických osôb síce rástol od roku 2009 prie</w:t>
      </w:r>
      <w:r w:rsidR="00F311EE">
        <w:t>merným medziročným tempom o 8,3</w:t>
      </w:r>
      <w:r w:rsidRPr="009A6B10">
        <w:t xml:space="preserve">%, avšak rast zaznamenávali iba </w:t>
      </w:r>
      <w:proofErr w:type="spellStart"/>
      <w:r w:rsidRPr="009A6B10">
        <w:t>mikropodniky</w:t>
      </w:r>
      <w:proofErr w:type="spellEnd"/>
      <w:r w:rsidRPr="009A6B10">
        <w:t xml:space="preserve">. Naopak, počet fyzických osôb – podnikateľov v priebehu predchádzajúcich štyroch rokov vykazuje </w:t>
      </w:r>
      <w:r w:rsidR="00F311EE">
        <w:t>priemerný medziročný pokles 1,9</w:t>
      </w:r>
      <w:r w:rsidRPr="009A6B10">
        <w:t xml:space="preserve">%.  Na pokles fyzických osôb – podnikateľov vplýva najmä zníženie počtu </w:t>
      </w:r>
      <w:r w:rsidRPr="009A6B10">
        <w:lastRenderedPageBreak/>
        <w:t>živnostníkov, keď napríklad v roku 2012 ich počet medz</w:t>
      </w:r>
      <w:r w:rsidR="00F311EE">
        <w:t>iročne poklesol o 16 148 (o 3,7</w:t>
      </w:r>
      <w:r w:rsidRPr="009A6B10">
        <w:t>%). V roku 2012 bol podľa údajov Štatistického úradu SR po prvýkrát zaznamenaný pokles počtu malých a stredných podnikov (medziročne o 4 000 podnikov). Historický pokles počtu malých a stredných podnikov súvisí s nižším rastom slovenského hospodárstva a nevýrazným domácim dopytom, ale aj s nedostatočným skvalitňovaním podmienok na podnikanie, ktoré by podporovali rast existujúcich a vytváranie nových podnikov v zmysle princípu SBA č.1 „Vytvoriť priaznivé a motivujúce prostredie pre podnikateľov“. Na konci roka 2012 bolo z celkového počtu aktívnych</w:t>
      </w:r>
      <w:r w:rsidR="00F311EE">
        <w:t xml:space="preserve"> podnikateľských subjektov 97,0</w:t>
      </w:r>
      <w:r w:rsidRPr="009A6B10">
        <w:t>% mikropodnik</w:t>
      </w:r>
      <w:r w:rsidR="00F311EE">
        <w:t>ov, 2,4 % malých podnikov a 0,5</w:t>
      </w:r>
      <w:r w:rsidRPr="009A6B10">
        <w:t>% stredných podnikov.</w:t>
      </w:r>
    </w:p>
    <w:p w:rsidR="009A6B10" w:rsidRPr="009A6B10" w:rsidRDefault="009A6B10" w:rsidP="009A6B10">
      <w:pPr>
        <w:spacing w:before="120" w:after="120"/>
        <w:rPr>
          <w:b/>
          <w:i/>
        </w:rPr>
      </w:pPr>
      <w:r w:rsidRPr="009A6B10">
        <w:rPr>
          <w:b/>
          <w:i/>
        </w:rPr>
        <w:t>Graf č.6</w:t>
      </w:r>
    </w:p>
    <w:p w:rsidR="009A6B10" w:rsidRPr="009A6B10" w:rsidRDefault="00CB5F71" w:rsidP="009A6B10">
      <w:pPr>
        <w:spacing w:before="120" w:after="120"/>
      </w:pPr>
      <w:r>
        <w:rPr>
          <w:noProof/>
        </w:rPr>
        <w:pict>
          <v:shape id="Obrázok 9" o:spid="_x0000_i1046" type="#_x0000_t75" style="width:415.5pt;height:211.5pt;visibility:visible">
            <v:imagedata r:id="rId38" o:title=""/>
          </v:shape>
        </w:pic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xml:space="preserve"> Štatistický úrad SR, spracované NARMSP</w:t>
      </w:r>
    </w:p>
    <w:p w:rsidR="009A6B10" w:rsidRPr="009A6B10" w:rsidRDefault="009A6B10" w:rsidP="009A6B10">
      <w:pPr>
        <w:spacing w:before="120" w:after="120"/>
        <w:rPr>
          <w:sz w:val="22"/>
          <w:szCs w:val="22"/>
        </w:rPr>
      </w:pPr>
    </w:p>
    <w:p w:rsidR="009A6B10" w:rsidRPr="009A6B10" w:rsidRDefault="009A6B10" w:rsidP="009A6B10">
      <w:pPr>
        <w:rPr>
          <w:sz w:val="28"/>
          <w:szCs w:val="28"/>
        </w:rPr>
      </w:pPr>
      <w:r w:rsidRPr="009A6B10">
        <w:rPr>
          <w:sz w:val="28"/>
          <w:szCs w:val="28"/>
        </w:rPr>
        <w:t>Postavenie MSP v ekonomike SR</w:t>
      </w:r>
    </w:p>
    <w:p w:rsidR="009A6B10" w:rsidRPr="009A6B10" w:rsidRDefault="009A6B10" w:rsidP="009A6B10">
      <w:pPr>
        <w:spacing w:before="120" w:after="120"/>
        <w:rPr>
          <w:b/>
        </w:rPr>
      </w:pPr>
      <w:r w:rsidRPr="009A6B10">
        <w:rPr>
          <w:b/>
        </w:rPr>
        <w:t xml:space="preserve">Postavenie MSP v najvýznamnejších odvetviach </w:t>
      </w:r>
    </w:p>
    <w:p w:rsidR="009A6B10" w:rsidRPr="009A6B10" w:rsidRDefault="009A6B10" w:rsidP="009A6B10">
      <w:pPr>
        <w:tabs>
          <w:tab w:val="left" w:pos="709"/>
          <w:tab w:val="left" w:pos="992"/>
        </w:tabs>
        <w:spacing w:before="120" w:after="120"/>
        <w:jc w:val="both"/>
      </w:pPr>
      <w:r w:rsidRPr="009A6B10">
        <w:t>Podľa predbežných údajov ŠÚ SR sa v roku 2012 vytvoril hrubý domáci produkt v bežných cenách v objeme 71 463 mil. Eur, pričom v porovnaní s</w:t>
      </w:r>
      <w:r w:rsidR="00F311EE">
        <w:t> rokom 2011 reálne narástol o 2</w:t>
      </w:r>
      <w:r w:rsidRPr="009A6B10">
        <w:t xml:space="preserve">%. Na celkovej tvorbe hrubého domáceho produktu (podľa Štatistickej klasifikácie ekonomických činností SK NACE) sa v bežných cenách </w:t>
      </w:r>
      <w:r w:rsidR="00F311EE">
        <w:t>najviac podieľal priemysel 25,5</w:t>
      </w:r>
      <w:r w:rsidRPr="009A6B10">
        <w:t>%, veľkoobchod a maloobchod, oprava motorových vozidiel a motocyklov; doprava a skladovanie, ubytovacie a stravovacie služby</w:t>
      </w:r>
      <w:r w:rsidRPr="009A6B10" w:rsidDel="003D3F43">
        <w:t xml:space="preserve"> </w:t>
      </w:r>
      <w:r w:rsidR="00F311EE">
        <w:t>19,3</w:t>
      </w:r>
      <w:r w:rsidRPr="009A6B10">
        <w:t>%, verejná správa, obrana, povinné sociálne zabezpečenie, vzdelávanie, zdra</w:t>
      </w:r>
      <w:r w:rsidR="00F311EE">
        <w:t>votníctvo a sociálna pomoc 12,1%, stavebníctvo 7,4</w:t>
      </w:r>
      <w:r w:rsidRPr="009A6B10">
        <w:t>%, odborné, vedecké a technické činnosti, administratívne služby 6,9 %, činno</w:t>
      </w:r>
      <w:r w:rsidR="00F311EE">
        <w:t>sti v oblasti nehnuteľností 6,4</w:t>
      </w:r>
      <w:r w:rsidRPr="009A6B10">
        <w:t>% a ostatné odv</w:t>
      </w:r>
      <w:r w:rsidR="00F311EE">
        <w:t>etvia s podielom menším ako 4,2</w:t>
      </w:r>
      <w:r w:rsidRPr="009A6B10">
        <w:t>%. Malé a stredné podniky na Slovensku sa vo významnej miere podieľajú na celkovom objeme realizovaných tržieb za vlastné výkony a tovar v jednotlivých odvetviach a stavebnej produkcii. Podiel malých a stredných podnikov na celkovom objeme tržieb v  roku 2012 p</w:t>
      </w:r>
      <w:r w:rsidR="00F311EE">
        <w:t>redstavoval od 31,8% v priemysle do 87,7</w:t>
      </w:r>
      <w:r w:rsidRPr="009A6B10">
        <w:t>% vo vybraných trhových službách</w:t>
      </w:r>
      <w:r w:rsidRPr="009A6B10">
        <w:rPr>
          <w:rFonts w:eastAsia="Calibri"/>
          <w:vertAlign w:val="superscript"/>
        </w:rPr>
        <w:footnoteReference w:id="8"/>
      </w:r>
      <w:r w:rsidRPr="009A6B10">
        <w:t xml:space="preserve">. Podiel malých a stredných podnikov </w:t>
      </w:r>
      <w:r w:rsidRPr="009A6B10">
        <w:lastRenderedPageBreak/>
        <w:t>na st</w:t>
      </w:r>
      <w:r w:rsidR="00F311EE">
        <w:t>avebnej produkcii dosiahol 80,1</w:t>
      </w:r>
      <w:r w:rsidRPr="009A6B10">
        <w:t>%. V odvetví obchodu predstavoval podiel malých a stredných podnikov na tržbách 77,5 %, v odvetví dopravy (ostatná osobná pozemná doprava, nákladná cestná do</w:t>
      </w:r>
      <w:r w:rsidR="00F311EE">
        <w:t>prava a sťahovacie služby) 75,9</w:t>
      </w:r>
      <w:r w:rsidRPr="009A6B10">
        <w:t>%.  Malé a stredné podniky (vrátane FO - podnikateľov) zaznamenali v posudzovaných odvetviach v roku 2012 medziročný rast tržieb v bežných cenách. Stavebná produkcia malých a stredných podnikov však naopak medziročne poklesla. Najvýraznejšie sa tržby malých a stredných podnikov zvýšili  vo vy</w:t>
      </w:r>
      <w:r w:rsidR="00F311EE">
        <w:t>braných trhových službách (22,3%), následne v priemysle (6,4%), doprave (4,8%) a v obchode (4,4</w:t>
      </w:r>
      <w:r w:rsidRPr="009A6B10">
        <w:t>%). Stavebná produkcia malých a stredných podnikov sa oproti roku</w:t>
      </w:r>
      <w:r w:rsidR="00F311EE">
        <w:t xml:space="preserve"> 2011 medziročne znížila o 11,6</w:t>
      </w:r>
      <w:r w:rsidRPr="009A6B10">
        <w:t>%. Úroveň realizovaných tržieb malých a stredných podnikov v obchode a výška stavebnej produkcii v roku 2012 stále nedosiahli úroveň predkrízového roku 2008.</w:t>
      </w:r>
    </w:p>
    <w:p w:rsidR="009A6B10" w:rsidRPr="009A6B10" w:rsidRDefault="009A6B10" w:rsidP="009A6B10">
      <w:pPr>
        <w:spacing w:before="120" w:after="120"/>
        <w:rPr>
          <w:b/>
          <w:bCs/>
          <w:i/>
        </w:rPr>
      </w:pPr>
      <w:r w:rsidRPr="009A6B10">
        <w:rPr>
          <w:b/>
          <w:bCs/>
          <w:i/>
        </w:rPr>
        <w:t>Graf č.7</w:t>
      </w:r>
      <w:r w:rsidRPr="009A6B10">
        <w:rPr>
          <w:rFonts w:eastAsia="Calibri"/>
          <w:b/>
          <w:bCs/>
          <w:i/>
          <w:vertAlign w:val="superscript"/>
        </w:rPr>
        <w:footnoteReference w:id="9"/>
      </w:r>
    </w:p>
    <w:p w:rsidR="009A6B10" w:rsidRPr="009A6B10" w:rsidRDefault="00CB5F71" w:rsidP="009A6B10">
      <w:pPr>
        <w:spacing w:before="120" w:after="120"/>
        <w:rPr>
          <w:b/>
          <w:bCs/>
          <w:sz w:val="20"/>
          <w:szCs w:val="20"/>
        </w:rPr>
      </w:pPr>
      <w:r>
        <w:rPr>
          <w:noProof/>
        </w:rPr>
        <w:pict>
          <v:shape id="Obrázok 10" o:spid="_x0000_i1047" type="#_x0000_t75" style="width:438pt;height:220.5pt;visibility:visible">
            <v:imagedata r:id="rId39" o:title=""/>
          </v:shape>
        </w:pict>
      </w:r>
    </w:p>
    <w:p w:rsidR="009A6B10" w:rsidRPr="009A6B10" w:rsidRDefault="009A6B10" w:rsidP="009A6B10">
      <w:pPr>
        <w:tabs>
          <w:tab w:val="left" w:pos="709"/>
          <w:tab w:val="left" w:pos="992"/>
        </w:tabs>
        <w:spacing w:before="120" w:after="120"/>
        <w:jc w:val="both"/>
        <w:rPr>
          <w:sz w:val="22"/>
          <w:szCs w:val="22"/>
        </w:rPr>
      </w:pPr>
      <w:r w:rsidRPr="009A6B10">
        <w:rPr>
          <w:b/>
          <w:sz w:val="22"/>
          <w:szCs w:val="22"/>
        </w:rPr>
        <w:t>Zdroj:</w:t>
      </w:r>
      <w:r w:rsidRPr="009A6B10">
        <w:rPr>
          <w:sz w:val="22"/>
          <w:szCs w:val="22"/>
        </w:rPr>
        <w:t xml:space="preserve"> Štatistický úrad SR, spracované NARMSP</w:t>
      </w:r>
    </w:p>
    <w:p w:rsidR="009A6B10" w:rsidRPr="009A6B10" w:rsidRDefault="009A6B10" w:rsidP="009A6B10">
      <w:pPr>
        <w:spacing w:before="120" w:after="120"/>
        <w:rPr>
          <w:b/>
        </w:rPr>
      </w:pPr>
    </w:p>
    <w:p w:rsidR="009A6B10" w:rsidRPr="009A6B10" w:rsidRDefault="009A6B10" w:rsidP="009A6B10">
      <w:pPr>
        <w:spacing w:before="120" w:after="120"/>
      </w:pPr>
      <w:r w:rsidRPr="009A6B10">
        <w:t xml:space="preserve">Podiel MSP na vybraných ekonomických ukazovateľoch </w:t>
      </w:r>
    </w:p>
    <w:p w:rsidR="009A6B10" w:rsidRPr="009A6B10" w:rsidRDefault="009A6B10" w:rsidP="009A6B10">
      <w:pPr>
        <w:tabs>
          <w:tab w:val="left" w:pos="709"/>
          <w:tab w:val="left" w:pos="992"/>
        </w:tabs>
        <w:spacing w:before="120" w:after="120"/>
        <w:jc w:val="both"/>
        <w:rPr>
          <w:bCs/>
        </w:rPr>
      </w:pPr>
      <w:r w:rsidRPr="009A6B10">
        <w:rPr>
          <w:bCs/>
        </w:rPr>
        <w:t>V roku 2012 sa medziročne znížil podiel malých a stredných podnikov (právnických osôb – nefinančných korporácií) na vytvorenej hrubej produkcii a pridanej hodnote a naopak mierne zvýšil na dosiahnutom zisku pred zdanením (podľa predbežných údajov ŠÚ SR). Podiel MSP – právnických osôb na hrubej produkcii v nefinančnom podnikovom se</w:t>
      </w:r>
      <w:r w:rsidR="00F311EE">
        <w:rPr>
          <w:bCs/>
        </w:rPr>
        <w:t>ktore v roku 2012 dosiahol 41,3</w:t>
      </w:r>
      <w:r w:rsidRPr="009A6B10">
        <w:rPr>
          <w:bCs/>
        </w:rPr>
        <w:t>%. Uvedený podiel sa znížil o 1,1 p. b. oproti roku 2011 a o 0,9 p. b. oproti roku 2008. V bežných cenách medziročne rástla hrubá produkcia MSP – právnických o</w:t>
      </w:r>
      <w:r w:rsidR="00F311EE">
        <w:rPr>
          <w:bCs/>
        </w:rPr>
        <w:t>sôb v nefinančnom sektore o 0,9</w:t>
      </w:r>
      <w:r w:rsidRPr="009A6B10">
        <w:rPr>
          <w:bCs/>
        </w:rPr>
        <w:t xml:space="preserve">% a dosiahla úroveň 48 265 mil. Eur. Hrubá produkcia </w:t>
      </w:r>
      <w:proofErr w:type="spellStart"/>
      <w:r w:rsidRPr="009A6B10">
        <w:rPr>
          <w:bCs/>
        </w:rPr>
        <w:t>mikro</w:t>
      </w:r>
      <w:proofErr w:type="spellEnd"/>
      <w:r w:rsidRPr="009A6B10">
        <w:rPr>
          <w:bCs/>
        </w:rPr>
        <w:t xml:space="preserve"> podnik</w:t>
      </w:r>
      <w:r w:rsidR="00F311EE">
        <w:rPr>
          <w:bCs/>
        </w:rPr>
        <w:t>ov sa medziročne zvýšila o 40,3</w:t>
      </w:r>
      <w:r w:rsidRPr="009A6B10">
        <w:rPr>
          <w:bCs/>
        </w:rPr>
        <w:t>% na úroveň 14 075,7 mil. Eur, malých podnik</w:t>
      </w:r>
      <w:r w:rsidR="00F311EE">
        <w:rPr>
          <w:bCs/>
        </w:rPr>
        <w:t>ov poklesla o 23,5</w:t>
      </w:r>
      <w:r w:rsidRPr="009A6B10">
        <w:rPr>
          <w:bCs/>
        </w:rPr>
        <w:t>% na úroveň 12 228,8 mil. Eur a st</w:t>
      </w:r>
      <w:r w:rsidR="00F311EE">
        <w:rPr>
          <w:bCs/>
        </w:rPr>
        <w:t>redných podnikov vzrástla o 0,6</w:t>
      </w:r>
      <w:r w:rsidRPr="009A6B10">
        <w:rPr>
          <w:bCs/>
        </w:rPr>
        <w:t xml:space="preserve">% </w:t>
      </w:r>
      <w:r w:rsidRPr="009A6B10">
        <w:rPr>
          <w:bCs/>
        </w:rPr>
        <w:lastRenderedPageBreak/>
        <w:t>na úroveň 21 960,9 mil. Eur</w:t>
      </w:r>
      <w:r w:rsidRPr="009A6B10">
        <w:rPr>
          <w:rFonts w:eastAsia="Calibri"/>
          <w:bCs/>
          <w:vertAlign w:val="superscript"/>
        </w:rPr>
        <w:footnoteReference w:id="10"/>
      </w:r>
      <w:r w:rsidRPr="009A6B10">
        <w:rPr>
          <w:bCs/>
        </w:rPr>
        <w:t>. Podiel MSP – právnických osôb na tvorbe pridanej hodnoty v nefinančnom podnikovom se</w:t>
      </w:r>
      <w:r w:rsidR="00F311EE">
        <w:rPr>
          <w:bCs/>
        </w:rPr>
        <w:t>ktore v roku 2012 dosiahol 55,1</w:t>
      </w:r>
      <w:r w:rsidRPr="009A6B10">
        <w:rPr>
          <w:bCs/>
        </w:rPr>
        <w:t xml:space="preserve">%. Obdobne ako v prípade hrubej produkcie sa podiel MSP na pridanej hodnote znížil o 0,5 p. b. oproti roku 2011 a o 0,1 p. b. oproti roku 2008. Pridaná hodnota MSP – právnických osôb v nefinančnom podnikovom sektore medziročne </w:t>
      </w:r>
      <w:r w:rsidR="00F311EE">
        <w:rPr>
          <w:bCs/>
        </w:rPr>
        <w:t>narástla v bežných cenách o 0,2</w:t>
      </w:r>
      <w:r w:rsidRPr="009A6B10">
        <w:rPr>
          <w:bCs/>
        </w:rPr>
        <w:t xml:space="preserve">% a dosiahla úroveň 18 049 mil. Eur. Pridaná hodnota </w:t>
      </w:r>
      <w:proofErr w:type="spellStart"/>
      <w:r w:rsidRPr="009A6B10">
        <w:rPr>
          <w:bCs/>
        </w:rPr>
        <w:t>mikro</w:t>
      </w:r>
      <w:proofErr w:type="spellEnd"/>
      <w:r w:rsidRPr="009A6B10">
        <w:rPr>
          <w:bCs/>
        </w:rPr>
        <w:t xml:space="preserve"> podnik</w:t>
      </w:r>
      <w:r w:rsidR="00F311EE">
        <w:rPr>
          <w:bCs/>
        </w:rPr>
        <w:t>ov sa medziročne zvýšila o 35,8</w:t>
      </w:r>
      <w:r w:rsidRPr="009A6B10">
        <w:rPr>
          <w:bCs/>
        </w:rPr>
        <w:t>% na úroveň 6 639,9 mil. Eur, pridaná hodnota malých podniko</w:t>
      </w:r>
      <w:r w:rsidR="00F311EE">
        <w:rPr>
          <w:bCs/>
        </w:rPr>
        <w:t>v bola medziročne nižšia o 26,2</w:t>
      </w:r>
      <w:r w:rsidRPr="009A6B10">
        <w:rPr>
          <w:bCs/>
        </w:rPr>
        <w:t xml:space="preserve">% (4 647,7 mil. </w:t>
      </w:r>
      <w:r w:rsidR="00F311EE">
        <w:rPr>
          <w:bCs/>
        </w:rPr>
        <w:t>Eur) a stredných podnikov o 1,0</w:t>
      </w:r>
      <w:r w:rsidRPr="009A6B10">
        <w:rPr>
          <w:bCs/>
        </w:rPr>
        <w:t>% a dosiahla úroveň 6 761,5 mil. Eur. Podiel MSP – právnických osôb na zisku pred zdanením v ne</w:t>
      </w:r>
      <w:r w:rsidR="00F311EE">
        <w:rPr>
          <w:bCs/>
        </w:rPr>
        <w:t>finančnom sektore dosiahol 53,4</w:t>
      </w:r>
      <w:r w:rsidRPr="009A6B10">
        <w:rPr>
          <w:bCs/>
        </w:rPr>
        <w:t>%. Medziročne sa dosiahnutý podiel zvýšil o 1,1 p. b., ale oproti roku 2008 je stále nižší o 4,8 p. b. Medziročne sa zisk MSP – právnických osôb v nefinančnom podnikovo</w:t>
      </w:r>
      <w:r w:rsidR="00F311EE">
        <w:rPr>
          <w:bCs/>
        </w:rPr>
        <w:t>m sektore znížil o 6,1</w:t>
      </w:r>
      <w:r w:rsidRPr="009A6B10">
        <w:rPr>
          <w:bCs/>
        </w:rPr>
        <w:t>% a dosiahol úroveň 4 730,1 mil. Eur. Zisk pred zdanením malých podn</w:t>
      </w:r>
      <w:r w:rsidR="00F311EE">
        <w:rPr>
          <w:bCs/>
        </w:rPr>
        <w:t>ikov sa medziročne znížil o 0,8</w:t>
      </w:r>
      <w:r w:rsidRPr="009A6B10">
        <w:rPr>
          <w:bCs/>
        </w:rPr>
        <w:t>% na úroveň 3 670,6 mil. Eur a zisk stre</w:t>
      </w:r>
      <w:r w:rsidR="00F311EE">
        <w:rPr>
          <w:bCs/>
        </w:rPr>
        <w:t>dných podnikov sa znížil o 20,8</w:t>
      </w:r>
      <w:r w:rsidRPr="009A6B10">
        <w:rPr>
          <w:bCs/>
        </w:rPr>
        <w:t>% na úroveň 1 059,5 mil. Eur. Napriek významnému postavenie malých a stredných podnikov v ekonomike SR, v zahranično-obchodnej výmene Slovenska pretrváva dominantné postavenie veľkých podnikov. Malé a stredné podniky sa v roku 2011 podieľali</w:t>
      </w:r>
      <w:r w:rsidR="00F311EE">
        <w:rPr>
          <w:bCs/>
        </w:rPr>
        <w:t xml:space="preserve"> na celkovom objeme vývozu 31,7</w:t>
      </w:r>
      <w:r w:rsidRPr="009A6B10">
        <w:rPr>
          <w:bCs/>
        </w:rPr>
        <w:t>%, čo v absolútnom vyjadrení predstavuje 16 420,5 mil. Eur a čo je o 0,8 p. b. viac ako v roku 2010. Z celkového vývozu malých a stredných podnikov v roku 2011 preds</w:t>
      </w:r>
      <w:r w:rsidR="00F311EE">
        <w:rPr>
          <w:bCs/>
        </w:rPr>
        <w:t>tavoval vývoz do krajín EÚ 89,4</w:t>
      </w:r>
      <w:r w:rsidRPr="009A6B10">
        <w:rPr>
          <w:bCs/>
        </w:rPr>
        <w:t>% podiel (14 681,6 mil. Eur). Vývoz MSP do kr</w:t>
      </w:r>
      <w:r w:rsidR="00F311EE">
        <w:rPr>
          <w:bCs/>
        </w:rPr>
        <w:t>ajín mimo EÚ  predstavoval 10,6</w:t>
      </w:r>
      <w:r w:rsidRPr="009A6B10">
        <w:rPr>
          <w:bCs/>
        </w:rPr>
        <w:t>% (1 738,9 mil. Eur) z celkového vývozu MSP v roku 2011. Pomerne nízky podiel vývozu MSP do krajín mimo EÚ poukazuje na výraznejšiu potrebu podpory expanzie MSP na tieto trhy. Z celkového počtu MSP – právnických osôb evidovaných v Registri organizácii ŠÚ SR vykonávalo v roku 2011 v</w:t>
      </w:r>
      <w:r w:rsidR="00F311EE">
        <w:rPr>
          <w:bCs/>
        </w:rPr>
        <w:t>ývoz tovaru len 13,9</w:t>
      </w:r>
      <w:r w:rsidRPr="009A6B10">
        <w:rPr>
          <w:bCs/>
        </w:rPr>
        <w:t>% podnikov. V rámci odvetvia priemyselnej výroby vykonával vývoz tovarov takmer každý tretí malý a stredný podnik. Podiel MSP na celkovom d</w:t>
      </w:r>
      <w:r w:rsidR="00F311EE">
        <w:rPr>
          <w:bCs/>
        </w:rPr>
        <w:t>ovoze v roku 2011 dosiahol 44,9</w:t>
      </w:r>
      <w:r w:rsidRPr="009A6B10">
        <w:rPr>
          <w:bCs/>
        </w:rPr>
        <w:t xml:space="preserve">%, čo je 23 169,4 mil. Eur, pri medziročnom raste o 0,8 p. b. Na celkovom dovoze MSP v roku 2011 sa </w:t>
      </w:r>
      <w:r w:rsidR="00F311EE">
        <w:rPr>
          <w:bCs/>
        </w:rPr>
        <w:t>podieľal dovoz z krajín EÚ 80,0</w:t>
      </w:r>
      <w:r w:rsidRPr="009A6B10">
        <w:rPr>
          <w:bCs/>
        </w:rPr>
        <w:t>% (18 527,2 mil. Eur). Dovoz MSP z krajín mimo EÚ dosiahol v roku 2011 úroveň 4 642,</w:t>
      </w:r>
      <w:r w:rsidR="00F311EE">
        <w:rPr>
          <w:bCs/>
        </w:rPr>
        <w:t>3 mil. Eur, čo predstavuje 20,0</w:t>
      </w:r>
      <w:r w:rsidRPr="009A6B10">
        <w:rPr>
          <w:bCs/>
        </w:rPr>
        <w:t>% z celkového dovozu MSP.</w:t>
      </w:r>
    </w:p>
    <w:p w:rsidR="009A6B10" w:rsidRPr="009A6B10" w:rsidRDefault="009A6B10" w:rsidP="009A6B10">
      <w:pPr>
        <w:spacing w:before="120" w:after="120"/>
        <w:rPr>
          <w:b/>
          <w:i/>
        </w:rPr>
      </w:pPr>
      <w:r w:rsidRPr="009A6B10">
        <w:rPr>
          <w:b/>
          <w:i/>
        </w:rPr>
        <w:t>Graf č.8</w:t>
      </w:r>
      <w:r w:rsidRPr="009A6B10">
        <w:rPr>
          <w:rFonts w:eastAsia="Calibri"/>
          <w:b/>
          <w:i/>
          <w:vertAlign w:val="superscript"/>
        </w:rPr>
        <w:footnoteReference w:id="11"/>
      </w:r>
    </w:p>
    <w:p w:rsidR="009A6B10" w:rsidRPr="009A6B10" w:rsidRDefault="00CB5F71" w:rsidP="009A6B10">
      <w:pPr>
        <w:spacing w:before="120" w:after="120"/>
      </w:pPr>
      <w:r>
        <w:rPr>
          <w:noProof/>
        </w:rPr>
        <w:pict>
          <v:shape id="Obrázok 11" o:spid="_x0000_i1048" type="#_x0000_t75" style="width:399pt;height:155.25pt;visibility:visible">
            <v:imagedata r:id="rId40" o:title=""/>
          </v:shape>
        </w:pict>
      </w:r>
      <w:r w:rsidR="009A6B10" w:rsidRPr="009A6B10">
        <w:br/>
      </w:r>
      <w:r w:rsidR="009A6B10" w:rsidRPr="009A6B10">
        <w:rPr>
          <w:b/>
          <w:sz w:val="22"/>
          <w:szCs w:val="22"/>
        </w:rPr>
        <w:t>Zdroj:</w:t>
      </w:r>
      <w:r w:rsidR="009A6B10" w:rsidRPr="009A6B10">
        <w:rPr>
          <w:sz w:val="22"/>
          <w:szCs w:val="22"/>
        </w:rPr>
        <w:t xml:space="preserve"> NARMSP, na základe údajov ŠÚSR</w:t>
      </w:r>
    </w:p>
    <w:p w:rsidR="009A6B10" w:rsidRPr="009A6B10" w:rsidRDefault="009A6B10" w:rsidP="009A6B10">
      <w:pPr>
        <w:rPr>
          <w:sz w:val="28"/>
          <w:szCs w:val="28"/>
        </w:rPr>
      </w:pPr>
      <w:r w:rsidRPr="009A6B10">
        <w:rPr>
          <w:sz w:val="28"/>
          <w:szCs w:val="28"/>
        </w:rPr>
        <w:lastRenderedPageBreak/>
        <w:t>Vývoj ukazovateľov finančnej výkonnosti MSP</w:t>
      </w:r>
    </w:p>
    <w:p w:rsidR="009A6B10" w:rsidRPr="009A6B10" w:rsidRDefault="009A6B10" w:rsidP="009A6B10">
      <w:pPr>
        <w:tabs>
          <w:tab w:val="left" w:pos="709"/>
          <w:tab w:val="left" w:pos="992"/>
        </w:tabs>
        <w:spacing w:before="120" w:after="120"/>
        <w:jc w:val="both"/>
        <w:rPr>
          <w:bCs/>
        </w:rPr>
      </w:pPr>
      <w:r w:rsidRPr="009A6B10">
        <w:rPr>
          <w:bCs/>
        </w:rPr>
        <w:t xml:space="preserve">Na základe údajov spracovaných z dostupných finančných výkazov dosiahol v roku 2011 podiel  MSP s kladným hospodárskym výsledkom (vrátane nulového HV) na celkovom počte MSP 56,1%. Z tohto počtu až 11,6% MSP hospodárilo v r. 2011 s nulovým výsledkom. </w:t>
      </w:r>
      <w:r w:rsidRPr="009A6B10">
        <w:rPr>
          <w:bCs/>
          <w:u w:val="single"/>
        </w:rPr>
        <w:t xml:space="preserve">Znamená to teda že len polovica MSP platí daň z príjmu. </w:t>
      </w:r>
      <w:r w:rsidRPr="009A6B10">
        <w:rPr>
          <w:bCs/>
        </w:rPr>
        <w:t xml:space="preserve">Podiel malých a stredných podnikov s kladným hospodárskym výsledkom sa medziročne zvýšil o 0,5 p. b., ale oproti predkrízovému roku 2008 je stále nižší o 4,4 p. b. V rámci jednotlivých veľkostných kategórií sa oproti roku 2008 najvýraznejšie tento podiel znížil </w:t>
      </w:r>
      <w:proofErr w:type="spellStart"/>
      <w:r w:rsidRPr="009A6B10">
        <w:rPr>
          <w:bCs/>
        </w:rPr>
        <w:t>mikro</w:t>
      </w:r>
      <w:proofErr w:type="spellEnd"/>
      <w:r w:rsidRPr="009A6B10">
        <w:rPr>
          <w:bCs/>
        </w:rPr>
        <w:t xml:space="preserve"> podnikom (o 3,2 p. b.), malým podnikom (o 1,6 p. b.) a následne stredným podnikom (o 1,4 p. b.). Na porovnanie, podiel veľkých podnikov s kladným hospodárskym výsledkom prekročil predkrízovú hodnotu už v roku 2010. Z uvedených údajov je zrejmé, že hospodársky prepad mal najnegatívnejší vplyv na MSP, predovšetkým </w:t>
      </w:r>
      <w:proofErr w:type="spellStart"/>
      <w:r w:rsidRPr="009A6B10">
        <w:rPr>
          <w:bCs/>
        </w:rPr>
        <w:t>mikro</w:t>
      </w:r>
      <w:proofErr w:type="spellEnd"/>
      <w:r w:rsidRPr="009A6B10">
        <w:rPr>
          <w:bCs/>
        </w:rPr>
        <w:t xml:space="preserve"> podniky, ktoré sa do roku 2011 nedokázali v podiele ziskových podnikov dostať na  úroveň predkrízových hodnôt. </w:t>
      </w:r>
    </w:p>
    <w:p w:rsidR="009A6B10" w:rsidRPr="009A6B10" w:rsidRDefault="009A6B10" w:rsidP="009A6B10">
      <w:pPr>
        <w:tabs>
          <w:tab w:val="left" w:pos="709"/>
          <w:tab w:val="left" w:pos="992"/>
        </w:tabs>
        <w:spacing w:before="120" w:after="120"/>
        <w:jc w:val="both"/>
        <w:rPr>
          <w:bCs/>
        </w:rPr>
      </w:pPr>
      <w:r w:rsidRPr="009A6B10">
        <w:rPr>
          <w:bCs/>
        </w:rPr>
        <w:t>Z pohľadu jednotlivých odvetví sa najstabilnejším odvetvím v turbulentných časoch ukázalo byť pôdohospodárstvo, ktorému sa ako jedinému podarilo v roku 2011 prekročiť predkrízové hodnoty (o 2,1 p. b.). V ostatných odvetviach dosiahol podiel malých a stredných podnikov s kladným hospodárskym výsledkom v roku 2011 od 3 do 9 p. b. pod hodnotami z roku 2008. V najväčšej miere bolo zasiahnuté stavebníctvo, ktoré sa prepadlo v podiele zi</w:t>
      </w:r>
      <w:r w:rsidR="00F311EE">
        <w:rPr>
          <w:bCs/>
        </w:rPr>
        <w:t>skových MSP v roku 2011 na 55,1</w:t>
      </w:r>
      <w:r w:rsidRPr="009A6B10">
        <w:rPr>
          <w:bCs/>
        </w:rPr>
        <w:t>% (o 9,4 p. b.).</w:t>
      </w:r>
    </w:p>
    <w:p w:rsidR="009A6B10" w:rsidRPr="009A6B10" w:rsidRDefault="009A6B10" w:rsidP="009A6B10">
      <w:pPr>
        <w:tabs>
          <w:tab w:val="left" w:pos="709"/>
          <w:tab w:val="left" w:pos="992"/>
        </w:tabs>
        <w:spacing w:before="120" w:after="120"/>
        <w:jc w:val="both"/>
        <w:rPr>
          <w:bCs/>
        </w:rPr>
      </w:pPr>
      <w:r w:rsidRPr="009A6B10">
        <w:rPr>
          <w:bCs/>
        </w:rPr>
        <w:t xml:space="preserve"> Hospodársky pokles medzi rokmi 2008 a 2009 sa odrazil na početnosti MSP s kladným hospodárskym výsledkom približne rovnakou intenzitou (pokles cca od 6 do 7 p. b.) vo všetkých krajoch SR. V roku 2011 nedosiahol podiel ziskových MSP hodnoty roku 2008 ani v jednom z krajov SR, pričom najvyšší prepad bol zaznamenaný v Bratislavskom kraji. Stredná hodnota ukazovateľa rentabilita tržieb (na základe EBITDA), ktorá  vypovedá o zhodnotení spotrebovaných vstupov tým, že dáva do pomeru zisk upravený o daň, odpisy a nákladové úroky k tržbám</w:t>
      </w:r>
      <w:r w:rsidRPr="009A6B10">
        <w:rPr>
          <w:rFonts w:eastAsia="Calibri"/>
          <w:bCs/>
          <w:vertAlign w:val="superscript"/>
        </w:rPr>
        <w:footnoteReference w:id="12"/>
      </w:r>
      <w:r w:rsidRPr="009A6B10">
        <w:rPr>
          <w:bCs/>
        </w:rPr>
        <w:t>, dosiahla v sektore malých a stredných</w:t>
      </w:r>
      <w:r w:rsidR="00F311EE">
        <w:rPr>
          <w:bCs/>
        </w:rPr>
        <w:t xml:space="preserve"> podnikov v roku 2011 hodnotu 2</w:t>
      </w:r>
      <w:r w:rsidRPr="009A6B10">
        <w:rPr>
          <w:bCs/>
        </w:rPr>
        <w:t>%. Uvedená hodnota bola nižšia oproti roku 2010 (pokles o 0,4 p. b.), ako aj roku 2008 (pokles o 2,0 p. b.). Rentabilita tržieb je dlhodobo najnižšia u </w:t>
      </w:r>
      <w:proofErr w:type="spellStart"/>
      <w:r w:rsidRPr="009A6B10">
        <w:rPr>
          <w:bCs/>
        </w:rPr>
        <w:t>mikro</w:t>
      </w:r>
      <w:proofErr w:type="spellEnd"/>
      <w:r w:rsidRPr="009A6B10">
        <w:rPr>
          <w:bCs/>
        </w:rPr>
        <w:t xml:space="preserve"> </w:t>
      </w:r>
      <w:r w:rsidR="00F311EE">
        <w:rPr>
          <w:bCs/>
        </w:rPr>
        <w:t>podnikov (1,4</w:t>
      </w:r>
      <w:r w:rsidRPr="009A6B10">
        <w:rPr>
          <w:bCs/>
        </w:rPr>
        <w:t>% v roku 2011). Z pohľadu odvetví má vzhľadom na predmet činnosti najvyššiu rentabilitu tržieb poľnohospodárstvo a naopak najnižšiu obchod. Hospodársky prepad v roku 2009 však zasiahol všetky odvetvia, pričom najvýraznejšie už spomínaný obchod (pokles</w:t>
      </w:r>
      <w:r w:rsidR="00F311EE">
        <w:rPr>
          <w:bCs/>
        </w:rPr>
        <w:t xml:space="preserve"> o vyše polovicu z 2,4% na 0,9</w:t>
      </w:r>
      <w:r w:rsidRPr="009A6B10">
        <w:rPr>
          <w:bCs/>
        </w:rPr>
        <w:t>%) a stavebníctvo</w:t>
      </w:r>
      <w:r w:rsidR="00F311EE">
        <w:rPr>
          <w:bCs/>
        </w:rPr>
        <w:t xml:space="preserve"> (trochu miernejší pokles z 3,5% na 1,7</w:t>
      </w:r>
      <w:r w:rsidRPr="009A6B10">
        <w:rPr>
          <w:bCs/>
        </w:rPr>
        <w:t xml:space="preserve">%). Tento pokles pokračoval v silnom tempe v týchto dvoch odvetviach aj v nasledujúcich rokoch. </w:t>
      </w:r>
    </w:p>
    <w:p w:rsidR="009A6B10" w:rsidRPr="009A6B10" w:rsidRDefault="009A6B10" w:rsidP="009A6B10">
      <w:pPr>
        <w:tabs>
          <w:tab w:val="left" w:pos="709"/>
          <w:tab w:val="left" w:pos="992"/>
        </w:tabs>
        <w:spacing w:before="120" w:after="120"/>
        <w:jc w:val="both"/>
        <w:rPr>
          <w:bCs/>
        </w:rPr>
      </w:pPr>
      <w:r w:rsidRPr="009A6B10">
        <w:rPr>
          <w:bCs/>
        </w:rPr>
        <w:t xml:space="preserve">Na druhej strane v poľnohospodárstve vzrástla stredná hodnota rentability tržieb na </w:t>
      </w:r>
      <w:r w:rsidR="00F311EE">
        <w:rPr>
          <w:bCs/>
        </w:rPr>
        <w:t>konci roku 2011 na hodnotu 16,6</w:t>
      </w:r>
      <w:r w:rsidRPr="009A6B10">
        <w:rPr>
          <w:bCs/>
        </w:rPr>
        <w:t>% (nárast oproti roku 2008 o 2,2 p. b.). Stredná hodnota rentability tržieb podľa krajov s</w:t>
      </w:r>
      <w:r w:rsidR="00F311EE">
        <w:rPr>
          <w:bCs/>
        </w:rPr>
        <w:t>a v roku 2008 pohybovala od 2,9% v Košickom kraji až po 4,9</w:t>
      </w:r>
      <w:r w:rsidRPr="009A6B10">
        <w:rPr>
          <w:bCs/>
        </w:rPr>
        <w:t>% v Trnavskom kraji. Počas nasledujúcich rokoch zaznamenala pokles, tento však bol viac-menej rovnomerne rozdelený medzi všetky regióny SR. Jediný kraj, ktorý zaznamenal medziročný mierny nárast v roku 2011 bol Bratislavsky kraj (o 0,1 p. b.). Ukazovateľ rentabilita aktív, ktorý je zostavený ako pomer dosiahnutého zisku pred zdanením k celkovým aktívam, charakterizuje zhodnotenie celkových aktív podniku. Tento ukazovateľ dosiahol v sektore malých a stredných podnikov v</w:t>
      </w:r>
      <w:r w:rsidR="00F311EE">
        <w:rPr>
          <w:bCs/>
        </w:rPr>
        <w:t> roku 2011 strednú hodnotu 0,03</w:t>
      </w:r>
      <w:r w:rsidRPr="009A6B10">
        <w:rPr>
          <w:bCs/>
        </w:rPr>
        <w:t>%. Uvedená hodnota sa znížila oproti roku 2010 (o 0,01 p. b.), ako aj roku 2008 (o 0,76 p. b.). Úplne opačný priebeh zaznamenala rentabilita aktív u veľkých podnikov, kde okrem mierneho poklesu v roku 2009 (o 0,75 p. b.), vzrástla stredná hodnota rentability aktív v roku 2011 oproti roku 2008 o 0,63 p. b.</w:t>
      </w:r>
    </w:p>
    <w:p w:rsidR="009A6B10" w:rsidRPr="009A6B10" w:rsidRDefault="009A6B10" w:rsidP="009A6B10">
      <w:pPr>
        <w:tabs>
          <w:tab w:val="left" w:pos="709"/>
          <w:tab w:val="left" w:pos="992"/>
        </w:tabs>
        <w:spacing w:before="120" w:after="120"/>
        <w:jc w:val="both"/>
        <w:rPr>
          <w:bCs/>
        </w:rPr>
      </w:pPr>
      <w:r w:rsidRPr="009A6B10">
        <w:rPr>
          <w:bCs/>
        </w:rPr>
        <w:lastRenderedPageBreak/>
        <w:t xml:space="preserve">Čo sa týka ukazovateľa rentability aktív z pohľadu odvetvových kategórií, tam zaznamenalo v roku 2009 prepad praktický každé odvetvie a to na hodnoty blízke nule. Do roku 2011 vzrástla rentabilita tržieb všetkým odvetviam okrem obchodu a stavebníctva. V najlepšej kondícii prekonalo hospodársky prepad z pohľadu rentability aktív odvetvie poľnohospodárstva, ktoré v roku 2011 ešte o 0,26 p. b. zvýšilo strednú hodnotu svojej rentability oproti roku 2008. Z pohľadu krajov bol prepad v roku 2009 prakticky na nulovú hodnotu tohto ukazovateľa, pričom v rokoch 2010 a 2011 bol zaznamenaný len mierny rast. Tento mierny nárast však neplatil pre všetky kraje, v Košickom a Bratislavskom kraji ostala stredná hodnota rentability aktív na nulovej hodnote. </w:t>
      </w:r>
    </w:p>
    <w:p w:rsidR="009A6B10" w:rsidRPr="009A6B10" w:rsidRDefault="009A6B10" w:rsidP="009A6B10">
      <w:pPr>
        <w:tabs>
          <w:tab w:val="left" w:pos="709"/>
          <w:tab w:val="left" w:pos="992"/>
        </w:tabs>
        <w:spacing w:before="120" w:after="120"/>
        <w:jc w:val="both"/>
        <w:rPr>
          <w:bCs/>
        </w:rPr>
      </w:pPr>
      <w:r w:rsidRPr="009A6B10">
        <w:rPr>
          <w:bCs/>
        </w:rPr>
        <w:t>Ukazovateľ miery zadlženosti aktív vyjadrujúci podiel záväzkov (vrátane časového rozlíšenia) na vlastnom imaní a záväzkoch, dosiahol v sektore malých a stredných podnikov v</w:t>
      </w:r>
      <w:r w:rsidR="00F311EE">
        <w:rPr>
          <w:bCs/>
        </w:rPr>
        <w:t> roku 2011 strednú hodnotu 66,8</w:t>
      </w:r>
      <w:r w:rsidRPr="009A6B10">
        <w:rPr>
          <w:bCs/>
        </w:rPr>
        <w:t>% čo je blízko hornej odporúčanej hranice primeranosti (70%). Oproti roku 2008 sa hodnota tohto ukazovateľa zvýšila o 2,4 p. b., pričom v kategórii mikropodnikov vzrástla až o 5,7 p. b. Kategória malých podnikov dlhodobo dosahuje stredne hodnoty nad 70% čo indikuje vysokú mieru využívania cudzích zdrojov. Z pohľadu krajov a jednotlivých odvetví nedošlo od roku 2008 k výraznejším zmenám zadlženosti malých a stredných podnikov. V kontraste so zvyšujúcou sa mierou využívania externých zdrojov pôsobí nízka úroveň využívania bankových úverov ako dominantnej formy komerčného financovania v prostredí SR. V roku 2011 z celkového počtu MSP účtujúcich v podvojnom účtovníctve, za ktoré boli dostupné finančné výka</w:t>
      </w:r>
      <w:r w:rsidR="00F311EE">
        <w:rPr>
          <w:bCs/>
        </w:rPr>
        <w:t>zy využívalo bankové úvery 16,5</w:t>
      </w:r>
      <w:r w:rsidRPr="009A6B10">
        <w:rPr>
          <w:bCs/>
        </w:rPr>
        <w:t>% MSP (čo je o 1,2 p. b. menej ako v roku 2010), pričom v prípade</w:t>
      </w:r>
      <w:r w:rsidR="00F311EE">
        <w:rPr>
          <w:bCs/>
        </w:rPr>
        <w:t xml:space="preserve"> mikropodnikov to bolo len 13,5</w:t>
      </w:r>
      <w:r w:rsidRPr="009A6B10">
        <w:rPr>
          <w:bCs/>
        </w:rPr>
        <w:t xml:space="preserve">%. </w:t>
      </w:r>
      <w:proofErr w:type="spellStart"/>
      <w:r w:rsidRPr="009A6B10">
        <w:rPr>
          <w:bCs/>
        </w:rPr>
        <w:t>Mikropodniky</w:t>
      </w:r>
      <w:proofErr w:type="spellEnd"/>
      <w:r w:rsidRPr="009A6B10">
        <w:rPr>
          <w:bCs/>
        </w:rPr>
        <w:t xml:space="preserve"> a malé podniky, vzhľadom na ich vyššiu citlivosť na ekonomické vplyvy, boli v dôsledku hospodárskeho poklesu v roku 2009 prinútené vo väčšej miere siahnuť po externom financovaní, čo sa prejavilo výrazným rastom komerčných bankových úverov v kategórii mikropodnikov až o 1/3 (medzi r. 2008 a 2011). Možným vysvetlením uvedeného kontrastu medzi vysokým podielom externých zdrojov a nízkym objemom čerpaných úverov je problém vykazovania cudzích/vlastných zdrojov. Je dôvodné predpokladať, že v kategórii MSP prevažujú také cudzie zdroje, ktoré sú v skutočnosti zakryté vlastné zdroje. To sa môže prejaviť vo viacerých ohľadoch ako závažný problém, okrem iného môže to mať významný vplyv na celkovú úroveň ochrany štandardných veriteľov </w:t>
      </w:r>
      <w:r w:rsidRPr="009A6B10">
        <w:rPr>
          <w:bCs/>
        </w:rPr>
        <w:br/>
        <w:t>z obchodného styku, ktorí pri obchodných vzťahoch nesú vysokú mieru podnikateľského rizika, že ich pohľadávky nebudú uhradené včas, resp. vôbec.</w:t>
      </w:r>
    </w:p>
    <w:p w:rsidR="009A6B10" w:rsidRPr="009A6B10" w:rsidRDefault="009A6B10" w:rsidP="009A6B10">
      <w:pPr>
        <w:tabs>
          <w:tab w:val="left" w:pos="709"/>
          <w:tab w:val="left" w:pos="992"/>
        </w:tabs>
        <w:spacing w:before="120" w:after="120"/>
        <w:jc w:val="both"/>
        <w:rPr>
          <w:bCs/>
        </w:rPr>
      </w:pPr>
      <w:r w:rsidRPr="009A6B10">
        <w:rPr>
          <w:bCs/>
        </w:rPr>
        <w:t>Likvidita predstavuje dôležitý ekonomický pojem v trhovom hospodárstve nakoľko vyjadruje mieru schopnosti firiem uhrádzať záväzky v krátkodobom časovom horizonte do jedného roka. Likvidita II. stupňa dosiahla v sektore malých a stredných podnikov v roku 2011 strednú hodnotu 1,03</w:t>
      </w:r>
      <w:r w:rsidRPr="009A6B10">
        <w:rPr>
          <w:rFonts w:eastAsia="Calibri"/>
          <w:bCs/>
          <w:vertAlign w:val="superscript"/>
        </w:rPr>
        <w:footnoteReference w:id="13"/>
      </w:r>
      <w:r w:rsidRPr="009A6B10">
        <w:rPr>
          <w:bCs/>
        </w:rPr>
        <w:t xml:space="preserve">. Dosiahnutá hodnota likvidity II. stupňa sa znížila oproti roku 2010 (o 0,02 p. b.), ako aj roku 2008 (o 0,04 p. b.). Podobne ako v prípade ostatných ukazovateľov, aj z pohľadu ukazovateľa likvidita II. stupňa existujú najvýraznejšie rozdiely medzi </w:t>
      </w:r>
      <w:proofErr w:type="spellStart"/>
      <w:r w:rsidRPr="009A6B10">
        <w:rPr>
          <w:bCs/>
        </w:rPr>
        <w:t>mikro</w:t>
      </w:r>
      <w:proofErr w:type="spellEnd"/>
      <w:r w:rsidRPr="009A6B10">
        <w:rPr>
          <w:bCs/>
        </w:rPr>
        <w:t xml:space="preserve"> podnikmi a ostatnými veľkostnými kategóriami podnikov. </w:t>
      </w:r>
      <w:proofErr w:type="spellStart"/>
      <w:r w:rsidRPr="009A6B10">
        <w:rPr>
          <w:bCs/>
        </w:rPr>
        <w:t>Mikropodniky</w:t>
      </w:r>
      <w:proofErr w:type="spellEnd"/>
      <w:r w:rsidRPr="009A6B10">
        <w:rPr>
          <w:bCs/>
        </w:rPr>
        <w:t xml:space="preserve"> ako jediná kategória podnikateľských subjektov dosahujú stredné hodnoty likvidity II. stupňa nad odporúčanou hodnotou 1. Z pohľadu jednotlivých odvetví a krajov SR dosahujú najvyššiu schopnosť uhrádzať krátkodobé záväzky malé a stredné podniky pôsobiace v odvetví služieb, stavebníctva a pôdohospodárstva a sídliace v Bratislavskom, Prešovskom, Nitrianskom a Trenčianskom kraji.</w:t>
      </w:r>
    </w:p>
    <w:p w:rsidR="009A6B10" w:rsidRPr="009A6B10" w:rsidRDefault="009A6B10" w:rsidP="009A6B10">
      <w:pPr>
        <w:spacing w:before="120" w:after="120"/>
        <w:jc w:val="both"/>
        <w:rPr>
          <w:lang w:eastAsia="cs-CZ"/>
        </w:rPr>
      </w:pPr>
      <w:r w:rsidRPr="009A6B10">
        <w:rPr>
          <w:lang w:eastAsia="cs-CZ"/>
        </w:rPr>
        <w:t xml:space="preserve">V oblasti doby splatnosti pohľadávok vidieť zreteľnú negatívnu zmenu, ktorá nastala v roku 2009. Rozdiel medzi rokmi 2008 a 2009 znamená v prípade mikropodnikov nárast z 15,7 </w:t>
      </w:r>
      <w:r w:rsidRPr="009A6B10">
        <w:rPr>
          <w:lang w:eastAsia="cs-CZ"/>
        </w:rPr>
        <w:lastRenderedPageBreak/>
        <w:t xml:space="preserve">na 22,9 dní, v prípade malých podnikov zo 40,9 na 50,9 dní a v prípade stredných podnikov zo 45,1 na 53,8 dní. Zatiaľ čo v kategórii stredných podnikov nasledovala v ďalších rokoch mierna korekcia v kategóriách </w:t>
      </w:r>
      <w:proofErr w:type="spellStart"/>
      <w:r w:rsidRPr="009A6B10">
        <w:rPr>
          <w:lang w:eastAsia="cs-CZ"/>
        </w:rPr>
        <w:t>mikro</w:t>
      </w:r>
      <w:proofErr w:type="spellEnd"/>
      <w:r w:rsidRPr="009A6B10">
        <w:rPr>
          <w:lang w:eastAsia="cs-CZ"/>
        </w:rPr>
        <w:t xml:space="preserve"> a malých podnikov sa zvýšené úrovne doby splatnosti pohľadávok prakticky udržali. Doba splatnosti pohľadávok sa v prípade mikropodnikov medzi rokmi 2008 a 2011 predlžila o takmer 30 % a v prípade malých podnikov o vyše 21%.</w:t>
      </w:r>
    </w:p>
    <w:p w:rsidR="009A6B10" w:rsidRPr="009A6B10" w:rsidRDefault="009A6B10" w:rsidP="009A6B10">
      <w:pPr>
        <w:spacing w:before="120" w:after="120"/>
        <w:rPr>
          <w:sz w:val="22"/>
          <w:szCs w:val="22"/>
        </w:rPr>
      </w:pPr>
    </w:p>
    <w:p w:rsidR="009A6B10" w:rsidRPr="009A6B10" w:rsidRDefault="009A6B10" w:rsidP="009A6B10">
      <w:pPr>
        <w:rPr>
          <w:sz w:val="28"/>
          <w:szCs w:val="28"/>
        </w:rPr>
      </w:pPr>
      <w:r w:rsidRPr="009A6B10">
        <w:rPr>
          <w:sz w:val="28"/>
          <w:szCs w:val="28"/>
        </w:rPr>
        <w:t>Charakteristika zamestnanosti v MSP na Slovensku</w:t>
      </w:r>
    </w:p>
    <w:p w:rsidR="009A6B10" w:rsidRPr="009A6B10" w:rsidRDefault="009A6B10" w:rsidP="009A6B10">
      <w:pPr>
        <w:tabs>
          <w:tab w:val="left" w:pos="709"/>
          <w:tab w:val="left" w:pos="992"/>
        </w:tabs>
        <w:spacing w:before="120" w:after="120"/>
        <w:jc w:val="both"/>
        <w:rPr>
          <w:b/>
          <w:i/>
        </w:rPr>
      </w:pPr>
      <w:r w:rsidRPr="009A6B10">
        <w:rPr>
          <w:b/>
          <w:i/>
        </w:rPr>
        <w:t>Malé a stredné podniky sú hlavnými tvorcami pracovných miest tak na Slovensku, ako aj v Európskej únii. Systémové zlepšovanie podmienok na podnikanie malých a stredných podnikov je preto kľúčové pri vytváraní nových pracovných miest a znižovaní miery nezamestnanosti.</w:t>
      </w:r>
    </w:p>
    <w:p w:rsidR="009A6B10" w:rsidRPr="009A6B10" w:rsidRDefault="009A6B10" w:rsidP="009A6B10">
      <w:pPr>
        <w:tabs>
          <w:tab w:val="left" w:pos="709"/>
          <w:tab w:val="left" w:pos="992"/>
        </w:tabs>
        <w:spacing w:before="120" w:after="120"/>
        <w:jc w:val="both"/>
      </w:pPr>
      <w:r w:rsidRPr="009A6B10">
        <w:t>V roku 2012 bol podľa štvrťročného podnikového výkazníctva ŠÚ SR priemerný počet zamestnaných osôb</w:t>
      </w:r>
      <w:r w:rsidRPr="009A6B10">
        <w:rPr>
          <w:bCs/>
        </w:rPr>
        <w:t xml:space="preserve"> </w:t>
      </w:r>
      <w:r w:rsidRPr="009A6B10">
        <w:t>v národnom hospodárstve SR 2 191,3</w:t>
      </w:r>
      <w:r w:rsidRPr="009A6B10">
        <w:rPr>
          <w:b/>
        </w:rPr>
        <w:t> </w:t>
      </w:r>
      <w:r w:rsidRPr="009A6B10">
        <w:rPr>
          <w:bCs/>
        </w:rPr>
        <w:t>tisíc. V porovnaní s rokom 2011 zaznamenala z</w:t>
      </w:r>
      <w:r w:rsidR="00F311EE">
        <w:rPr>
          <w:bCs/>
        </w:rPr>
        <w:t>amestnanosť mierny pokles o 0,1</w:t>
      </w:r>
      <w:r w:rsidRPr="009A6B10">
        <w:rPr>
          <w:bCs/>
        </w:rPr>
        <w:t xml:space="preserve">% (o 1,3 tisíc osôb). </w:t>
      </w:r>
      <w:r w:rsidRPr="009A6B10">
        <w:t>Z celkového počtu zamestnaných osôb v národnom hospodárstve SR (2 191,3</w:t>
      </w:r>
      <w:r w:rsidRPr="009A6B10">
        <w:rPr>
          <w:b/>
        </w:rPr>
        <w:t> </w:t>
      </w:r>
      <w:r w:rsidRPr="009A6B10">
        <w:t>tisíc) bolo 1 815,0 tis. osôb (podľa štvrťročného podnikového výkazníctva) zamestnaných v ziskovo orientovanom podnikovom sektore. Malé a stredné p</w:t>
      </w:r>
      <w:r w:rsidR="00F311EE">
        <w:t>odniky v roku 2012 tvorili 71,8</w:t>
      </w:r>
      <w:r w:rsidRPr="009A6B10">
        <w:t>% podiel na zamestnanosti v podni</w:t>
      </w:r>
      <w:r w:rsidR="00F311EE">
        <w:t>kovej ekonomike a 59,5</w:t>
      </w:r>
      <w:r w:rsidRPr="009A6B10">
        <w:t xml:space="preserve">% podiel na celkovej zamestnanosti v hospodárstve SR (podľa štvrťročného podnikového výkazníctva ŠÚ SR). V porovnaní s rokom 2011 sa podiel malých a stredných podnikov na zamestnanosti v podnikovej ekonomike znížil o 0,4 p. b. </w:t>
      </w:r>
    </w:p>
    <w:p w:rsidR="009A6B10" w:rsidRPr="009A6B10" w:rsidRDefault="009A6B10" w:rsidP="009A6B10">
      <w:pPr>
        <w:spacing w:before="120" w:after="120"/>
        <w:rPr>
          <w:b/>
          <w:i/>
        </w:rPr>
      </w:pPr>
      <w:r w:rsidRPr="009A6B10">
        <w:rPr>
          <w:b/>
          <w:i/>
        </w:rPr>
        <w:t xml:space="preserve">Graf č.9 </w:t>
      </w:r>
    </w:p>
    <w:p w:rsidR="009A6B10" w:rsidRPr="009A6B10" w:rsidRDefault="00CB5F71" w:rsidP="009A6B10">
      <w:pPr>
        <w:spacing w:before="120" w:after="120"/>
        <w:rPr>
          <w:sz w:val="22"/>
          <w:szCs w:val="22"/>
        </w:rPr>
      </w:pPr>
      <w:r>
        <w:rPr>
          <w:noProof/>
        </w:rPr>
        <w:pict>
          <v:shape id="Obrázok 18" o:spid="_x0000_i1049" type="#_x0000_t75" style="width:383.25pt;height:189pt;visibility:visible">
            <v:imagedata r:id="rId41" o:title=""/>
          </v:shape>
        </w:pic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Štatistický úrad SR, spracované NARMSP</w:t>
      </w:r>
    </w:p>
    <w:p w:rsidR="00F311EE" w:rsidRPr="009A6B10" w:rsidRDefault="009A6B10" w:rsidP="009A6B10">
      <w:pPr>
        <w:tabs>
          <w:tab w:val="left" w:pos="709"/>
          <w:tab w:val="left" w:pos="992"/>
        </w:tabs>
        <w:spacing w:before="120" w:after="120"/>
        <w:jc w:val="both"/>
      </w:pPr>
      <w:r w:rsidRPr="009A6B10">
        <w:t>Z pohľadu jednotlivých veľkostných kategórií a právnych foriem sa na celkovej zamestnanosti v podnikateľskom sektore v roku 2012 podieľali FO – podnikatelia (FO – podnikatelia a nimi zamestnávané osoby)</w:t>
      </w:r>
      <w:r w:rsidR="00F311EE">
        <w:t xml:space="preserve"> 36,0</w:t>
      </w:r>
      <w:r w:rsidRPr="009A6B10">
        <w:t xml:space="preserve">%, </w:t>
      </w:r>
      <w:proofErr w:type="spellStart"/>
      <w:r w:rsidRPr="009A6B10">
        <w:t>mikro</w:t>
      </w:r>
      <w:proofErr w:type="spellEnd"/>
      <w:r w:rsidRPr="009A6B10">
        <w:t xml:space="preserve"> po</w:t>
      </w:r>
      <w:r w:rsidR="00F311EE">
        <w:t>dniky 11,7 %, malé podniky 10,2</w:t>
      </w:r>
      <w:r w:rsidRPr="009A6B10">
        <w:t>%</w:t>
      </w:r>
      <w:r w:rsidR="00F311EE">
        <w:t xml:space="preserve"> (pričom), stredné podniky 14,0% a veľké podniky 28,2</w:t>
      </w:r>
      <w:r w:rsidRPr="009A6B10">
        <w:t>%. V grafe č. 10 je znázornená celková štruktúra zamestnanosti v podnikovej ekonomike v roku 2012 podľa veľkostných kategórií podnikov (vrátane FO – podnikateľov), ktorá bola spracovaná na základe údajov ŠÚ SR a odhadu NAR</w:t>
      </w:r>
      <w:r w:rsidR="00F311EE">
        <w:t xml:space="preserve">MSP. </w:t>
      </w:r>
      <w:proofErr w:type="spellStart"/>
      <w:r w:rsidR="00F311EE">
        <w:t>Mikro</w:t>
      </w:r>
      <w:proofErr w:type="spellEnd"/>
      <w:r w:rsidR="00F311EE">
        <w:t xml:space="preserve"> podniky tvorili 45,5</w:t>
      </w:r>
      <w:r w:rsidRPr="009A6B10">
        <w:t>% podiel na z</w:t>
      </w:r>
      <w:r w:rsidR="00F311EE">
        <w:t>amestnanosti, malé podniky 11,9</w:t>
      </w:r>
      <w:r w:rsidRPr="009A6B10">
        <w:t>% podiel, stredné podniky 14,</w:t>
      </w:r>
      <w:r w:rsidR="00F311EE">
        <w:t>3% podiel a veľké podniky 28,2</w:t>
      </w:r>
      <w:r w:rsidRPr="009A6B10">
        <w:t xml:space="preserve">% podiel na zamestnanosti v podnikovej ekonomike. </w:t>
      </w:r>
    </w:p>
    <w:p w:rsidR="009A6B10" w:rsidRPr="009A6B10" w:rsidRDefault="009A6B10" w:rsidP="009A6B10">
      <w:pPr>
        <w:spacing w:before="120" w:after="120"/>
        <w:rPr>
          <w:b/>
          <w:i/>
        </w:rPr>
      </w:pPr>
      <w:r w:rsidRPr="009A6B10">
        <w:rPr>
          <w:b/>
          <w:i/>
        </w:rPr>
        <w:t>Graf č.10</w:t>
      </w:r>
    </w:p>
    <w:p w:rsidR="009A6B10" w:rsidRPr="009A6B10" w:rsidRDefault="00CB5F71" w:rsidP="009A6B10">
      <w:pPr>
        <w:spacing w:before="120" w:after="120"/>
      </w:pPr>
      <w:r>
        <w:rPr>
          <w:noProof/>
        </w:rPr>
        <w:lastRenderedPageBreak/>
        <w:pict>
          <v:shape id="Obrázok 19" o:spid="_x0000_i1050" type="#_x0000_t75" style="width:380.25pt;height:186.75pt;visibility:visible">
            <v:imagedata r:id="rId42" o:title=""/>
          </v:shape>
        </w:pic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Štatistický úrad SR, spracované NARMSP</w:t>
      </w:r>
    </w:p>
    <w:p w:rsidR="009A6B10" w:rsidRPr="009A6B10" w:rsidRDefault="009A6B10" w:rsidP="009A6B10">
      <w:pPr>
        <w:tabs>
          <w:tab w:val="left" w:pos="709"/>
          <w:tab w:val="left" w:pos="992"/>
        </w:tabs>
        <w:spacing w:before="120" w:after="120"/>
        <w:jc w:val="both"/>
      </w:pPr>
      <w:r w:rsidRPr="009A6B10">
        <w:t xml:space="preserve">V porovnaní s predkrízovým rokom 2008 bol v roku 2012 priemerný počet zamestnaných osôb v malých a stredných podnikoch nižší o takmer 46 tisíc osôb. </w:t>
      </w:r>
    </w:p>
    <w:p w:rsidR="009A6B10" w:rsidRPr="009A6B10" w:rsidRDefault="009A6B10" w:rsidP="009A6B10">
      <w:pPr>
        <w:spacing w:before="120" w:after="120"/>
        <w:rPr>
          <w:b/>
          <w:i/>
        </w:rPr>
      </w:pPr>
      <w:r w:rsidRPr="009A6B10">
        <w:rPr>
          <w:b/>
          <w:i/>
        </w:rPr>
        <w:t>Graf č.18</w:t>
      </w:r>
    </w:p>
    <w:p w:rsidR="00C94238" w:rsidRDefault="00CB5F71" w:rsidP="009A6B10">
      <w:pPr>
        <w:spacing w:before="120" w:after="120"/>
      </w:pPr>
      <w:r>
        <w:rPr>
          <w:noProof/>
        </w:rPr>
        <w:pict>
          <v:shape id="Obrázok 20" o:spid="_x0000_i1051" type="#_x0000_t75" style="width:406.5pt;height:205.5pt;visibility:visible">
            <v:imagedata r:id="rId43" o:title=""/>
          </v:shape>
        </w:pict>
      </w:r>
      <w:r w:rsidR="009A6B10" w:rsidRPr="009A6B10" w:rsidDel="00E6043F">
        <w:t xml:space="preserve"> </w:t>
      </w:r>
    </w:p>
    <w:p w:rsidR="009A6B10" w:rsidRPr="009A6B10" w:rsidRDefault="009A6B10" w:rsidP="009A6B10">
      <w:pPr>
        <w:spacing w:before="120" w:after="120"/>
        <w:rPr>
          <w:sz w:val="22"/>
          <w:szCs w:val="22"/>
        </w:rPr>
      </w:pPr>
      <w:r w:rsidRPr="009A6B10">
        <w:rPr>
          <w:b/>
          <w:sz w:val="22"/>
          <w:szCs w:val="22"/>
        </w:rPr>
        <w:t>Zdroj</w:t>
      </w:r>
      <w:r w:rsidRPr="009A6B10">
        <w:rPr>
          <w:sz w:val="22"/>
          <w:szCs w:val="22"/>
        </w:rPr>
        <w:t>: Štatistický úrad SR, spracované NARMSP</w:t>
      </w:r>
    </w:p>
    <w:p w:rsidR="009A6B10" w:rsidRPr="009A6B10" w:rsidRDefault="009A6B10" w:rsidP="009A6B10">
      <w:pPr>
        <w:rPr>
          <w:sz w:val="22"/>
          <w:szCs w:val="22"/>
        </w:rPr>
      </w:pPr>
    </w:p>
    <w:p w:rsidR="009A6B10" w:rsidRPr="009A6B10" w:rsidRDefault="009A6B10" w:rsidP="009A6B10">
      <w:pPr>
        <w:rPr>
          <w:sz w:val="28"/>
          <w:szCs w:val="28"/>
        </w:rPr>
      </w:pPr>
      <w:r w:rsidRPr="009A6B10">
        <w:rPr>
          <w:sz w:val="28"/>
          <w:szCs w:val="28"/>
        </w:rPr>
        <w:t>Rámec EÚ pre tvorbu politiky MSP</w:t>
      </w:r>
    </w:p>
    <w:p w:rsidR="009A6B10" w:rsidRPr="009A6B10" w:rsidRDefault="009A6B10" w:rsidP="009A6B10">
      <w:pPr>
        <w:rPr>
          <w:sz w:val="22"/>
          <w:szCs w:val="22"/>
        </w:rPr>
      </w:pPr>
    </w:p>
    <w:p w:rsidR="009A6B10" w:rsidRPr="009A6B10" w:rsidRDefault="009A6B10" w:rsidP="009A6B10">
      <w:pPr>
        <w:rPr>
          <w:b/>
          <w:i/>
        </w:rPr>
      </w:pPr>
      <w:r w:rsidRPr="009A6B10">
        <w:rPr>
          <w:b/>
          <w:i/>
        </w:rPr>
        <w:t>Keďže aj EÚ si kladie za cieľ zvýšenie konkurencieschopnosti a rast zamestnanosti dostáva sa do pozornosti čoraz častejšie problematika týkajúca sa podnikania, podnikateľského prostredia a osobitne MSP. Táto snaha bola premietnutá do viacerých strategických iniciatív ktoré definujú politiky EÚ v daných oblastiach. Východiskom je Stratégia Európa 2020</w:t>
      </w:r>
      <w:r w:rsidRPr="009A6B10">
        <w:rPr>
          <w:rFonts w:eastAsia="Calibri"/>
          <w:b/>
          <w:i/>
          <w:vertAlign w:val="superscript"/>
        </w:rPr>
        <w:footnoteReference w:id="14"/>
      </w:r>
      <w:r w:rsidRPr="009A6B10">
        <w:rPr>
          <w:b/>
          <w:i/>
        </w:rPr>
        <w:t xml:space="preserve">, ktorá je základným strategickým rozvojovým dokumentom EÚ, pre oblasť malého a stredného podnikania je kľúčovou iniciatíva </w:t>
      </w:r>
      <w:proofErr w:type="spellStart"/>
      <w:r w:rsidRPr="009A6B10">
        <w:rPr>
          <w:b/>
          <w:i/>
        </w:rPr>
        <w:t>Small</w:t>
      </w:r>
      <w:proofErr w:type="spellEnd"/>
      <w:r w:rsidRPr="009A6B10">
        <w:rPr>
          <w:b/>
          <w:i/>
        </w:rPr>
        <w:t xml:space="preserve"> </w:t>
      </w:r>
      <w:proofErr w:type="spellStart"/>
      <w:r w:rsidRPr="009A6B10">
        <w:rPr>
          <w:b/>
          <w:i/>
        </w:rPr>
        <w:t>Business</w:t>
      </w:r>
      <w:proofErr w:type="spellEnd"/>
      <w:r w:rsidRPr="009A6B10">
        <w:rPr>
          <w:b/>
          <w:i/>
        </w:rPr>
        <w:t xml:space="preserve"> </w:t>
      </w:r>
      <w:proofErr w:type="spellStart"/>
      <w:r w:rsidRPr="009A6B10">
        <w:rPr>
          <w:b/>
          <w:i/>
        </w:rPr>
        <w:t>Act</w:t>
      </w:r>
      <w:proofErr w:type="spellEnd"/>
      <w:r w:rsidRPr="009A6B10">
        <w:rPr>
          <w:b/>
          <w:i/>
        </w:rPr>
        <w:t xml:space="preserve"> (SBA), ďalšími významnými iniciatívami s dopadom na podnikateľské prostredie a podnikanie sú Akčný </w:t>
      </w:r>
      <w:r w:rsidRPr="009A6B10">
        <w:rPr>
          <w:b/>
          <w:i/>
        </w:rPr>
        <w:lastRenderedPageBreak/>
        <w:t>plán pre podnikanie 2020</w:t>
      </w:r>
      <w:r w:rsidRPr="009A6B10">
        <w:rPr>
          <w:rFonts w:eastAsia="Calibri"/>
          <w:b/>
          <w:i/>
          <w:vertAlign w:val="superscript"/>
        </w:rPr>
        <w:footnoteReference w:id="15"/>
      </w:r>
      <w:r w:rsidRPr="009A6B10">
        <w:rPr>
          <w:b/>
          <w:i/>
        </w:rPr>
        <w:t xml:space="preserve">. Vláda Slovenskej republiky sa v programovom vyhlásení vlády z roku 2012 explicitne zaviazala rozšíriť uplatňovanie európskych zásad rozvoja malého a stredného podnikania prostredníctvom iniciatívy </w:t>
      </w:r>
      <w:proofErr w:type="spellStart"/>
      <w:r w:rsidRPr="009A6B10">
        <w:rPr>
          <w:b/>
          <w:i/>
        </w:rPr>
        <w:t>Small</w:t>
      </w:r>
      <w:proofErr w:type="spellEnd"/>
      <w:r w:rsidRPr="009A6B10">
        <w:rPr>
          <w:b/>
          <w:i/>
        </w:rPr>
        <w:t xml:space="preserve"> </w:t>
      </w:r>
      <w:proofErr w:type="spellStart"/>
      <w:r w:rsidRPr="009A6B10">
        <w:rPr>
          <w:b/>
          <w:i/>
        </w:rPr>
        <w:t>Business</w:t>
      </w:r>
      <w:proofErr w:type="spellEnd"/>
      <w:r w:rsidRPr="009A6B10">
        <w:rPr>
          <w:b/>
          <w:i/>
        </w:rPr>
        <w:t xml:space="preserve"> </w:t>
      </w:r>
      <w:proofErr w:type="spellStart"/>
      <w:r w:rsidRPr="009A6B10">
        <w:rPr>
          <w:b/>
          <w:i/>
        </w:rPr>
        <w:t>Act</w:t>
      </w:r>
      <w:proofErr w:type="spellEnd"/>
      <w:r w:rsidRPr="009A6B10">
        <w:rPr>
          <w:b/>
          <w:i/>
        </w:rPr>
        <w:t xml:space="preserve"> na Slovensku. SBA stavia na úspechoch politík Európskej komisie a členských štátov a vytvára nový politický rámec, ktorý zahŕňa politické a ekonomické nástroje v oblasti podpory podnikania. SBA vychádza a nadväzuje na Európsku chartu pre malé podniky, ktorá v r. 2000 po prvýkrát definovala politiku podpory MSP v rámci EÚ. </w:t>
      </w:r>
    </w:p>
    <w:p w:rsidR="009A6B10" w:rsidRPr="009A6B10" w:rsidRDefault="009A6B10" w:rsidP="009A6B10">
      <w:pPr>
        <w:rPr>
          <w:sz w:val="28"/>
          <w:szCs w:val="28"/>
        </w:rPr>
      </w:pPr>
    </w:p>
    <w:p w:rsidR="009A6B10" w:rsidRPr="009A6B10" w:rsidRDefault="009A6B10" w:rsidP="009A6B10">
      <w:pPr>
        <w:rPr>
          <w:sz w:val="28"/>
          <w:szCs w:val="28"/>
        </w:rPr>
      </w:pPr>
      <w:r w:rsidRPr="009A6B10">
        <w:rPr>
          <w:sz w:val="28"/>
          <w:szCs w:val="28"/>
        </w:rPr>
        <w:t>Zákon o malých a stredných podnikoch (</w:t>
      </w:r>
      <w:proofErr w:type="spellStart"/>
      <w:r w:rsidRPr="009A6B10">
        <w:rPr>
          <w:sz w:val="28"/>
          <w:szCs w:val="28"/>
        </w:rPr>
        <w:t>Small</w:t>
      </w:r>
      <w:proofErr w:type="spellEnd"/>
      <w:r w:rsidRPr="009A6B10">
        <w:rPr>
          <w:sz w:val="28"/>
          <w:szCs w:val="28"/>
        </w:rPr>
        <w:t xml:space="preserve"> </w:t>
      </w:r>
      <w:proofErr w:type="spellStart"/>
      <w:r w:rsidRPr="009A6B10">
        <w:rPr>
          <w:sz w:val="28"/>
          <w:szCs w:val="28"/>
        </w:rPr>
        <w:t>Business</w:t>
      </w:r>
      <w:proofErr w:type="spellEnd"/>
      <w:r w:rsidRPr="009A6B10">
        <w:rPr>
          <w:sz w:val="28"/>
          <w:szCs w:val="28"/>
        </w:rPr>
        <w:t xml:space="preserve"> </w:t>
      </w:r>
      <w:proofErr w:type="spellStart"/>
      <w:r w:rsidRPr="009A6B10">
        <w:rPr>
          <w:sz w:val="28"/>
          <w:szCs w:val="28"/>
        </w:rPr>
        <w:t>Act</w:t>
      </w:r>
      <w:proofErr w:type="spellEnd"/>
      <w:r w:rsidRPr="009A6B10">
        <w:rPr>
          <w:sz w:val="28"/>
          <w:szCs w:val="28"/>
        </w:rPr>
        <w:t>)</w:t>
      </w:r>
    </w:p>
    <w:p w:rsidR="009A6B10" w:rsidRPr="009A6B10" w:rsidRDefault="009A6B10" w:rsidP="009A6B10">
      <w:pPr>
        <w:spacing w:before="120" w:after="120"/>
        <w:jc w:val="both"/>
      </w:pPr>
      <w:r w:rsidRPr="009A6B10">
        <w:t>Význam MSP pre európsku ekonomiku je zdôrazňovaný aj na najvyššej politickej  úrovni. Na zasadnutí Európskej rady v marci 2008 bola vyjadrená silná podpora iniciatíve v oblasti ďalšieho posilňovania MSP - nazvanej „</w:t>
      </w:r>
      <w:proofErr w:type="spellStart"/>
      <w:r w:rsidRPr="009A6B10">
        <w:rPr>
          <w:i/>
        </w:rPr>
        <w:t>Small</w:t>
      </w:r>
      <w:proofErr w:type="spellEnd"/>
      <w:r w:rsidRPr="009A6B10">
        <w:rPr>
          <w:i/>
        </w:rPr>
        <w:t xml:space="preserve"> </w:t>
      </w:r>
      <w:proofErr w:type="spellStart"/>
      <w:r w:rsidRPr="009A6B10">
        <w:rPr>
          <w:i/>
        </w:rPr>
        <w:t>Business</w:t>
      </w:r>
      <w:proofErr w:type="spellEnd"/>
      <w:r w:rsidRPr="009A6B10">
        <w:rPr>
          <w:i/>
        </w:rPr>
        <w:t xml:space="preserve"> </w:t>
      </w:r>
      <w:proofErr w:type="spellStart"/>
      <w:r w:rsidRPr="009A6B10">
        <w:rPr>
          <w:i/>
        </w:rPr>
        <w:t>Act</w:t>
      </w:r>
      <w:proofErr w:type="spellEnd"/>
      <w:r w:rsidRPr="009A6B10">
        <w:t>“ (SBA) pre Európu. Iniciatíva sa zameriavala na MSP z pohľadu zlepšovania ich udržateľného rastu a konkurencieschopnosti. Zamýšľaným cieľom bolo zlepšiť celkový politický prístup k podnikaniu, natrvalo zabudovať zásadu „najskôr myslieť v malom“ do procesu vytvárania politík, od regulácie  až k verejným službám a podporovať rast MSP poskytovaním pomoci pri zvládaní problémov, ktoré im bránia v rozvoji. Najhlavnejšie dôvody, pre ktoré sa rozhodla Európska komisia rozhodla predstaviť „</w:t>
      </w:r>
      <w:proofErr w:type="spellStart"/>
      <w:r w:rsidRPr="009A6B10">
        <w:t>Small</w:t>
      </w:r>
      <w:proofErr w:type="spellEnd"/>
      <w:r w:rsidRPr="009A6B10">
        <w:t xml:space="preserve"> </w:t>
      </w:r>
      <w:proofErr w:type="spellStart"/>
      <w:r w:rsidRPr="009A6B10">
        <w:t>Business</w:t>
      </w:r>
      <w:proofErr w:type="spellEnd"/>
      <w:r w:rsidRPr="009A6B10">
        <w:t xml:space="preserve"> </w:t>
      </w:r>
      <w:proofErr w:type="spellStart"/>
      <w:r w:rsidRPr="009A6B10">
        <w:t>Act</w:t>
      </w:r>
      <w:proofErr w:type="spellEnd"/>
      <w:r w:rsidRPr="009A6B10">
        <w:t xml:space="preserve">“ (SBA) pre Európu boli: </w:t>
      </w:r>
    </w:p>
    <w:p w:rsidR="009A6B10" w:rsidRPr="009A6B10" w:rsidRDefault="009A6B10" w:rsidP="00D1230F">
      <w:pPr>
        <w:numPr>
          <w:ilvl w:val="0"/>
          <w:numId w:val="32"/>
        </w:numPr>
        <w:spacing w:before="120" w:after="120"/>
        <w:jc w:val="both"/>
      </w:pPr>
      <w:r w:rsidRPr="009A6B10">
        <w:t>Nedostatočný rast zamestnanosti vo firmách. Za sedem rokov po ich založení vzrastie v </w:t>
      </w:r>
      <w:r w:rsidR="00F311EE">
        <w:t>EÚ v priemere zamestnanosť o 10% až 20</w:t>
      </w:r>
      <w:r w:rsidRPr="009A6B10">
        <w:t>%. Pričom napr.</w:t>
      </w:r>
      <w:r w:rsidR="00F311EE">
        <w:t xml:space="preserve"> v USA narastie v priemere o 60</w:t>
      </w:r>
      <w:r w:rsidRPr="009A6B10">
        <w:t xml:space="preserve">%. Rozdiel je pravdepodobne spojený s rôznymi prístupmi k politike trhu práce. </w:t>
      </w:r>
    </w:p>
    <w:p w:rsidR="009A6B10" w:rsidRPr="009A6B10" w:rsidRDefault="009A6B10" w:rsidP="00D1230F">
      <w:pPr>
        <w:numPr>
          <w:ilvl w:val="0"/>
          <w:numId w:val="32"/>
        </w:numPr>
        <w:spacing w:before="120" w:after="120"/>
        <w:jc w:val="both"/>
      </w:pPr>
      <w:r w:rsidRPr="009A6B10">
        <w:t>MSP aj naďalej čelia prípadom zlyhania, ktoré sťažujú podmienky na ich podnikanie a konkurencieschopnosť v porovnaní s ostatnými hráčmi najmä v oblastiach, ako sú financie (predovšetkým rizi</w:t>
      </w:r>
      <w:r w:rsidR="00F311EE">
        <w:t>kový kapitál). Napríklad asi 21</w:t>
      </w:r>
      <w:r w:rsidRPr="009A6B10">
        <w:t>% MSP uvádza, že majú  problém dostať sa k finančným prostriedkom.</w:t>
      </w:r>
    </w:p>
    <w:p w:rsidR="009A6B10" w:rsidRPr="009A6B10" w:rsidRDefault="009A6B10" w:rsidP="00D1230F">
      <w:pPr>
        <w:numPr>
          <w:ilvl w:val="0"/>
          <w:numId w:val="32"/>
        </w:numPr>
        <w:spacing w:before="120" w:after="120"/>
        <w:jc w:val="both"/>
      </w:pPr>
      <w:r w:rsidRPr="009A6B10">
        <w:t>Nedostatočné výsledky a sťažené podmienky majú MSP aj v oblasti výskumu, inovácií a regulácií týkajúcich sa životného prostredia.</w:t>
      </w:r>
    </w:p>
    <w:p w:rsidR="009A6B10" w:rsidRPr="009A6B10" w:rsidRDefault="009A6B10" w:rsidP="00D1230F">
      <w:pPr>
        <w:numPr>
          <w:ilvl w:val="0"/>
          <w:numId w:val="32"/>
        </w:numPr>
        <w:spacing w:before="120" w:after="120"/>
        <w:jc w:val="both"/>
      </w:pPr>
      <w:r w:rsidRPr="009A6B10">
        <w:t>Situáciu zhoršuje nedostatok manažérskych a technických kvalifikovaných síl a pretrvávajúca  strnulosť trhu práce.</w:t>
      </w:r>
    </w:p>
    <w:p w:rsidR="009A6B10" w:rsidRPr="009A6B10" w:rsidRDefault="009A6B10" w:rsidP="009A6B10">
      <w:pPr>
        <w:spacing w:before="120" w:after="120"/>
        <w:jc w:val="both"/>
      </w:pPr>
      <w:r w:rsidRPr="009A6B10">
        <w:t xml:space="preserve">Okrem riešenia týchto problematických oblastí vychádza iniciatíva SBA aj z presvedčenia, že vytvorenie tých najlepších možných  podmienok pre MSP závisí od spoločenského uznania, ktorého sa podnikateľom  dostane. Celková klíma v spoločnosti by mala viesť jednotlivcov k tomu, aby možnosť založiť si vlastnú firmu považovali za atraktívnu a uvedomili si, že MSP významne  prispievajú k rastu zamestnanosti a k ekonomickej prosperite. SBA pozostáva zo súboru 10 princípov, ktoré zakotvujú opatrenia pre podporu MSP v rôznych oblastiach. Tieto princípy je potrebné rešpektovať pri tvorbe pravidiel pre podporu MSP a pri zlepšovaní právneho a administratívneho prostredia. Jednotlivým princípom SBA z pohľadu ich uplatňovania v praxi je venovaná samostatná kapitola v ďalšej časti materiálu. Medzi významné aktivity EK v tomto smere patrí vytvorenie štruktúry vyslancov pre MSP (SME </w:t>
      </w:r>
      <w:proofErr w:type="spellStart"/>
      <w:r w:rsidRPr="009A6B10">
        <w:t>Envoys</w:t>
      </w:r>
      <w:proofErr w:type="spellEnd"/>
      <w:r w:rsidRPr="009A6B10">
        <w:t xml:space="preserve">) v máji 2011. Úloha vyslancov pre MSP je monitorovať implementáciu SBA v jednotlivých členských krajinách, koordinovať iniciatívy a navrhovať </w:t>
      </w:r>
      <w:r w:rsidRPr="009A6B10">
        <w:lastRenderedPageBreak/>
        <w:t>opatrenia na zlepšenie postavenia MSP. Na Slovensku pozíciu Vyslanca pre MSP zastáva GR Národnej agentúry pre rozvoj malého a stredného podnikania (NARMSP).</w:t>
      </w:r>
    </w:p>
    <w:p w:rsidR="009A6B10" w:rsidRPr="009A6B10" w:rsidRDefault="009A6B10" w:rsidP="009A6B10">
      <w:pPr>
        <w:rPr>
          <w:sz w:val="28"/>
          <w:szCs w:val="28"/>
        </w:rPr>
      </w:pPr>
      <w:bookmarkStart w:id="0" w:name="_Toc353976654"/>
      <w:bookmarkStart w:id="1" w:name="_Toc355629394"/>
      <w:r w:rsidRPr="009A6B10">
        <w:rPr>
          <w:sz w:val="28"/>
          <w:szCs w:val="28"/>
        </w:rPr>
        <w:t>Stratégia Európa 2020</w:t>
      </w:r>
      <w:bookmarkEnd w:id="0"/>
      <w:bookmarkEnd w:id="1"/>
      <w:r w:rsidRPr="009A6B10">
        <w:rPr>
          <w:sz w:val="28"/>
          <w:szCs w:val="28"/>
        </w:rPr>
        <w:t xml:space="preserve"> (</w:t>
      </w:r>
      <w:proofErr w:type="spellStart"/>
      <w:r w:rsidRPr="009A6B10">
        <w:rPr>
          <w:sz w:val="28"/>
          <w:szCs w:val="28"/>
        </w:rPr>
        <w:t>Europe</w:t>
      </w:r>
      <w:proofErr w:type="spellEnd"/>
      <w:r w:rsidRPr="009A6B10">
        <w:rPr>
          <w:sz w:val="28"/>
          <w:szCs w:val="28"/>
        </w:rPr>
        <w:t xml:space="preserve"> 2020 - A </w:t>
      </w:r>
      <w:proofErr w:type="spellStart"/>
      <w:r w:rsidRPr="009A6B10">
        <w:rPr>
          <w:sz w:val="28"/>
          <w:szCs w:val="28"/>
        </w:rPr>
        <w:t>European</w:t>
      </w:r>
      <w:proofErr w:type="spellEnd"/>
      <w:r w:rsidRPr="009A6B10">
        <w:rPr>
          <w:sz w:val="28"/>
          <w:szCs w:val="28"/>
        </w:rPr>
        <w:t xml:space="preserve"> </w:t>
      </w:r>
      <w:proofErr w:type="spellStart"/>
      <w:r w:rsidRPr="009A6B10">
        <w:rPr>
          <w:sz w:val="28"/>
          <w:szCs w:val="28"/>
        </w:rPr>
        <w:t>strategy</w:t>
      </w:r>
      <w:proofErr w:type="spellEnd"/>
      <w:r w:rsidRPr="009A6B10">
        <w:rPr>
          <w:sz w:val="28"/>
          <w:szCs w:val="28"/>
        </w:rPr>
        <w:t xml:space="preserve"> </w:t>
      </w:r>
      <w:proofErr w:type="spellStart"/>
      <w:r w:rsidRPr="009A6B10">
        <w:rPr>
          <w:sz w:val="28"/>
          <w:szCs w:val="28"/>
        </w:rPr>
        <w:t>for</w:t>
      </w:r>
      <w:proofErr w:type="spellEnd"/>
      <w:r w:rsidRPr="009A6B10">
        <w:rPr>
          <w:sz w:val="28"/>
          <w:szCs w:val="28"/>
        </w:rPr>
        <w:t xml:space="preserve"> </w:t>
      </w:r>
      <w:proofErr w:type="spellStart"/>
      <w:r w:rsidRPr="009A6B10">
        <w:rPr>
          <w:sz w:val="28"/>
          <w:szCs w:val="28"/>
        </w:rPr>
        <w:t>smart</w:t>
      </w:r>
      <w:proofErr w:type="spellEnd"/>
      <w:r w:rsidRPr="009A6B10">
        <w:rPr>
          <w:sz w:val="28"/>
          <w:szCs w:val="28"/>
        </w:rPr>
        <w:t xml:space="preserve">, </w:t>
      </w:r>
      <w:proofErr w:type="spellStart"/>
      <w:r w:rsidRPr="009A6B10">
        <w:rPr>
          <w:sz w:val="28"/>
          <w:szCs w:val="28"/>
        </w:rPr>
        <w:t>sustainable</w:t>
      </w:r>
      <w:proofErr w:type="spellEnd"/>
      <w:r w:rsidRPr="009A6B10">
        <w:rPr>
          <w:sz w:val="28"/>
          <w:szCs w:val="28"/>
        </w:rPr>
        <w:t xml:space="preserve"> and </w:t>
      </w:r>
      <w:proofErr w:type="spellStart"/>
      <w:r w:rsidRPr="009A6B10">
        <w:rPr>
          <w:sz w:val="28"/>
          <w:szCs w:val="28"/>
        </w:rPr>
        <w:t>inclusive</w:t>
      </w:r>
      <w:proofErr w:type="spellEnd"/>
      <w:r w:rsidRPr="009A6B10">
        <w:rPr>
          <w:sz w:val="28"/>
          <w:szCs w:val="28"/>
        </w:rPr>
        <w:t xml:space="preserve"> </w:t>
      </w:r>
      <w:proofErr w:type="spellStart"/>
      <w:r w:rsidRPr="009A6B10">
        <w:rPr>
          <w:sz w:val="28"/>
          <w:szCs w:val="28"/>
        </w:rPr>
        <w:t>growth</w:t>
      </w:r>
      <w:proofErr w:type="spellEnd"/>
      <w:r w:rsidRPr="009A6B10">
        <w:rPr>
          <w:sz w:val="28"/>
          <w:szCs w:val="28"/>
        </w:rPr>
        <w:t>)</w:t>
      </w:r>
    </w:p>
    <w:p w:rsidR="009A6B10" w:rsidRPr="009A6B10" w:rsidRDefault="009A6B10" w:rsidP="009A6B10">
      <w:pPr>
        <w:tabs>
          <w:tab w:val="left" w:pos="6300"/>
        </w:tabs>
        <w:spacing w:before="120" w:after="120"/>
        <w:jc w:val="both"/>
      </w:pPr>
      <w:r w:rsidRPr="009A6B10">
        <w:t>V roku 2010 Európska rada schválila stratégiu pre ďalšie obdobie s názvom “</w:t>
      </w:r>
      <w:r w:rsidRPr="009A6B10">
        <w:rPr>
          <w:i/>
        </w:rPr>
        <w:t>Európa 2020</w:t>
      </w:r>
      <w:r w:rsidRPr="009A6B10">
        <w:t>”, ktorá nahradila Lisabonskú stratégiu. Podstatou stratégie je koordinácia hospodárskych politík a politík zamestnanosti s cieľom zabezpečiť rast a zamestnanosť v EÚ. Stratégia z obsahového hľadiska zastrešuje cielený výber tém, iniciatív a sektorových stratégií z politík EÚ, hlavne výskumu, vzdelávania, zamestnanosti a sociálnych záležitostí, informačnej spoločnosti, podnikania a priemyslu, energetiky, životného prostredia. Stratégia Európa 2020 je postavená na troch vzájomne prepojených prioritných oblastiach – inteligentnom raste, rozvoji hospodárstva založeného na znalostiach a inováciách, udržateľnom raste podporujúcom nízko emisné konkurencieschopné hospodárstvo s efektívnou spotrebou zdrojov  a </w:t>
      </w:r>
      <w:proofErr w:type="spellStart"/>
      <w:r w:rsidRPr="009A6B10">
        <w:t>inkluzívnom</w:t>
      </w:r>
      <w:proofErr w:type="spellEnd"/>
      <w:r w:rsidRPr="009A6B10">
        <w:t xml:space="preserve"> raste podporujúcom vysokú zamestnanosť, sociálnu a územnú súdržnosť. Z pohľadu MSP môžeme za najrelevantnejšie oblasti Stratégie Európa 2020 považovať podporu internacionalizácie, t. j. zlepšenie prístupu k jednotnému trhu a trhom mimo EÚ, zlepšenie prístupu k ochrane duševného vlastníctva, urýchlenie vytvorenia  </w:t>
      </w:r>
      <w:proofErr w:type="spellStart"/>
      <w:r w:rsidRPr="009A6B10">
        <w:t>interoperabilných</w:t>
      </w:r>
      <w:proofErr w:type="spellEnd"/>
      <w:r w:rsidRPr="009A6B10">
        <w:t xml:space="preserve"> noriem, zlepšenie prístupu ku kapitálu a plné využitie politík v oblasti dopytu, napr.  prostredníctvom verejného obstarávania a inteligentnej, resp. lepšej regulácie. Stratégia tiež pomáha vytvoriť podmienky pre rozsiahly rast MSP zameraný na dosiahnutie vedúcich pozícií na rozvíjajúcich sa trhoch a podporovať inovácie v oblasti informačných a komunikačných technológií. Dôležitým faktorom v rámci stratégie je aj spolupráca s Európskou investičnou bankou na udržanie a zvýšenie  poskytovania úverov MSP udržateľným tempom, ako aj tvorba synergií s Európskym investičným fondom prostredníctvom  operácií na rozdelenie rizika a vytvorenie európskeho fondu, ktorý bude poskytovať kapitál fondom investujúcim vo viacerých členských štátoch.</w:t>
      </w:r>
    </w:p>
    <w:p w:rsidR="009A6B10" w:rsidRPr="009A6B10" w:rsidRDefault="009A6B10" w:rsidP="009A6B10">
      <w:pPr>
        <w:rPr>
          <w:sz w:val="28"/>
          <w:szCs w:val="28"/>
        </w:rPr>
      </w:pPr>
      <w:bookmarkStart w:id="2" w:name="_Toc353976655"/>
      <w:bookmarkStart w:id="3" w:name="_Toc355629395"/>
      <w:r w:rsidRPr="009A6B10">
        <w:rPr>
          <w:sz w:val="28"/>
          <w:szCs w:val="28"/>
        </w:rPr>
        <w:t>Akčný plán pre podnikanie 2020</w:t>
      </w:r>
      <w:bookmarkEnd w:id="2"/>
      <w:bookmarkEnd w:id="3"/>
      <w:r w:rsidRPr="009A6B10">
        <w:rPr>
          <w:sz w:val="28"/>
          <w:szCs w:val="28"/>
        </w:rPr>
        <w:t xml:space="preserve"> (</w:t>
      </w:r>
      <w:proofErr w:type="spellStart"/>
      <w:r w:rsidRPr="009A6B10">
        <w:rPr>
          <w:sz w:val="28"/>
          <w:szCs w:val="28"/>
        </w:rPr>
        <w:t>Entrepreneurship</w:t>
      </w:r>
      <w:proofErr w:type="spellEnd"/>
      <w:r w:rsidRPr="009A6B10">
        <w:rPr>
          <w:sz w:val="28"/>
          <w:szCs w:val="28"/>
        </w:rPr>
        <w:t xml:space="preserve"> 2020 </w:t>
      </w:r>
      <w:proofErr w:type="spellStart"/>
      <w:r w:rsidRPr="009A6B10">
        <w:rPr>
          <w:sz w:val="28"/>
          <w:szCs w:val="28"/>
        </w:rPr>
        <w:t>Action</w:t>
      </w:r>
      <w:proofErr w:type="spellEnd"/>
      <w:r w:rsidRPr="009A6B10">
        <w:rPr>
          <w:sz w:val="28"/>
          <w:szCs w:val="28"/>
        </w:rPr>
        <w:t xml:space="preserve"> </w:t>
      </w:r>
      <w:proofErr w:type="spellStart"/>
      <w:r w:rsidRPr="009A6B10">
        <w:rPr>
          <w:sz w:val="28"/>
          <w:szCs w:val="28"/>
        </w:rPr>
        <w:t>Plan</w:t>
      </w:r>
      <w:proofErr w:type="spellEnd"/>
      <w:r w:rsidRPr="009A6B10">
        <w:rPr>
          <w:sz w:val="28"/>
          <w:szCs w:val="28"/>
        </w:rPr>
        <w:t>)</w:t>
      </w:r>
    </w:p>
    <w:p w:rsidR="009A6B10" w:rsidRPr="009A6B10" w:rsidRDefault="009A6B10" w:rsidP="009A6B10">
      <w:pPr>
        <w:spacing w:before="120" w:after="120"/>
        <w:jc w:val="both"/>
      </w:pPr>
      <w:r w:rsidRPr="009A6B10">
        <w:t>Heslom „Akčného plánu pre podnikanie 2020“ je, že Európa potrebuje viac podnikateľov, aby opäť zaznamenala rast a vyššiu mieru zamestnanosti. Podnikanie je totiž významnou hnacou silou hospodárskeho rastu a vytvárania pracovných miest. Akčný plán zároveň nadväzuje na iniciatívu SBA, ktorá je zameraná na zlepšenie celkového prístupu k podnikaniu. V EÚ  dlhodobo klesá podiel osôb preferujúcich samostatnú zárobkovú činnosť pred stálym zamestnaním. Kým pred tromi rokmi bola samo</w:t>
      </w:r>
      <w:r w:rsidR="000A76E2">
        <w:t>statná zárobková činnosť pre 45</w:t>
      </w:r>
      <w:r w:rsidRPr="009A6B10">
        <w:t>% Európanov prvou voľbou, v súčasnosti</w:t>
      </w:r>
      <w:r w:rsidR="000A76E2">
        <w:t xml:space="preserve"> sa toto percento znížilo na 37</w:t>
      </w:r>
      <w:r w:rsidRPr="009A6B10">
        <w:t>%. Potenciálni podnikatelia nemajú</w:t>
      </w:r>
      <w:r w:rsidRPr="009A6B10" w:rsidDel="002A4486">
        <w:t xml:space="preserve"> </w:t>
      </w:r>
      <w:r w:rsidRPr="009A6B10">
        <w:t>v Európe vo všeobecnosti priaznivé podmienky na začatie podnikania. Systém vzdelávania nevytvára dostatočné predpoklady na rozbehnutie podnikateľskej činnosti, podnikatelia majú zložitý prístup k financovaniu a externým trhom, pretrvávajú ťažkosti pri prevode podnikov, obavy zo sankcií v prípade porušenia povinností a neúmerná administratívna záťaž podnikania. Podľa Akčného plánu musí Európa prejsť dôkladnou a rozsiahlou kultúrnou zmenou. Je potrebné zabezpečiť, aby bolo podnikanie pre Európanov atraktívnou príležitosťou. Toto je možné dosiahnuť len prostredníctvom ambicióznych a koordinovaných opatrení všetkých relevantných orgánov na európskej, vnútroštátnej a regionálnej úrovni. Európska komisia v Akčnom pláne zdôrazňuje opatrenia v tých oblastiach, v ktorých sa po preskúmaní implementácie iniciatívy SBA zistila potreba ďalšieho zlepšovania na vnútroštátnej a európskej úrovni. Akčný plán navrhuje tri oblasti, v ktorých je potrebné prijať okamžité opatrenia:</w:t>
      </w:r>
    </w:p>
    <w:p w:rsidR="009A6B10" w:rsidRPr="009A6B10" w:rsidRDefault="009A6B10" w:rsidP="00D1230F">
      <w:pPr>
        <w:numPr>
          <w:ilvl w:val="0"/>
          <w:numId w:val="33"/>
        </w:numPr>
        <w:spacing w:before="120" w:after="120"/>
        <w:jc w:val="both"/>
      </w:pPr>
      <w:r w:rsidRPr="009A6B10">
        <w:t>vzdelávanie a odborná príprava v oblasti podnikania na podporu rastu a zakladania podnikov;</w:t>
      </w:r>
    </w:p>
    <w:p w:rsidR="009A6B10" w:rsidRPr="009A6B10" w:rsidRDefault="009A6B10" w:rsidP="00D1230F">
      <w:pPr>
        <w:numPr>
          <w:ilvl w:val="0"/>
          <w:numId w:val="33"/>
        </w:numPr>
        <w:spacing w:before="120" w:after="120"/>
        <w:jc w:val="both"/>
      </w:pPr>
      <w:r w:rsidRPr="009A6B10">
        <w:lastRenderedPageBreak/>
        <w:t>posilnenie rámcových podmienok pre podnikateľov odstránením existujúcich štrukturálnych prekážok a ich podporovaním v kľúčových fázach fungovania podniku;</w:t>
      </w:r>
    </w:p>
    <w:p w:rsidR="009A6B10" w:rsidRPr="009A6B10" w:rsidRDefault="009A6B10" w:rsidP="00D1230F">
      <w:pPr>
        <w:numPr>
          <w:ilvl w:val="0"/>
          <w:numId w:val="33"/>
        </w:numPr>
        <w:spacing w:before="120" w:after="120"/>
        <w:jc w:val="both"/>
      </w:pPr>
      <w:r w:rsidRPr="009A6B10">
        <w:t>zdynamizovanie kultúry podnikania v Európe: výchova novej generácie podnikateľov.</w:t>
      </w:r>
    </w:p>
    <w:p w:rsidR="009A6B10" w:rsidRPr="009A6B10" w:rsidRDefault="009A6B10" w:rsidP="009A6B10">
      <w:pPr>
        <w:spacing w:before="120" w:after="120"/>
        <w:rPr>
          <w:sz w:val="22"/>
          <w:szCs w:val="22"/>
        </w:rPr>
      </w:pPr>
    </w:p>
    <w:p w:rsidR="009A6B10" w:rsidRPr="009A6B10" w:rsidRDefault="009A6B10" w:rsidP="009A6B10">
      <w:pPr>
        <w:rPr>
          <w:sz w:val="28"/>
          <w:szCs w:val="28"/>
        </w:rPr>
      </w:pPr>
      <w:bookmarkStart w:id="4" w:name="_Toc364189012"/>
      <w:r w:rsidRPr="009A6B10">
        <w:rPr>
          <w:sz w:val="28"/>
          <w:szCs w:val="28"/>
        </w:rPr>
        <w:t>Analýza stavu MSP z hľadiska uplatňovania princípov SBA</w:t>
      </w:r>
      <w:bookmarkEnd w:id="4"/>
      <w:r w:rsidRPr="009A6B10">
        <w:rPr>
          <w:sz w:val="28"/>
          <w:szCs w:val="28"/>
        </w:rPr>
        <w:t xml:space="preserve"> </w:t>
      </w:r>
    </w:p>
    <w:p w:rsidR="009A6B10" w:rsidRPr="009A6B10" w:rsidRDefault="009A6B10" w:rsidP="009A6B10">
      <w:pPr>
        <w:spacing w:before="120" w:after="120"/>
        <w:jc w:val="both"/>
        <w:rPr>
          <w:szCs w:val="19"/>
        </w:rPr>
      </w:pPr>
      <w:proofErr w:type="spellStart"/>
      <w:r w:rsidRPr="009A6B10">
        <w:t>Small</w:t>
      </w:r>
      <w:proofErr w:type="spellEnd"/>
      <w:r w:rsidRPr="009A6B10">
        <w:t xml:space="preserve"> </w:t>
      </w:r>
      <w:proofErr w:type="spellStart"/>
      <w:r w:rsidRPr="009A6B10">
        <w:t>Business</w:t>
      </w:r>
      <w:proofErr w:type="spellEnd"/>
      <w:r w:rsidRPr="009A6B10">
        <w:t xml:space="preserve"> </w:t>
      </w:r>
      <w:proofErr w:type="spellStart"/>
      <w:r w:rsidRPr="009A6B10">
        <w:t>Act</w:t>
      </w:r>
      <w:proofErr w:type="spellEnd"/>
      <w:r w:rsidRPr="009A6B10">
        <w:t xml:space="preserve"> </w:t>
      </w:r>
      <w:proofErr w:type="spellStart"/>
      <w:r w:rsidRPr="009A6B10">
        <w:t>for</w:t>
      </w:r>
      <w:proofErr w:type="spellEnd"/>
      <w:r w:rsidRPr="009A6B10">
        <w:t xml:space="preserve"> </w:t>
      </w:r>
      <w:proofErr w:type="spellStart"/>
      <w:r w:rsidRPr="009A6B10">
        <w:t>Europe</w:t>
      </w:r>
      <w:proofErr w:type="spellEnd"/>
      <w:r w:rsidRPr="009A6B10">
        <w:t>, resp. Zákon o malých a stredných podnikoch (ďalej aj ako SBA) je hlavnou (vlajkovou) iniciatívou politiky EÚ na podporu malých a stredných podnikov. Implementácia SBA predstavuje pre Európsku úniu a jej jednotlivé členské štáty kľúčovú výzvu v rámci podpory malého a stredného podnikania a vytvárania vhodného podnikateľského prostredia aj pre tie najmenšie podniky, keďže typickými podnikmi v EÚ sú </w:t>
      </w:r>
      <w:proofErr w:type="spellStart"/>
      <w:r w:rsidRPr="009A6B10">
        <w:t>mikropodniky</w:t>
      </w:r>
      <w:proofErr w:type="spellEnd"/>
      <w:r w:rsidRPr="009A6B10">
        <w:t>, tvoriace až 91,8% zo všetkých malých a stredných podnikov. SBA v sebe zahŕňa všetky doterajšie parciálne kroky a iniciatívy EÚ, čím vytvára priestor pre reflektovanie relatívne rozsiahlej škály potrieb MSP. Zákon o malých a stredných podnikoch tvorí súbor 10 princípov (zásad)</w:t>
      </w:r>
      <w:r w:rsidRPr="009A6B10">
        <w:rPr>
          <w:rFonts w:eastAsia="Calibri"/>
          <w:vertAlign w:val="superscript"/>
        </w:rPr>
        <w:footnoteReference w:id="16"/>
      </w:r>
      <w:r w:rsidRPr="009A6B10">
        <w:t xml:space="preserve">. Vo všeobecnosti predstavuje východisko pre realizáciu politík, ktoré sú nevyhnutné na vytvorenie rovnakých podmienok pre všetky malé a stredné podniky v EÚ. Zároveň zahŕňa aj nástroje pre zlepšenie administratívneho a regulačného prostredia, ktoré MSP umožnia využiť svoj potenciál na vytváranie pracovných príležitostí a zabezpečenie rastu. </w:t>
      </w:r>
      <w:bookmarkStart w:id="5" w:name="_Toc364166729"/>
    </w:p>
    <w:p w:rsidR="009A6B10" w:rsidRPr="009A6B10" w:rsidRDefault="009A6B10" w:rsidP="009A6B10">
      <w:pPr>
        <w:keepNext/>
        <w:ind w:right="-290" w:firstLine="180"/>
        <w:jc w:val="center"/>
        <w:rPr>
          <w:rFonts w:cs="Arial"/>
          <w:bCs/>
        </w:rPr>
      </w:pPr>
      <w:r w:rsidRPr="009A6B10">
        <w:rPr>
          <w:rFonts w:cs="Arial"/>
          <w:bCs/>
        </w:rPr>
        <w:t>Tabuľka: Základné princípy Zákona o malých a stredných podnikoch</w:t>
      </w:r>
      <w:bookmarkEnd w:id="5"/>
    </w:p>
    <w:tbl>
      <w:tblPr>
        <w:tblW w:w="4942" w:type="pct"/>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61"/>
        <w:gridCol w:w="8717"/>
      </w:tblGrid>
      <w:tr w:rsidR="009A6B10" w:rsidRPr="009A6B10" w:rsidTr="00E124FA">
        <w:trPr>
          <w:jc w:val="center"/>
        </w:trPr>
        <w:tc>
          <w:tcPr>
            <w:tcW w:w="251" w:type="pct"/>
            <w:tcBorders>
              <w:top w:val="single" w:sz="12" w:space="0" w:color="auto"/>
            </w:tcBorders>
            <w:vAlign w:val="center"/>
          </w:tcPr>
          <w:p w:rsidR="009A6B10" w:rsidRPr="009A6B10" w:rsidRDefault="009A6B10" w:rsidP="009A6B10">
            <w:pPr>
              <w:jc w:val="center"/>
              <w:rPr>
                <w:sz w:val="18"/>
                <w:szCs w:val="18"/>
              </w:rPr>
            </w:pPr>
            <w:r w:rsidRPr="009A6B10">
              <w:rPr>
                <w:sz w:val="18"/>
                <w:szCs w:val="18"/>
              </w:rPr>
              <w:t>1.</w:t>
            </w:r>
          </w:p>
        </w:tc>
        <w:tc>
          <w:tcPr>
            <w:tcW w:w="4749" w:type="pct"/>
            <w:tcBorders>
              <w:top w:val="single" w:sz="12" w:space="0" w:color="auto"/>
            </w:tcBorders>
          </w:tcPr>
          <w:p w:rsidR="009A6B10" w:rsidRPr="009A6B10" w:rsidRDefault="009A6B10" w:rsidP="009A6B10">
            <w:pPr>
              <w:rPr>
                <w:sz w:val="18"/>
                <w:szCs w:val="18"/>
              </w:rPr>
            </w:pPr>
            <w:r w:rsidRPr="009A6B10">
              <w:rPr>
                <w:bCs/>
                <w:sz w:val="18"/>
                <w:szCs w:val="18"/>
              </w:rPr>
              <w:t xml:space="preserve">Vytvoriť prostredie, v ktorom môžu podnikatelia a rodinné podniky rásť a byť odmeňovaní za svoje podnikateľské úsilie </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2.</w:t>
            </w:r>
          </w:p>
        </w:tc>
        <w:tc>
          <w:tcPr>
            <w:tcW w:w="4749" w:type="pct"/>
          </w:tcPr>
          <w:p w:rsidR="009A6B10" w:rsidRPr="009A6B10" w:rsidRDefault="009A6B10" w:rsidP="009A6B10">
            <w:pPr>
              <w:rPr>
                <w:sz w:val="18"/>
                <w:szCs w:val="18"/>
              </w:rPr>
            </w:pPr>
            <w:r w:rsidRPr="009A6B10">
              <w:rPr>
                <w:bCs/>
                <w:sz w:val="18"/>
                <w:szCs w:val="18"/>
              </w:rPr>
              <w:t xml:space="preserve">Zabezpečiť, aby čestní podnikatelia, ktorí zbankrotovali, mohli rýchlo dostať druhú šancu </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3.</w:t>
            </w:r>
          </w:p>
        </w:tc>
        <w:tc>
          <w:tcPr>
            <w:tcW w:w="4749" w:type="pct"/>
          </w:tcPr>
          <w:p w:rsidR="009A6B10" w:rsidRPr="009A6B10" w:rsidRDefault="009A6B10" w:rsidP="009A6B10">
            <w:pPr>
              <w:rPr>
                <w:sz w:val="18"/>
                <w:szCs w:val="18"/>
              </w:rPr>
            </w:pPr>
            <w:r w:rsidRPr="009A6B10">
              <w:rPr>
                <w:bCs/>
                <w:sz w:val="18"/>
                <w:szCs w:val="18"/>
              </w:rPr>
              <w:t>Vytvárať pravidlá podľa zásady „najskôr myslieť v malom“</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4.</w:t>
            </w:r>
          </w:p>
        </w:tc>
        <w:tc>
          <w:tcPr>
            <w:tcW w:w="4749" w:type="pct"/>
          </w:tcPr>
          <w:p w:rsidR="009A6B10" w:rsidRPr="009A6B10" w:rsidRDefault="009A6B10" w:rsidP="009A6B10">
            <w:pPr>
              <w:rPr>
                <w:sz w:val="18"/>
                <w:szCs w:val="18"/>
              </w:rPr>
            </w:pPr>
            <w:r w:rsidRPr="009A6B10">
              <w:rPr>
                <w:bCs/>
                <w:sz w:val="18"/>
                <w:szCs w:val="18"/>
              </w:rPr>
              <w:t>Zariadiť, aby orgány verejnej správy reagovali na potreby MSP</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5.</w:t>
            </w:r>
          </w:p>
        </w:tc>
        <w:tc>
          <w:tcPr>
            <w:tcW w:w="4749" w:type="pct"/>
          </w:tcPr>
          <w:p w:rsidR="009A6B10" w:rsidRPr="009A6B10" w:rsidRDefault="009A6B10" w:rsidP="009A6B10">
            <w:pPr>
              <w:rPr>
                <w:sz w:val="18"/>
                <w:szCs w:val="18"/>
              </w:rPr>
            </w:pPr>
            <w:r w:rsidRPr="009A6B10">
              <w:rPr>
                <w:bCs/>
                <w:sz w:val="18"/>
                <w:szCs w:val="18"/>
              </w:rPr>
              <w:t>Prispôsobiť nástroje verejnej politiky potrebám MSP: uľahčiť MSP účasť na verejnom obstarávaní a lepšie využiť prostriedky štátnej pomoci pre MSP</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6.</w:t>
            </w:r>
          </w:p>
        </w:tc>
        <w:tc>
          <w:tcPr>
            <w:tcW w:w="4749" w:type="pct"/>
          </w:tcPr>
          <w:p w:rsidR="009A6B10" w:rsidRPr="009A6B10" w:rsidRDefault="009A6B10" w:rsidP="009A6B10">
            <w:pPr>
              <w:rPr>
                <w:sz w:val="18"/>
                <w:szCs w:val="18"/>
              </w:rPr>
            </w:pPr>
            <w:r w:rsidRPr="009A6B10">
              <w:rPr>
                <w:bCs/>
                <w:sz w:val="18"/>
                <w:szCs w:val="18"/>
              </w:rPr>
              <w:t>Uľahčiť MSP prístup k financiám a vytvoriť právne a podnikateľské prostredie, ktoré bude podporovať včasné úhrady obchodných transakcií</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7.</w:t>
            </w:r>
          </w:p>
        </w:tc>
        <w:tc>
          <w:tcPr>
            <w:tcW w:w="4749" w:type="pct"/>
          </w:tcPr>
          <w:p w:rsidR="009A6B10" w:rsidRPr="009A6B10" w:rsidRDefault="009A6B10" w:rsidP="009A6B10">
            <w:pPr>
              <w:rPr>
                <w:sz w:val="18"/>
                <w:szCs w:val="18"/>
              </w:rPr>
            </w:pPr>
            <w:r w:rsidRPr="009A6B10">
              <w:rPr>
                <w:bCs/>
                <w:sz w:val="18"/>
                <w:szCs w:val="18"/>
              </w:rPr>
              <w:t xml:space="preserve">Nabádať MSP na lepšie využívanie príležitostí, ktoré ponúka jednotný trh </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8.</w:t>
            </w:r>
          </w:p>
        </w:tc>
        <w:tc>
          <w:tcPr>
            <w:tcW w:w="4749" w:type="pct"/>
          </w:tcPr>
          <w:p w:rsidR="009A6B10" w:rsidRPr="009A6B10" w:rsidRDefault="009A6B10" w:rsidP="009A6B10">
            <w:pPr>
              <w:rPr>
                <w:sz w:val="18"/>
                <w:szCs w:val="18"/>
              </w:rPr>
            </w:pPr>
            <w:r w:rsidRPr="009A6B10">
              <w:rPr>
                <w:bCs/>
                <w:sz w:val="18"/>
                <w:szCs w:val="18"/>
              </w:rPr>
              <w:t>Podporovať zvyšovanie zručností v MSP a všetky formy inovácií</w:t>
            </w:r>
          </w:p>
        </w:tc>
      </w:tr>
      <w:tr w:rsidR="009A6B10" w:rsidRPr="009A6B10" w:rsidTr="00E124FA">
        <w:trPr>
          <w:jc w:val="center"/>
        </w:trPr>
        <w:tc>
          <w:tcPr>
            <w:tcW w:w="251" w:type="pct"/>
            <w:vAlign w:val="center"/>
          </w:tcPr>
          <w:p w:rsidR="009A6B10" w:rsidRPr="009A6B10" w:rsidRDefault="009A6B10" w:rsidP="009A6B10">
            <w:pPr>
              <w:jc w:val="center"/>
              <w:rPr>
                <w:sz w:val="18"/>
                <w:szCs w:val="18"/>
              </w:rPr>
            </w:pPr>
            <w:r w:rsidRPr="009A6B10">
              <w:rPr>
                <w:sz w:val="18"/>
                <w:szCs w:val="18"/>
              </w:rPr>
              <w:t>9.</w:t>
            </w:r>
          </w:p>
        </w:tc>
        <w:tc>
          <w:tcPr>
            <w:tcW w:w="4749" w:type="pct"/>
          </w:tcPr>
          <w:p w:rsidR="009A6B10" w:rsidRPr="009A6B10" w:rsidRDefault="009A6B10" w:rsidP="009A6B10">
            <w:pPr>
              <w:rPr>
                <w:sz w:val="18"/>
                <w:szCs w:val="18"/>
              </w:rPr>
            </w:pPr>
            <w:r w:rsidRPr="009A6B10">
              <w:rPr>
                <w:bCs/>
                <w:sz w:val="18"/>
                <w:szCs w:val="18"/>
              </w:rPr>
              <w:t xml:space="preserve">Umožniť MSP premieňať environmentálne výzvy na príležitosti </w:t>
            </w:r>
          </w:p>
        </w:tc>
      </w:tr>
      <w:tr w:rsidR="009A6B10" w:rsidRPr="009A6B10" w:rsidTr="00E124FA">
        <w:trPr>
          <w:jc w:val="center"/>
        </w:trPr>
        <w:tc>
          <w:tcPr>
            <w:tcW w:w="251" w:type="pct"/>
            <w:tcBorders>
              <w:bottom w:val="single" w:sz="12" w:space="0" w:color="auto"/>
            </w:tcBorders>
            <w:vAlign w:val="center"/>
          </w:tcPr>
          <w:p w:rsidR="009A6B10" w:rsidRPr="009A6B10" w:rsidRDefault="009A6B10" w:rsidP="009A6B10">
            <w:pPr>
              <w:jc w:val="center"/>
              <w:rPr>
                <w:sz w:val="18"/>
                <w:szCs w:val="18"/>
              </w:rPr>
            </w:pPr>
            <w:r w:rsidRPr="009A6B10">
              <w:rPr>
                <w:sz w:val="18"/>
                <w:szCs w:val="18"/>
              </w:rPr>
              <w:t>10.</w:t>
            </w:r>
          </w:p>
        </w:tc>
        <w:tc>
          <w:tcPr>
            <w:tcW w:w="4749" w:type="pct"/>
            <w:tcBorders>
              <w:bottom w:val="single" w:sz="12" w:space="0" w:color="auto"/>
            </w:tcBorders>
          </w:tcPr>
          <w:p w:rsidR="009A6B10" w:rsidRPr="009A6B10" w:rsidRDefault="009A6B10" w:rsidP="009A6B10">
            <w:pPr>
              <w:rPr>
                <w:sz w:val="18"/>
                <w:szCs w:val="18"/>
              </w:rPr>
            </w:pPr>
            <w:r w:rsidRPr="009A6B10">
              <w:rPr>
                <w:bCs/>
                <w:sz w:val="18"/>
                <w:szCs w:val="18"/>
              </w:rPr>
              <w:t>Povzbudzovať a podporovať MSP tak, aby mohli ťažiť z rastúcich trhov</w:t>
            </w:r>
          </w:p>
        </w:tc>
      </w:tr>
    </w:tbl>
    <w:p w:rsidR="009A6B10" w:rsidRPr="009A6B10" w:rsidRDefault="009A6B10" w:rsidP="009A6B10">
      <w:pPr>
        <w:jc w:val="both"/>
        <w:rPr>
          <w:sz w:val="18"/>
          <w:szCs w:val="18"/>
        </w:rPr>
      </w:pPr>
      <w:r w:rsidRPr="009A6B10">
        <w:rPr>
          <w:sz w:val="18"/>
          <w:szCs w:val="18"/>
        </w:rPr>
        <w:t>Zdroj: Európska komisia</w:t>
      </w:r>
    </w:p>
    <w:p w:rsidR="009A6B10" w:rsidRPr="009A6B10" w:rsidRDefault="009A6B10" w:rsidP="009A6B10">
      <w:pPr>
        <w:jc w:val="both"/>
        <w:rPr>
          <w:szCs w:val="19"/>
        </w:rPr>
      </w:pPr>
    </w:p>
    <w:p w:rsidR="009A6B10" w:rsidRPr="00C94238" w:rsidRDefault="009A6B10" w:rsidP="00C94238">
      <w:pPr>
        <w:spacing w:before="120" w:after="120"/>
        <w:jc w:val="both"/>
        <w:rPr>
          <w:szCs w:val="19"/>
        </w:rPr>
      </w:pPr>
      <w:r w:rsidRPr="009A6B10">
        <w:t>Implementácia odporúčaní Zákona o malých a stredných podnikoch je potrebná pre dosiahnutie pokroku vo vzťahu k zabezpečeniu priaznivého a motivujúceho podnikateľského prostredia. Toto prostredie následne, priamo, či nepriamo, napomôže dosiahnuť ciele aktuálnej stratégie Európa 2020. Za účelom zistenia pokroku v implementácii SBA Európska komisia uskutočnila v roku 2011 odpočet skutočného stavu v oblastiach pokrytých jednotlivými princípmi. Hodnotenie SR v napĺňaní princípov SBA  zo strany EK je uvedené v nasledovnej tabuľke.</w:t>
      </w:r>
      <w:bookmarkStart w:id="6" w:name="_Toc364166730"/>
    </w:p>
    <w:p w:rsidR="009A6B10" w:rsidRPr="00E124FA" w:rsidRDefault="009A6B10" w:rsidP="009A6B10"/>
    <w:p w:rsidR="009A6B10" w:rsidRPr="009A6B10" w:rsidRDefault="009A6B10" w:rsidP="009A6B10">
      <w:pPr>
        <w:keepNext/>
        <w:ind w:right="-290" w:firstLine="180"/>
        <w:jc w:val="center"/>
        <w:rPr>
          <w:rFonts w:cs="Arial"/>
          <w:bCs/>
        </w:rPr>
      </w:pPr>
      <w:r w:rsidRPr="009A6B10">
        <w:rPr>
          <w:rFonts w:cs="Arial"/>
          <w:bCs/>
        </w:rPr>
        <w:t>Tabuľka: Hodnotenie SR v plnení opatrení Zákona o malých a stredných podnikoch</w:t>
      </w:r>
      <w:bookmarkEnd w:id="6"/>
    </w:p>
    <w:tbl>
      <w:tblPr>
        <w:tblW w:w="0" w:type="auto"/>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0"/>
        <w:gridCol w:w="2384"/>
        <w:gridCol w:w="5884"/>
      </w:tblGrid>
      <w:tr w:rsidR="009A6B10" w:rsidRPr="009A6B10" w:rsidTr="00E124FA">
        <w:trPr>
          <w:jc w:val="center"/>
        </w:trPr>
        <w:tc>
          <w:tcPr>
            <w:tcW w:w="910" w:type="dxa"/>
            <w:tcBorders>
              <w:top w:val="single" w:sz="12" w:space="0" w:color="auto"/>
            </w:tcBorders>
            <w:vAlign w:val="center"/>
          </w:tcPr>
          <w:p w:rsidR="009A6B10" w:rsidRPr="009A6B10" w:rsidRDefault="009A6B10" w:rsidP="009A6B10">
            <w:pPr>
              <w:jc w:val="center"/>
              <w:rPr>
                <w:b/>
                <w:sz w:val="18"/>
                <w:szCs w:val="18"/>
              </w:rPr>
            </w:pPr>
          </w:p>
          <w:p w:rsidR="009A6B10" w:rsidRPr="009A6B10" w:rsidRDefault="009A6B10" w:rsidP="009A6B10">
            <w:pPr>
              <w:jc w:val="center"/>
              <w:rPr>
                <w:b/>
                <w:sz w:val="18"/>
                <w:szCs w:val="18"/>
              </w:rPr>
            </w:pPr>
            <w:r w:rsidRPr="009A6B10">
              <w:rPr>
                <w:b/>
                <w:sz w:val="18"/>
                <w:szCs w:val="18"/>
              </w:rPr>
              <w:t>Princíp</w:t>
            </w:r>
          </w:p>
          <w:p w:rsidR="009A6B10" w:rsidRPr="009A6B10" w:rsidRDefault="009A6B10" w:rsidP="009A6B10">
            <w:pPr>
              <w:jc w:val="center"/>
              <w:rPr>
                <w:b/>
                <w:sz w:val="18"/>
                <w:szCs w:val="18"/>
              </w:rPr>
            </w:pPr>
          </w:p>
        </w:tc>
        <w:tc>
          <w:tcPr>
            <w:tcW w:w="2384" w:type="dxa"/>
            <w:tcBorders>
              <w:top w:val="single" w:sz="12" w:space="0" w:color="auto"/>
            </w:tcBorders>
            <w:vAlign w:val="center"/>
          </w:tcPr>
          <w:p w:rsidR="009A6B10" w:rsidRPr="009A6B10" w:rsidRDefault="009A6B10" w:rsidP="009A6B10">
            <w:pPr>
              <w:jc w:val="center"/>
              <w:rPr>
                <w:b/>
                <w:bCs/>
                <w:sz w:val="18"/>
                <w:szCs w:val="18"/>
              </w:rPr>
            </w:pPr>
            <w:r w:rsidRPr="009A6B10">
              <w:rPr>
                <w:b/>
                <w:bCs/>
                <w:sz w:val="18"/>
                <w:szCs w:val="18"/>
              </w:rPr>
              <w:t>Podstata princípu</w:t>
            </w:r>
          </w:p>
        </w:tc>
        <w:tc>
          <w:tcPr>
            <w:tcW w:w="5886" w:type="dxa"/>
            <w:tcBorders>
              <w:top w:val="single" w:sz="12" w:space="0" w:color="auto"/>
            </w:tcBorders>
            <w:vAlign w:val="center"/>
          </w:tcPr>
          <w:p w:rsidR="009A6B10" w:rsidRPr="009A6B10" w:rsidRDefault="009A6B10" w:rsidP="009A6B10">
            <w:pPr>
              <w:jc w:val="center"/>
              <w:rPr>
                <w:b/>
                <w:sz w:val="18"/>
                <w:szCs w:val="18"/>
              </w:rPr>
            </w:pPr>
            <w:r w:rsidRPr="009A6B10">
              <w:rPr>
                <w:b/>
                <w:sz w:val="18"/>
                <w:szCs w:val="18"/>
              </w:rPr>
              <w:t>Hodnotenie Slovenskej republiky podľa EK</w:t>
            </w: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1.</w:t>
            </w:r>
          </w:p>
        </w:tc>
        <w:tc>
          <w:tcPr>
            <w:tcW w:w="2384" w:type="dxa"/>
            <w:vAlign w:val="center"/>
          </w:tcPr>
          <w:p w:rsidR="009A6B10" w:rsidRPr="009A6B10" w:rsidRDefault="009A6B10" w:rsidP="009A6B10">
            <w:pPr>
              <w:rPr>
                <w:b/>
                <w:bCs/>
                <w:i/>
                <w:sz w:val="18"/>
                <w:szCs w:val="18"/>
              </w:rPr>
            </w:pPr>
            <w:r w:rsidRPr="009A6B10">
              <w:rPr>
                <w:b/>
                <w:bCs/>
                <w:i/>
                <w:sz w:val="18"/>
                <w:szCs w:val="18"/>
              </w:rPr>
              <w:t xml:space="preserve">Vytvoriť prostredie, v ktorom môžu podnikatelia a rodinné podniky rásť a byť </w:t>
            </w:r>
            <w:r w:rsidRPr="009A6B10">
              <w:rPr>
                <w:b/>
                <w:bCs/>
                <w:i/>
                <w:sz w:val="18"/>
                <w:szCs w:val="18"/>
              </w:rPr>
              <w:lastRenderedPageBreak/>
              <w:t>odmeňovaní za svoje podnikateľské úsilie</w:t>
            </w:r>
          </w:p>
        </w:tc>
        <w:tc>
          <w:tcPr>
            <w:tcW w:w="5886" w:type="dxa"/>
          </w:tcPr>
          <w:p w:rsidR="009A6B10" w:rsidRPr="009A6B10" w:rsidRDefault="009A6B10" w:rsidP="009A6B10">
            <w:pPr>
              <w:jc w:val="both"/>
              <w:rPr>
                <w:sz w:val="18"/>
                <w:szCs w:val="18"/>
              </w:rPr>
            </w:pPr>
          </w:p>
          <w:p w:rsidR="009A6B10" w:rsidRPr="009A6B10" w:rsidRDefault="009A6B10" w:rsidP="009A6B10">
            <w:pPr>
              <w:jc w:val="both"/>
              <w:rPr>
                <w:sz w:val="18"/>
                <w:szCs w:val="18"/>
              </w:rPr>
            </w:pPr>
            <w:r w:rsidRPr="009A6B10">
              <w:rPr>
                <w:sz w:val="18"/>
                <w:szCs w:val="18"/>
              </w:rPr>
              <w:t xml:space="preserve">Podnikanie nie je na Slovensku vnímané ako preferovaná alternatíva zárobkovej činnosti. Napriek tomu, že preferencia závislej činnosti pred </w:t>
            </w:r>
            <w:r w:rsidRPr="009A6B10">
              <w:rPr>
                <w:sz w:val="18"/>
                <w:szCs w:val="18"/>
              </w:rPr>
              <w:lastRenderedPageBreak/>
              <w:t>podnikaním existuje aj na úrovni EÚ, celkový vzťah k podnikaniu je v EÚ oveľa lepší, než na Slovensku. Kým na Slovensku by si podnikanie (ako kariéru) vybralo len 26 % obyvateľov, priemer EÚ dosahuje 45 %</w:t>
            </w:r>
            <w:r w:rsidRPr="009A6B10">
              <w:rPr>
                <w:rFonts w:eastAsia="Calibri"/>
                <w:sz w:val="18"/>
                <w:szCs w:val="18"/>
                <w:vertAlign w:val="superscript"/>
              </w:rPr>
              <w:footnoteReference w:id="17"/>
            </w:r>
            <w:r w:rsidRPr="009A6B10">
              <w:rPr>
                <w:sz w:val="18"/>
                <w:szCs w:val="18"/>
              </w:rPr>
              <w:t>. Navyše len 21,7 % populácie si myslí, že je vôbec možné (oplatí sa) začať podnikať. Dôvodom sú rôzne existujúce prekážky, ako napríklad nedostatok finančných zdrojov, nevhodná situácia pre začatie podnikania, chýbajúca myšlienka pre rozbehnutie podnikania a pod. Pre porovnanie, v roku 2007 sa v podobnom prieskume takto vyjadrilo 39 % populácie</w:t>
            </w:r>
            <w:r w:rsidRPr="009A6B10">
              <w:rPr>
                <w:sz w:val="18"/>
                <w:szCs w:val="18"/>
                <w:vertAlign w:val="superscript"/>
              </w:rPr>
              <w:footnoteReference w:id="18"/>
            </w:r>
            <w:r w:rsidRPr="009A6B10">
              <w:rPr>
                <w:sz w:val="18"/>
                <w:szCs w:val="18"/>
              </w:rPr>
              <w:t>. Na Slovenskú je dlhodobo zaznamenávané vysoké percento zánikov podnikov, ktoré je jedným z najvyšších v krajinách EÚ. V podnikaní pôsobí výrazne menší podiel žien a iba malý počet zástupcov znevýhodnených (</w:t>
            </w:r>
            <w:proofErr w:type="spellStart"/>
            <w:r w:rsidRPr="009A6B10">
              <w:rPr>
                <w:sz w:val="18"/>
                <w:szCs w:val="18"/>
              </w:rPr>
              <w:t>marginalizovaných</w:t>
            </w:r>
            <w:proofErr w:type="spellEnd"/>
            <w:r w:rsidRPr="009A6B10">
              <w:rPr>
                <w:sz w:val="18"/>
                <w:szCs w:val="18"/>
              </w:rPr>
              <w:t xml:space="preserve">) skupín spoločnosti. Zhoršovanie podmienok pre podnikanie, nedostatočná príprava a chýbajúce podporné nástroje odrádzajú množstvo mladých ľudí, najmä absolventov škôl od realizácie kariéry podnikateľa. V slovenskej legislatíve nie je stanovený právny status pre rodinné podnikanie. </w:t>
            </w:r>
          </w:p>
          <w:p w:rsidR="009A6B10" w:rsidRPr="009A6B10" w:rsidRDefault="009A6B10" w:rsidP="009A6B10">
            <w:pPr>
              <w:jc w:val="both"/>
              <w:rPr>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lastRenderedPageBreak/>
              <w:t>2.</w:t>
            </w:r>
          </w:p>
        </w:tc>
        <w:tc>
          <w:tcPr>
            <w:tcW w:w="2384" w:type="dxa"/>
            <w:vAlign w:val="center"/>
          </w:tcPr>
          <w:p w:rsidR="009A6B10" w:rsidRPr="009A6B10" w:rsidRDefault="009A6B10" w:rsidP="009A6B10">
            <w:pPr>
              <w:rPr>
                <w:b/>
                <w:i/>
                <w:sz w:val="18"/>
                <w:szCs w:val="18"/>
              </w:rPr>
            </w:pPr>
            <w:r w:rsidRPr="009A6B10">
              <w:rPr>
                <w:b/>
                <w:bCs/>
                <w:i/>
                <w:sz w:val="18"/>
                <w:szCs w:val="18"/>
              </w:rPr>
              <w:t xml:space="preserve">Zabezpečiť, aby čestní podnikatelia, ktorí zbankrotovali, mohli rýchlo dostať druhú šancu </w:t>
            </w:r>
          </w:p>
        </w:tc>
        <w:tc>
          <w:tcPr>
            <w:tcW w:w="5886" w:type="dxa"/>
          </w:tcPr>
          <w:p w:rsidR="009A6B10" w:rsidRPr="009A6B10" w:rsidRDefault="009A6B10" w:rsidP="009A6B10">
            <w:pPr>
              <w:jc w:val="both"/>
              <w:rPr>
                <w:color w:val="000000"/>
                <w:sz w:val="18"/>
                <w:szCs w:val="18"/>
                <w:lang w:eastAsia="en-US"/>
              </w:rPr>
            </w:pPr>
          </w:p>
          <w:p w:rsidR="009A6B10" w:rsidRPr="009A6B10" w:rsidRDefault="009A6B10" w:rsidP="009A6B10">
            <w:pPr>
              <w:jc w:val="both"/>
              <w:rPr>
                <w:color w:val="000000"/>
                <w:sz w:val="18"/>
                <w:szCs w:val="18"/>
                <w:lang w:val="cs-CZ" w:eastAsia="en-US"/>
              </w:rPr>
            </w:pPr>
            <w:r w:rsidRPr="009A6B10">
              <w:rPr>
                <w:color w:val="000000"/>
                <w:sz w:val="18"/>
                <w:szCs w:val="18"/>
                <w:lang w:eastAsia="en-US"/>
              </w:rPr>
              <w:t>Nepriaznivé podmienky pre „poctivých“ podnikateľov, ktorí neuspeli a chceli by začať odznova. Problémom je napríklad extrémne dlhý čas potrebný pre ukončenie podnikania (4 roky, čo je dvojnásobok priemeru EÚ štátov) a náklady súvisiace s ukončením podnikania. Tie v SR predstavujú 18% z majetku dlžníka, teda o 80% viac, ako priemer EÚ.</w:t>
            </w:r>
            <w:r w:rsidRPr="009A6B10">
              <w:rPr>
                <w:rFonts w:ascii="Arial" w:hAnsi="Arial"/>
                <w:color w:val="000000"/>
                <w:sz w:val="19"/>
                <w:szCs w:val="48"/>
                <w:lang w:val="cs-CZ" w:eastAsia="en-US"/>
              </w:rPr>
              <w:t xml:space="preserve"> </w:t>
            </w:r>
            <w:r w:rsidRPr="009A6B10">
              <w:rPr>
                <w:color w:val="000000"/>
                <w:sz w:val="18"/>
                <w:szCs w:val="18"/>
                <w:lang w:eastAsia="en-US"/>
              </w:rPr>
              <w:t>Ide o prejav problému nízkej kapitalizácie vlastnými zdrojmi a neskorého vstupu do formálnych procesov likvidácie (konkurzu). Negatívne je vnímaná aj pomoc, ktorá je podnikateľom poskytovaná pri podpore v ďalšom podnikaní – teda v získaní „druhej šance“</w:t>
            </w:r>
            <w:r w:rsidRPr="009A6B10">
              <w:rPr>
                <w:color w:val="000000"/>
                <w:sz w:val="18"/>
                <w:szCs w:val="18"/>
                <w:lang w:val="cs-CZ" w:eastAsia="en-US"/>
              </w:rPr>
              <w:t xml:space="preserve">. </w:t>
            </w:r>
          </w:p>
          <w:p w:rsidR="009A6B10" w:rsidRPr="009A6B10" w:rsidRDefault="009A6B10" w:rsidP="009A6B10">
            <w:pPr>
              <w:jc w:val="both"/>
              <w:rPr>
                <w:color w:val="000000"/>
                <w:sz w:val="18"/>
                <w:szCs w:val="18"/>
                <w:lang w:eastAsia="en-US"/>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3.</w:t>
            </w:r>
          </w:p>
        </w:tc>
        <w:tc>
          <w:tcPr>
            <w:tcW w:w="2384" w:type="dxa"/>
            <w:vAlign w:val="center"/>
          </w:tcPr>
          <w:p w:rsidR="009A6B10" w:rsidRPr="009A6B10" w:rsidRDefault="009A6B10" w:rsidP="009A6B10">
            <w:pPr>
              <w:rPr>
                <w:b/>
                <w:i/>
                <w:sz w:val="18"/>
                <w:szCs w:val="18"/>
              </w:rPr>
            </w:pPr>
            <w:r w:rsidRPr="009A6B10">
              <w:rPr>
                <w:b/>
                <w:bCs/>
                <w:i/>
                <w:sz w:val="18"/>
                <w:szCs w:val="18"/>
              </w:rPr>
              <w:t>Vytvárať pravidlá podľa zásady „najskôr myslieť v malom“</w:t>
            </w:r>
          </w:p>
        </w:tc>
        <w:tc>
          <w:tcPr>
            <w:tcW w:w="5886" w:type="dxa"/>
          </w:tcPr>
          <w:p w:rsidR="009A6B10" w:rsidRPr="009A6B10" w:rsidRDefault="009A6B10" w:rsidP="009A6B10">
            <w:pPr>
              <w:jc w:val="both"/>
              <w:rPr>
                <w:sz w:val="18"/>
                <w:szCs w:val="18"/>
              </w:rPr>
            </w:pPr>
          </w:p>
          <w:p w:rsidR="009A6B10" w:rsidRPr="009A6B10" w:rsidRDefault="009A6B10" w:rsidP="009A6B10">
            <w:pPr>
              <w:jc w:val="both"/>
              <w:rPr>
                <w:sz w:val="18"/>
                <w:szCs w:val="18"/>
              </w:rPr>
            </w:pPr>
            <w:r w:rsidRPr="009A6B10">
              <w:rPr>
                <w:sz w:val="18"/>
                <w:szCs w:val="18"/>
              </w:rPr>
              <w:t xml:space="preserve">V tejto oblasti SR výrazne zaostáva. Proces znižovania regulačného a administratívneho zaťaženia podnikania je </w:t>
            </w:r>
            <w:proofErr w:type="spellStart"/>
            <w:r w:rsidRPr="009A6B10">
              <w:rPr>
                <w:sz w:val="18"/>
                <w:szCs w:val="18"/>
              </w:rPr>
              <w:t>de</w:t>
            </w:r>
            <w:proofErr w:type="spellEnd"/>
            <w:r w:rsidRPr="009A6B10">
              <w:rPr>
                <w:sz w:val="18"/>
                <w:szCs w:val="18"/>
              </w:rPr>
              <w:t xml:space="preserve"> facto len na začiatku, i keď s ambicióznym cieľom eliminovať byrokraciu minimálne o 25%. Snahy o riadne využívanie nástrojov posudzovania dopadov regulácií na podnikateľské prostredie a znižovanie byrokracie narážajú na rezistenciu zo strany subjektov verejnej správy. V otázke MSP testovania SR doposiaľ nepodnikla žiadne relevantné kroky. </w:t>
            </w:r>
          </w:p>
          <w:p w:rsidR="009A6B10" w:rsidRPr="009A6B10" w:rsidRDefault="009A6B10" w:rsidP="009A6B10">
            <w:pPr>
              <w:jc w:val="both"/>
              <w:rPr>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4.</w:t>
            </w:r>
          </w:p>
        </w:tc>
        <w:tc>
          <w:tcPr>
            <w:tcW w:w="2384" w:type="dxa"/>
            <w:vAlign w:val="center"/>
          </w:tcPr>
          <w:p w:rsidR="009A6B10" w:rsidRPr="009A6B10" w:rsidRDefault="009A6B10" w:rsidP="009A6B10">
            <w:pPr>
              <w:rPr>
                <w:b/>
                <w:i/>
                <w:sz w:val="18"/>
                <w:szCs w:val="18"/>
              </w:rPr>
            </w:pPr>
            <w:r w:rsidRPr="009A6B10">
              <w:rPr>
                <w:b/>
                <w:bCs/>
                <w:i/>
                <w:sz w:val="18"/>
                <w:szCs w:val="18"/>
              </w:rPr>
              <w:t>Zariadiť, aby orgány verejnej správy reagovali na potreby MSP</w:t>
            </w:r>
          </w:p>
        </w:tc>
        <w:tc>
          <w:tcPr>
            <w:tcW w:w="5886" w:type="dxa"/>
          </w:tcPr>
          <w:p w:rsidR="009A6B10" w:rsidRPr="009A6B10" w:rsidRDefault="009A6B10" w:rsidP="009A6B10">
            <w:pPr>
              <w:jc w:val="both"/>
              <w:rPr>
                <w:sz w:val="18"/>
                <w:szCs w:val="18"/>
              </w:rPr>
            </w:pPr>
          </w:p>
          <w:p w:rsidR="009A6B10" w:rsidRPr="009A6B10" w:rsidRDefault="009A6B10" w:rsidP="009A6B10">
            <w:pPr>
              <w:jc w:val="both"/>
              <w:rPr>
                <w:sz w:val="18"/>
                <w:szCs w:val="18"/>
              </w:rPr>
            </w:pPr>
            <w:r w:rsidRPr="009A6B10">
              <w:rPr>
                <w:sz w:val="18"/>
                <w:szCs w:val="18"/>
              </w:rPr>
              <w:t xml:space="preserve">V tejto oblasti SR primárne stagnuje. Napríklad čas potrebný na založenie firmy je ešte stále príliš dlhý a rovnako by bolo vhodné znížiť aj požadovaný základný kapitál, ktorý v absolútnom ponímaní nie je príliš vysoký, no v pomere k príjmom v ekonomike presahuje priemer EÚ. Negatívne hodnotený je aj počet platieb daní a čas potrebný pre naplnenie hlavných daňových povinností, čo poukazuje na prehnanú byrokraciu a absenciu elektronických riešení. Služby </w:t>
            </w:r>
            <w:proofErr w:type="spellStart"/>
            <w:r w:rsidRPr="009A6B10">
              <w:rPr>
                <w:sz w:val="18"/>
                <w:szCs w:val="18"/>
              </w:rPr>
              <w:t>e-governmentu</w:t>
            </w:r>
            <w:proofErr w:type="spellEnd"/>
            <w:r w:rsidRPr="009A6B10">
              <w:rPr>
                <w:sz w:val="18"/>
                <w:szCs w:val="18"/>
              </w:rPr>
              <w:t xml:space="preserve"> nedosahujú požadovanú úroveň a stále existuje významná byrokracia. </w:t>
            </w:r>
          </w:p>
          <w:p w:rsidR="009A6B10" w:rsidRPr="009A6B10" w:rsidRDefault="009A6B10" w:rsidP="009A6B10">
            <w:pPr>
              <w:jc w:val="both"/>
              <w:rPr>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5.</w:t>
            </w:r>
          </w:p>
        </w:tc>
        <w:tc>
          <w:tcPr>
            <w:tcW w:w="2384" w:type="dxa"/>
            <w:vAlign w:val="center"/>
          </w:tcPr>
          <w:p w:rsidR="009A6B10" w:rsidRPr="009A6B10" w:rsidRDefault="009A6B10" w:rsidP="009A6B10">
            <w:pPr>
              <w:rPr>
                <w:b/>
                <w:bCs/>
                <w:i/>
                <w:sz w:val="18"/>
                <w:szCs w:val="18"/>
              </w:rPr>
            </w:pPr>
            <w:r w:rsidRPr="009A6B10">
              <w:rPr>
                <w:b/>
                <w:bCs/>
                <w:i/>
                <w:sz w:val="18"/>
                <w:szCs w:val="18"/>
              </w:rPr>
              <w:t>Prispôsobiť nástroje verejnej politiky potrebám MSP: uľahčiť MSP účasť na verejnom obstarávaní a lepšie využiť prostriedky štátnej pomoci pre MSP</w:t>
            </w:r>
          </w:p>
          <w:p w:rsidR="009A6B10" w:rsidRPr="009A6B10" w:rsidRDefault="009A6B10" w:rsidP="009A6B10">
            <w:pPr>
              <w:rPr>
                <w:b/>
                <w:i/>
                <w:sz w:val="18"/>
                <w:szCs w:val="18"/>
              </w:rPr>
            </w:pPr>
          </w:p>
        </w:tc>
        <w:tc>
          <w:tcPr>
            <w:tcW w:w="5886" w:type="dxa"/>
          </w:tcPr>
          <w:p w:rsidR="009A6B10" w:rsidRPr="009A6B10" w:rsidRDefault="009A6B10" w:rsidP="009A6B10">
            <w:pPr>
              <w:jc w:val="both"/>
              <w:rPr>
                <w:sz w:val="18"/>
                <w:szCs w:val="18"/>
              </w:rPr>
            </w:pPr>
          </w:p>
          <w:p w:rsidR="009A6B10" w:rsidRPr="009A6B10" w:rsidRDefault="009A6B10" w:rsidP="009A6B10">
            <w:pPr>
              <w:jc w:val="both"/>
              <w:rPr>
                <w:sz w:val="18"/>
                <w:szCs w:val="18"/>
              </w:rPr>
            </w:pPr>
            <w:r w:rsidRPr="009A6B10">
              <w:rPr>
                <w:sz w:val="18"/>
                <w:szCs w:val="18"/>
              </w:rPr>
              <w:t xml:space="preserve">Slovensko zaostáva za priemerom EÚ. Na jednej strane MSP na Slovensku získali v roku 2010 významný podiel zákaziek z verejného obstarávania (65 % celkovej zmluvnej hodnoty zadanej na základe verejného obstarávania), čo výrazne prevyšuje priemer EÚ (38 %  - priemer EÚ) </w:t>
            </w:r>
          </w:p>
          <w:p w:rsidR="009A6B10" w:rsidRPr="009A6B10" w:rsidRDefault="009A6B10" w:rsidP="009A6B10">
            <w:pPr>
              <w:jc w:val="both"/>
              <w:rPr>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6.</w:t>
            </w:r>
          </w:p>
        </w:tc>
        <w:tc>
          <w:tcPr>
            <w:tcW w:w="2384" w:type="dxa"/>
            <w:vAlign w:val="center"/>
          </w:tcPr>
          <w:p w:rsidR="009A6B10" w:rsidRPr="009A6B10" w:rsidRDefault="009A6B10" w:rsidP="009A6B10">
            <w:pPr>
              <w:rPr>
                <w:b/>
                <w:i/>
                <w:sz w:val="18"/>
                <w:szCs w:val="18"/>
              </w:rPr>
            </w:pPr>
            <w:r w:rsidRPr="009A6B10">
              <w:rPr>
                <w:b/>
                <w:bCs/>
                <w:i/>
                <w:sz w:val="18"/>
                <w:szCs w:val="18"/>
              </w:rPr>
              <w:t>Uľahčiť MSP prístup k financiám a vytvoriť právne a podnikateľské prostredie, ktoré bude podporovať včasné úhrady obchodných transakcií</w:t>
            </w:r>
          </w:p>
        </w:tc>
        <w:tc>
          <w:tcPr>
            <w:tcW w:w="5886" w:type="dxa"/>
          </w:tcPr>
          <w:p w:rsidR="009A6B10" w:rsidRPr="009A6B10" w:rsidRDefault="009A6B10" w:rsidP="009A6B10">
            <w:pPr>
              <w:rPr>
                <w:sz w:val="18"/>
                <w:szCs w:val="18"/>
              </w:rPr>
            </w:pPr>
          </w:p>
          <w:p w:rsidR="009A6B10" w:rsidRPr="009A6B10" w:rsidRDefault="009A6B10" w:rsidP="009A6B10">
            <w:pPr>
              <w:jc w:val="both"/>
              <w:rPr>
                <w:noProof/>
                <w:sz w:val="18"/>
                <w:szCs w:val="18"/>
              </w:rPr>
            </w:pPr>
            <w:r w:rsidRPr="009A6B10">
              <w:rPr>
                <w:sz w:val="18"/>
                <w:szCs w:val="18"/>
              </w:rPr>
              <w:t>SR dosahuje priemer EÚ</w:t>
            </w:r>
            <w:r w:rsidRPr="009A6B10">
              <w:rPr>
                <w:noProof/>
                <w:sz w:val="18"/>
                <w:szCs w:val="18"/>
              </w:rPr>
              <w:t>, pričom v niektorých ukazovateľoch aj lepšie výsledky, ako iné krajiny EÚ. Slovensko zaznamenalo napríklad nižšie percento MSP ktoré pocítili zhoršenie ochoty bánk poskytnúť úver a dosiahlo aj nižší priemerný čas pre príjem platby, ako je priemer EÚ.  Zároveň však platí, že finančné nástroje na podporu MSP v SR - okrem výnimiek</w:t>
            </w:r>
            <w:r w:rsidRPr="009A6B10">
              <w:rPr>
                <w:rFonts w:eastAsia="Calibri"/>
                <w:noProof/>
                <w:sz w:val="18"/>
                <w:szCs w:val="18"/>
                <w:vertAlign w:val="superscript"/>
              </w:rPr>
              <w:footnoteReference w:id="19"/>
            </w:r>
            <w:r w:rsidRPr="009A6B10">
              <w:rPr>
                <w:noProof/>
                <w:sz w:val="18"/>
                <w:szCs w:val="18"/>
              </w:rPr>
              <w:t xml:space="preserve"> - nie sú </w:t>
            </w:r>
            <w:r w:rsidRPr="009A6B10">
              <w:rPr>
                <w:noProof/>
                <w:sz w:val="18"/>
                <w:szCs w:val="18"/>
              </w:rPr>
              <w:lastRenderedPageBreak/>
              <w:t>spravidla špecificky zamerané na MSP, navyše, keďže sú nastavené na štandardných bankových klientov, najmenšie kategórie MSP majú len malú možnosť sa do nich zapojiť. Tradičným problémom Slovenska zostáva nerozvinutý kapitálový trh a s tým spojená dostupnosť rizikového kapitálu, ktorý je dôležitý najmä pre inovatívne a rýchlorastúce spoločnosti. Vo využívaní rizikového kapitálu je Slovensko dlhodobo na chvoste krajín EÚ.</w:t>
            </w:r>
          </w:p>
          <w:p w:rsidR="009A6B10" w:rsidRPr="009A6B10" w:rsidRDefault="009A6B10" w:rsidP="009A6B10">
            <w:pPr>
              <w:rPr>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lastRenderedPageBreak/>
              <w:t>7.</w:t>
            </w:r>
          </w:p>
        </w:tc>
        <w:tc>
          <w:tcPr>
            <w:tcW w:w="2384" w:type="dxa"/>
            <w:vAlign w:val="center"/>
          </w:tcPr>
          <w:p w:rsidR="009A6B10" w:rsidRPr="009A6B10" w:rsidRDefault="009A6B10" w:rsidP="009A6B10">
            <w:pPr>
              <w:rPr>
                <w:b/>
                <w:i/>
                <w:sz w:val="18"/>
                <w:szCs w:val="18"/>
              </w:rPr>
            </w:pPr>
            <w:r w:rsidRPr="009A6B10">
              <w:rPr>
                <w:b/>
                <w:bCs/>
                <w:i/>
                <w:sz w:val="18"/>
                <w:szCs w:val="18"/>
              </w:rPr>
              <w:t xml:space="preserve">Nabádať MSP na lepšie využívanie príležitostí, ktoré ponúka jednotný trh </w:t>
            </w:r>
          </w:p>
        </w:tc>
        <w:tc>
          <w:tcPr>
            <w:tcW w:w="5886" w:type="dxa"/>
          </w:tcPr>
          <w:p w:rsidR="009A6B10" w:rsidRPr="009A6B10" w:rsidRDefault="009A6B10" w:rsidP="009A6B10">
            <w:pPr>
              <w:rPr>
                <w:sz w:val="18"/>
                <w:szCs w:val="18"/>
              </w:rPr>
            </w:pPr>
          </w:p>
          <w:p w:rsidR="009A6B10" w:rsidRPr="009A6B10" w:rsidRDefault="009A6B10" w:rsidP="009A6B10">
            <w:pPr>
              <w:jc w:val="both"/>
              <w:rPr>
                <w:sz w:val="18"/>
                <w:szCs w:val="18"/>
              </w:rPr>
            </w:pPr>
            <w:r w:rsidRPr="009A6B10">
              <w:rPr>
                <w:sz w:val="18"/>
                <w:szCs w:val="18"/>
              </w:rPr>
              <w:t>Ide o jedinú zo silných stránok Slovenska. Transpozícia európskej legislatívy a direktív do národného systému vytvára prostredie malej, ale otvorenej ekonomiky. Toto prostredie následne umožňuje MSP, aby sa naplno realizovali aj v oblasti importu a exportu na jednotnom trhu. Napriek relatívne vysokému zapojeniu do obchodovania na jednotnom trhu EÚ (v porovnaní s priemerom EÚ) nie je potenciál MSP v oblasti zahraničného obchodu využitý v plnej miere. Navyše sa úloha MSP obmedzuje predovšetkým na obmedzený počet exportérov z niektorých odvetví priemyselnej výroby. Slabšou stránkou Slovenska zostáva miera transpozície direktív.</w:t>
            </w:r>
          </w:p>
          <w:p w:rsidR="009A6B10" w:rsidRPr="009A6B10" w:rsidRDefault="009A6B10" w:rsidP="009A6B10">
            <w:pPr>
              <w:rPr>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8.</w:t>
            </w:r>
          </w:p>
        </w:tc>
        <w:tc>
          <w:tcPr>
            <w:tcW w:w="2384" w:type="dxa"/>
            <w:vAlign w:val="center"/>
          </w:tcPr>
          <w:p w:rsidR="009A6B10" w:rsidRPr="009A6B10" w:rsidRDefault="009A6B10" w:rsidP="009A6B10">
            <w:pPr>
              <w:rPr>
                <w:b/>
                <w:i/>
                <w:sz w:val="18"/>
                <w:szCs w:val="18"/>
              </w:rPr>
            </w:pPr>
            <w:r w:rsidRPr="009A6B10">
              <w:rPr>
                <w:b/>
                <w:bCs/>
                <w:i/>
                <w:sz w:val="18"/>
                <w:szCs w:val="18"/>
              </w:rPr>
              <w:t>Podporovať zvyšovanie zručností v MSP a všetky formy inovácií</w:t>
            </w:r>
          </w:p>
        </w:tc>
        <w:tc>
          <w:tcPr>
            <w:tcW w:w="5886" w:type="dxa"/>
          </w:tcPr>
          <w:p w:rsidR="009A6B10" w:rsidRPr="009A6B10" w:rsidRDefault="009A6B10" w:rsidP="009A6B10">
            <w:pPr>
              <w:rPr>
                <w:sz w:val="18"/>
                <w:szCs w:val="18"/>
              </w:rPr>
            </w:pPr>
          </w:p>
          <w:p w:rsidR="009A6B10" w:rsidRPr="009A6B10" w:rsidRDefault="009A6B10" w:rsidP="009A6B10">
            <w:pPr>
              <w:jc w:val="both"/>
              <w:rPr>
                <w:sz w:val="18"/>
                <w:szCs w:val="18"/>
              </w:rPr>
            </w:pPr>
            <w:r w:rsidRPr="009A6B10">
              <w:rPr>
                <w:sz w:val="18"/>
                <w:szCs w:val="18"/>
              </w:rPr>
              <w:t xml:space="preserve">V tejto oblasti SR dosahuje nulový pokrok, čo znamená, že SR nedosahuje ani priemerné hodnoty ostatných krajín EÚ. Týka sa to tak ukazovateľov inovačnej výkonnosti, ako aj využívania príležitosti pre vzdelávanie a posilňovanie kompetencií zamestnancov v rámci MSP. </w:t>
            </w:r>
          </w:p>
          <w:p w:rsidR="009A6B10" w:rsidRPr="009A6B10" w:rsidRDefault="009A6B10" w:rsidP="009A6B10">
            <w:pPr>
              <w:rPr>
                <w:b/>
                <w:i/>
                <w:sz w:val="18"/>
                <w:szCs w:val="18"/>
              </w:rPr>
            </w:pPr>
          </w:p>
        </w:tc>
      </w:tr>
      <w:tr w:rsidR="009A6B10" w:rsidRPr="009A6B10" w:rsidTr="00E124FA">
        <w:trPr>
          <w:jc w:val="center"/>
        </w:trPr>
        <w:tc>
          <w:tcPr>
            <w:tcW w:w="910" w:type="dxa"/>
            <w:vAlign w:val="center"/>
          </w:tcPr>
          <w:p w:rsidR="009A6B10" w:rsidRPr="009A6B10" w:rsidRDefault="009A6B10" w:rsidP="009A6B10">
            <w:pPr>
              <w:jc w:val="center"/>
              <w:rPr>
                <w:b/>
                <w:sz w:val="18"/>
                <w:szCs w:val="18"/>
              </w:rPr>
            </w:pPr>
            <w:r w:rsidRPr="009A6B10">
              <w:rPr>
                <w:b/>
                <w:sz w:val="18"/>
                <w:szCs w:val="18"/>
              </w:rPr>
              <w:t>9.</w:t>
            </w:r>
          </w:p>
        </w:tc>
        <w:tc>
          <w:tcPr>
            <w:tcW w:w="2384" w:type="dxa"/>
            <w:vAlign w:val="center"/>
          </w:tcPr>
          <w:p w:rsidR="009A6B10" w:rsidRPr="009A6B10" w:rsidRDefault="009A6B10" w:rsidP="009A6B10">
            <w:pPr>
              <w:rPr>
                <w:b/>
                <w:i/>
                <w:sz w:val="18"/>
                <w:szCs w:val="18"/>
              </w:rPr>
            </w:pPr>
            <w:r w:rsidRPr="009A6B10">
              <w:rPr>
                <w:b/>
                <w:bCs/>
                <w:i/>
                <w:sz w:val="18"/>
                <w:szCs w:val="18"/>
              </w:rPr>
              <w:t xml:space="preserve">Umožniť MSP premieňať environmentálne výzvy na príležitosti </w:t>
            </w:r>
          </w:p>
        </w:tc>
        <w:tc>
          <w:tcPr>
            <w:tcW w:w="5886" w:type="dxa"/>
          </w:tcPr>
          <w:p w:rsidR="009A6B10" w:rsidRPr="009A6B10" w:rsidRDefault="009A6B10" w:rsidP="009A6B10">
            <w:pPr>
              <w:jc w:val="both"/>
              <w:rPr>
                <w:sz w:val="18"/>
                <w:szCs w:val="18"/>
              </w:rPr>
            </w:pPr>
          </w:p>
          <w:p w:rsidR="009A6B10" w:rsidRPr="009A6B10" w:rsidRDefault="009A6B10" w:rsidP="009A6B10">
            <w:pPr>
              <w:jc w:val="both"/>
              <w:rPr>
                <w:sz w:val="18"/>
                <w:szCs w:val="18"/>
              </w:rPr>
            </w:pPr>
            <w:r w:rsidRPr="009A6B10">
              <w:rPr>
                <w:sz w:val="18"/>
                <w:szCs w:val="18"/>
              </w:rPr>
              <w:t>Výkon Slovenska  je približne na úrovni priemeru EÚ. Sú však aj oblasti, v ktorých SR mierne prevyšuje priemer. Týmito oblasťami sú miera zavádzania opatrení na efektívne využívanie zdrojov, percento MSP ponúkajúcich ekologické produkty alebo služby a počet MSP s vyšším než 50% podielom takýchto výrobkov a služieb na obrate. Na druhej strane SR zaostáva v počte zavedených inovácií s prínosom pre životné prostredie (</w:t>
            </w:r>
            <w:proofErr w:type="spellStart"/>
            <w:r w:rsidRPr="009A6B10">
              <w:rPr>
                <w:sz w:val="18"/>
                <w:szCs w:val="18"/>
              </w:rPr>
              <w:t>eko-inovácie</w:t>
            </w:r>
            <w:proofErr w:type="spellEnd"/>
            <w:r w:rsidRPr="009A6B10">
              <w:rPr>
                <w:sz w:val="18"/>
                <w:szCs w:val="18"/>
              </w:rPr>
              <w:t>) a v miere využívania opatrení verejnej podpory pre činnosti týkajúce sa efektívneho využívania zdrojov a výroby ekologických produktov. Schéma EMAS a iné systémy environmentálneho manažérstva sú na Slovensku doposiaľ málo využívané, v segmente MSP takmer vôbec, pričom bez výraznejších podporných stimulov nie je predpoklad ich rozšírenia.</w:t>
            </w:r>
          </w:p>
          <w:p w:rsidR="009A6B10" w:rsidRPr="009A6B10" w:rsidRDefault="009A6B10" w:rsidP="009A6B10">
            <w:pPr>
              <w:jc w:val="both"/>
              <w:rPr>
                <w:sz w:val="18"/>
                <w:szCs w:val="18"/>
              </w:rPr>
            </w:pPr>
          </w:p>
        </w:tc>
      </w:tr>
      <w:tr w:rsidR="009A6B10" w:rsidRPr="009A6B10" w:rsidTr="00E124FA">
        <w:trPr>
          <w:jc w:val="center"/>
        </w:trPr>
        <w:tc>
          <w:tcPr>
            <w:tcW w:w="910" w:type="dxa"/>
            <w:tcBorders>
              <w:bottom w:val="single" w:sz="12" w:space="0" w:color="auto"/>
            </w:tcBorders>
            <w:vAlign w:val="center"/>
          </w:tcPr>
          <w:p w:rsidR="009A6B10" w:rsidRPr="009A6B10" w:rsidRDefault="009A6B10" w:rsidP="009A6B10">
            <w:pPr>
              <w:jc w:val="center"/>
              <w:rPr>
                <w:b/>
                <w:sz w:val="18"/>
                <w:szCs w:val="18"/>
              </w:rPr>
            </w:pPr>
            <w:r w:rsidRPr="009A6B10">
              <w:rPr>
                <w:b/>
                <w:sz w:val="18"/>
                <w:szCs w:val="18"/>
              </w:rPr>
              <w:t>10.</w:t>
            </w:r>
          </w:p>
        </w:tc>
        <w:tc>
          <w:tcPr>
            <w:tcW w:w="2384" w:type="dxa"/>
            <w:tcBorders>
              <w:bottom w:val="single" w:sz="12" w:space="0" w:color="auto"/>
            </w:tcBorders>
            <w:vAlign w:val="center"/>
          </w:tcPr>
          <w:p w:rsidR="009A6B10" w:rsidRPr="009A6B10" w:rsidRDefault="009A6B10" w:rsidP="009A6B10">
            <w:pPr>
              <w:rPr>
                <w:b/>
                <w:i/>
                <w:sz w:val="18"/>
                <w:szCs w:val="18"/>
              </w:rPr>
            </w:pPr>
            <w:r w:rsidRPr="009A6B10">
              <w:rPr>
                <w:b/>
                <w:bCs/>
                <w:i/>
                <w:sz w:val="18"/>
                <w:szCs w:val="18"/>
              </w:rPr>
              <w:t>Povzbudzovať a podporovať MSP tak, aby mohli ťažiť z rastúcich trhov</w:t>
            </w:r>
          </w:p>
        </w:tc>
        <w:tc>
          <w:tcPr>
            <w:tcW w:w="5886" w:type="dxa"/>
            <w:tcBorders>
              <w:bottom w:val="single" w:sz="12" w:space="0" w:color="auto"/>
            </w:tcBorders>
          </w:tcPr>
          <w:p w:rsidR="009A6B10" w:rsidRPr="009A6B10" w:rsidRDefault="009A6B10" w:rsidP="009A6B10">
            <w:pPr>
              <w:jc w:val="both"/>
              <w:rPr>
                <w:sz w:val="18"/>
                <w:szCs w:val="18"/>
              </w:rPr>
            </w:pPr>
          </w:p>
          <w:p w:rsidR="009A6B10" w:rsidRPr="009A6B10" w:rsidRDefault="009A6B10" w:rsidP="009A6B10">
            <w:pPr>
              <w:jc w:val="both"/>
              <w:rPr>
                <w:sz w:val="18"/>
                <w:szCs w:val="18"/>
              </w:rPr>
            </w:pPr>
            <w:r w:rsidRPr="009A6B10">
              <w:rPr>
                <w:sz w:val="18"/>
                <w:szCs w:val="18"/>
              </w:rPr>
              <w:t xml:space="preserve">SR je pod úrovňou Európskej únie, napriek lepším výsledkom exportu a importu MSP než je priemer EÚ. Tento stav pramení z existencie dlhodobej, prehnanej byrokracie prítomnej na Slovensku (čas potrebný pre import je napr. 19 dní v SR, priemer EÚ je cca 12 dní). Pritom jedným z podstatných faktorov úspešného zahraničného obchodu, je stabilný a jednoduchý regulačný rámec, vrátane minimálnej administratívnej náročnosti. </w:t>
            </w:r>
          </w:p>
          <w:p w:rsidR="009A6B10" w:rsidRPr="009A6B10" w:rsidRDefault="009A6B10" w:rsidP="009A6B10">
            <w:pPr>
              <w:jc w:val="both"/>
              <w:rPr>
                <w:sz w:val="18"/>
                <w:szCs w:val="18"/>
              </w:rPr>
            </w:pPr>
          </w:p>
        </w:tc>
      </w:tr>
    </w:tbl>
    <w:p w:rsidR="009A6B10" w:rsidRPr="009A6B10" w:rsidRDefault="009A6B10" w:rsidP="009A6B10">
      <w:pPr>
        <w:spacing w:before="120" w:after="120"/>
        <w:rPr>
          <w:b/>
          <w:i/>
          <w:sz w:val="28"/>
          <w:szCs w:val="28"/>
        </w:rPr>
      </w:pPr>
    </w:p>
    <w:p w:rsidR="009A6B10" w:rsidRPr="009A6B10" w:rsidRDefault="009A6B10" w:rsidP="009A6B10">
      <w:pPr>
        <w:rPr>
          <w:b/>
          <w:i/>
          <w:sz w:val="28"/>
          <w:szCs w:val="28"/>
        </w:rPr>
      </w:pPr>
      <w:r w:rsidRPr="009A6B10">
        <w:rPr>
          <w:b/>
          <w:i/>
          <w:sz w:val="28"/>
          <w:szCs w:val="28"/>
        </w:rPr>
        <w:t xml:space="preserve">Podnikateľské prieskumy </w:t>
      </w:r>
    </w:p>
    <w:p w:rsidR="009A6B10" w:rsidRPr="009A6B10" w:rsidRDefault="009A6B10" w:rsidP="009A6B10"/>
    <w:p w:rsidR="009A6B10" w:rsidRPr="009A6B10" w:rsidRDefault="009A6B10" w:rsidP="009A6B10">
      <w:pPr>
        <w:spacing w:before="120" w:after="120"/>
        <w:jc w:val="both"/>
      </w:pPr>
      <w:r w:rsidRPr="009A6B10">
        <w:t>Výsledky kvantitatívnych prieskumov, realizované NARMSP, sú uskutočňované za účelom monitorovania podnikateľského prostredia a poskytujú mäkké dáta týkajúce sa názorov podnikateľských subjektov na stav a kvalitu podnikateľského prostredia. Prieskumy tak dotvárajú mozaiku štatistických a faktografických informácií pre komplexnú analýzu podnikateľského prostredia a stavu MSP na Slovensku, napríklad:</w:t>
      </w:r>
    </w:p>
    <w:p w:rsidR="009A6B10" w:rsidRPr="009A6B10" w:rsidRDefault="009A6B10" w:rsidP="009A6B10">
      <w:pPr>
        <w:spacing w:before="120" w:after="120"/>
        <w:jc w:val="both"/>
      </w:pPr>
      <w:r w:rsidRPr="009A6B10">
        <w:t>Na základe medzinárodného porovnania vyplývajúceho z výskumu GEM</w:t>
      </w:r>
      <w:r w:rsidRPr="009A6B10">
        <w:rPr>
          <w:rFonts w:eastAsia="Calibri"/>
          <w:vertAlign w:val="superscript"/>
        </w:rPr>
        <w:footnoteReference w:id="20"/>
      </w:r>
      <w:r w:rsidRPr="009A6B10">
        <w:t xml:space="preserve"> v roku 2011 môžeme konštatovať, že na Slovensku v súčasnosti stále ešte existuje potenciál pre </w:t>
      </w:r>
      <w:r w:rsidRPr="009A6B10">
        <w:lastRenderedPageBreak/>
        <w:t>podnikanie. Na druhej strane podnikateľské prostredie na Slovensku podľa hodnotenia prieskumu názorov expertov (NES)</w:t>
      </w:r>
      <w:r w:rsidRPr="009A6B10">
        <w:rPr>
          <w:rFonts w:eastAsia="Calibri"/>
          <w:vertAlign w:val="superscript"/>
        </w:rPr>
        <w:footnoteReference w:id="21"/>
      </w:r>
      <w:r w:rsidRPr="009A6B10">
        <w:t xml:space="preserve"> vo všeobecnosti zaostáva za priemerom Európy. Podpriemerné skóre dosahuje v hodnotení 15 z 24 podmienok na podnikanie. </w:t>
      </w:r>
    </w:p>
    <w:p w:rsidR="009A6B10" w:rsidRPr="009A6B10" w:rsidRDefault="009A6B10" w:rsidP="009A6B10">
      <w:pPr>
        <w:spacing w:before="120" w:after="120"/>
        <w:jc w:val="both"/>
      </w:pPr>
      <w:r w:rsidRPr="009A6B10">
        <w:t>Výsledky prieskumu, ktorý hodnotil situáciu podľa jednotlivých princípov SBA z roku 2013</w:t>
      </w:r>
      <w:r w:rsidRPr="009A6B10">
        <w:rPr>
          <w:rFonts w:eastAsia="Calibri"/>
          <w:vertAlign w:val="superscript"/>
        </w:rPr>
        <w:footnoteReference w:id="22"/>
      </w:r>
      <w:r w:rsidRPr="009A6B10">
        <w:t xml:space="preserve"> poukazujú na negatívne postoje podnikateľov voči súčasnému stavu a zmenám podmienok na podnikanie, ako aj k možnostiam získať verejnú finančnú podporu pre svoje podnikanie. Ako celkovo zlé hodnotilo súčasné podmienky na podnikanie až 82 % podnikateľov zapojených do prieskumu. Medzi ďalšie zistenia prieskumu patrí, že: </w:t>
      </w:r>
    </w:p>
    <w:p w:rsidR="009A6B10" w:rsidRPr="009A6B10" w:rsidRDefault="000A76E2" w:rsidP="00D1230F">
      <w:pPr>
        <w:numPr>
          <w:ilvl w:val="0"/>
          <w:numId w:val="34"/>
        </w:numPr>
        <w:spacing w:before="120" w:after="120"/>
        <w:jc w:val="both"/>
      </w:pPr>
      <w:r>
        <w:t>len 2</w:t>
      </w:r>
      <w:r w:rsidR="009A6B10" w:rsidRPr="009A6B10">
        <w:t xml:space="preserve">% oslovených podnikateľov hodnotili úroveň elektronickej komunikácie s orgánmi verejnej a štátnej správy ako výbornú; </w:t>
      </w:r>
    </w:p>
    <w:p w:rsidR="009A6B10" w:rsidRPr="009A6B10" w:rsidRDefault="000A76E2" w:rsidP="00D1230F">
      <w:pPr>
        <w:numPr>
          <w:ilvl w:val="0"/>
          <w:numId w:val="34"/>
        </w:numPr>
        <w:spacing w:before="120" w:after="120"/>
        <w:jc w:val="both"/>
        <w:rPr>
          <w:rFonts w:eastAsia="TodaySansCeLight"/>
        </w:rPr>
      </w:pPr>
      <w:r>
        <w:t>len 2</w:t>
      </w:r>
      <w:r w:rsidR="009A6B10" w:rsidRPr="009A6B10">
        <w:t>% oslovených podnikateľov uviedli, že v predchádzajúcich dvoch rokov využili nejaký druh verejnej podpory na presadzovanie efektívnejšieho využívania zdrojov alebo na podporu ekologických</w:t>
      </w:r>
      <w:r>
        <w:t xml:space="preserve"> produktov a služieb. Ďalších 5</w:t>
      </w:r>
      <w:r w:rsidR="009A6B10" w:rsidRPr="009A6B10">
        <w:t xml:space="preserve">% oslovených MSP sa síce o podobný typ verejnej podpory v priebehu posledných dvoch rokov pokúšalo, ale neboli úspešní; </w:t>
      </w:r>
    </w:p>
    <w:p w:rsidR="009A6B10" w:rsidRPr="009A6B10" w:rsidRDefault="009A6B10" w:rsidP="00D1230F">
      <w:pPr>
        <w:numPr>
          <w:ilvl w:val="0"/>
          <w:numId w:val="34"/>
        </w:numPr>
        <w:spacing w:before="120" w:after="120"/>
        <w:jc w:val="both"/>
        <w:rPr>
          <w:rFonts w:eastAsia="TodaySansCeLight"/>
        </w:rPr>
      </w:pPr>
      <w:r w:rsidRPr="009A6B10">
        <w:t xml:space="preserve">celkovú spokojnosť s úrovňou verejnej podpory pre zavádzanie inovácií </w:t>
      </w:r>
      <w:r w:rsidR="000A76E2">
        <w:t>deklarovala necelá pätina (17,1</w:t>
      </w:r>
      <w:r w:rsidRPr="009A6B10">
        <w:t>%) oslovených podnikateľov. Celkovú nespokojnosť s úrovňou verejnej podpory pre zavá</w:t>
      </w:r>
      <w:r w:rsidR="000A76E2">
        <w:t>dzanie inovácií deklarovalo  68</w:t>
      </w:r>
      <w:r w:rsidRPr="009A6B10">
        <w:t xml:space="preserve">% opýtaných; </w:t>
      </w:r>
    </w:p>
    <w:p w:rsidR="009A6B10" w:rsidRPr="009A6B10" w:rsidRDefault="000A76E2" w:rsidP="00D1230F">
      <w:pPr>
        <w:numPr>
          <w:ilvl w:val="0"/>
          <w:numId w:val="34"/>
        </w:numPr>
        <w:spacing w:before="120" w:after="120"/>
        <w:jc w:val="both"/>
        <w:rPr>
          <w:rFonts w:eastAsia="TodaySansCeLight"/>
        </w:rPr>
      </w:pPr>
      <w:r>
        <w:t>len necelé 1</w:t>
      </w:r>
      <w:r w:rsidR="009A6B10" w:rsidRPr="009A6B10">
        <w:t>% MSP hodnotilo možnosti získať finančné zdroje z podporných programov pre svoje podnikanie ako výborné.</w:t>
      </w:r>
    </w:p>
    <w:p w:rsidR="009A6B10" w:rsidRPr="009A6B10" w:rsidRDefault="009A6B10" w:rsidP="009A6B10">
      <w:pPr>
        <w:spacing w:before="120" w:after="120"/>
        <w:jc w:val="both"/>
        <w:rPr>
          <w:rFonts w:eastAsia="TodaySansCeLight"/>
        </w:rPr>
      </w:pPr>
      <w:r w:rsidRPr="009A6B10">
        <w:t>Z výsledkov prieskumu hodnotiaceho prístup mikropodnikov, malých podnikov a živnostníkov k finančným zdrojom z roku 2013 vyplýva, že dominantným zdrojom financovania začiatku podnikania týchto skupín podnikateľov boli vlastné úspory. Bankový úver podľa výsledkov prieskumu využilo v priebehu predch</w:t>
      </w:r>
      <w:r w:rsidR="000A76E2">
        <w:t>ádzajúcich 12 mesiacov len 15,4</w:t>
      </w:r>
      <w:r w:rsidRPr="009A6B10">
        <w:t>% podnikateľov, pričom nedostatočné zabezpečenie úveru bolo najčastejším dôvodom zamietnutia plne neuspokojených žiadostí o úver. V tejto súvislosti by bola vhodná výraznejšia podpora záručných schém pre zlepšenie podmienok čerpania úverov týchto skupín podnikateľov. V prípade začínajúcich živnostníkov (ktorí podnikajú menej ako 3 roky) však takmer polovica využila na rozbeh podnikania príspevok z Úradu práce, čo svedčí o významnom  aktivačnom efekte tejto formy podpory pre začínajúcich živnostníkov.</w:t>
      </w:r>
    </w:p>
    <w:p w:rsidR="000A76E2" w:rsidRPr="00C94238" w:rsidRDefault="009A6B10" w:rsidP="00C94238">
      <w:pPr>
        <w:spacing w:before="120" w:after="120"/>
        <w:jc w:val="both"/>
        <w:rPr>
          <w:rFonts w:eastAsia="TodaySansCeLight"/>
        </w:rPr>
      </w:pPr>
      <w:r w:rsidRPr="009A6B10">
        <w:t>Výsledky prieskumu vnímania a uplatňovania spoločensky zodpovedného podnikania na Slovensku z roku 2010 svedčia o nízkom povedomí a poznaní</w:t>
      </w:r>
      <w:r w:rsidRPr="009A6B10">
        <w:rPr>
          <w:rFonts w:eastAsia="TodaySansCeLight"/>
        </w:rPr>
        <w:t xml:space="preserve"> tohto konceptu medzi MSP. Z toho vyplýva, že priestor na podporné opatrenia napomáhajúce výraznejšej motivácii pre zavádzanie konceptu zodpovedného podnikania v prostredí malého a stredného podnikania je pomerne značný.</w:t>
      </w:r>
    </w:p>
    <w:p w:rsidR="000A76E2" w:rsidRPr="009A6B10" w:rsidRDefault="000A76E2" w:rsidP="009A6B10">
      <w:pPr>
        <w:rPr>
          <w:sz w:val="28"/>
          <w:szCs w:val="28"/>
        </w:rPr>
      </w:pPr>
    </w:p>
    <w:p w:rsidR="009A6B10" w:rsidRPr="009A6B10" w:rsidRDefault="009A6B10" w:rsidP="009A6B10">
      <w:pPr>
        <w:rPr>
          <w:sz w:val="28"/>
          <w:szCs w:val="28"/>
          <w:u w:val="single"/>
        </w:rPr>
      </w:pPr>
      <w:r w:rsidRPr="009A6B10">
        <w:rPr>
          <w:sz w:val="28"/>
          <w:szCs w:val="28"/>
          <w:u w:val="single"/>
        </w:rPr>
        <w:t>2.7 Energetická a surovinová politika</w:t>
      </w:r>
    </w:p>
    <w:p w:rsidR="009A6B10" w:rsidRPr="009A6B10" w:rsidRDefault="009A6B10" w:rsidP="009A6B10">
      <w:pPr>
        <w:jc w:val="both"/>
        <w:rPr>
          <w:b/>
        </w:rPr>
      </w:pPr>
    </w:p>
    <w:p w:rsidR="009A6B10" w:rsidRPr="009A6B10" w:rsidRDefault="009A6B10" w:rsidP="009A6B10">
      <w:pPr>
        <w:jc w:val="both"/>
        <w:rPr>
          <w:b/>
        </w:rPr>
      </w:pPr>
      <w:r w:rsidRPr="009A6B10">
        <w:rPr>
          <w:b/>
        </w:rPr>
        <w:t>A. Energetická politika SR</w:t>
      </w:r>
    </w:p>
    <w:p w:rsidR="009A6B10" w:rsidRPr="009A6B10" w:rsidRDefault="009A6B10" w:rsidP="009A6B10">
      <w:pPr>
        <w:jc w:val="both"/>
        <w:rPr>
          <w:b/>
        </w:rPr>
      </w:pPr>
    </w:p>
    <w:p w:rsidR="009A6B10" w:rsidRPr="009A6B10" w:rsidRDefault="009A6B10" w:rsidP="009A6B10">
      <w:pPr>
        <w:jc w:val="both"/>
        <w:rPr>
          <w:b/>
        </w:rPr>
      </w:pPr>
      <w:r w:rsidRPr="009A6B10">
        <w:rPr>
          <w:b/>
        </w:rPr>
        <w:t xml:space="preserve">Zásobovanie uhlím     </w:t>
      </w:r>
    </w:p>
    <w:p w:rsidR="009A6B10" w:rsidRPr="009A6B10" w:rsidRDefault="009A6B10" w:rsidP="009A6B10">
      <w:pPr>
        <w:spacing w:before="120"/>
        <w:jc w:val="both"/>
      </w:pPr>
      <w:r w:rsidRPr="009A6B10">
        <w:lastRenderedPageBreak/>
        <w:t xml:space="preserve">Celková spotreba uhlia má v SR dlhodobo klesajúci trend. Kým v roku 2007 bola spotreba na úrovni 8 815 </w:t>
      </w:r>
      <w:proofErr w:type="spellStart"/>
      <w:r w:rsidRPr="009A6B10">
        <w:t>kt</w:t>
      </w:r>
      <w:proofErr w:type="spellEnd"/>
      <w:r w:rsidRPr="009A6B10">
        <w:t xml:space="preserve"> v roku 2011 na úrovni 7439 kt. Pokles spotreby za p</w:t>
      </w:r>
      <w:r w:rsidR="000A76E2">
        <w:t>osledné 4 roky predstavuje 15,6</w:t>
      </w:r>
      <w:r w:rsidRPr="009A6B10">
        <w:t xml:space="preserve">%. Znížil sa  objem dovozu hnedého i čierneho uhlia. Pokles dovozu čierneho uhlia v ostatnom období súvisí s hospodárskou krízou, s plynofikáciou a so zníženou výrobou elektriny v EVO I .   </w:t>
      </w:r>
    </w:p>
    <w:p w:rsidR="009A6B10" w:rsidRPr="009A6B10" w:rsidRDefault="009A6B10" w:rsidP="009A6B10">
      <w:pPr>
        <w:spacing w:before="120"/>
        <w:jc w:val="both"/>
      </w:pPr>
      <w:r w:rsidRPr="009A6B10">
        <w:t>Na základe optimalizácie výroby elektriny a tepla z domáceho uhlia do roku 2030 bol stanovený ročný objem ťažby hnedého uhlia od roku 2016 na 1800 kt.</w:t>
      </w:r>
    </w:p>
    <w:p w:rsidR="009A6B10" w:rsidRPr="009A6B10" w:rsidRDefault="009A6B10" w:rsidP="009A6B10">
      <w:pPr>
        <w:spacing w:before="120"/>
        <w:jc w:val="both"/>
      </w:pPr>
      <w:r w:rsidRPr="009A6B10">
        <w:t xml:space="preserve">V SR je podľa </w:t>
      </w:r>
      <w:r w:rsidRPr="009A6B10">
        <w:rPr>
          <w:i/>
        </w:rPr>
        <w:t>Bilancie zásob výhradných ložísk</w:t>
      </w:r>
      <w:r w:rsidRPr="009A6B10">
        <w:t xml:space="preserve"> 21 ložísk uhlia s celkovým objemom geologických zásob cca 1 mld. ton. Podľa materiálu Štátneho geologického ústavu Dionýza Štúra je k dispozícii 100 -130 mil. ton </w:t>
      </w:r>
      <w:proofErr w:type="spellStart"/>
      <w:r w:rsidRPr="009A6B10">
        <w:t>vyťažiteľných</w:t>
      </w:r>
      <w:proofErr w:type="spellEnd"/>
      <w:r w:rsidRPr="009A6B10">
        <w:t xml:space="preserve"> zásob na 7 ložiskách. Z uvedenej bilancie je zrejmé, že pokiaľ by sa ťažba a spotreba domáceho uhlia obmedzila len na dodávky energetického uhlia do ENO, tak  životnosť  ENO pri spotrebe cca 2 mil. ton/rok by mala byť  20 - 25 rokov.</w:t>
      </w:r>
    </w:p>
    <w:p w:rsidR="009A6B10" w:rsidRPr="009A6B10" w:rsidRDefault="009A6B10" w:rsidP="009A6B10">
      <w:pPr>
        <w:jc w:val="both"/>
      </w:pPr>
    </w:p>
    <w:p w:rsidR="009A6B10" w:rsidRPr="009A6B10" w:rsidRDefault="009A6B10" w:rsidP="009A6B10">
      <w:pPr>
        <w:jc w:val="both"/>
        <w:rPr>
          <w:b/>
        </w:rPr>
      </w:pPr>
      <w:r w:rsidRPr="009A6B10">
        <w:rPr>
          <w:b/>
        </w:rPr>
        <w:t xml:space="preserve">Zásobovanie ropou </w:t>
      </w:r>
    </w:p>
    <w:p w:rsidR="009A6B10" w:rsidRPr="009A6B10" w:rsidRDefault="009A6B10" w:rsidP="009A6B10">
      <w:pPr>
        <w:spacing w:before="120"/>
        <w:jc w:val="both"/>
      </w:pPr>
      <w:r w:rsidRPr="009A6B10">
        <w:t>Domáca ťažba ropy je oproti spotreby zanedbateľná. V roku 2012 bola na úrovni 11 448 ton. Očakáva sa trend jej postupného znižovania až do doťaženia zásob zhruba na úrovni roku 2020.</w:t>
      </w:r>
    </w:p>
    <w:p w:rsidR="009A6B10" w:rsidRPr="009A6B10" w:rsidRDefault="009A6B10" w:rsidP="009A6B10">
      <w:pPr>
        <w:spacing w:before="120"/>
        <w:jc w:val="both"/>
      </w:pPr>
      <w:r w:rsidRPr="009A6B10">
        <w:t xml:space="preserve">Hlavným zdrojom nášho ropného priemyslu je ropa </w:t>
      </w:r>
      <w:r w:rsidRPr="009A6B10">
        <w:rPr>
          <w:bCs/>
        </w:rPr>
        <w:t>dovážaná z Ruska a z Azerbajdžanu prostredníctvom ropovodu Družba.</w:t>
      </w:r>
      <w:r w:rsidRPr="009A6B10">
        <w:t xml:space="preserve"> Slovnaft a.s. ročne spracuje 5,3 - 6,0 mil. ton ropy. V roku 2010 sa do Slovnaftu, a.s. doviezlo 5,5 mil. ton, v roku 2011: 6 mil. ton a v roku 2012: 5,36 mil. ton ropy. </w:t>
      </w:r>
    </w:p>
    <w:p w:rsidR="009A6B10" w:rsidRPr="009A6B10" w:rsidRDefault="009A6B10" w:rsidP="009A6B10">
      <w:pPr>
        <w:spacing w:before="120"/>
        <w:jc w:val="both"/>
      </w:pPr>
      <w:r w:rsidRPr="009A6B10">
        <w:t xml:space="preserve">SR udržiava v súčasnosti núdzové zásoby ropy a ropných výrobkov na úrovni minimálne 90 dní v zmysle smernice Rady 2009/119/ES dní priemerného čistého denného dovozu. Za prvý polrok roku 2013 to bolo 101 dní. </w:t>
      </w:r>
    </w:p>
    <w:p w:rsidR="009A6B10" w:rsidRPr="009A6B10" w:rsidRDefault="009A6B10" w:rsidP="009A6B10">
      <w:pPr>
        <w:spacing w:before="120"/>
        <w:jc w:val="both"/>
        <w:rPr>
          <w:b/>
        </w:rPr>
      </w:pPr>
      <w:r w:rsidRPr="009A6B10">
        <w:t>Domáca spotreba motorových palív má dlhodobo rastúcu tendenciu, ale za posledné tri roky má klesajúci trend. V roku 2012 bola spotreba na úrovni 2,1 tis. ton. Najmä spotreba automobilového benzín</w:t>
      </w:r>
      <w:r w:rsidR="000A76E2">
        <w:t>u klesla rapídne za 2 roky o 16</w:t>
      </w:r>
      <w:r w:rsidRPr="009A6B10">
        <w:t xml:space="preserve">%. </w:t>
      </w:r>
    </w:p>
    <w:p w:rsidR="009A6B10" w:rsidRPr="009A6B10" w:rsidRDefault="009A6B10" w:rsidP="009A6B10">
      <w:pPr>
        <w:jc w:val="both"/>
        <w:rPr>
          <w:b/>
          <w:color w:val="0000FF"/>
        </w:rPr>
      </w:pPr>
    </w:p>
    <w:p w:rsidR="009A6B10" w:rsidRPr="009A6B10" w:rsidRDefault="009A6B10" w:rsidP="009A6B10">
      <w:pPr>
        <w:jc w:val="both"/>
        <w:rPr>
          <w:b/>
        </w:rPr>
      </w:pPr>
      <w:r w:rsidRPr="009A6B10">
        <w:rPr>
          <w:b/>
        </w:rPr>
        <w:t>Zásobovanie zemným plynom</w:t>
      </w:r>
    </w:p>
    <w:p w:rsidR="009A6B10" w:rsidRPr="009A6B10" w:rsidRDefault="009A6B10" w:rsidP="00D1230F">
      <w:pPr>
        <w:numPr>
          <w:ilvl w:val="0"/>
          <w:numId w:val="27"/>
        </w:numPr>
        <w:spacing w:before="120"/>
        <w:ind w:left="0" w:firstLine="0"/>
        <w:jc w:val="both"/>
        <w:rPr>
          <w:rFonts w:eastAsia="Arial Unicode MS"/>
          <w:szCs w:val="20"/>
        </w:rPr>
      </w:pPr>
      <w:r w:rsidRPr="009A6B10">
        <w:rPr>
          <w:rFonts w:eastAsia="Arial Unicode MS"/>
          <w:szCs w:val="20"/>
        </w:rPr>
        <w:t>Domáca spotreba zemného plynu v ostatných rokoch má výrazne klesajúcu tendenciu. V roku 2007 spotreba predstavovala: 5,7 mld. m</w:t>
      </w:r>
      <w:r w:rsidRPr="009A6B10">
        <w:rPr>
          <w:rFonts w:eastAsia="Arial Unicode MS"/>
          <w:szCs w:val="20"/>
          <w:vertAlign w:val="superscript"/>
        </w:rPr>
        <w:t>3</w:t>
      </w:r>
      <w:r w:rsidRPr="009A6B10">
        <w:rPr>
          <w:rFonts w:eastAsia="Arial Unicode MS"/>
          <w:szCs w:val="20"/>
        </w:rPr>
        <w:t>, v roku 2012: zhruba 5,2 mld. m</w:t>
      </w:r>
      <w:r w:rsidRPr="009A6B10">
        <w:rPr>
          <w:rFonts w:eastAsia="Arial Unicode MS"/>
          <w:szCs w:val="20"/>
          <w:vertAlign w:val="superscript"/>
        </w:rPr>
        <w:t>3</w:t>
      </w:r>
      <w:r w:rsidRPr="009A6B10">
        <w:rPr>
          <w:rFonts w:eastAsia="Arial Unicode MS"/>
          <w:szCs w:val="20"/>
        </w:rPr>
        <w:t>. Je to následkom nižších nárokov na teplo z titulu zatepľovania budov, úsporných opatrení a využívania OZE (biomasa, slnečné kolektory).</w:t>
      </w:r>
    </w:p>
    <w:p w:rsidR="009A6B10" w:rsidRPr="009A6B10" w:rsidRDefault="009A6B10" w:rsidP="009A6B10">
      <w:pPr>
        <w:spacing w:before="120"/>
        <w:jc w:val="both"/>
      </w:pPr>
      <w:r w:rsidRPr="009A6B10">
        <w:t>Na spotrebe zemného plynu sa domáca ťažba podieľa s podielom približne 2%. Existujúce ložiská plynu sú v záverečnej fáze odťažovania a ťažené objemy majú klesajúci trend. V roku 2011 bola domáca ťažba na úrovni 92 mil. m</w:t>
      </w:r>
      <w:r w:rsidRPr="009A6B10">
        <w:rPr>
          <w:vertAlign w:val="superscript"/>
        </w:rPr>
        <w:t xml:space="preserve">3 </w:t>
      </w:r>
      <w:r w:rsidRPr="009A6B10">
        <w:t>a predpokladá sa, že aj v nasledujúcich rokoch bude pod hranicou 100 mil. m</w:t>
      </w:r>
      <w:r w:rsidRPr="009A6B10">
        <w:rPr>
          <w:vertAlign w:val="superscript"/>
        </w:rPr>
        <w:t>3</w:t>
      </w:r>
      <w:r w:rsidRPr="009A6B10">
        <w:t>.</w:t>
      </w:r>
    </w:p>
    <w:p w:rsidR="009A6B10" w:rsidRPr="009A6B10" w:rsidRDefault="009A6B10" w:rsidP="009A6B10">
      <w:pPr>
        <w:tabs>
          <w:tab w:val="left" w:pos="1512"/>
          <w:tab w:val="left" w:pos="1620"/>
        </w:tabs>
        <w:jc w:val="both"/>
        <w:rPr>
          <w:b/>
        </w:rPr>
      </w:pPr>
    </w:p>
    <w:p w:rsidR="009A6B10" w:rsidRPr="009A6B10" w:rsidRDefault="009A6B10" w:rsidP="009A6B10">
      <w:pPr>
        <w:tabs>
          <w:tab w:val="left" w:pos="1512"/>
          <w:tab w:val="left" w:pos="1620"/>
        </w:tabs>
        <w:jc w:val="both"/>
        <w:rPr>
          <w:bCs/>
        </w:rPr>
      </w:pPr>
      <w:r w:rsidRPr="009A6B10">
        <w:t>V rámci diverzifikácie zdrojov i prepravných ciest sa v súčasnosti dokončuje výstavba plynárenského prepojenia medzi Slovenskom a Maďarskom s plánovaným termínom uvedenia do prevádzky 1.1.2015. P</w:t>
      </w:r>
      <w:r w:rsidRPr="009A6B10">
        <w:rPr>
          <w:bCs/>
        </w:rPr>
        <w:t xml:space="preserve">rojekt predstavuje významnú súčasť plánovaného </w:t>
      </w:r>
      <w:proofErr w:type="spellStart"/>
      <w:r w:rsidRPr="009A6B10">
        <w:rPr>
          <w:bCs/>
        </w:rPr>
        <w:t>severo-južného</w:t>
      </w:r>
      <w:proofErr w:type="spellEnd"/>
      <w:r w:rsidRPr="009A6B10">
        <w:rPr>
          <w:bCs/>
        </w:rPr>
        <w:t xml:space="preserve"> plynárenského koridoru</w:t>
      </w:r>
      <w:r w:rsidRPr="009A6B10">
        <w:t xml:space="preserve">. </w:t>
      </w:r>
    </w:p>
    <w:p w:rsidR="009A6B10" w:rsidRPr="009A6B10" w:rsidRDefault="009A6B10" w:rsidP="009A6B10">
      <w:pPr>
        <w:spacing w:before="120"/>
        <w:jc w:val="both"/>
      </w:pPr>
      <w:r w:rsidRPr="009A6B10">
        <w:t>Súčasná uskladňovacia kapacita podzemných zásobníkov v SR je 2,9 mld. m</w:t>
      </w:r>
      <w:r w:rsidRPr="009A6B10">
        <w:rPr>
          <w:vertAlign w:val="superscript"/>
        </w:rPr>
        <w:t>3</w:t>
      </w:r>
      <w:r w:rsidRPr="009A6B10">
        <w:t xml:space="preserve">, po dokončení zásobníka Gajary – </w:t>
      </w:r>
      <w:proofErr w:type="spellStart"/>
      <w:r w:rsidRPr="009A6B10">
        <w:t>báden</w:t>
      </w:r>
      <w:proofErr w:type="spellEnd"/>
      <w:r w:rsidRPr="009A6B10">
        <w:t xml:space="preserve"> (rok 2015) sa predpokladá jej zvýšenie na cca 3,12 mld. m</w:t>
      </w:r>
      <w:r w:rsidRPr="009A6B10">
        <w:rPr>
          <w:vertAlign w:val="superscript"/>
        </w:rPr>
        <w:t>3</w:t>
      </w:r>
      <w:r w:rsidRPr="009A6B10">
        <w:t xml:space="preserve">. </w:t>
      </w:r>
    </w:p>
    <w:p w:rsidR="009A6B10" w:rsidRPr="009A6B10" w:rsidRDefault="009A6B10" w:rsidP="009A6B10">
      <w:pPr>
        <w:jc w:val="both"/>
      </w:pPr>
    </w:p>
    <w:p w:rsidR="009A6B10" w:rsidRPr="009A6B10" w:rsidRDefault="009A6B10" w:rsidP="009A6B10">
      <w:pPr>
        <w:jc w:val="both"/>
      </w:pPr>
      <w:r w:rsidRPr="009A6B10">
        <w:rPr>
          <w:b/>
        </w:rPr>
        <w:t>Obnoviteľné zdroje energie</w:t>
      </w:r>
    </w:p>
    <w:p w:rsidR="009A6B10" w:rsidRPr="009A6B10" w:rsidRDefault="009A6B10" w:rsidP="009A6B10">
      <w:pPr>
        <w:spacing w:before="120"/>
        <w:jc w:val="both"/>
      </w:pPr>
      <w:r w:rsidRPr="009A6B10">
        <w:lastRenderedPageBreak/>
        <w:t>Využívanie obnoviteľných zdrojov energie</w:t>
      </w:r>
      <w:r w:rsidRPr="009A6B10">
        <w:rPr>
          <w:b/>
        </w:rPr>
        <w:t xml:space="preserve"> </w:t>
      </w:r>
      <w:r w:rsidRPr="009A6B10">
        <w:t>(OZE) najmä s predpovedateľnou výrobou, okrem environmentálneho prínosu, zvyšuje aj sebestačnosť a tým aj energetickú bezpečnosť republiky. Zvyšovanie podielu OZE na spotrebe energie je preto jednou z priorít .</w:t>
      </w:r>
    </w:p>
    <w:p w:rsidR="009A6B10" w:rsidRPr="009A6B10" w:rsidRDefault="009A6B10" w:rsidP="009A6B10">
      <w:pPr>
        <w:spacing w:before="120"/>
        <w:jc w:val="both"/>
      </w:pPr>
      <w:r w:rsidRPr="009A6B10">
        <w:t>Najväčší energetický potenciál z OZE na Slovensku má biomasa s t</w:t>
      </w:r>
      <w:r w:rsidRPr="009A6B10">
        <w:rPr>
          <w:rFonts w:cs="Arial"/>
        </w:rPr>
        <w:t xml:space="preserve">eoretickým potenciálom 120 PJ. Biomasa </w:t>
      </w:r>
      <w:r w:rsidRPr="009A6B10">
        <w:t>predstavuje aj dôležitý potenciál pre rozvoj regionálnej a lokálnej ekonomiky.</w:t>
      </w:r>
    </w:p>
    <w:p w:rsidR="009A6B10" w:rsidRPr="009A6B10" w:rsidRDefault="009A6B10" w:rsidP="009A6B10">
      <w:pPr>
        <w:spacing w:before="120"/>
        <w:jc w:val="both"/>
      </w:pPr>
      <w:r w:rsidRPr="009A6B10">
        <w:t xml:space="preserve">Počas rokov 2010 a 2011 došlo k veľkému nárastu počtu </w:t>
      </w:r>
      <w:proofErr w:type="spellStart"/>
      <w:r w:rsidRPr="009A6B10">
        <w:t>fotovoltaických</w:t>
      </w:r>
      <w:proofErr w:type="spellEnd"/>
      <w:r w:rsidRPr="009A6B10">
        <w:t xml:space="preserve"> elektrární. Ku koncu roka 2012 inštalovaný výkon týchto zdrojov dosiahol 524 MW. A</w:t>
      </w:r>
      <w:r w:rsidRPr="009A6B10">
        <w:rPr>
          <w:bCs/>
        </w:rPr>
        <w:t>by sa predišlo problémom v riadení elektrizačnej sústavy a eskalácii ceny elektriny, ďalšia výstavba je regulovaná legislatívnou úpravou podpory t</w:t>
      </w:r>
      <w:r w:rsidRPr="009A6B10">
        <w:t xml:space="preserve">ak že nepodporuje sa inštalácia takýchto zdrojov nad 10 </w:t>
      </w:r>
      <w:proofErr w:type="spellStart"/>
      <w:r w:rsidRPr="009A6B10">
        <w:t>kW</w:t>
      </w:r>
      <w:proofErr w:type="spellEnd"/>
      <w:r w:rsidRPr="009A6B10">
        <w:t>.</w:t>
      </w:r>
    </w:p>
    <w:p w:rsidR="009A6B10" w:rsidRPr="009A6B10" w:rsidRDefault="009A6B10" w:rsidP="009A6B10">
      <w:pPr>
        <w:jc w:val="both"/>
        <w:rPr>
          <w:b/>
        </w:rPr>
      </w:pPr>
    </w:p>
    <w:p w:rsidR="009A6B10" w:rsidRPr="009A6B10" w:rsidRDefault="009A6B10" w:rsidP="009A6B10">
      <w:pPr>
        <w:jc w:val="both"/>
        <w:rPr>
          <w:b/>
        </w:rPr>
      </w:pPr>
      <w:r w:rsidRPr="009A6B10">
        <w:rPr>
          <w:b/>
        </w:rPr>
        <w:t>Zásobovanie elektrinou</w:t>
      </w:r>
    </w:p>
    <w:p w:rsidR="009A6B10" w:rsidRPr="009A6B10" w:rsidRDefault="009A6B10" w:rsidP="009A6B10">
      <w:pPr>
        <w:spacing w:before="120"/>
        <w:jc w:val="both"/>
      </w:pPr>
      <w:r w:rsidRPr="009A6B10">
        <w:t xml:space="preserve">Zásobovanie je vzhľadom na optimálnu štruktúru zdrojov a dobre vybudovanú rozvodnú sústavu spoľahlivé s minimálnym výskytom väčších výpadkov. </w:t>
      </w:r>
    </w:p>
    <w:p w:rsidR="00284F46" w:rsidRPr="009A7DF8" w:rsidRDefault="00284F46" w:rsidP="00284F46">
      <w:pPr>
        <w:spacing w:before="120"/>
        <w:jc w:val="both"/>
        <w:rPr>
          <w:bCs/>
          <w:color w:val="FF0000"/>
        </w:rPr>
      </w:pPr>
      <w:r w:rsidRPr="009A6B10">
        <w:t xml:space="preserve">Bilancia spotreby a výroby elektriny SR je za posledných 5 rokov deficitná, resp. dovozová. Od roku 2010 pretrváva stagnácia spotreby elektriny na úrovni 28,8 </w:t>
      </w:r>
      <w:proofErr w:type="spellStart"/>
      <w:r w:rsidRPr="009A6B10">
        <w:t>TWh</w:t>
      </w:r>
      <w:proofErr w:type="spellEnd"/>
      <w:r w:rsidRPr="009A6B10">
        <w:t xml:space="preserve">, výroba pritom má rastúci trend, takže dovoz z roka na rok klesá. </w:t>
      </w:r>
      <w:r w:rsidRPr="00284F46">
        <w:t>V roku 2013 bola celková spotreba elektriny v objeme 28 681 </w:t>
      </w:r>
      <w:proofErr w:type="spellStart"/>
      <w:r w:rsidRPr="00284F46">
        <w:t>GWh</w:t>
      </w:r>
      <w:proofErr w:type="spellEnd"/>
      <w:r w:rsidRPr="00284F46">
        <w:t xml:space="preserve"> a výroba 28 590 </w:t>
      </w:r>
      <w:proofErr w:type="spellStart"/>
      <w:r w:rsidRPr="00284F46">
        <w:t>GWh</w:t>
      </w:r>
      <w:proofErr w:type="spellEnd"/>
      <w:r w:rsidRPr="00284F46">
        <w:t xml:space="preserve">. Rozdiel bol pokrytý dovozom v objeme 91 </w:t>
      </w:r>
      <w:proofErr w:type="spellStart"/>
      <w:r w:rsidRPr="00284F46">
        <w:t>GWh</w:t>
      </w:r>
      <w:proofErr w:type="spellEnd"/>
      <w:r w:rsidRPr="00284F46">
        <w:t xml:space="preserve"> ktorý predstavuje len 0,3 % z celkovej spotreby. </w:t>
      </w:r>
      <w:r w:rsidRPr="00284F46">
        <w:rPr>
          <w:bCs/>
        </w:rPr>
        <w:t>Inštalovaný výkon elektrární SR je zhruba    8500 MW.</w:t>
      </w:r>
      <w:r w:rsidRPr="009A7DF8">
        <w:rPr>
          <w:bCs/>
          <w:color w:val="FF0000"/>
        </w:rPr>
        <w:t xml:space="preserve"> </w:t>
      </w:r>
    </w:p>
    <w:p w:rsidR="009A6B10" w:rsidRDefault="00284F46" w:rsidP="00284F46">
      <w:pPr>
        <w:spacing w:before="120"/>
        <w:jc w:val="both"/>
        <w:rPr>
          <w:bCs/>
        </w:rPr>
      </w:pPr>
      <w:r w:rsidRPr="009A6B10">
        <w:rPr>
          <w:bCs/>
        </w:rPr>
        <w:t>Závažnou negatívnou udalosťou v zásobovaní elektrinou bolo odstavenie novej paroplynovej elektrárne v </w:t>
      </w:r>
      <w:r w:rsidRPr="00284F46">
        <w:rPr>
          <w:bCs/>
        </w:rPr>
        <w:t>Malženiciach v roku 2013 pre nerentabilnú prevádzku spôsobenú nízkou cenou základnej elektriny a vysokou cenou zemného plynu. Chýbajúca výroba tejto elektrárne mala za následok mierne exportnú bilanciu v roku 2013.</w:t>
      </w:r>
      <w:r w:rsidRPr="009A6B10">
        <w:rPr>
          <w:bCs/>
        </w:rPr>
        <w:t xml:space="preserve"> </w:t>
      </w:r>
      <w:r w:rsidRPr="009A6B10">
        <w:t xml:space="preserve">Predpokladá sa, že k dosiahnutiu vyrovnanej, resp. exportnej bilancii (salda) dôjde až po roku 2015, po uvedení </w:t>
      </w:r>
      <w:r w:rsidRPr="009A6B10">
        <w:rPr>
          <w:bCs/>
        </w:rPr>
        <w:t>JE Mochovce 3, 4 (942 MW) do prevádzky</w:t>
      </w:r>
      <w:r w:rsidRPr="00284F46">
        <w:rPr>
          <w:bCs/>
        </w:rPr>
        <w:t>.</w:t>
      </w:r>
    </w:p>
    <w:p w:rsidR="00284F46" w:rsidRPr="009A6B10" w:rsidRDefault="00284F46" w:rsidP="00284F46">
      <w:pPr>
        <w:jc w:val="both"/>
        <w:rPr>
          <w:b/>
          <w:bCs/>
          <w:sz w:val="28"/>
          <w:szCs w:val="28"/>
        </w:rPr>
      </w:pPr>
    </w:p>
    <w:p w:rsidR="009A6B10" w:rsidRPr="009A6B10" w:rsidRDefault="009A6B10" w:rsidP="009A6B10">
      <w:pPr>
        <w:spacing w:after="120"/>
        <w:jc w:val="both"/>
        <w:rPr>
          <w:b/>
        </w:rPr>
      </w:pPr>
      <w:r w:rsidRPr="009A6B10">
        <w:rPr>
          <w:b/>
        </w:rPr>
        <w:t>Zásobovanie teplom</w:t>
      </w:r>
    </w:p>
    <w:p w:rsidR="009A6B10" w:rsidRPr="009A6B10" w:rsidRDefault="009A6B10" w:rsidP="009A6B10">
      <w:pPr>
        <w:spacing w:after="120"/>
        <w:jc w:val="both"/>
      </w:pPr>
      <w:r w:rsidRPr="009A6B10">
        <w:t xml:space="preserve">Z analýzy výroby využiteľného tepla podľa jednotlivých zdrojov výroby tepla vyplýva, že ročná výroba využiteľného tepla je cca 130 - 140 PJ. Najvyšší podiel výroby tepla pripadá na individuálne zdroje tepla, kde má najvyšší podiel zemný plyn, čo odzrkadľuje výraznú plošnú plynofikáciu Slovenska. </w:t>
      </w:r>
    </w:p>
    <w:p w:rsidR="009A6B10" w:rsidRPr="009A6B10" w:rsidRDefault="009A6B10" w:rsidP="009A6B10">
      <w:pPr>
        <w:jc w:val="both"/>
      </w:pPr>
      <w:r w:rsidRPr="009A6B10">
        <w:t xml:space="preserve">SR má rozvinutý systémom centralizovaného zásobovania teplom </w:t>
      </w:r>
      <w:r w:rsidRPr="009A6B10">
        <w:rPr>
          <w:i/>
        </w:rPr>
        <w:t>(„systém CZT“)</w:t>
      </w:r>
      <w:r w:rsidR="000A76E2">
        <w:t>, ktorý pokrýva viac ako 30</w:t>
      </w:r>
      <w:r w:rsidRPr="009A6B10">
        <w:t>% celkovej spotreby tepla. V systémoch CZT prevažuje výroba tepla v teplárenských systémoch, kde sa uskutoční kombinovaná výroba tepla i elektriny.</w:t>
      </w:r>
      <w:r w:rsidRPr="009A6B10">
        <w:rPr>
          <w:color w:val="0000FF"/>
        </w:rPr>
        <w:t xml:space="preserve"> </w:t>
      </w:r>
      <w:r w:rsidRPr="009A6B10">
        <w:t xml:space="preserve">V týchto teplárenských zdrojoch prevládajú pevné fosílne palivá. </w:t>
      </w:r>
    </w:p>
    <w:p w:rsidR="009A6B10" w:rsidRPr="009A6B10" w:rsidRDefault="009A6B10" w:rsidP="009A6B10">
      <w:pPr>
        <w:jc w:val="both"/>
      </w:pPr>
    </w:p>
    <w:p w:rsidR="009A6B10" w:rsidRPr="009A6B10" w:rsidRDefault="009A6B10" w:rsidP="009A6B10">
      <w:pPr>
        <w:jc w:val="both"/>
      </w:pPr>
      <w:r w:rsidRPr="009A6B10">
        <w:t xml:space="preserve">V lokálnych resp. okrskových zdrojoch tepla </w:t>
      </w:r>
      <w:r w:rsidRPr="009A6B10">
        <w:rPr>
          <w:i/>
        </w:rPr>
        <w:t xml:space="preserve">(kotolne, výhrevne), </w:t>
      </w:r>
      <w:r w:rsidRPr="009A6B10">
        <w:t>kde sa väčšinou vyrába len teplo, pal</w:t>
      </w:r>
      <w:r w:rsidR="000A76E2">
        <w:t>ivovú základňu tvorí na vyše 86</w:t>
      </w:r>
      <w:r w:rsidRPr="009A6B10">
        <w:t>% zemný plyn.</w:t>
      </w:r>
    </w:p>
    <w:p w:rsidR="009A6B10" w:rsidRPr="009A6B10" w:rsidRDefault="009A6B10" w:rsidP="009A6B10">
      <w:pPr>
        <w:spacing w:before="120" w:after="120"/>
        <w:jc w:val="both"/>
      </w:pPr>
      <w:r w:rsidRPr="009A6B10">
        <w:t>Za uplynulých 10 rokov došlo k podstatnému znižovaniu dodávky tepla najmä zo systémov CZT z dôvodu značnému znižovaniu spotreby titulu zatepľovania budov a realizovania opatrení v oblasti energetickej efektívnosti vykonaných na vykurovacích sústavách.</w:t>
      </w:r>
    </w:p>
    <w:p w:rsidR="009A6B10" w:rsidRPr="009A6B10" w:rsidRDefault="009A6B10" w:rsidP="009A6B10">
      <w:pPr>
        <w:spacing w:before="120" w:after="120"/>
        <w:jc w:val="both"/>
      </w:pPr>
      <w:r w:rsidRPr="009A6B10">
        <w:t xml:space="preserve">V najbližších rokoch je potrebné očakávať v systémoch CZT, hlavne s teplárňami spaľujúcimi tuhé palivá, zvýšené investície vyvolané potrebou rekonštrukcie sústav tepelných zariadení v súvislosti so zabezpečením požiadaviek na plnenie nových sprísnených emisných limitov znečisťujúcich látok vypúšťaných do ovzdušia, ktoré budú platné od roku 2016. </w:t>
      </w:r>
    </w:p>
    <w:p w:rsidR="009A6B10" w:rsidRPr="009A6B10" w:rsidRDefault="009A6B10" w:rsidP="009A6B10">
      <w:pPr>
        <w:spacing w:before="120" w:after="120"/>
        <w:jc w:val="both"/>
        <w:rPr>
          <w:b/>
        </w:rPr>
      </w:pPr>
      <w:r w:rsidRPr="009A6B10">
        <w:rPr>
          <w:b/>
        </w:rPr>
        <w:lastRenderedPageBreak/>
        <w:t>B. Surovinová politika</w:t>
      </w:r>
    </w:p>
    <w:p w:rsidR="009A6B10" w:rsidRPr="009A6B10" w:rsidRDefault="009A6B10" w:rsidP="009A6B10">
      <w:pPr>
        <w:autoSpaceDE w:val="0"/>
        <w:autoSpaceDN w:val="0"/>
        <w:adjustRightInd w:val="0"/>
        <w:jc w:val="both"/>
        <w:rPr>
          <w:rFonts w:cs="Arial"/>
          <w:b/>
          <w:color w:val="000000"/>
        </w:rPr>
      </w:pPr>
    </w:p>
    <w:p w:rsidR="009A6B10" w:rsidRPr="009A6B10" w:rsidRDefault="009A6B10" w:rsidP="009A6B10">
      <w:pPr>
        <w:autoSpaceDE w:val="0"/>
        <w:autoSpaceDN w:val="0"/>
        <w:adjustRightInd w:val="0"/>
        <w:jc w:val="both"/>
        <w:rPr>
          <w:rFonts w:cs="Arial"/>
          <w:b/>
          <w:color w:val="000000"/>
        </w:rPr>
      </w:pPr>
      <w:r w:rsidRPr="009A6B10">
        <w:rPr>
          <w:rFonts w:cs="Arial"/>
          <w:b/>
          <w:color w:val="000000"/>
        </w:rPr>
        <w:t>Potenciál zdrojov nerastných surovín pre SR</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pPr>
      <w:r w:rsidRPr="009A6B10">
        <w:t>Výskyty ložísk nerastných surovín sú podmienené geologickou stavbou územia. Ich rozloženie je značne nerovnomerné a viazané na konkrétne geologické a </w:t>
      </w:r>
      <w:proofErr w:type="spellStart"/>
      <w:r w:rsidRPr="009A6B10">
        <w:t>metalogenetické</w:t>
      </w:r>
      <w:proofErr w:type="spellEnd"/>
      <w:r w:rsidRPr="009A6B10">
        <w:t xml:space="preserve"> podmienky. Jednotlivé geologicko-tektonické jednotky sú zastúpené charakteristickým súborom nerastných surovín.    </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pPr>
      <w:r w:rsidRPr="009A6B10">
        <w:t>Najmladšie kvartérne ložiská reprezentujú sklárske a zlievarenské kremenné piesky, štrkopiesky, tehliarske suroviny, travertín, technicky využiteľné kryštály a </w:t>
      </w:r>
      <w:proofErr w:type="spellStart"/>
      <w:r w:rsidRPr="009A6B10">
        <w:t>rozsypové</w:t>
      </w:r>
      <w:proofErr w:type="spellEnd"/>
      <w:r w:rsidRPr="009A6B10">
        <w:t xml:space="preserve"> zlato. Významná akumulácia rudných (Au, </w:t>
      </w:r>
      <w:proofErr w:type="spellStart"/>
      <w:r w:rsidRPr="009A6B10">
        <w:t>Ag</w:t>
      </w:r>
      <w:proofErr w:type="spellEnd"/>
      <w:r w:rsidRPr="009A6B10">
        <w:t xml:space="preserve">, </w:t>
      </w:r>
      <w:proofErr w:type="spellStart"/>
      <w:r w:rsidRPr="009A6B10">
        <w:t>Cu</w:t>
      </w:r>
      <w:proofErr w:type="spellEnd"/>
      <w:r w:rsidRPr="009A6B10">
        <w:t xml:space="preserve">, </w:t>
      </w:r>
      <w:proofErr w:type="spellStart"/>
      <w:r w:rsidRPr="009A6B10">
        <w:t>polymetalické</w:t>
      </w:r>
      <w:proofErr w:type="spellEnd"/>
      <w:r w:rsidRPr="009A6B10">
        <w:t xml:space="preserve"> kovy, </w:t>
      </w:r>
      <w:proofErr w:type="spellStart"/>
      <w:r w:rsidRPr="009A6B10">
        <w:t>Sb</w:t>
      </w:r>
      <w:proofErr w:type="spellEnd"/>
      <w:r w:rsidRPr="009A6B10">
        <w:t xml:space="preserve">, </w:t>
      </w:r>
      <w:proofErr w:type="spellStart"/>
      <w:r w:rsidRPr="009A6B10">
        <w:t>Hg</w:t>
      </w:r>
      <w:proofErr w:type="spellEnd"/>
      <w:r w:rsidRPr="009A6B10">
        <w:t xml:space="preserve">, </w:t>
      </w:r>
      <w:proofErr w:type="spellStart"/>
      <w:r w:rsidRPr="009A6B10">
        <w:t>Fe</w:t>
      </w:r>
      <w:proofErr w:type="spellEnd"/>
      <w:r w:rsidRPr="009A6B10">
        <w:t>) a nerudných surovín (</w:t>
      </w:r>
      <w:proofErr w:type="spellStart"/>
      <w:r w:rsidRPr="009A6B10">
        <w:t>perlit</w:t>
      </w:r>
      <w:proofErr w:type="spellEnd"/>
      <w:r w:rsidRPr="009A6B10">
        <w:t xml:space="preserve">, </w:t>
      </w:r>
      <w:proofErr w:type="spellStart"/>
      <w:r w:rsidRPr="009A6B10">
        <w:t>bentonit</w:t>
      </w:r>
      <w:proofErr w:type="spellEnd"/>
      <w:r w:rsidRPr="009A6B10">
        <w:t xml:space="preserve">, kaolín, íly, </w:t>
      </w:r>
      <w:proofErr w:type="spellStart"/>
      <w:r w:rsidRPr="009A6B10">
        <w:t>zeolit</w:t>
      </w:r>
      <w:proofErr w:type="spellEnd"/>
      <w:r w:rsidRPr="009A6B10">
        <w:t xml:space="preserve">, </w:t>
      </w:r>
      <w:proofErr w:type="spellStart"/>
      <w:r w:rsidRPr="009A6B10">
        <w:t>diatomit</w:t>
      </w:r>
      <w:proofErr w:type="spellEnd"/>
      <w:r w:rsidRPr="009A6B10">
        <w:t xml:space="preserve">, </w:t>
      </w:r>
      <w:proofErr w:type="spellStart"/>
      <w:r w:rsidRPr="009A6B10">
        <w:t>alginit</w:t>
      </w:r>
      <w:proofErr w:type="spellEnd"/>
      <w:r w:rsidRPr="009A6B10">
        <w:t>, stavebný a dekoračný kameň – andezit) je v </w:t>
      </w:r>
      <w:proofErr w:type="spellStart"/>
      <w:r w:rsidRPr="009A6B10">
        <w:t>neogénnych</w:t>
      </w:r>
      <w:proofErr w:type="spellEnd"/>
      <w:r w:rsidRPr="009A6B10">
        <w:t xml:space="preserve"> vulkanických formáciách. </w:t>
      </w:r>
      <w:proofErr w:type="spellStart"/>
      <w:r w:rsidRPr="009A6B10">
        <w:t>Neogénne</w:t>
      </w:r>
      <w:proofErr w:type="spellEnd"/>
      <w:r w:rsidRPr="009A6B10">
        <w:t xml:space="preserve"> sedimentárne komplexy sú zdrojom hnedého uhlia, lignitu, ropy, zemného plynu, kamennej soli, kaolínu, ílov, zlievarenských pieskov, </w:t>
      </w:r>
      <w:proofErr w:type="spellStart"/>
      <w:r w:rsidRPr="009A6B10">
        <w:t>bentonitu</w:t>
      </w:r>
      <w:proofErr w:type="spellEnd"/>
      <w:r w:rsidRPr="009A6B10">
        <w:t xml:space="preserve">, </w:t>
      </w:r>
      <w:proofErr w:type="spellStart"/>
      <w:r w:rsidRPr="009A6B10">
        <w:t>kvarcitu</w:t>
      </w:r>
      <w:proofErr w:type="spellEnd"/>
      <w:r w:rsidRPr="009A6B10">
        <w:t xml:space="preserve">, tehliarskych surovín, štrkopieskov a dekoračného kameňa. </w:t>
      </w:r>
      <w:proofErr w:type="spellStart"/>
      <w:r w:rsidRPr="009A6B10">
        <w:t>Paleogénne</w:t>
      </w:r>
      <w:proofErr w:type="spellEnd"/>
      <w:r w:rsidRPr="009A6B10">
        <w:t xml:space="preserve"> horniny predstavujú zdrojovú oblasť pre mangánové rudy, pieskovce, hnedé uhlie a tehliarske suroviny. Sedimentárne </w:t>
      </w:r>
      <w:proofErr w:type="spellStart"/>
      <w:r w:rsidRPr="009A6B10">
        <w:t>mezozoické</w:t>
      </w:r>
      <w:proofErr w:type="spellEnd"/>
      <w:r w:rsidRPr="009A6B10">
        <w:t xml:space="preserve"> horniny zahŕňajú hlavne ložiská vápencov a dolomitov, barytu, sadrovca a </w:t>
      </w:r>
      <w:proofErr w:type="spellStart"/>
      <w:r w:rsidRPr="009A6B10">
        <w:t>anhydritu</w:t>
      </w:r>
      <w:proofErr w:type="spellEnd"/>
      <w:r w:rsidRPr="009A6B10">
        <w:t xml:space="preserve">. </w:t>
      </w:r>
      <w:proofErr w:type="spellStart"/>
      <w:r w:rsidRPr="009A6B10">
        <w:t>Paleozoické</w:t>
      </w:r>
      <w:proofErr w:type="spellEnd"/>
      <w:r w:rsidRPr="009A6B10">
        <w:t xml:space="preserve"> sedimentárne a vulkanické horninové komplexy sú zdrojovými formáciami výskytov uránu, molybdénu, medi, olova, zinku, antimónu, zlata, cínu, železnej rudy,  čadiča, magnezitu, mastenca, antracitu, barytu, kremeňa a stavebného kameňa. V </w:t>
      </w:r>
      <w:proofErr w:type="spellStart"/>
      <w:r w:rsidRPr="009A6B10">
        <w:t>kryštaliniku</w:t>
      </w:r>
      <w:proofErr w:type="spellEnd"/>
      <w:r w:rsidRPr="009A6B10">
        <w:t xml:space="preserve"> jadrových pohorí sa nachádzajú akumulácie zlata, volfrámu, antimónu, sľudy, ako aj ložiská dekoračného a stavebného kameňa.</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pPr>
      <w:r w:rsidRPr="009A6B10">
        <w:t>Nerasty sa podľa banského zákona delia na vyhradené a nevyhradené. Ložiská vyhradených nerastov (výhradné ložiská) predstavujú nerastné bohatstvo štátu a sú v jeho vlastníctve. Za nerastné bohatstvo sa podľa tohto zákona považujú aj prírodné horninové štruktúry a podzemné priestory, ktoré vznikli dobývaním ložísk ropy, horľavého zemného plynu alebo soli, ak sú vhodné na uskladňovanie plynov alebo kvapalín. Ložiská nevyhradených nerastov (predovšetkým stavebný kameň, štrkopiesky a tehliarske suroviny) sú podľa banského zákona súčasťou pozemku.</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rPr>
          <w:b/>
        </w:rPr>
      </w:pPr>
      <w:r w:rsidRPr="009A6B10">
        <w:rPr>
          <w:b/>
        </w:rPr>
        <w:t>Výhradné ložiská</w:t>
      </w:r>
    </w:p>
    <w:p w:rsidR="009A6B10" w:rsidRPr="009A6B10" w:rsidRDefault="009A6B10" w:rsidP="009A6B10">
      <w:pPr>
        <w:autoSpaceDE w:val="0"/>
        <w:autoSpaceDN w:val="0"/>
        <w:adjustRightInd w:val="0"/>
        <w:jc w:val="both"/>
      </w:pPr>
      <w:r w:rsidRPr="009A6B10">
        <w:t xml:space="preserve">Celkové geologické zásoby výhradných ložísk k 1. 1. 2012 dosiahli na 629 výhradných ložiskách 16,4 mld. ton s podstatnou prevahou nerudných surovín (12,34 mld. ton). Celková ťažba v roku 2011 dosiahla 29,6 mil. ton. </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pPr>
      <w:r w:rsidRPr="009A6B10">
        <w:t xml:space="preserve">Na Slovensku je evidovaných 92 výhradných ložísk energetických surovín (antracit, bituminózne horniny,  gazolín, hnedé uhlie, lignit, ropa, urán a zemný plyn), celkové geologické </w:t>
      </w:r>
      <w:r w:rsidR="000A76E2">
        <w:t>zásoby dosahujú 1 151 mil. t (7</w:t>
      </w:r>
      <w:r w:rsidRPr="009A6B10">
        <w:t xml:space="preserve">% z celkových geologických zásob). V súčasnosti sú ťažené ložiská hnedého uhlia, lignitu, ropy a zemného plynu. </w:t>
      </w:r>
      <w:r w:rsidR="000A76E2">
        <w:t>Ťažba v roku 2011 predstavuje 8</w:t>
      </w:r>
      <w:r w:rsidRPr="009A6B10">
        <w:t xml:space="preserve">% z celkovej ťažby na Slovensku. </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pPr>
      <w:r w:rsidRPr="009A6B10">
        <w:t>V súčasnej dobe je v evidencii 46 výhradných ložísk rudných surovín (železná ruda, meď, olovo, zinok, antimón, ortuť, volfrám, striebro a zlato). Celkové zásoby r</w:t>
      </w:r>
      <w:r w:rsidR="000A76E2">
        <w:t>udných surovín sú 325 mil. t (2</w:t>
      </w:r>
      <w:r w:rsidRPr="009A6B10">
        <w:t xml:space="preserve">% z celkových geologických zásob). Jediným ťaženým ložiskom je Banská </w:t>
      </w:r>
      <w:proofErr w:type="spellStart"/>
      <w:r w:rsidRPr="009A6B10">
        <w:t>Hodruša</w:t>
      </w:r>
      <w:proofErr w:type="spellEnd"/>
      <w:r w:rsidRPr="009A6B10">
        <w:t xml:space="preserve">, kde sa novodobo ťaží zlato od roku 1993. </w:t>
      </w:r>
    </w:p>
    <w:p w:rsidR="009A6B10" w:rsidRPr="009A6B10" w:rsidRDefault="009A6B10" w:rsidP="009A6B10">
      <w:pPr>
        <w:autoSpaceDE w:val="0"/>
        <w:autoSpaceDN w:val="0"/>
        <w:adjustRightInd w:val="0"/>
        <w:jc w:val="both"/>
      </w:pPr>
    </w:p>
    <w:p w:rsidR="009A6B10" w:rsidRPr="009A6B10" w:rsidRDefault="009A6B10" w:rsidP="009A6B10">
      <w:pPr>
        <w:autoSpaceDE w:val="0"/>
        <w:autoSpaceDN w:val="0"/>
        <w:adjustRightInd w:val="0"/>
        <w:jc w:val="both"/>
      </w:pPr>
      <w:r w:rsidRPr="009A6B10">
        <w:lastRenderedPageBreak/>
        <w:t>Nerudné suroviny reprezentuje 299 evidovaných výhradných ložísk. Geologické zá</w:t>
      </w:r>
      <w:r w:rsidR="000A76E2">
        <w:t>soby dosahujú 12 340 mil. t (75</w:t>
      </w:r>
      <w:r w:rsidRPr="009A6B10">
        <w:t>% z celkových geologických zásob). Podiel ťažby nerudných surovín na celkov</w:t>
      </w:r>
      <w:r w:rsidR="000A76E2">
        <w:t>ej produkcii v roku 2011 bol 38</w:t>
      </w:r>
      <w:r w:rsidRPr="009A6B10">
        <w:t xml:space="preserve">% (11,2 mil. t). </w:t>
      </w:r>
    </w:p>
    <w:p w:rsidR="009A6B10" w:rsidRPr="009A6B10" w:rsidRDefault="009A6B10" w:rsidP="009A6B10">
      <w:pPr>
        <w:autoSpaceDE w:val="0"/>
        <w:autoSpaceDN w:val="0"/>
        <w:adjustRightInd w:val="0"/>
        <w:jc w:val="both"/>
      </w:pPr>
      <w:r w:rsidRPr="009A6B10">
        <w:t>Celkom je na území Slovenska</w:t>
      </w:r>
      <w:r w:rsidRPr="009A6B10">
        <w:rPr>
          <w:color w:val="FF0000"/>
        </w:rPr>
        <w:t xml:space="preserve"> </w:t>
      </w:r>
      <w:r w:rsidRPr="009A6B10">
        <w:t>evidovaných 192 výhradných ložísk stavebných surovín (stavebný kameň, štrkopiesky, tehliarske suroviny), geologické záso</w:t>
      </w:r>
      <w:r w:rsidR="000A76E2">
        <w:t>by predstavujú 2 591 mil. t (16</w:t>
      </w:r>
      <w:r w:rsidRPr="009A6B10">
        <w:t>% z celkových zásob). Ťažba stavebných surovín v roku 2011 dosiahla</w:t>
      </w:r>
      <w:r w:rsidR="000A76E2">
        <w:t xml:space="preserve"> 16,1 mil. t, čo predstavuje 54</w:t>
      </w:r>
      <w:r w:rsidRPr="009A6B10">
        <w:t>% z celkovej ťažby.</w:t>
      </w:r>
    </w:p>
    <w:p w:rsidR="009A6B10" w:rsidRPr="009A6B10" w:rsidRDefault="009A6B10" w:rsidP="009A6B10">
      <w:pPr>
        <w:autoSpaceDE w:val="0"/>
        <w:autoSpaceDN w:val="0"/>
        <w:adjustRightInd w:val="0"/>
        <w:spacing w:line="360" w:lineRule="auto"/>
        <w:ind w:left="708"/>
        <w:jc w:val="both"/>
        <w:rPr>
          <w:rFonts w:ascii="Arial" w:hAnsi="Arial" w:cs="Arial"/>
        </w:rPr>
      </w:pPr>
    </w:p>
    <w:p w:rsidR="009A6B10" w:rsidRPr="009A6B10" w:rsidRDefault="009A6B10" w:rsidP="009A6B10">
      <w:pPr>
        <w:numPr>
          <w:ilvl w:val="1"/>
          <w:numId w:val="0"/>
        </w:numPr>
        <w:tabs>
          <w:tab w:val="num" w:pos="948"/>
        </w:tabs>
        <w:autoSpaceDE w:val="0"/>
        <w:autoSpaceDN w:val="0"/>
        <w:adjustRightInd w:val="0"/>
        <w:spacing w:line="360" w:lineRule="auto"/>
        <w:ind w:firstLine="708"/>
        <w:jc w:val="both"/>
        <w:rPr>
          <w:rFonts w:ascii="Arial" w:hAnsi="Arial" w:cs="Arial"/>
          <w:b/>
          <w:sz w:val="22"/>
          <w:szCs w:val="22"/>
        </w:rPr>
      </w:pPr>
      <w:r w:rsidRPr="009A6B10">
        <w:rPr>
          <w:rFonts w:ascii="Arial" w:hAnsi="Arial" w:cs="Arial"/>
        </w:rPr>
        <w:t xml:space="preserve">        </w:t>
      </w:r>
      <w:r w:rsidRPr="009A6B10">
        <w:rPr>
          <w:rFonts w:ascii="Arial" w:hAnsi="Arial" w:cs="Arial"/>
          <w:b/>
          <w:sz w:val="22"/>
          <w:szCs w:val="22"/>
        </w:rPr>
        <w:t xml:space="preserve">Geologické zásoby [mil. t]                                Ťažba [mil. t]   </w:t>
      </w:r>
    </w:p>
    <w:p w:rsidR="009A6B10" w:rsidRPr="009A6B10" w:rsidRDefault="00CB5F71" w:rsidP="009A6B10">
      <w:pPr>
        <w:spacing w:line="360" w:lineRule="auto"/>
        <w:rPr>
          <w:rFonts w:ascii="Arial" w:hAnsi="Arial" w:cs="Arial"/>
          <w:bCs/>
        </w:rPr>
      </w:pPr>
      <w:r>
        <w:rPr>
          <w:noProof/>
        </w:rPr>
        <w:pict>
          <v:shape id="Obrázok 2" o:spid="_x0000_s1052" type="#_x0000_t75" style="position:absolute;margin-left:135pt;margin-top:119.65pt;width:183.75pt;height:16.45pt;z-index:251661824;visibility:visible">
            <v:imagedata r:id="rId44" o:title=""/>
            <w10:wrap type="topAndBottom"/>
          </v:shape>
        </w:pict>
      </w:r>
      <w:r>
        <w:rPr>
          <w:noProof/>
        </w:rPr>
        <w:pict>
          <v:shape id="Obrázok 1" o:spid="_x0000_i1052" type="#_x0000_t75" style="width:214.5pt;height:104.25pt;visibility:visible">
            <v:imagedata r:id="rId45" o:title="" croptop="12597f" cropbottom="24738f" cropleft="13560f" cropright="10574f"/>
          </v:shape>
        </w:pict>
      </w:r>
      <w:r>
        <w:rPr>
          <w:noProof/>
        </w:rPr>
        <w:pict>
          <v:shape id="_x0000_i1053" type="#_x0000_t75" style="width:231pt;height:88.5pt;visibility:visible">
            <v:imagedata r:id="rId46" o:title="" croptop="13933f" cropbottom="20067f" cropleft="1834f" cropright="3462f"/>
          </v:shape>
        </w:pict>
      </w:r>
    </w:p>
    <w:p w:rsidR="009A6B10" w:rsidRPr="009A6B10" w:rsidRDefault="009A6B10" w:rsidP="009A6B10">
      <w:pPr>
        <w:spacing w:line="360" w:lineRule="auto"/>
        <w:jc w:val="center"/>
      </w:pPr>
      <w:r w:rsidRPr="009A6B10">
        <w:rPr>
          <w:b/>
        </w:rPr>
        <w:t>Obr.</w:t>
      </w:r>
      <w:r w:rsidRPr="009A6B10">
        <w:t xml:space="preserve">  Geologické zásoby a ťažba na výhradných ložiskách, 2011 (1 – energetické suroviny,  2 – rudné suroviny,  3 – nerudné suroviny, 4 – stavebné suroviny).</w:t>
      </w:r>
    </w:p>
    <w:p w:rsidR="009A6B10" w:rsidRPr="009A6B10" w:rsidRDefault="009A6B10" w:rsidP="009A6B10">
      <w:pPr>
        <w:spacing w:line="360" w:lineRule="auto"/>
        <w:jc w:val="center"/>
      </w:pPr>
    </w:p>
    <w:p w:rsidR="009A6B10" w:rsidRPr="009A6B10" w:rsidRDefault="009A6B10" w:rsidP="009A6B10">
      <w:pPr>
        <w:spacing w:line="360" w:lineRule="auto"/>
        <w:jc w:val="center"/>
      </w:pPr>
      <w:r w:rsidRPr="009A6B10">
        <w:t>Zásoby a ťažba na výhradných ložiskách energetických surovín (2011)</w:t>
      </w:r>
    </w:p>
    <w:tbl>
      <w:tblPr>
        <w:tblW w:w="0" w:type="auto"/>
        <w:jc w:val="center"/>
        <w:tblBorders>
          <w:top w:val="single" w:sz="6" w:space="0" w:color="auto"/>
          <w:bottom w:val="single" w:sz="6" w:space="0" w:color="auto"/>
          <w:insideH w:val="single" w:sz="6" w:space="0" w:color="auto"/>
        </w:tblBorders>
        <w:tblLayout w:type="fixed"/>
        <w:tblCellMar>
          <w:left w:w="70" w:type="dxa"/>
          <w:right w:w="70" w:type="dxa"/>
        </w:tblCellMar>
        <w:tblLook w:val="00A0" w:firstRow="1" w:lastRow="0" w:firstColumn="1" w:lastColumn="0" w:noHBand="0" w:noVBand="0"/>
      </w:tblPr>
      <w:tblGrid>
        <w:gridCol w:w="2502"/>
        <w:gridCol w:w="720"/>
        <w:gridCol w:w="630"/>
        <w:gridCol w:w="1363"/>
        <w:gridCol w:w="824"/>
        <w:gridCol w:w="969"/>
        <w:gridCol w:w="1047"/>
        <w:gridCol w:w="824"/>
      </w:tblGrid>
      <w:tr w:rsidR="009A6B10" w:rsidRPr="009A6B10" w:rsidTr="009A6B10">
        <w:trPr>
          <w:cantSplit/>
          <w:trHeight w:val="1958"/>
          <w:jc w:val="center"/>
        </w:trPr>
        <w:tc>
          <w:tcPr>
            <w:tcW w:w="2502" w:type="dxa"/>
            <w:tcBorders>
              <w:left w:val="nil"/>
              <w:bottom w:val="single" w:sz="12" w:space="0" w:color="auto"/>
              <w:right w:val="nil"/>
            </w:tcBorders>
            <w:vAlign w:val="bottom"/>
          </w:tcPr>
          <w:p w:rsidR="009A6B10" w:rsidRPr="009A6B10" w:rsidRDefault="009A6B10" w:rsidP="00754C28">
            <w:pPr>
              <w:keepNext/>
              <w:autoSpaceDE w:val="0"/>
              <w:autoSpaceDN w:val="0"/>
              <w:adjustRightInd w:val="0"/>
              <w:jc w:val="center"/>
              <w:outlineLvl w:val="4"/>
              <w:rPr>
                <w:b/>
                <w:i/>
                <w:iCs/>
              </w:rPr>
            </w:pPr>
            <w:r w:rsidRPr="009A6B10">
              <w:rPr>
                <w:b/>
                <w:i/>
                <w:iCs/>
              </w:rPr>
              <w:t>Surovina</w:t>
            </w:r>
          </w:p>
        </w:tc>
        <w:tc>
          <w:tcPr>
            <w:tcW w:w="720" w:type="dxa"/>
            <w:tcBorders>
              <w:left w:val="nil"/>
              <w:bottom w:val="single" w:sz="12" w:space="0" w:color="auto"/>
              <w:right w:val="nil"/>
            </w:tcBorders>
            <w:textDirection w:val="btLr"/>
            <w:vAlign w:val="center"/>
          </w:tcPr>
          <w:p w:rsidR="009A6B10" w:rsidRPr="009A6B10" w:rsidRDefault="009A6B10" w:rsidP="009A6B10">
            <w:pPr>
              <w:rPr>
                <w:b/>
              </w:rPr>
            </w:pPr>
            <w:r w:rsidRPr="009A6B10">
              <w:rPr>
                <w:b/>
                <w:bCs/>
              </w:rPr>
              <w:t xml:space="preserve">  Počet ložísk </w:t>
            </w:r>
            <w:r w:rsidRPr="009A6B10">
              <w:rPr>
                <w:b/>
              </w:rPr>
              <w:t xml:space="preserve">  </w:t>
            </w:r>
          </w:p>
        </w:tc>
        <w:tc>
          <w:tcPr>
            <w:tcW w:w="630"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rPr>
            </w:pPr>
            <w:r w:rsidRPr="009A6B10">
              <w:rPr>
                <w:b/>
              </w:rPr>
              <w:t>– z toho ťažených</w:t>
            </w:r>
          </w:p>
          <w:p w:rsidR="009A6B10" w:rsidRPr="009A6B10" w:rsidRDefault="009A6B10" w:rsidP="00754C28">
            <w:pPr>
              <w:keepNext/>
              <w:ind w:left="113" w:right="113"/>
              <w:outlineLvl w:val="3"/>
              <w:rPr>
                <w:b/>
              </w:rPr>
            </w:pPr>
          </w:p>
        </w:tc>
        <w:tc>
          <w:tcPr>
            <w:tcW w:w="1363"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rPr>
            </w:pPr>
            <w:r w:rsidRPr="009A6B10">
              <w:rPr>
                <w:b/>
              </w:rPr>
              <w:t>Zásoby spolu</w:t>
            </w:r>
          </w:p>
          <w:p w:rsidR="009A6B10" w:rsidRPr="009A6B10" w:rsidRDefault="009A6B10" w:rsidP="009A6B10">
            <w:pPr>
              <w:rPr>
                <w:b/>
              </w:rPr>
            </w:pPr>
            <w:r w:rsidRPr="009A6B10">
              <w:rPr>
                <w:b/>
              </w:rPr>
              <w:t xml:space="preserve">   </w:t>
            </w:r>
          </w:p>
        </w:tc>
        <w:tc>
          <w:tcPr>
            <w:tcW w:w="824" w:type="dxa"/>
            <w:tcBorders>
              <w:left w:val="nil"/>
              <w:bottom w:val="single" w:sz="12" w:space="0" w:color="auto"/>
              <w:right w:val="nil"/>
            </w:tcBorders>
            <w:textDirection w:val="btLr"/>
            <w:vAlign w:val="center"/>
          </w:tcPr>
          <w:p w:rsidR="009A6B10" w:rsidRPr="009A6B10" w:rsidRDefault="009A6B10" w:rsidP="00754C28">
            <w:pPr>
              <w:keepNext/>
              <w:ind w:right="113"/>
              <w:outlineLvl w:val="3"/>
              <w:rPr>
                <w:b/>
              </w:rPr>
            </w:pPr>
            <w:r w:rsidRPr="009A6B10">
              <w:rPr>
                <w:b/>
              </w:rPr>
              <w:t xml:space="preserve">– bilančné </w:t>
            </w:r>
          </w:p>
          <w:p w:rsidR="009A6B10" w:rsidRPr="009A6B10" w:rsidRDefault="009A6B10" w:rsidP="00754C28">
            <w:pPr>
              <w:keepNext/>
              <w:ind w:left="113" w:right="113"/>
              <w:outlineLvl w:val="3"/>
              <w:rPr>
                <w:b/>
              </w:rPr>
            </w:pPr>
            <w:r w:rsidRPr="009A6B10">
              <w:rPr>
                <w:b/>
              </w:rPr>
              <w:t>(Z-1 + Z-2)</w:t>
            </w:r>
          </w:p>
          <w:p w:rsidR="009A6B10" w:rsidRPr="009A6B10" w:rsidRDefault="009A6B10" w:rsidP="00754C28">
            <w:pPr>
              <w:keepNext/>
              <w:ind w:left="113" w:right="113"/>
              <w:outlineLvl w:val="3"/>
              <w:rPr>
                <w:b/>
              </w:rPr>
            </w:pPr>
          </w:p>
        </w:tc>
        <w:tc>
          <w:tcPr>
            <w:tcW w:w="969"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rPr>
            </w:pPr>
            <w:r w:rsidRPr="009A6B10">
              <w:rPr>
                <w:b/>
              </w:rPr>
              <w:t>– bilančné (Z-3)</w:t>
            </w:r>
          </w:p>
          <w:p w:rsidR="009A6B10" w:rsidRPr="009A6B10" w:rsidRDefault="009A6B10" w:rsidP="00754C28">
            <w:pPr>
              <w:keepNext/>
              <w:ind w:left="113" w:right="113"/>
              <w:outlineLvl w:val="3"/>
              <w:rPr>
                <w:b/>
              </w:rPr>
            </w:pPr>
          </w:p>
        </w:tc>
        <w:tc>
          <w:tcPr>
            <w:tcW w:w="1047"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rPr>
            </w:pPr>
            <w:r w:rsidRPr="009A6B10">
              <w:rPr>
                <w:b/>
              </w:rPr>
              <w:t>– nebilančné</w:t>
            </w:r>
          </w:p>
          <w:p w:rsidR="009A6B10" w:rsidRPr="009A6B10" w:rsidRDefault="009A6B10" w:rsidP="00754C28">
            <w:pPr>
              <w:keepNext/>
              <w:ind w:left="113" w:right="113"/>
              <w:outlineLvl w:val="3"/>
              <w:rPr>
                <w:b/>
              </w:rPr>
            </w:pPr>
          </w:p>
        </w:tc>
        <w:tc>
          <w:tcPr>
            <w:tcW w:w="824"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rPr>
            </w:pPr>
            <w:r w:rsidRPr="009A6B10">
              <w:rPr>
                <w:b/>
              </w:rPr>
              <w:t>Ťažba 2011</w:t>
            </w:r>
          </w:p>
          <w:p w:rsidR="009A6B10" w:rsidRPr="009A6B10" w:rsidRDefault="009A6B10" w:rsidP="00754C28">
            <w:pPr>
              <w:keepNext/>
              <w:ind w:left="113" w:right="113"/>
              <w:outlineLvl w:val="3"/>
              <w:rPr>
                <w:b/>
              </w:rPr>
            </w:pPr>
          </w:p>
        </w:tc>
      </w:tr>
      <w:tr w:rsidR="009A6B10" w:rsidRPr="009A6B10" w:rsidTr="009A6B10">
        <w:trPr>
          <w:trHeight w:val="355"/>
          <w:jc w:val="center"/>
        </w:trPr>
        <w:tc>
          <w:tcPr>
            <w:tcW w:w="2502" w:type="dxa"/>
            <w:tcBorders>
              <w:top w:val="nil"/>
              <w:left w:val="nil"/>
              <w:right w:val="nil"/>
            </w:tcBorders>
            <w:vAlign w:val="center"/>
          </w:tcPr>
          <w:p w:rsidR="009A6B10" w:rsidRPr="009A6B10" w:rsidRDefault="009A6B10" w:rsidP="009A6B10">
            <w:pPr>
              <w:rPr>
                <w:b/>
              </w:rPr>
            </w:pPr>
            <w:r w:rsidRPr="009A6B10">
              <w:rPr>
                <w:b/>
              </w:rPr>
              <w:t>Antracit [</w:t>
            </w:r>
            <w:proofErr w:type="spellStart"/>
            <w:r w:rsidRPr="009A6B10">
              <w:rPr>
                <w:b/>
              </w:rPr>
              <w:t>kt</w:t>
            </w:r>
            <w:proofErr w:type="spellEnd"/>
            <w:r w:rsidRPr="009A6B10">
              <w:rPr>
                <w:b/>
              </w:rPr>
              <w:t>]</w:t>
            </w:r>
          </w:p>
        </w:tc>
        <w:tc>
          <w:tcPr>
            <w:tcW w:w="720" w:type="dxa"/>
            <w:tcBorders>
              <w:top w:val="nil"/>
              <w:left w:val="nil"/>
              <w:right w:val="nil"/>
            </w:tcBorders>
            <w:vAlign w:val="center"/>
          </w:tcPr>
          <w:p w:rsidR="009A6B10" w:rsidRPr="009A6B10" w:rsidRDefault="009A6B10" w:rsidP="009A6B10">
            <w:pPr>
              <w:jc w:val="right"/>
            </w:pPr>
            <w:r w:rsidRPr="009A6B10">
              <w:t>1</w:t>
            </w:r>
          </w:p>
        </w:tc>
        <w:tc>
          <w:tcPr>
            <w:tcW w:w="630" w:type="dxa"/>
            <w:tcBorders>
              <w:top w:val="nil"/>
              <w:left w:val="nil"/>
              <w:right w:val="nil"/>
            </w:tcBorders>
            <w:vAlign w:val="center"/>
          </w:tcPr>
          <w:p w:rsidR="009A6B10" w:rsidRPr="009A6B10" w:rsidRDefault="009A6B10" w:rsidP="009A6B10">
            <w:pPr>
              <w:jc w:val="right"/>
            </w:pPr>
            <w:r w:rsidRPr="009A6B10">
              <w:t>–</w:t>
            </w:r>
          </w:p>
        </w:tc>
        <w:tc>
          <w:tcPr>
            <w:tcW w:w="1363" w:type="dxa"/>
            <w:tcBorders>
              <w:top w:val="nil"/>
              <w:left w:val="nil"/>
              <w:right w:val="nil"/>
            </w:tcBorders>
            <w:vAlign w:val="center"/>
          </w:tcPr>
          <w:p w:rsidR="009A6B10" w:rsidRPr="009A6B10" w:rsidRDefault="009A6B10" w:rsidP="009A6B10">
            <w:pPr>
              <w:jc w:val="right"/>
              <w:rPr>
                <w:b/>
              </w:rPr>
            </w:pPr>
            <w:r w:rsidRPr="009A6B10">
              <w:rPr>
                <w:b/>
              </w:rPr>
              <w:t>8 006</w:t>
            </w:r>
          </w:p>
        </w:tc>
        <w:tc>
          <w:tcPr>
            <w:tcW w:w="824" w:type="dxa"/>
            <w:tcBorders>
              <w:top w:val="nil"/>
              <w:left w:val="nil"/>
              <w:right w:val="nil"/>
            </w:tcBorders>
            <w:vAlign w:val="center"/>
          </w:tcPr>
          <w:p w:rsidR="009A6B10" w:rsidRPr="009A6B10" w:rsidRDefault="009A6B10" w:rsidP="009A6B10">
            <w:pPr>
              <w:jc w:val="right"/>
            </w:pPr>
            <w:r w:rsidRPr="009A6B10">
              <w:t>–</w:t>
            </w:r>
          </w:p>
        </w:tc>
        <w:tc>
          <w:tcPr>
            <w:tcW w:w="969" w:type="dxa"/>
            <w:tcBorders>
              <w:top w:val="nil"/>
              <w:left w:val="nil"/>
              <w:right w:val="nil"/>
            </w:tcBorders>
            <w:vAlign w:val="center"/>
          </w:tcPr>
          <w:p w:rsidR="009A6B10" w:rsidRPr="009A6B10" w:rsidRDefault="009A6B10" w:rsidP="009A6B10">
            <w:pPr>
              <w:jc w:val="right"/>
            </w:pPr>
            <w:r w:rsidRPr="009A6B10">
              <w:t>2 008</w:t>
            </w:r>
          </w:p>
        </w:tc>
        <w:tc>
          <w:tcPr>
            <w:tcW w:w="1047" w:type="dxa"/>
            <w:tcBorders>
              <w:top w:val="nil"/>
              <w:left w:val="nil"/>
              <w:right w:val="nil"/>
            </w:tcBorders>
            <w:vAlign w:val="center"/>
          </w:tcPr>
          <w:p w:rsidR="009A6B10" w:rsidRPr="009A6B10" w:rsidRDefault="009A6B10" w:rsidP="009A6B10">
            <w:pPr>
              <w:jc w:val="right"/>
            </w:pPr>
            <w:r w:rsidRPr="009A6B10">
              <w:t>5 998</w:t>
            </w:r>
          </w:p>
        </w:tc>
        <w:tc>
          <w:tcPr>
            <w:tcW w:w="824" w:type="dxa"/>
            <w:tcBorders>
              <w:top w:val="nil"/>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55"/>
          <w:jc w:val="center"/>
        </w:trPr>
        <w:tc>
          <w:tcPr>
            <w:tcW w:w="2502" w:type="dxa"/>
            <w:tcBorders>
              <w:top w:val="nil"/>
              <w:left w:val="nil"/>
              <w:right w:val="nil"/>
            </w:tcBorders>
            <w:vAlign w:val="center"/>
          </w:tcPr>
          <w:p w:rsidR="009A6B10" w:rsidRPr="009A6B10" w:rsidRDefault="009A6B10" w:rsidP="009A6B10">
            <w:pPr>
              <w:spacing w:before="120" w:after="120" w:line="240" w:lineRule="atLeast"/>
              <w:ind w:firstLine="360"/>
              <w:jc w:val="both"/>
              <w:rPr>
                <w:b/>
              </w:rPr>
            </w:pPr>
            <w:r w:rsidRPr="009A6B10">
              <w:rPr>
                <w:b/>
              </w:rPr>
              <w:t>Bituminózne horniny [</w:t>
            </w:r>
            <w:proofErr w:type="spellStart"/>
            <w:r w:rsidRPr="009A6B10">
              <w:rPr>
                <w:b/>
              </w:rPr>
              <w:t>kt</w:t>
            </w:r>
            <w:proofErr w:type="spellEnd"/>
            <w:r w:rsidRPr="009A6B10">
              <w:rPr>
                <w:b/>
              </w:rPr>
              <w:t xml:space="preserve">] </w:t>
            </w:r>
          </w:p>
        </w:tc>
        <w:tc>
          <w:tcPr>
            <w:tcW w:w="720" w:type="dxa"/>
            <w:tcBorders>
              <w:top w:val="nil"/>
              <w:left w:val="nil"/>
              <w:right w:val="nil"/>
            </w:tcBorders>
            <w:vAlign w:val="center"/>
          </w:tcPr>
          <w:p w:rsidR="009A6B10" w:rsidRPr="009A6B10" w:rsidRDefault="009A6B10" w:rsidP="009A6B10">
            <w:pPr>
              <w:jc w:val="right"/>
            </w:pPr>
            <w:r w:rsidRPr="009A6B10">
              <w:t>1</w:t>
            </w:r>
          </w:p>
        </w:tc>
        <w:tc>
          <w:tcPr>
            <w:tcW w:w="630" w:type="dxa"/>
            <w:tcBorders>
              <w:top w:val="nil"/>
              <w:left w:val="nil"/>
              <w:right w:val="nil"/>
            </w:tcBorders>
            <w:vAlign w:val="center"/>
          </w:tcPr>
          <w:p w:rsidR="009A6B10" w:rsidRPr="009A6B10" w:rsidRDefault="009A6B10" w:rsidP="009A6B10">
            <w:pPr>
              <w:jc w:val="right"/>
            </w:pPr>
            <w:r w:rsidRPr="009A6B10">
              <w:t>–</w:t>
            </w:r>
          </w:p>
        </w:tc>
        <w:tc>
          <w:tcPr>
            <w:tcW w:w="1363" w:type="dxa"/>
            <w:tcBorders>
              <w:top w:val="nil"/>
              <w:left w:val="nil"/>
              <w:right w:val="nil"/>
            </w:tcBorders>
            <w:vAlign w:val="center"/>
          </w:tcPr>
          <w:p w:rsidR="009A6B10" w:rsidRPr="009A6B10" w:rsidRDefault="009A6B10" w:rsidP="009A6B10">
            <w:pPr>
              <w:jc w:val="right"/>
              <w:rPr>
                <w:b/>
              </w:rPr>
            </w:pPr>
            <w:r w:rsidRPr="009A6B10">
              <w:rPr>
                <w:b/>
              </w:rPr>
              <w:t>10 795</w:t>
            </w:r>
          </w:p>
        </w:tc>
        <w:tc>
          <w:tcPr>
            <w:tcW w:w="824" w:type="dxa"/>
            <w:tcBorders>
              <w:top w:val="nil"/>
              <w:left w:val="nil"/>
              <w:right w:val="nil"/>
            </w:tcBorders>
            <w:vAlign w:val="center"/>
          </w:tcPr>
          <w:p w:rsidR="009A6B10" w:rsidRPr="009A6B10" w:rsidRDefault="009A6B10" w:rsidP="009A6B10">
            <w:pPr>
              <w:jc w:val="right"/>
            </w:pPr>
            <w:r w:rsidRPr="009A6B10">
              <w:t>6 684</w:t>
            </w:r>
          </w:p>
        </w:tc>
        <w:tc>
          <w:tcPr>
            <w:tcW w:w="969" w:type="dxa"/>
            <w:tcBorders>
              <w:top w:val="nil"/>
              <w:left w:val="nil"/>
              <w:right w:val="nil"/>
            </w:tcBorders>
            <w:vAlign w:val="center"/>
          </w:tcPr>
          <w:p w:rsidR="009A6B10" w:rsidRPr="009A6B10" w:rsidRDefault="009A6B10" w:rsidP="009A6B10">
            <w:pPr>
              <w:jc w:val="right"/>
            </w:pPr>
            <w:r w:rsidRPr="009A6B10">
              <w:t>4 111</w:t>
            </w:r>
          </w:p>
        </w:tc>
        <w:tc>
          <w:tcPr>
            <w:tcW w:w="1047" w:type="dxa"/>
            <w:tcBorders>
              <w:top w:val="nil"/>
              <w:left w:val="nil"/>
              <w:right w:val="nil"/>
            </w:tcBorders>
            <w:vAlign w:val="center"/>
          </w:tcPr>
          <w:p w:rsidR="009A6B10" w:rsidRPr="009A6B10" w:rsidRDefault="009A6B10" w:rsidP="009A6B10">
            <w:pPr>
              <w:ind w:left="720" w:hanging="720"/>
              <w:jc w:val="right"/>
              <w:rPr>
                <w:snapToGrid w:val="0"/>
                <w:lang w:eastAsia="en-GB"/>
              </w:rPr>
            </w:pPr>
            <w:r w:rsidRPr="009A6B10">
              <w:rPr>
                <w:snapToGrid w:val="0"/>
                <w:lang w:eastAsia="en-GB"/>
              </w:rPr>
              <w:t>–</w:t>
            </w:r>
          </w:p>
        </w:tc>
        <w:tc>
          <w:tcPr>
            <w:tcW w:w="824" w:type="dxa"/>
            <w:tcBorders>
              <w:top w:val="nil"/>
              <w:left w:val="nil"/>
              <w:right w:val="nil"/>
            </w:tcBorders>
            <w:vAlign w:val="center"/>
          </w:tcPr>
          <w:p w:rsidR="009A6B10" w:rsidRPr="009A6B10" w:rsidRDefault="009A6B10" w:rsidP="009A6B10">
            <w:pPr>
              <w:jc w:val="right"/>
              <w:rPr>
                <w:b/>
                <w:vertAlign w:val="superscript"/>
              </w:rPr>
            </w:pPr>
            <w:r w:rsidRPr="009A6B10">
              <w:rPr>
                <w:b/>
              </w:rPr>
              <w:t>–</w:t>
            </w:r>
          </w:p>
        </w:tc>
      </w:tr>
      <w:tr w:rsidR="009A6B10" w:rsidRPr="009A6B10" w:rsidTr="009A6B10">
        <w:trPr>
          <w:trHeight w:val="355"/>
          <w:jc w:val="center"/>
        </w:trPr>
        <w:tc>
          <w:tcPr>
            <w:tcW w:w="2502" w:type="dxa"/>
            <w:tcBorders>
              <w:top w:val="nil"/>
              <w:left w:val="nil"/>
              <w:right w:val="nil"/>
            </w:tcBorders>
            <w:vAlign w:val="center"/>
          </w:tcPr>
          <w:p w:rsidR="009A6B10" w:rsidRPr="009A6B10" w:rsidRDefault="009A6B10" w:rsidP="009A6B10">
            <w:pPr>
              <w:rPr>
                <w:b/>
              </w:rPr>
            </w:pPr>
            <w:r w:rsidRPr="009A6B10">
              <w:rPr>
                <w:b/>
              </w:rPr>
              <w:t>Ropa a gazolín [</w:t>
            </w:r>
            <w:proofErr w:type="spellStart"/>
            <w:r w:rsidRPr="009A6B10">
              <w:rPr>
                <w:b/>
              </w:rPr>
              <w:t>kt</w:t>
            </w:r>
            <w:proofErr w:type="spellEnd"/>
            <w:r w:rsidRPr="009A6B10">
              <w:rPr>
                <w:b/>
              </w:rPr>
              <w:t>]</w:t>
            </w:r>
          </w:p>
        </w:tc>
        <w:tc>
          <w:tcPr>
            <w:tcW w:w="720" w:type="dxa"/>
            <w:tcBorders>
              <w:top w:val="nil"/>
              <w:left w:val="nil"/>
              <w:right w:val="nil"/>
            </w:tcBorders>
            <w:vAlign w:val="center"/>
          </w:tcPr>
          <w:p w:rsidR="009A6B10" w:rsidRPr="009A6B10" w:rsidRDefault="009A6B10" w:rsidP="009A6B10">
            <w:pPr>
              <w:jc w:val="right"/>
            </w:pPr>
            <w:r w:rsidRPr="009A6B10">
              <w:t>20</w:t>
            </w:r>
          </w:p>
        </w:tc>
        <w:tc>
          <w:tcPr>
            <w:tcW w:w="630" w:type="dxa"/>
            <w:tcBorders>
              <w:top w:val="nil"/>
              <w:left w:val="nil"/>
              <w:right w:val="nil"/>
            </w:tcBorders>
            <w:vAlign w:val="center"/>
          </w:tcPr>
          <w:p w:rsidR="009A6B10" w:rsidRPr="009A6B10" w:rsidRDefault="009A6B10" w:rsidP="009A6B10">
            <w:pPr>
              <w:jc w:val="right"/>
            </w:pPr>
            <w:r w:rsidRPr="009A6B10">
              <w:t>5</w:t>
            </w:r>
          </w:p>
        </w:tc>
        <w:tc>
          <w:tcPr>
            <w:tcW w:w="1363" w:type="dxa"/>
            <w:tcBorders>
              <w:top w:val="nil"/>
              <w:left w:val="nil"/>
              <w:right w:val="nil"/>
            </w:tcBorders>
            <w:vAlign w:val="center"/>
          </w:tcPr>
          <w:p w:rsidR="009A6B10" w:rsidRPr="009A6B10" w:rsidRDefault="009A6B10" w:rsidP="009A6B10">
            <w:pPr>
              <w:jc w:val="right"/>
              <w:rPr>
                <w:b/>
              </w:rPr>
            </w:pPr>
            <w:r w:rsidRPr="009A6B10">
              <w:rPr>
                <w:b/>
              </w:rPr>
              <w:t>10 170</w:t>
            </w:r>
          </w:p>
        </w:tc>
        <w:tc>
          <w:tcPr>
            <w:tcW w:w="824" w:type="dxa"/>
            <w:tcBorders>
              <w:top w:val="nil"/>
              <w:left w:val="nil"/>
              <w:right w:val="nil"/>
            </w:tcBorders>
            <w:vAlign w:val="center"/>
          </w:tcPr>
          <w:p w:rsidR="009A6B10" w:rsidRPr="009A6B10" w:rsidRDefault="009A6B10" w:rsidP="009A6B10">
            <w:pPr>
              <w:jc w:val="right"/>
            </w:pPr>
            <w:r w:rsidRPr="009A6B10">
              <w:t>286</w:t>
            </w:r>
          </w:p>
        </w:tc>
        <w:tc>
          <w:tcPr>
            <w:tcW w:w="969" w:type="dxa"/>
            <w:tcBorders>
              <w:top w:val="nil"/>
              <w:left w:val="nil"/>
              <w:right w:val="nil"/>
            </w:tcBorders>
            <w:vAlign w:val="center"/>
          </w:tcPr>
          <w:p w:rsidR="009A6B10" w:rsidRPr="009A6B10" w:rsidRDefault="009A6B10" w:rsidP="009A6B10">
            <w:pPr>
              <w:jc w:val="right"/>
            </w:pPr>
            <w:r w:rsidRPr="009A6B10">
              <w:t>1 636</w:t>
            </w:r>
          </w:p>
        </w:tc>
        <w:tc>
          <w:tcPr>
            <w:tcW w:w="1047" w:type="dxa"/>
            <w:tcBorders>
              <w:top w:val="nil"/>
              <w:left w:val="nil"/>
              <w:right w:val="nil"/>
            </w:tcBorders>
            <w:vAlign w:val="center"/>
          </w:tcPr>
          <w:p w:rsidR="009A6B10" w:rsidRPr="009A6B10" w:rsidRDefault="009A6B10" w:rsidP="009A6B10">
            <w:pPr>
              <w:jc w:val="right"/>
            </w:pPr>
            <w:r w:rsidRPr="009A6B10">
              <w:t>8 248</w:t>
            </w:r>
          </w:p>
        </w:tc>
        <w:tc>
          <w:tcPr>
            <w:tcW w:w="824" w:type="dxa"/>
            <w:tcBorders>
              <w:top w:val="nil"/>
              <w:left w:val="nil"/>
              <w:right w:val="nil"/>
            </w:tcBorders>
            <w:vAlign w:val="center"/>
          </w:tcPr>
          <w:p w:rsidR="009A6B10" w:rsidRPr="009A6B10" w:rsidRDefault="009A6B10" w:rsidP="009A6B10">
            <w:pPr>
              <w:jc w:val="right"/>
              <w:rPr>
                <w:b/>
              </w:rPr>
            </w:pPr>
            <w:r w:rsidRPr="009A6B10">
              <w:rPr>
                <w:b/>
              </w:rPr>
              <w:t>18</w:t>
            </w:r>
          </w:p>
        </w:tc>
      </w:tr>
      <w:tr w:rsidR="009A6B10" w:rsidRPr="009A6B10" w:rsidTr="009A6B10">
        <w:trPr>
          <w:cantSplit/>
          <w:trHeight w:val="280"/>
          <w:jc w:val="center"/>
        </w:trPr>
        <w:tc>
          <w:tcPr>
            <w:tcW w:w="2502" w:type="dxa"/>
            <w:tcBorders>
              <w:left w:val="nil"/>
              <w:right w:val="nil"/>
            </w:tcBorders>
            <w:vAlign w:val="center"/>
          </w:tcPr>
          <w:p w:rsidR="009A6B10" w:rsidRPr="009A6B10" w:rsidRDefault="009A6B10" w:rsidP="009A6B10">
            <w:pPr>
              <w:rPr>
                <w:b/>
              </w:rPr>
            </w:pPr>
            <w:r w:rsidRPr="009A6B10">
              <w:rPr>
                <w:b/>
              </w:rPr>
              <w:t>Zemný plyn [mil. m</w:t>
            </w:r>
            <w:r w:rsidRPr="009A6B10">
              <w:rPr>
                <w:b/>
                <w:vertAlign w:val="superscript"/>
              </w:rPr>
              <w:t>3</w:t>
            </w:r>
            <w:r w:rsidRPr="009A6B10">
              <w:rPr>
                <w:b/>
              </w:rPr>
              <w:t>]</w:t>
            </w:r>
          </w:p>
        </w:tc>
        <w:tc>
          <w:tcPr>
            <w:tcW w:w="720" w:type="dxa"/>
            <w:tcBorders>
              <w:left w:val="nil"/>
              <w:right w:val="nil"/>
            </w:tcBorders>
            <w:vAlign w:val="center"/>
          </w:tcPr>
          <w:p w:rsidR="009A6B10" w:rsidRPr="009A6B10" w:rsidRDefault="009A6B10" w:rsidP="009A6B10">
            <w:pPr>
              <w:jc w:val="right"/>
            </w:pPr>
            <w:r w:rsidRPr="009A6B10">
              <w:t>36</w:t>
            </w:r>
          </w:p>
        </w:tc>
        <w:tc>
          <w:tcPr>
            <w:tcW w:w="630" w:type="dxa"/>
            <w:tcBorders>
              <w:left w:val="nil"/>
              <w:right w:val="nil"/>
            </w:tcBorders>
            <w:vAlign w:val="center"/>
          </w:tcPr>
          <w:p w:rsidR="009A6B10" w:rsidRPr="009A6B10" w:rsidRDefault="009A6B10" w:rsidP="009A6B10">
            <w:pPr>
              <w:jc w:val="right"/>
            </w:pPr>
            <w:r w:rsidRPr="009A6B10">
              <w:t>13</w:t>
            </w:r>
          </w:p>
        </w:tc>
        <w:tc>
          <w:tcPr>
            <w:tcW w:w="1363" w:type="dxa"/>
            <w:tcBorders>
              <w:left w:val="nil"/>
              <w:right w:val="nil"/>
            </w:tcBorders>
            <w:vAlign w:val="center"/>
          </w:tcPr>
          <w:p w:rsidR="009A6B10" w:rsidRPr="009A6B10" w:rsidRDefault="009A6B10" w:rsidP="009A6B10">
            <w:pPr>
              <w:jc w:val="right"/>
              <w:rPr>
                <w:b/>
              </w:rPr>
            </w:pPr>
            <w:r w:rsidRPr="009A6B10">
              <w:rPr>
                <w:b/>
              </w:rPr>
              <w:t>24 545</w:t>
            </w:r>
          </w:p>
        </w:tc>
        <w:tc>
          <w:tcPr>
            <w:tcW w:w="824" w:type="dxa"/>
            <w:tcBorders>
              <w:left w:val="nil"/>
              <w:right w:val="nil"/>
            </w:tcBorders>
            <w:vAlign w:val="center"/>
          </w:tcPr>
          <w:p w:rsidR="009A6B10" w:rsidRPr="009A6B10" w:rsidRDefault="009A6B10" w:rsidP="009A6B10">
            <w:pPr>
              <w:jc w:val="right"/>
            </w:pPr>
            <w:r w:rsidRPr="009A6B10">
              <w:t>5 519</w:t>
            </w:r>
          </w:p>
        </w:tc>
        <w:tc>
          <w:tcPr>
            <w:tcW w:w="969" w:type="dxa"/>
            <w:tcBorders>
              <w:left w:val="nil"/>
              <w:right w:val="nil"/>
            </w:tcBorders>
            <w:vAlign w:val="center"/>
          </w:tcPr>
          <w:p w:rsidR="009A6B10" w:rsidRPr="009A6B10" w:rsidRDefault="009A6B10" w:rsidP="009A6B10">
            <w:pPr>
              <w:jc w:val="right"/>
            </w:pPr>
            <w:r w:rsidRPr="009A6B10">
              <w:t>3 274</w:t>
            </w:r>
          </w:p>
        </w:tc>
        <w:tc>
          <w:tcPr>
            <w:tcW w:w="1047" w:type="dxa"/>
            <w:tcBorders>
              <w:left w:val="nil"/>
              <w:right w:val="nil"/>
            </w:tcBorders>
            <w:vAlign w:val="center"/>
          </w:tcPr>
          <w:p w:rsidR="009A6B10" w:rsidRPr="009A6B10" w:rsidRDefault="009A6B10" w:rsidP="009A6B10">
            <w:pPr>
              <w:ind w:left="720" w:hanging="720"/>
              <w:jc w:val="right"/>
              <w:rPr>
                <w:snapToGrid w:val="0"/>
                <w:lang w:eastAsia="en-GB"/>
              </w:rPr>
            </w:pPr>
            <w:r w:rsidRPr="009A6B10">
              <w:rPr>
                <w:snapToGrid w:val="0"/>
                <w:lang w:eastAsia="en-GB"/>
              </w:rPr>
              <w:t>15 752</w:t>
            </w:r>
          </w:p>
        </w:tc>
        <w:tc>
          <w:tcPr>
            <w:tcW w:w="824" w:type="dxa"/>
            <w:tcBorders>
              <w:left w:val="nil"/>
              <w:right w:val="nil"/>
            </w:tcBorders>
            <w:vAlign w:val="center"/>
          </w:tcPr>
          <w:p w:rsidR="009A6B10" w:rsidRPr="009A6B10" w:rsidRDefault="009A6B10" w:rsidP="009A6B10">
            <w:pPr>
              <w:jc w:val="right"/>
              <w:rPr>
                <w:b/>
              </w:rPr>
            </w:pPr>
            <w:r w:rsidRPr="009A6B10">
              <w:rPr>
                <w:b/>
              </w:rPr>
              <w:t>93</w:t>
            </w:r>
          </w:p>
        </w:tc>
      </w:tr>
      <w:tr w:rsidR="009A6B10" w:rsidRPr="009A6B10" w:rsidTr="009A6B10">
        <w:trPr>
          <w:cantSplit/>
          <w:trHeight w:val="298"/>
          <w:jc w:val="center"/>
        </w:trPr>
        <w:tc>
          <w:tcPr>
            <w:tcW w:w="2502" w:type="dxa"/>
            <w:tcBorders>
              <w:left w:val="nil"/>
              <w:right w:val="nil"/>
            </w:tcBorders>
            <w:vAlign w:val="center"/>
          </w:tcPr>
          <w:p w:rsidR="009A6B10" w:rsidRPr="009A6B10" w:rsidRDefault="009A6B10" w:rsidP="009A6B10">
            <w:pPr>
              <w:rPr>
                <w:b/>
              </w:rPr>
            </w:pPr>
            <w:r w:rsidRPr="009A6B10">
              <w:rPr>
                <w:b/>
              </w:rPr>
              <w:t>PZZP  [mil. m</w:t>
            </w:r>
            <w:r w:rsidRPr="009A6B10">
              <w:rPr>
                <w:b/>
                <w:vertAlign w:val="superscript"/>
              </w:rPr>
              <w:t>3</w:t>
            </w:r>
            <w:r w:rsidRPr="009A6B10">
              <w:rPr>
                <w:b/>
              </w:rPr>
              <w:t>]</w:t>
            </w:r>
          </w:p>
        </w:tc>
        <w:tc>
          <w:tcPr>
            <w:tcW w:w="720" w:type="dxa"/>
            <w:tcBorders>
              <w:left w:val="nil"/>
              <w:right w:val="nil"/>
            </w:tcBorders>
            <w:vAlign w:val="center"/>
          </w:tcPr>
          <w:p w:rsidR="009A6B10" w:rsidRPr="009A6B10" w:rsidRDefault="009A6B10" w:rsidP="009A6B10">
            <w:pPr>
              <w:jc w:val="right"/>
            </w:pPr>
            <w:r w:rsidRPr="009A6B10">
              <w:t>13</w:t>
            </w:r>
          </w:p>
        </w:tc>
        <w:tc>
          <w:tcPr>
            <w:tcW w:w="630" w:type="dxa"/>
            <w:tcBorders>
              <w:left w:val="nil"/>
              <w:right w:val="nil"/>
            </w:tcBorders>
            <w:vAlign w:val="center"/>
          </w:tcPr>
          <w:p w:rsidR="009A6B10" w:rsidRPr="009A6B10" w:rsidRDefault="009A6B10" w:rsidP="009A6B10">
            <w:pPr>
              <w:jc w:val="right"/>
            </w:pPr>
            <w:r w:rsidRPr="009A6B10">
              <w:t>2</w:t>
            </w:r>
          </w:p>
        </w:tc>
        <w:tc>
          <w:tcPr>
            <w:tcW w:w="1363" w:type="dxa"/>
            <w:tcBorders>
              <w:left w:val="nil"/>
              <w:right w:val="nil"/>
            </w:tcBorders>
            <w:vAlign w:val="center"/>
          </w:tcPr>
          <w:p w:rsidR="009A6B10" w:rsidRPr="009A6B10" w:rsidRDefault="009A6B10" w:rsidP="009A6B10">
            <w:pPr>
              <w:jc w:val="right"/>
              <w:rPr>
                <w:b/>
              </w:rPr>
            </w:pPr>
            <w:r w:rsidRPr="009A6B10">
              <w:rPr>
                <w:b/>
              </w:rPr>
              <w:t>6 539</w:t>
            </w:r>
          </w:p>
        </w:tc>
        <w:tc>
          <w:tcPr>
            <w:tcW w:w="824" w:type="dxa"/>
            <w:tcBorders>
              <w:left w:val="nil"/>
              <w:right w:val="nil"/>
            </w:tcBorders>
            <w:vAlign w:val="center"/>
          </w:tcPr>
          <w:p w:rsidR="009A6B10" w:rsidRPr="009A6B10" w:rsidRDefault="009A6B10" w:rsidP="009A6B10">
            <w:pPr>
              <w:jc w:val="right"/>
            </w:pPr>
            <w:r w:rsidRPr="009A6B10">
              <w:t>3 345</w:t>
            </w:r>
          </w:p>
        </w:tc>
        <w:tc>
          <w:tcPr>
            <w:tcW w:w="969" w:type="dxa"/>
            <w:tcBorders>
              <w:left w:val="nil"/>
              <w:right w:val="nil"/>
            </w:tcBorders>
            <w:vAlign w:val="center"/>
          </w:tcPr>
          <w:p w:rsidR="009A6B10" w:rsidRPr="009A6B10" w:rsidRDefault="009A6B10" w:rsidP="009A6B10">
            <w:pPr>
              <w:jc w:val="right"/>
            </w:pPr>
            <w:r w:rsidRPr="009A6B10">
              <w:t>-</w:t>
            </w:r>
          </w:p>
        </w:tc>
        <w:tc>
          <w:tcPr>
            <w:tcW w:w="1047" w:type="dxa"/>
            <w:tcBorders>
              <w:left w:val="nil"/>
              <w:right w:val="nil"/>
            </w:tcBorders>
            <w:vAlign w:val="center"/>
          </w:tcPr>
          <w:p w:rsidR="009A6B10" w:rsidRPr="009A6B10" w:rsidRDefault="009A6B10" w:rsidP="009A6B10">
            <w:pPr>
              <w:jc w:val="right"/>
            </w:pPr>
            <w:r w:rsidRPr="009A6B10">
              <w:t>3 194</w:t>
            </w:r>
          </w:p>
        </w:tc>
        <w:tc>
          <w:tcPr>
            <w:tcW w:w="824" w:type="dxa"/>
            <w:tcBorders>
              <w:left w:val="nil"/>
              <w:right w:val="nil"/>
            </w:tcBorders>
            <w:vAlign w:val="center"/>
          </w:tcPr>
          <w:p w:rsidR="009A6B10" w:rsidRPr="009A6B10" w:rsidRDefault="009A6B10" w:rsidP="009A6B10">
            <w:pPr>
              <w:jc w:val="right"/>
              <w:rPr>
                <w:b/>
              </w:rPr>
            </w:pPr>
            <w:r w:rsidRPr="009A6B10">
              <w:rPr>
                <w:b/>
              </w:rPr>
              <w:t>13</w:t>
            </w:r>
          </w:p>
        </w:tc>
      </w:tr>
      <w:tr w:rsidR="009A6B10" w:rsidRPr="009A6B10" w:rsidTr="009A6B10">
        <w:trPr>
          <w:cantSplit/>
          <w:trHeight w:val="298"/>
          <w:jc w:val="center"/>
        </w:trPr>
        <w:tc>
          <w:tcPr>
            <w:tcW w:w="2502" w:type="dxa"/>
            <w:tcBorders>
              <w:left w:val="nil"/>
              <w:right w:val="nil"/>
            </w:tcBorders>
            <w:vAlign w:val="center"/>
          </w:tcPr>
          <w:p w:rsidR="009A6B10" w:rsidRPr="009A6B10" w:rsidRDefault="009A6B10" w:rsidP="009A6B10">
            <w:pPr>
              <w:rPr>
                <w:b/>
              </w:rPr>
            </w:pPr>
            <w:r w:rsidRPr="009A6B10">
              <w:rPr>
                <w:b/>
              </w:rPr>
              <w:t>Hnedé uhlie [</w:t>
            </w:r>
            <w:proofErr w:type="spellStart"/>
            <w:r w:rsidRPr="009A6B10">
              <w:rPr>
                <w:b/>
              </w:rPr>
              <w:t>kt</w:t>
            </w:r>
            <w:proofErr w:type="spellEnd"/>
            <w:r w:rsidRPr="009A6B10">
              <w:rPr>
                <w:b/>
              </w:rPr>
              <w:t>]</w:t>
            </w:r>
          </w:p>
        </w:tc>
        <w:tc>
          <w:tcPr>
            <w:tcW w:w="720" w:type="dxa"/>
            <w:tcBorders>
              <w:left w:val="nil"/>
              <w:right w:val="nil"/>
            </w:tcBorders>
            <w:vAlign w:val="center"/>
          </w:tcPr>
          <w:p w:rsidR="009A6B10" w:rsidRPr="009A6B10" w:rsidRDefault="009A6B10" w:rsidP="009A6B10">
            <w:pPr>
              <w:jc w:val="right"/>
            </w:pPr>
            <w:r w:rsidRPr="009A6B10">
              <w:t>11</w:t>
            </w:r>
          </w:p>
        </w:tc>
        <w:tc>
          <w:tcPr>
            <w:tcW w:w="630" w:type="dxa"/>
            <w:tcBorders>
              <w:left w:val="nil"/>
              <w:right w:val="nil"/>
            </w:tcBorders>
            <w:vAlign w:val="center"/>
          </w:tcPr>
          <w:p w:rsidR="009A6B10" w:rsidRPr="009A6B10" w:rsidRDefault="009A6B10" w:rsidP="009A6B10">
            <w:pPr>
              <w:jc w:val="right"/>
            </w:pPr>
            <w:r w:rsidRPr="009A6B10">
              <w:t>4</w:t>
            </w:r>
          </w:p>
        </w:tc>
        <w:tc>
          <w:tcPr>
            <w:tcW w:w="1363" w:type="dxa"/>
            <w:tcBorders>
              <w:left w:val="nil"/>
              <w:right w:val="nil"/>
            </w:tcBorders>
            <w:vAlign w:val="center"/>
          </w:tcPr>
          <w:p w:rsidR="009A6B10" w:rsidRPr="009A6B10" w:rsidRDefault="009A6B10" w:rsidP="009A6B10">
            <w:pPr>
              <w:jc w:val="right"/>
              <w:rPr>
                <w:b/>
              </w:rPr>
            </w:pPr>
            <w:r w:rsidRPr="009A6B10">
              <w:rPr>
                <w:b/>
              </w:rPr>
              <w:t>466 648</w:t>
            </w:r>
          </w:p>
        </w:tc>
        <w:tc>
          <w:tcPr>
            <w:tcW w:w="824" w:type="dxa"/>
            <w:tcBorders>
              <w:left w:val="nil"/>
              <w:right w:val="nil"/>
            </w:tcBorders>
            <w:vAlign w:val="center"/>
          </w:tcPr>
          <w:p w:rsidR="009A6B10" w:rsidRPr="009A6B10" w:rsidRDefault="009A6B10" w:rsidP="009A6B10">
            <w:pPr>
              <w:jc w:val="right"/>
            </w:pPr>
            <w:r w:rsidRPr="009A6B10">
              <w:t>57 868</w:t>
            </w:r>
          </w:p>
        </w:tc>
        <w:tc>
          <w:tcPr>
            <w:tcW w:w="969" w:type="dxa"/>
            <w:tcBorders>
              <w:left w:val="nil"/>
              <w:right w:val="nil"/>
            </w:tcBorders>
            <w:vAlign w:val="center"/>
          </w:tcPr>
          <w:p w:rsidR="009A6B10" w:rsidRPr="009A6B10" w:rsidRDefault="009A6B10" w:rsidP="009A6B10">
            <w:pPr>
              <w:jc w:val="right"/>
            </w:pPr>
            <w:r w:rsidRPr="009A6B10">
              <w:t>104 168</w:t>
            </w:r>
          </w:p>
        </w:tc>
        <w:tc>
          <w:tcPr>
            <w:tcW w:w="1047" w:type="dxa"/>
            <w:tcBorders>
              <w:left w:val="nil"/>
              <w:right w:val="nil"/>
            </w:tcBorders>
            <w:vAlign w:val="center"/>
          </w:tcPr>
          <w:p w:rsidR="009A6B10" w:rsidRPr="009A6B10" w:rsidRDefault="009A6B10" w:rsidP="009A6B10">
            <w:pPr>
              <w:jc w:val="right"/>
            </w:pPr>
            <w:r w:rsidRPr="009A6B10">
              <w:t>304 612</w:t>
            </w:r>
          </w:p>
        </w:tc>
        <w:tc>
          <w:tcPr>
            <w:tcW w:w="824" w:type="dxa"/>
            <w:tcBorders>
              <w:left w:val="nil"/>
              <w:right w:val="nil"/>
            </w:tcBorders>
            <w:vAlign w:val="center"/>
          </w:tcPr>
          <w:p w:rsidR="009A6B10" w:rsidRPr="009A6B10" w:rsidRDefault="009A6B10" w:rsidP="009A6B10">
            <w:pPr>
              <w:jc w:val="right"/>
              <w:rPr>
                <w:b/>
              </w:rPr>
            </w:pPr>
            <w:r w:rsidRPr="009A6B10">
              <w:rPr>
                <w:b/>
              </w:rPr>
              <w:t>1 989</w:t>
            </w:r>
          </w:p>
        </w:tc>
      </w:tr>
      <w:tr w:rsidR="009A6B10" w:rsidRPr="009A6B10" w:rsidTr="009A6B10">
        <w:trPr>
          <w:cantSplit/>
          <w:trHeight w:val="288"/>
          <w:jc w:val="center"/>
        </w:trPr>
        <w:tc>
          <w:tcPr>
            <w:tcW w:w="2502" w:type="dxa"/>
            <w:tcBorders>
              <w:left w:val="nil"/>
              <w:right w:val="nil"/>
            </w:tcBorders>
            <w:vAlign w:val="center"/>
          </w:tcPr>
          <w:p w:rsidR="009A6B10" w:rsidRPr="009A6B10" w:rsidRDefault="009A6B10" w:rsidP="009A6B10">
            <w:pPr>
              <w:rPr>
                <w:b/>
              </w:rPr>
            </w:pPr>
            <w:r w:rsidRPr="009A6B10">
              <w:rPr>
                <w:b/>
              </w:rPr>
              <w:t>Lignit [</w:t>
            </w:r>
            <w:proofErr w:type="spellStart"/>
            <w:r w:rsidRPr="009A6B10">
              <w:rPr>
                <w:b/>
              </w:rPr>
              <w:t>kt</w:t>
            </w:r>
            <w:proofErr w:type="spellEnd"/>
            <w:r w:rsidRPr="009A6B10">
              <w:rPr>
                <w:b/>
              </w:rPr>
              <w:t>]</w:t>
            </w:r>
          </w:p>
        </w:tc>
        <w:tc>
          <w:tcPr>
            <w:tcW w:w="720" w:type="dxa"/>
            <w:tcBorders>
              <w:left w:val="nil"/>
              <w:right w:val="nil"/>
            </w:tcBorders>
            <w:vAlign w:val="center"/>
          </w:tcPr>
          <w:p w:rsidR="009A6B10" w:rsidRPr="009A6B10" w:rsidRDefault="009A6B10" w:rsidP="009A6B10">
            <w:pPr>
              <w:jc w:val="right"/>
            </w:pPr>
            <w:r w:rsidRPr="009A6B10">
              <w:t>8</w:t>
            </w:r>
          </w:p>
        </w:tc>
        <w:tc>
          <w:tcPr>
            <w:tcW w:w="630" w:type="dxa"/>
            <w:tcBorders>
              <w:left w:val="nil"/>
              <w:right w:val="nil"/>
            </w:tcBorders>
            <w:vAlign w:val="center"/>
          </w:tcPr>
          <w:p w:rsidR="009A6B10" w:rsidRPr="009A6B10" w:rsidRDefault="009A6B10" w:rsidP="009A6B10">
            <w:pPr>
              <w:jc w:val="right"/>
            </w:pPr>
            <w:r w:rsidRPr="009A6B10">
              <w:t>1</w:t>
            </w:r>
          </w:p>
        </w:tc>
        <w:tc>
          <w:tcPr>
            <w:tcW w:w="1363" w:type="dxa"/>
            <w:tcBorders>
              <w:left w:val="nil"/>
              <w:right w:val="nil"/>
            </w:tcBorders>
            <w:vAlign w:val="center"/>
          </w:tcPr>
          <w:p w:rsidR="009A6B10" w:rsidRPr="009A6B10" w:rsidRDefault="009A6B10" w:rsidP="009A6B10">
            <w:pPr>
              <w:jc w:val="right"/>
              <w:rPr>
                <w:b/>
              </w:rPr>
            </w:pPr>
            <w:r w:rsidRPr="009A6B10">
              <w:rPr>
                <w:b/>
              </w:rPr>
              <w:t>618 501</w:t>
            </w:r>
          </w:p>
        </w:tc>
        <w:tc>
          <w:tcPr>
            <w:tcW w:w="824" w:type="dxa"/>
            <w:tcBorders>
              <w:left w:val="nil"/>
              <w:right w:val="nil"/>
            </w:tcBorders>
            <w:vAlign w:val="center"/>
          </w:tcPr>
          <w:p w:rsidR="009A6B10" w:rsidRPr="009A6B10" w:rsidRDefault="009A6B10" w:rsidP="009A6B10">
            <w:pPr>
              <w:jc w:val="right"/>
            </w:pPr>
            <w:r w:rsidRPr="009A6B10">
              <w:t>90 167</w:t>
            </w:r>
          </w:p>
        </w:tc>
        <w:tc>
          <w:tcPr>
            <w:tcW w:w="969" w:type="dxa"/>
            <w:tcBorders>
              <w:left w:val="nil"/>
              <w:right w:val="nil"/>
            </w:tcBorders>
            <w:vAlign w:val="center"/>
          </w:tcPr>
          <w:p w:rsidR="009A6B10" w:rsidRPr="009A6B10" w:rsidRDefault="009A6B10" w:rsidP="009A6B10">
            <w:pPr>
              <w:jc w:val="right"/>
            </w:pPr>
            <w:r w:rsidRPr="009A6B10">
              <w:t>188 317</w:t>
            </w:r>
          </w:p>
        </w:tc>
        <w:tc>
          <w:tcPr>
            <w:tcW w:w="1047" w:type="dxa"/>
            <w:tcBorders>
              <w:left w:val="nil"/>
              <w:right w:val="nil"/>
            </w:tcBorders>
            <w:vAlign w:val="center"/>
          </w:tcPr>
          <w:p w:rsidR="009A6B10" w:rsidRPr="009A6B10" w:rsidRDefault="009A6B10" w:rsidP="009A6B10">
            <w:pPr>
              <w:jc w:val="right"/>
            </w:pPr>
            <w:r w:rsidRPr="009A6B10">
              <w:t>340 017</w:t>
            </w:r>
          </w:p>
        </w:tc>
        <w:tc>
          <w:tcPr>
            <w:tcW w:w="824" w:type="dxa"/>
            <w:tcBorders>
              <w:left w:val="nil"/>
              <w:right w:val="nil"/>
            </w:tcBorders>
            <w:vAlign w:val="center"/>
          </w:tcPr>
          <w:p w:rsidR="009A6B10" w:rsidRPr="009A6B10" w:rsidRDefault="009A6B10" w:rsidP="009A6B10">
            <w:pPr>
              <w:jc w:val="right"/>
              <w:rPr>
                <w:b/>
              </w:rPr>
            </w:pPr>
            <w:r w:rsidRPr="009A6B10">
              <w:rPr>
                <w:b/>
              </w:rPr>
              <w:t>124</w:t>
            </w:r>
          </w:p>
        </w:tc>
      </w:tr>
      <w:tr w:rsidR="009A6B10" w:rsidRPr="009A6B10" w:rsidTr="009A6B10">
        <w:trPr>
          <w:cantSplit/>
          <w:trHeight w:val="278"/>
          <w:jc w:val="center"/>
        </w:trPr>
        <w:tc>
          <w:tcPr>
            <w:tcW w:w="2502" w:type="dxa"/>
            <w:tcBorders>
              <w:left w:val="nil"/>
              <w:right w:val="nil"/>
            </w:tcBorders>
            <w:vAlign w:val="center"/>
          </w:tcPr>
          <w:p w:rsidR="009A6B10" w:rsidRPr="009A6B10" w:rsidRDefault="009A6B10" w:rsidP="009A6B10">
            <w:pPr>
              <w:rPr>
                <w:b/>
              </w:rPr>
            </w:pPr>
            <w:r w:rsidRPr="009A6B10">
              <w:rPr>
                <w:b/>
              </w:rPr>
              <w:t>Urán [t U]</w:t>
            </w:r>
          </w:p>
        </w:tc>
        <w:tc>
          <w:tcPr>
            <w:tcW w:w="720" w:type="dxa"/>
            <w:tcBorders>
              <w:left w:val="nil"/>
              <w:right w:val="nil"/>
            </w:tcBorders>
            <w:vAlign w:val="center"/>
          </w:tcPr>
          <w:p w:rsidR="009A6B10" w:rsidRPr="009A6B10" w:rsidRDefault="009A6B10" w:rsidP="009A6B10">
            <w:pPr>
              <w:jc w:val="right"/>
            </w:pPr>
            <w:r w:rsidRPr="009A6B10">
              <w:t>2</w:t>
            </w:r>
          </w:p>
        </w:tc>
        <w:tc>
          <w:tcPr>
            <w:tcW w:w="630" w:type="dxa"/>
            <w:tcBorders>
              <w:left w:val="nil"/>
              <w:right w:val="nil"/>
            </w:tcBorders>
            <w:vAlign w:val="center"/>
          </w:tcPr>
          <w:p w:rsidR="009A6B10" w:rsidRPr="009A6B10" w:rsidRDefault="009A6B10" w:rsidP="009A6B10">
            <w:pPr>
              <w:jc w:val="right"/>
            </w:pPr>
            <w:r w:rsidRPr="009A6B10">
              <w:t xml:space="preserve">– </w:t>
            </w:r>
          </w:p>
        </w:tc>
        <w:tc>
          <w:tcPr>
            <w:tcW w:w="1363" w:type="dxa"/>
            <w:tcBorders>
              <w:left w:val="nil"/>
              <w:right w:val="nil"/>
            </w:tcBorders>
            <w:vAlign w:val="center"/>
          </w:tcPr>
          <w:p w:rsidR="009A6B10" w:rsidRPr="009A6B10" w:rsidRDefault="009A6B10" w:rsidP="009A6B10">
            <w:pPr>
              <w:jc w:val="right"/>
              <w:rPr>
                <w:b/>
              </w:rPr>
            </w:pPr>
            <w:r w:rsidRPr="009A6B10">
              <w:rPr>
                <w:b/>
              </w:rPr>
              <w:t>10 049</w:t>
            </w:r>
          </w:p>
        </w:tc>
        <w:tc>
          <w:tcPr>
            <w:tcW w:w="824" w:type="dxa"/>
            <w:tcBorders>
              <w:left w:val="nil"/>
              <w:right w:val="nil"/>
            </w:tcBorders>
            <w:vAlign w:val="center"/>
          </w:tcPr>
          <w:p w:rsidR="009A6B10" w:rsidRPr="009A6B10" w:rsidRDefault="009A6B10" w:rsidP="009A6B10">
            <w:pPr>
              <w:jc w:val="right"/>
            </w:pPr>
            <w:r w:rsidRPr="009A6B10">
              <w:t>–</w:t>
            </w:r>
          </w:p>
        </w:tc>
        <w:tc>
          <w:tcPr>
            <w:tcW w:w="969" w:type="dxa"/>
            <w:tcBorders>
              <w:left w:val="nil"/>
              <w:right w:val="nil"/>
            </w:tcBorders>
            <w:vAlign w:val="center"/>
          </w:tcPr>
          <w:p w:rsidR="009A6B10" w:rsidRPr="009A6B10" w:rsidRDefault="009A6B10" w:rsidP="009A6B10">
            <w:pPr>
              <w:jc w:val="right"/>
            </w:pPr>
            <w:r w:rsidRPr="009A6B10">
              <w:t>6 561</w:t>
            </w:r>
          </w:p>
        </w:tc>
        <w:tc>
          <w:tcPr>
            <w:tcW w:w="1047" w:type="dxa"/>
            <w:tcBorders>
              <w:left w:val="nil"/>
              <w:right w:val="nil"/>
            </w:tcBorders>
            <w:vAlign w:val="center"/>
          </w:tcPr>
          <w:p w:rsidR="009A6B10" w:rsidRPr="009A6B10" w:rsidRDefault="009A6B10" w:rsidP="009A6B10">
            <w:pPr>
              <w:jc w:val="right"/>
            </w:pPr>
            <w:r w:rsidRPr="009A6B10">
              <w:t>3 488</w:t>
            </w:r>
          </w:p>
        </w:tc>
        <w:tc>
          <w:tcPr>
            <w:tcW w:w="824" w:type="dxa"/>
            <w:tcBorders>
              <w:left w:val="nil"/>
              <w:right w:val="nil"/>
            </w:tcBorders>
            <w:vAlign w:val="center"/>
          </w:tcPr>
          <w:p w:rsidR="009A6B10" w:rsidRPr="009A6B10" w:rsidRDefault="009A6B10" w:rsidP="009A6B10">
            <w:pPr>
              <w:jc w:val="right"/>
              <w:rPr>
                <w:b/>
              </w:rPr>
            </w:pPr>
            <w:r w:rsidRPr="009A6B10">
              <w:rPr>
                <w:b/>
              </w:rPr>
              <w:t>–</w:t>
            </w:r>
          </w:p>
        </w:tc>
      </w:tr>
    </w:tbl>
    <w:p w:rsidR="009A6B10" w:rsidRPr="009A6B10" w:rsidRDefault="009A6B10" w:rsidP="009A6B10">
      <w:pPr>
        <w:spacing w:line="360" w:lineRule="auto"/>
        <w:jc w:val="center"/>
        <w:rPr>
          <w:b/>
        </w:rPr>
      </w:pPr>
    </w:p>
    <w:p w:rsidR="009A6B10" w:rsidRDefault="009A6B10" w:rsidP="009A6B10">
      <w:pPr>
        <w:spacing w:line="360" w:lineRule="auto"/>
        <w:jc w:val="center"/>
        <w:rPr>
          <w:b/>
        </w:rPr>
      </w:pPr>
    </w:p>
    <w:p w:rsidR="00E01DCD" w:rsidRDefault="00E01DCD" w:rsidP="009A6B10">
      <w:pPr>
        <w:spacing w:line="360" w:lineRule="auto"/>
        <w:jc w:val="center"/>
        <w:rPr>
          <w:b/>
        </w:rPr>
      </w:pPr>
    </w:p>
    <w:p w:rsidR="00E01DCD" w:rsidRDefault="00E01DCD" w:rsidP="009A6B10">
      <w:pPr>
        <w:spacing w:line="360" w:lineRule="auto"/>
        <w:jc w:val="center"/>
        <w:rPr>
          <w:b/>
        </w:rPr>
      </w:pPr>
    </w:p>
    <w:p w:rsidR="00E01DCD" w:rsidRPr="009A6B10" w:rsidRDefault="00E01DCD" w:rsidP="009A6B10">
      <w:pPr>
        <w:spacing w:line="360" w:lineRule="auto"/>
        <w:jc w:val="center"/>
        <w:rPr>
          <w:b/>
        </w:rPr>
      </w:pPr>
    </w:p>
    <w:p w:rsidR="009A6B10" w:rsidRPr="009A6B10" w:rsidRDefault="009A6B10" w:rsidP="009A6B10">
      <w:pPr>
        <w:spacing w:line="360" w:lineRule="auto"/>
        <w:jc w:val="center"/>
      </w:pPr>
      <w:r w:rsidRPr="009A6B10">
        <w:lastRenderedPageBreak/>
        <w:t>Zásoby a ťažba na výhradných ložiskách rudných surovín (2011)</w:t>
      </w:r>
    </w:p>
    <w:tbl>
      <w:tblPr>
        <w:tblW w:w="0" w:type="auto"/>
        <w:jc w:val="center"/>
        <w:tblBorders>
          <w:top w:val="single" w:sz="6" w:space="0" w:color="auto"/>
          <w:bottom w:val="single" w:sz="6" w:space="0" w:color="auto"/>
          <w:insideH w:val="single" w:sz="6" w:space="0" w:color="auto"/>
        </w:tblBorders>
        <w:tblLayout w:type="fixed"/>
        <w:tblCellMar>
          <w:left w:w="70" w:type="dxa"/>
          <w:right w:w="70" w:type="dxa"/>
        </w:tblCellMar>
        <w:tblLook w:val="00A0" w:firstRow="1" w:lastRow="0" w:firstColumn="1" w:lastColumn="0" w:noHBand="0" w:noVBand="0"/>
      </w:tblPr>
      <w:tblGrid>
        <w:gridCol w:w="2454"/>
        <w:gridCol w:w="720"/>
        <w:gridCol w:w="567"/>
        <w:gridCol w:w="1252"/>
        <w:gridCol w:w="1260"/>
        <w:gridCol w:w="1260"/>
        <w:gridCol w:w="824"/>
      </w:tblGrid>
      <w:tr w:rsidR="009A6B10" w:rsidRPr="009A6B10" w:rsidTr="009A6B10">
        <w:trPr>
          <w:cantSplit/>
          <w:trHeight w:val="2044"/>
          <w:jc w:val="center"/>
        </w:trPr>
        <w:tc>
          <w:tcPr>
            <w:tcW w:w="2454" w:type="dxa"/>
            <w:tcBorders>
              <w:left w:val="nil"/>
              <w:bottom w:val="single" w:sz="12" w:space="0" w:color="auto"/>
              <w:right w:val="nil"/>
            </w:tcBorders>
            <w:vAlign w:val="bottom"/>
          </w:tcPr>
          <w:p w:rsidR="009A6B10" w:rsidRPr="009A6B10" w:rsidRDefault="009A6B10" w:rsidP="00754C28">
            <w:pPr>
              <w:keepNext/>
              <w:autoSpaceDE w:val="0"/>
              <w:autoSpaceDN w:val="0"/>
              <w:adjustRightInd w:val="0"/>
              <w:outlineLvl w:val="4"/>
              <w:rPr>
                <w:b/>
                <w:bCs/>
              </w:rPr>
            </w:pPr>
            <w:r w:rsidRPr="009A6B10">
              <w:rPr>
                <w:b/>
                <w:bCs/>
              </w:rPr>
              <w:t>Surovina</w:t>
            </w:r>
          </w:p>
        </w:tc>
        <w:tc>
          <w:tcPr>
            <w:tcW w:w="720"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bCs/>
                <w:i/>
              </w:rPr>
            </w:pPr>
            <w:r w:rsidRPr="009A6B10">
              <w:rPr>
                <w:b/>
                <w:bCs/>
              </w:rPr>
              <w:t>Počet ložísk</w:t>
            </w:r>
          </w:p>
        </w:tc>
        <w:tc>
          <w:tcPr>
            <w:tcW w:w="567"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bCs/>
                <w:i/>
              </w:rPr>
            </w:pPr>
            <w:r w:rsidRPr="009A6B10">
              <w:rPr>
                <w:b/>
                <w:bCs/>
                <w:i/>
              </w:rPr>
              <w:t>– z toho ťažených</w:t>
            </w:r>
          </w:p>
        </w:tc>
        <w:tc>
          <w:tcPr>
            <w:tcW w:w="1252"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bCs/>
                <w:i/>
              </w:rPr>
            </w:pPr>
            <w:r w:rsidRPr="009A6B10">
              <w:rPr>
                <w:b/>
                <w:bCs/>
              </w:rPr>
              <w:t>Zásoby spolu</w:t>
            </w:r>
          </w:p>
        </w:tc>
        <w:tc>
          <w:tcPr>
            <w:tcW w:w="1260"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rPr>
            </w:pPr>
            <w:r w:rsidRPr="009A6B10">
              <w:rPr>
                <w:b/>
                <w:bCs/>
                <w:i/>
              </w:rPr>
              <w:t>– bi</w:t>
            </w:r>
            <w:r w:rsidRPr="009A6B10">
              <w:rPr>
                <w:b/>
              </w:rPr>
              <w:t xml:space="preserve">lančné </w:t>
            </w:r>
          </w:p>
          <w:p w:rsidR="009A6B10" w:rsidRPr="009A6B10" w:rsidRDefault="009A6B10" w:rsidP="00754C28">
            <w:pPr>
              <w:keepNext/>
              <w:ind w:left="113" w:right="113"/>
              <w:outlineLvl w:val="3"/>
              <w:rPr>
                <w:b/>
                <w:bCs/>
                <w:i/>
              </w:rPr>
            </w:pPr>
            <w:r w:rsidRPr="009A6B10">
              <w:rPr>
                <w:b/>
              </w:rPr>
              <w:t>(</w:t>
            </w:r>
            <w:r w:rsidRPr="009A6B10">
              <w:rPr>
                <w:b/>
                <w:bCs/>
                <w:i/>
              </w:rPr>
              <w:t>Z-1+Z-2+Z-3)</w:t>
            </w:r>
          </w:p>
        </w:tc>
        <w:tc>
          <w:tcPr>
            <w:tcW w:w="1260"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bCs/>
                <w:i/>
              </w:rPr>
            </w:pPr>
            <w:r w:rsidRPr="009A6B10">
              <w:rPr>
                <w:b/>
                <w:bCs/>
                <w:i/>
              </w:rPr>
              <w:t>– nebilančné</w:t>
            </w:r>
          </w:p>
        </w:tc>
        <w:tc>
          <w:tcPr>
            <w:tcW w:w="824"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bCs/>
                <w:i/>
              </w:rPr>
            </w:pPr>
            <w:r w:rsidRPr="009A6B10">
              <w:rPr>
                <w:b/>
                <w:bCs/>
                <w:i/>
              </w:rPr>
              <w:t>Ťažba 2011</w:t>
            </w:r>
          </w:p>
        </w:tc>
      </w:tr>
      <w:tr w:rsidR="009A6B10" w:rsidRPr="009A6B10" w:rsidTr="009A6B10">
        <w:trPr>
          <w:trHeight w:val="355"/>
          <w:jc w:val="center"/>
        </w:trPr>
        <w:tc>
          <w:tcPr>
            <w:tcW w:w="2454" w:type="dxa"/>
            <w:tcBorders>
              <w:top w:val="nil"/>
              <w:left w:val="nil"/>
              <w:right w:val="nil"/>
            </w:tcBorders>
            <w:vAlign w:val="center"/>
          </w:tcPr>
          <w:p w:rsidR="009A6B10" w:rsidRPr="009A6B10" w:rsidRDefault="009A6B10" w:rsidP="009A6B10">
            <w:pPr>
              <w:rPr>
                <w:b/>
              </w:rPr>
            </w:pPr>
            <w:proofErr w:type="spellStart"/>
            <w:r w:rsidRPr="009A6B10">
              <w:rPr>
                <w:b/>
              </w:rPr>
              <w:t>Fe</w:t>
            </w:r>
            <w:proofErr w:type="spellEnd"/>
            <w:r w:rsidRPr="009A6B10">
              <w:rPr>
                <w:b/>
              </w:rPr>
              <w:t xml:space="preserve"> rudy [</w:t>
            </w:r>
            <w:proofErr w:type="spellStart"/>
            <w:r w:rsidRPr="009A6B10">
              <w:rPr>
                <w:b/>
              </w:rPr>
              <w:t>kt</w:t>
            </w:r>
            <w:proofErr w:type="spellEnd"/>
            <w:r w:rsidRPr="009A6B10">
              <w:rPr>
                <w:b/>
              </w:rPr>
              <w:t>]</w:t>
            </w:r>
          </w:p>
        </w:tc>
        <w:tc>
          <w:tcPr>
            <w:tcW w:w="720" w:type="dxa"/>
            <w:tcBorders>
              <w:top w:val="nil"/>
              <w:left w:val="nil"/>
              <w:right w:val="nil"/>
            </w:tcBorders>
            <w:vAlign w:val="center"/>
          </w:tcPr>
          <w:p w:rsidR="009A6B10" w:rsidRPr="009A6B10" w:rsidRDefault="009A6B10" w:rsidP="009A6B10">
            <w:pPr>
              <w:jc w:val="right"/>
            </w:pPr>
            <w:r w:rsidRPr="009A6B10">
              <w:t xml:space="preserve">9 </w:t>
            </w:r>
          </w:p>
        </w:tc>
        <w:tc>
          <w:tcPr>
            <w:tcW w:w="567" w:type="dxa"/>
            <w:tcBorders>
              <w:top w:val="nil"/>
              <w:left w:val="nil"/>
              <w:right w:val="nil"/>
            </w:tcBorders>
            <w:vAlign w:val="center"/>
          </w:tcPr>
          <w:p w:rsidR="009A6B10" w:rsidRPr="009A6B10" w:rsidRDefault="009A6B10" w:rsidP="009A6B10">
            <w:pPr>
              <w:jc w:val="right"/>
              <w:rPr>
                <w:b/>
              </w:rPr>
            </w:pPr>
            <w:r w:rsidRPr="009A6B10">
              <w:rPr>
                <w:b/>
              </w:rPr>
              <w:t>–</w:t>
            </w:r>
          </w:p>
        </w:tc>
        <w:tc>
          <w:tcPr>
            <w:tcW w:w="1252" w:type="dxa"/>
            <w:tcBorders>
              <w:top w:val="nil"/>
              <w:left w:val="nil"/>
              <w:right w:val="nil"/>
            </w:tcBorders>
            <w:vAlign w:val="center"/>
          </w:tcPr>
          <w:p w:rsidR="009A6B10" w:rsidRPr="009A6B10" w:rsidRDefault="009A6B10" w:rsidP="009A6B10">
            <w:pPr>
              <w:jc w:val="right"/>
              <w:rPr>
                <w:b/>
              </w:rPr>
            </w:pPr>
            <w:r w:rsidRPr="009A6B10">
              <w:rPr>
                <w:b/>
              </w:rPr>
              <w:t>76 505</w:t>
            </w:r>
          </w:p>
        </w:tc>
        <w:tc>
          <w:tcPr>
            <w:tcW w:w="1260" w:type="dxa"/>
            <w:tcBorders>
              <w:top w:val="nil"/>
              <w:left w:val="nil"/>
              <w:right w:val="nil"/>
            </w:tcBorders>
            <w:vAlign w:val="center"/>
          </w:tcPr>
          <w:p w:rsidR="009A6B10" w:rsidRPr="009A6B10" w:rsidRDefault="009A6B10" w:rsidP="009A6B10">
            <w:pPr>
              <w:jc w:val="right"/>
            </w:pPr>
            <w:r w:rsidRPr="009A6B10">
              <w:t>24 038</w:t>
            </w:r>
          </w:p>
        </w:tc>
        <w:tc>
          <w:tcPr>
            <w:tcW w:w="1260" w:type="dxa"/>
            <w:tcBorders>
              <w:top w:val="nil"/>
              <w:left w:val="nil"/>
              <w:right w:val="nil"/>
            </w:tcBorders>
            <w:vAlign w:val="center"/>
          </w:tcPr>
          <w:p w:rsidR="009A6B10" w:rsidRPr="009A6B10" w:rsidRDefault="009A6B10" w:rsidP="009A6B10">
            <w:pPr>
              <w:jc w:val="right"/>
            </w:pPr>
            <w:r w:rsidRPr="009A6B10">
              <w:t>52 467</w:t>
            </w:r>
          </w:p>
        </w:tc>
        <w:tc>
          <w:tcPr>
            <w:tcW w:w="824" w:type="dxa"/>
            <w:tcBorders>
              <w:top w:val="nil"/>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cantSplit/>
          <w:trHeight w:val="280"/>
          <w:jc w:val="center"/>
        </w:trPr>
        <w:tc>
          <w:tcPr>
            <w:tcW w:w="2454" w:type="dxa"/>
            <w:tcBorders>
              <w:left w:val="nil"/>
              <w:right w:val="nil"/>
            </w:tcBorders>
            <w:vAlign w:val="center"/>
          </w:tcPr>
          <w:p w:rsidR="009A6B10" w:rsidRPr="009A6B10" w:rsidRDefault="009A6B10" w:rsidP="009A6B10">
            <w:pPr>
              <w:rPr>
                <w:b/>
              </w:rPr>
            </w:pPr>
            <w:r w:rsidRPr="009A6B10">
              <w:rPr>
                <w:b/>
              </w:rPr>
              <w:t>Meď [</w:t>
            </w:r>
            <w:proofErr w:type="spellStart"/>
            <w:r w:rsidRPr="009A6B10">
              <w:rPr>
                <w:b/>
              </w:rPr>
              <w:t>kt</w:t>
            </w:r>
            <w:proofErr w:type="spellEnd"/>
            <w:r w:rsidRPr="009A6B10">
              <w:rPr>
                <w:b/>
              </w:rPr>
              <w:t xml:space="preserve">] </w:t>
            </w:r>
          </w:p>
        </w:tc>
        <w:tc>
          <w:tcPr>
            <w:tcW w:w="720" w:type="dxa"/>
            <w:tcBorders>
              <w:left w:val="nil"/>
              <w:right w:val="nil"/>
            </w:tcBorders>
            <w:vAlign w:val="center"/>
          </w:tcPr>
          <w:p w:rsidR="009A6B10" w:rsidRPr="009A6B10" w:rsidRDefault="009A6B10" w:rsidP="009A6B10">
            <w:pPr>
              <w:jc w:val="right"/>
            </w:pPr>
            <w:r w:rsidRPr="009A6B10">
              <w:t xml:space="preserve">16 </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533</w:t>
            </w:r>
          </w:p>
        </w:tc>
        <w:tc>
          <w:tcPr>
            <w:tcW w:w="1260" w:type="dxa"/>
            <w:tcBorders>
              <w:left w:val="nil"/>
              <w:right w:val="nil"/>
            </w:tcBorders>
            <w:vAlign w:val="center"/>
          </w:tcPr>
          <w:p w:rsidR="009A6B10" w:rsidRPr="009A6B10" w:rsidRDefault="009A6B10" w:rsidP="009A6B10">
            <w:pPr>
              <w:jc w:val="right"/>
            </w:pPr>
            <w:r w:rsidRPr="009A6B10">
              <w:t>57</w:t>
            </w:r>
          </w:p>
        </w:tc>
        <w:tc>
          <w:tcPr>
            <w:tcW w:w="1260" w:type="dxa"/>
            <w:tcBorders>
              <w:left w:val="nil"/>
              <w:right w:val="nil"/>
            </w:tcBorders>
            <w:vAlign w:val="center"/>
          </w:tcPr>
          <w:p w:rsidR="009A6B10" w:rsidRPr="009A6B10" w:rsidRDefault="009A6B10" w:rsidP="009A6B10">
            <w:pPr>
              <w:ind w:left="720" w:hanging="720"/>
              <w:jc w:val="right"/>
              <w:rPr>
                <w:snapToGrid w:val="0"/>
                <w:lang w:eastAsia="en-GB"/>
              </w:rPr>
            </w:pPr>
            <w:r w:rsidRPr="009A6B10">
              <w:rPr>
                <w:snapToGrid w:val="0"/>
                <w:lang w:eastAsia="en-GB"/>
              </w:rPr>
              <w:t>476</w:t>
            </w:r>
          </w:p>
        </w:tc>
        <w:tc>
          <w:tcPr>
            <w:tcW w:w="824" w:type="dxa"/>
            <w:tcBorders>
              <w:left w:val="nil"/>
              <w:right w:val="nil"/>
            </w:tcBorders>
            <w:vAlign w:val="center"/>
          </w:tcPr>
          <w:p w:rsidR="009A6B10" w:rsidRPr="009A6B10" w:rsidRDefault="009A6B10" w:rsidP="009A6B10">
            <w:pPr>
              <w:jc w:val="right"/>
              <w:rPr>
                <w:b/>
                <w:vertAlign w:val="superscript"/>
              </w:rPr>
            </w:pPr>
            <w:r w:rsidRPr="009A6B10">
              <w:rPr>
                <w:b/>
              </w:rPr>
              <w:t>0</w:t>
            </w:r>
            <w:r w:rsidRPr="009A6B10">
              <w:rPr>
                <w:b/>
                <w:vertAlign w:val="superscript"/>
              </w:rPr>
              <w:t>1,2</w:t>
            </w:r>
          </w:p>
        </w:tc>
      </w:tr>
      <w:tr w:rsidR="009A6B10" w:rsidRPr="009A6B10" w:rsidTr="009A6B10">
        <w:trPr>
          <w:cantSplit/>
          <w:trHeight w:val="298"/>
          <w:jc w:val="center"/>
        </w:trPr>
        <w:tc>
          <w:tcPr>
            <w:tcW w:w="2454" w:type="dxa"/>
            <w:tcBorders>
              <w:left w:val="nil"/>
              <w:right w:val="nil"/>
            </w:tcBorders>
            <w:vAlign w:val="center"/>
          </w:tcPr>
          <w:p w:rsidR="009A6B10" w:rsidRPr="009A6B10" w:rsidRDefault="009A6B10" w:rsidP="009A6B10">
            <w:pPr>
              <w:rPr>
                <w:b/>
              </w:rPr>
            </w:pPr>
            <w:r w:rsidRPr="009A6B10">
              <w:rPr>
                <w:b/>
              </w:rPr>
              <w:t>Olovo [</w:t>
            </w:r>
            <w:proofErr w:type="spellStart"/>
            <w:r w:rsidRPr="009A6B10">
              <w:rPr>
                <w:b/>
              </w:rPr>
              <w:t>kt</w:t>
            </w:r>
            <w:proofErr w:type="spellEnd"/>
            <w:r w:rsidRPr="009A6B10">
              <w:rPr>
                <w:b/>
              </w:rPr>
              <w:t>]</w:t>
            </w:r>
          </w:p>
        </w:tc>
        <w:tc>
          <w:tcPr>
            <w:tcW w:w="720" w:type="dxa"/>
            <w:tcBorders>
              <w:left w:val="nil"/>
              <w:right w:val="nil"/>
            </w:tcBorders>
            <w:vAlign w:val="center"/>
          </w:tcPr>
          <w:p w:rsidR="009A6B10" w:rsidRPr="009A6B10" w:rsidRDefault="009A6B10" w:rsidP="009A6B10">
            <w:pPr>
              <w:jc w:val="right"/>
            </w:pPr>
            <w:r w:rsidRPr="009A6B10">
              <w:t>4</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237</w:t>
            </w:r>
          </w:p>
        </w:tc>
        <w:tc>
          <w:tcPr>
            <w:tcW w:w="1260" w:type="dxa"/>
            <w:tcBorders>
              <w:left w:val="nil"/>
              <w:right w:val="nil"/>
            </w:tcBorders>
            <w:vAlign w:val="center"/>
          </w:tcPr>
          <w:p w:rsidR="009A6B10" w:rsidRPr="009A6B10" w:rsidRDefault="009A6B10" w:rsidP="009A6B10">
            <w:pPr>
              <w:jc w:val="right"/>
            </w:pPr>
            <w:r w:rsidRPr="009A6B10">
              <w:t>19</w:t>
            </w:r>
          </w:p>
        </w:tc>
        <w:tc>
          <w:tcPr>
            <w:tcW w:w="1260" w:type="dxa"/>
            <w:tcBorders>
              <w:left w:val="nil"/>
              <w:right w:val="nil"/>
            </w:tcBorders>
            <w:vAlign w:val="center"/>
          </w:tcPr>
          <w:p w:rsidR="009A6B10" w:rsidRPr="009A6B10" w:rsidRDefault="009A6B10" w:rsidP="009A6B10">
            <w:pPr>
              <w:jc w:val="right"/>
            </w:pPr>
            <w:r w:rsidRPr="009A6B10">
              <w:t>218</w:t>
            </w:r>
          </w:p>
        </w:tc>
        <w:tc>
          <w:tcPr>
            <w:tcW w:w="824" w:type="dxa"/>
            <w:tcBorders>
              <w:left w:val="nil"/>
              <w:right w:val="nil"/>
            </w:tcBorders>
            <w:vAlign w:val="center"/>
          </w:tcPr>
          <w:p w:rsidR="009A6B10" w:rsidRPr="009A6B10" w:rsidRDefault="009A6B10" w:rsidP="009A6B10">
            <w:pPr>
              <w:jc w:val="right"/>
              <w:rPr>
                <w:b/>
                <w:vertAlign w:val="superscript"/>
              </w:rPr>
            </w:pPr>
            <w:r w:rsidRPr="009A6B10">
              <w:rPr>
                <w:b/>
              </w:rPr>
              <w:t>0,1</w:t>
            </w:r>
            <w:r w:rsidRPr="009A6B10">
              <w:rPr>
                <w:b/>
                <w:vertAlign w:val="superscript"/>
              </w:rPr>
              <w:t>1</w:t>
            </w:r>
          </w:p>
        </w:tc>
      </w:tr>
      <w:tr w:rsidR="009A6B10" w:rsidRPr="009A6B10" w:rsidTr="009A6B10">
        <w:trPr>
          <w:cantSplit/>
          <w:trHeight w:val="288"/>
          <w:jc w:val="center"/>
        </w:trPr>
        <w:tc>
          <w:tcPr>
            <w:tcW w:w="2454" w:type="dxa"/>
            <w:tcBorders>
              <w:left w:val="nil"/>
              <w:right w:val="nil"/>
            </w:tcBorders>
            <w:vAlign w:val="center"/>
          </w:tcPr>
          <w:p w:rsidR="009A6B10" w:rsidRPr="009A6B10" w:rsidRDefault="009A6B10" w:rsidP="009A6B10">
            <w:pPr>
              <w:rPr>
                <w:b/>
              </w:rPr>
            </w:pPr>
            <w:r w:rsidRPr="009A6B10">
              <w:rPr>
                <w:b/>
              </w:rPr>
              <w:t>Zinok [</w:t>
            </w:r>
            <w:proofErr w:type="spellStart"/>
            <w:r w:rsidRPr="009A6B10">
              <w:rPr>
                <w:b/>
              </w:rPr>
              <w:t>kt</w:t>
            </w:r>
            <w:proofErr w:type="spellEnd"/>
            <w:r w:rsidRPr="009A6B10">
              <w:rPr>
                <w:b/>
              </w:rPr>
              <w:t>]</w:t>
            </w:r>
          </w:p>
        </w:tc>
        <w:tc>
          <w:tcPr>
            <w:tcW w:w="720" w:type="dxa"/>
            <w:tcBorders>
              <w:left w:val="nil"/>
              <w:right w:val="nil"/>
            </w:tcBorders>
            <w:vAlign w:val="center"/>
          </w:tcPr>
          <w:p w:rsidR="009A6B10" w:rsidRPr="009A6B10" w:rsidRDefault="009A6B10" w:rsidP="009A6B10">
            <w:pPr>
              <w:jc w:val="right"/>
            </w:pPr>
            <w:r w:rsidRPr="009A6B10">
              <w:t>4</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418</w:t>
            </w:r>
          </w:p>
        </w:tc>
        <w:tc>
          <w:tcPr>
            <w:tcW w:w="1260" w:type="dxa"/>
            <w:tcBorders>
              <w:left w:val="nil"/>
              <w:right w:val="nil"/>
            </w:tcBorders>
            <w:vAlign w:val="center"/>
          </w:tcPr>
          <w:p w:rsidR="009A6B10" w:rsidRPr="009A6B10" w:rsidRDefault="009A6B10" w:rsidP="009A6B10">
            <w:pPr>
              <w:jc w:val="right"/>
            </w:pPr>
            <w:r w:rsidRPr="009A6B10">
              <w:t>45</w:t>
            </w:r>
          </w:p>
        </w:tc>
        <w:tc>
          <w:tcPr>
            <w:tcW w:w="1260" w:type="dxa"/>
            <w:tcBorders>
              <w:left w:val="nil"/>
              <w:right w:val="nil"/>
            </w:tcBorders>
            <w:vAlign w:val="center"/>
          </w:tcPr>
          <w:p w:rsidR="009A6B10" w:rsidRPr="009A6B10" w:rsidRDefault="009A6B10" w:rsidP="009A6B10">
            <w:pPr>
              <w:jc w:val="right"/>
            </w:pPr>
            <w:r w:rsidRPr="009A6B10">
              <w:t>373</w:t>
            </w:r>
          </w:p>
        </w:tc>
        <w:tc>
          <w:tcPr>
            <w:tcW w:w="824" w:type="dxa"/>
            <w:tcBorders>
              <w:left w:val="nil"/>
              <w:right w:val="nil"/>
            </w:tcBorders>
            <w:vAlign w:val="center"/>
          </w:tcPr>
          <w:p w:rsidR="009A6B10" w:rsidRPr="009A6B10" w:rsidRDefault="009A6B10" w:rsidP="009A6B10">
            <w:pPr>
              <w:jc w:val="right"/>
              <w:rPr>
                <w:b/>
                <w:vertAlign w:val="superscript"/>
              </w:rPr>
            </w:pPr>
            <w:r w:rsidRPr="009A6B10">
              <w:rPr>
                <w:b/>
              </w:rPr>
              <w:t>0,1</w:t>
            </w:r>
            <w:r w:rsidRPr="009A6B10">
              <w:rPr>
                <w:b/>
                <w:vertAlign w:val="superscript"/>
              </w:rPr>
              <w:t>1</w:t>
            </w:r>
          </w:p>
        </w:tc>
      </w:tr>
      <w:tr w:rsidR="009A6B10" w:rsidRPr="009A6B10" w:rsidTr="009A6B10">
        <w:trPr>
          <w:cantSplit/>
          <w:trHeight w:val="278"/>
          <w:jc w:val="center"/>
        </w:trPr>
        <w:tc>
          <w:tcPr>
            <w:tcW w:w="2454" w:type="dxa"/>
            <w:tcBorders>
              <w:left w:val="nil"/>
              <w:right w:val="nil"/>
            </w:tcBorders>
            <w:vAlign w:val="center"/>
          </w:tcPr>
          <w:p w:rsidR="009A6B10" w:rsidRPr="009A6B10" w:rsidRDefault="009A6B10" w:rsidP="009A6B10">
            <w:pPr>
              <w:rPr>
                <w:b/>
              </w:rPr>
            </w:pPr>
            <w:r w:rsidRPr="009A6B10">
              <w:rPr>
                <w:b/>
              </w:rPr>
              <w:t>Antimón [</w:t>
            </w:r>
            <w:proofErr w:type="spellStart"/>
            <w:r w:rsidRPr="009A6B10">
              <w:rPr>
                <w:b/>
              </w:rPr>
              <w:t>kt</w:t>
            </w:r>
            <w:proofErr w:type="spellEnd"/>
            <w:r w:rsidRPr="009A6B10">
              <w:rPr>
                <w:b/>
              </w:rPr>
              <w:t>]</w:t>
            </w:r>
          </w:p>
        </w:tc>
        <w:tc>
          <w:tcPr>
            <w:tcW w:w="720" w:type="dxa"/>
            <w:tcBorders>
              <w:left w:val="nil"/>
              <w:right w:val="nil"/>
            </w:tcBorders>
            <w:vAlign w:val="center"/>
          </w:tcPr>
          <w:p w:rsidR="009A6B10" w:rsidRPr="009A6B10" w:rsidRDefault="009A6B10" w:rsidP="009A6B10">
            <w:pPr>
              <w:jc w:val="right"/>
            </w:pPr>
            <w:r w:rsidRPr="009A6B10">
              <w:t>9</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55</w:t>
            </w:r>
          </w:p>
        </w:tc>
        <w:tc>
          <w:tcPr>
            <w:tcW w:w="1260" w:type="dxa"/>
            <w:tcBorders>
              <w:left w:val="nil"/>
              <w:right w:val="nil"/>
            </w:tcBorders>
            <w:vAlign w:val="center"/>
          </w:tcPr>
          <w:p w:rsidR="009A6B10" w:rsidRPr="009A6B10" w:rsidRDefault="009A6B10" w:rsidP="009A6B10">
            <w:pPr>
              <w:jc w:val="right"/>
            </w:pPr>
            <w:r w:rsidRPr="009A6B10">
              <w:t>2</w:t>
            </w:r>
          </w:p>
        </w:tc>
        <w:tc>
          <w:tcPr>
            <w:tcW w:w="1260" w:type="dxa"/>
            <w:tcBorders>
              <w:left w:val="nil"/>
              <w:right w:val="nil"/>
            </w:tcBorders>
            <w:vAlign w:val="center"/>
          </w:tcPr>
          <w:p w:rsidR="009A6B10" w:rsidRPr="009A6B10" w:rsidRDefault="009A6B10" w:rsidP="009A6B10">
            <w:pPr>
              <w:jc w:val="right"/>
            </w:pPr>
            <w:r w:rsidRPr="009A6B10">
              <w:t>53</w:t>
            </w:r>
          </w:p>
        </w:tc>
        <w:tc>
          <w:tcPr>
            <w:tcW w:w="824"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254"/>
          <w:jc w:val="center"/>
        </w:trPr>
        <w:tc>
          <w:tcPr>
            <w:tcW w:w="2454" w:type="dxa"/>
            <w:tcBorders>
              <w:left w:val="nil"/>
              <w:right w:val="nil"/>
            </w:tcBorders>
            <w:vAlign w:val="center"/>
          </w:tcPr>
          <w:p w:rsidR="009A6B10" w:rsidRPr="009A6B10" w:rsidRDefault="009A6B10" w:rsidP="009A6B10">
            <w:pPr>
              <w:rPr>
                <w:b/>
              </w:rPr>
            </w:pPr>
            <w:r w:rsidRPr="009A6B10">
              <w:rPr>
                <w:b/>
              </w:rPr>
              <w:t>Ortuť [t]</w:t>
            </w:r>
          </w:p>
        </w:tc>
        <w:tc>
          <w:tcPr>
            <w:tcW w:w="720" w:type="dxa"/>
            <w:tcBorders>
              <w:left w:val="nil"/>
              <w:right w:val="nil"/>
            </w:tcBorders>
            <w:vAlign w:val="center"/>
          </w:tcPr>
          <w:p w:rsidR="009A6B10" w:rsidRPr="009A6B10" w:rsidRDefault="009A6B10" w:rsidP="009A6B10">
            <w:pPr>
              <w:jc w:val="right"/>
            </w:pPr>
            <w:r w:rsidRPr="009A6B10">
              <w:t>5</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9 170</w:t>
            </w:r>
          </w:p>
        </w:tc>
        <w:tc>
          <w:tcPr>
            <w:tcW w:w="1260" w:type="dxa"/>
            <w:tcBorders>
              <w:left w:val="nil"/>
              <w:right w:val="nil"/>
            </w:tcBorders>
            <w:vAlign w:val="center"/>
          </w:tcPr>
          <w:p w:rsidR="009A6B10" w:rsidRPr="009A6B10" w:rsidRDefault="009A6B10" w:rsidP="009A6B10">
            <w:pPr>
              <w:jc w:val="right"/>
            </w:pPr>
            <w:r w:rsidRPr="009A6B10">
              <w:t>4 798</w:t>
            </w:r>
          </w:p>
        </w:tc>
        <w:tc>
          <w:tcPr>
            <w:tcW w:w="1260" w:type="dxa"/>
            <w:tcBorders>
              <w:left w:val="nil"/>
              <w:right w:val="nil"/>
            </w:tcBorders>
            <w:vAlign w:val="center"/>
          </w:tcPr>
          <w:p w:rsidR="009A6B10" w:rsidRPr="009A6B10" w:rsidRDefault="009A6B10" w:rsidP="009A6B10">
            <w:pPr>
              <w:jc w:val="right"/>
            </w:pPr>
            <w:r w:rsidRPr="009A6B10">
              <w:t>4 372</w:t>
            </w:r>
          </w:p>
        </w:tc>
        <w:tc>
          <w:tcPr>
            <w:tcW w:w="824" w:type="dxa"/>
            <w:tcBorders>
              <w:left w:val="nil"/>
              <w:right w:val="nil"/>
            </w:tcBorders>
            <w:vAlign w:val="center"/>
          </w:tcPr>
          <w:p w:rsidR="009A6B10" w:rsidRPr="009A6B10" w:rsidRDefault="009A6B10" w:rsidP="009A6B10">
            <w:pPr>
              <w:jc w:val="right"/>
              <w:rPr>
                <w:b/>
                <w:vertAlign w:val="superscript"/>
              </w:rPr>
            </w:pPr>
            <w:r w:rsidRPr="009A6B10">
              <w:rPr>
                <w:b/>
              </w:rPr>
              <w:t>0</w:t>
            </w:r>
            <w:r w:rsidRPr="009A6B10">
              <w:rPr>
                <w:b/>
                <w:vertAlign w:val="superscript"/>
              </w:rPr>
              <w:t>2</w:t>
            </w:r>
          </w:p>
        </w:tc>
      </w:tr>
      <w:tr w:rsidR="009A6B10" w:rsidRPr="009A6B10" w:rsidTr="009A6B10">
        <w:trPr>
          <w:trHeight w:val="276"/>
          <w:jc w:val="center"/>
        </w:trPr>
        <w:tc>
          <w:tcPr>
            <w:tcW w:w="2454" w:type="dxa"/>
            <w:tcBorders>
              <w:left w:val="nil"/>
              <w:right w:val="nil"/>
            </w:tcBorders>
            <w:vAlign w:val="center"/>
          </w:tcPr>
          <w:p w:rsidR="009A6B10" w:rsidRPr="009A6B10" w:rsidRDefault="009A6B10" w:rsidP="009A6B10">
            <w:pPr>
              <w:rPr>
                <w:b/>
              </w:rPr>
            </w:pPr>
            <w:r w:rsidRPr="009A6B10">
              <w:rPr>
                <w:b/>
              </w:rPr>
              <w:t>Volfrám [</w:t>
            </w:r>
            <w:proofErr w:type="spellStart"/>
            <w:r w:rsidRPr="009A6B10">
              <w:rPr>
                <w:b/>
              </w:rPr>
              <w:t>kt</w:t>
            </w:r>
            <w:proofErr w:type="spellEnd"/>
            <w:r w:rsidRPr="009A6B10">
              <w:rPr>
                <w:b/>
              </w:rPr>
              <w:t>]</w:t>
            </w:r>
          </w:p>
        </w:tc>
        <w:tc>
          <w:tcPr>
            <w:tcW w:w="720" w:type="dxa"/>
            <w:tcBorders>
              <w:left w:val="nil"/>
              <w:right w:val="nil"/>
            </w:tcBorders>
            <w:vAlign w:val="center"/>
          </w:tcPr>
          <w:p w:rsidR="009A6B10" w:rsidRPr="009A6B10" w:rsidRDefault="009A6B10" w:rsidP="009A6B10">
            <w:pPr>
              <w:jc w:val="right"/>
            </w:pPr>
            <w:r w:rsidRPr="009A6B10">
              <w:t>1</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7</w:t>
            </w:r>
          </w:p>
        </w:tc>
        <w:tc>
          <w:tcPr>
            <w:tcW w:w="1260" w:type="dxa"/>
            <w:tcBorders>
              <w:left w:val="nil"/>
              <w:right w:val="nil"/>
            </w:tcBorders>
            <w:vAlign w:val="center"/>
          </w:tcPr>
          <w:p w:rsidR="009A6B10" w:rsidRPr="009A6B10" w:rsidRDefault="009A6B10" w:rsidP="009A6B10">
            <w:pPr>
              <w:jc w:val="right"/>
            </w:pPr>
            <w:r w:rsidRPr="009A6B10">
              <w:t>–</w:t>
            </w:r>
          </w:p>
        </w:tc>
        <w:tc>
          <w:tcPr>
            <w:tcW w:w="1260" w:type="dxa"/>
            <w:tcBorders>
              <w:left w:val="nil"/>
              <w:right w:val="nil"/>
            </w:tcBorders>
            <w:vAlign w:val="center"/>
          </w:tcPr>
          <w:p w:rsidR="009A6B10" w:rsidRPr="009A6B10" w:rsidRDefault="009A6B10" w:rsidP="009A6B10">
            <w:pPr>
              <w:jc w:val="right"/>
            </w:pPr>
            <w:r w:rsidRPr="009A6B10">
              <w:t>7</w:t>
            </w:r>
          </w:p>
        </w:tc>
        <w:tc>
          <w:tcPr>
            <w:tcW w:w="824"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272"/>
          <w:jc w:val="center"/>
        </w:trPr>
        <w:tc>
          <w:tcPr>
            <w:tcW w:w="2454" w:type="dxa"/>
            <w:tcBorders>
              <w:left w:val="nil"/>
              <w:right w:val="nil"/>
            </w:tcBorders>
            <w:vAlign w:val="center"/>
          </w:tcPr>
          <w:p w:rsidR="009A6B10" w:rsidRPr="009A6B10" w:rsidRDefault="009A6B10" w:rsidP="009A6B10">
            <w:pPr>
              <w:rPr>
                <w:b/>
              </w:rPr>
            </w:pPr>
            <w:r w:rsidRPr="009A6B10">
              <w:rPr>
                <w:b/>
              </w:rPr>
              <w:t>Striebro [t]</w:t>
            </w:r>
          </w:p>
        </w:tc>
        <w:tc>
          <w:tcPr>
            <w:tcW w:w="720" w:type="dxa"/>
            <w:tcBorders>
              <w:left w:val="nil"/>
              <w:right w:val="nil"/>
            </w:tcBorders>
            <w:vAlign w:val="center"/>
          </w:tcPr>
          <w:p w:rsidR="009A6B10" w:rsidRPr="009A6B10" w:rsidRDefault="009A6B10" w:rsidP="009A6B10">
            <w:pPr>
              <w:jc w:val="right"/>
            </w:pPr>
            <w:r w:rsidRPr="009A6B10">
              <w:t>8</w:t>
            </w:r>
          </w:p>
        </w:tc>
        <w:tc>
          <w:tcPr>
            <w:tcW w:w="567" w:type="dxa"/>
            <w:tcBorders>
              <w:left w:val="nil"/>
              <w:right w:val="nil"/>
            </w:tcBorders>
            <w:vAlign w:val="center"/>
          </w:tcPr>
          <w:p w:rsidR="009A6B10" w:rsidRPr="009A6B10" w:rsidRDefault="009A6B10" w:rsidP="009A6B10">
            <w:pPr>
              <w:jc w:val="right"/>
            </w:pPr>
            <w:r w:rsidRPr="009A6B10">
              <w:t>–</w:t>
            </w:r>
          </w:p>
        </w:tc>
        <w:tc>
          <w:tcPr>
            <w:tcW w:w="1252" w:type="dxa"/>
            <w:tcBorders>
              <w:left w:val="nil"/>
              <w:right w:val="nil"/>
            </w:tcBorders>
            <w:vAlign w:val="center"/>
          </w:tcPr>
          <w:p w:rsidR="009A6B10" w:rsidRPr="009A6B10" w:rsidRDefault="009A6B10" w:rsidP="009A6B10">
            <w:pPr>
              <w:jc w:val="right"/>
              <w:rPr>
                <w:b/>
              </w:rPr>
            </w:pPr>
            <w:r w:rsidRPr="009A6B10">
              <w:rPr>
                <w:b/>
              </w:rPr>
              <w:t>1 479</w:t>
            </w:r>
          </w:p>
        </w:tc>
        <w:tc>
          <w:tcPr>
            <w:tcW w:w="1260" w:type="dxa"/>
            <w:tcBorders>
              <w:left w:val="nil"/>
              <w:right w:val="nil"/>
            </w:tcBorders>
            <w:vAlign w:val="center"/>
          </w:tcPr>
          <w:p w:rsidR="009A6B10" w:rsidRPr="009A6B10" w:rsidRDefault="009A6B10" w:rsidP="009A6B10">
            <w:pPr>
              <w:jc w:val="right"/>
            </w:pPr>
            <w:r w:rsidRPr="009A6B10">
              <w:t>1 172</w:t>
            </w:r>
          </w:p>
        </w:tc>
        <w:tc>
          <w:tcPr>
            <w:tcW w:w="1260" w:type="dxa"/>
            <w:tcBorders>
              <w:left w:val="nil"/>
              <w:right w:val="nil"/>
            </w:tcBorders>
            <w:vAlign w:val="center"/>
          </w:tcPr>
          <w:p w:rsidR="009A6B10" w:rsidRPr="009A6B10" w:rsidRDefault="009A6B10" w:rsidP="009A6B10">
            <w:pPr>
              <w:jc w:val="right"/>
            </w:pPr>
            <w:r w:rsidRPr="009A6B10">
              <w:t>307</w:t>
            </w:r>
          </w:p>
        </w:tc>
        <w:tc>
          <w:tcPr>
            <w:tcW w:w="824" w:type="dxa"/>
            <w:tcBorders>
              <w:left w:val="nil"/>
              <w:right w:val="nil"/>
            </w:tcBorders>
            <w:vAlign w:val="center"/>
          </w:tcPr>
          <w:p w:rsidR="009A6B10" w:rsidRPr="009A6B10" w:rsidRDefault="009A6B10" w:rsidP="009A6B10">
            <w:pPr>
              <w:jc w:val="right"/>
              <w:rPr>
                <w:b/>
                <w:vertAlign w:val="superscript"/>
              </w:rPr>
            </w:pPr>
            <w:r w:rsidRPr="009A6B10">
              <w:rPr>
                <w:b/>
              </w:rPr>
              <w:t>0,3</w:t>
            </w:r>
            <w:r w:rsidRPr="009A6B10">
              <w:rPr>
                <w:b/>
                <w:vertAlign w:val="superscript"/>
              </w:rPr>
              <w:t>1</w:t>
            </w:r>
          </w:p>
        </w:tc>
      </w:tr>
      <w:tr w:rsidR="009A6B10" w:rsidRPr="009A6B10" w:rsidTr="009A6B10">
        <w:trPr>
          <w:trHeight w:val="232"/>
          <w:jc w:val="center"/>
        </w:trPr>
        <w:tc>
          <w:tcPr>
            <w:tcW w:w="2454" w:type="dxa"/>
            <w:tcBorders>
              <w:left w:val="nil"/>
              <w:right w:val="nil"/>
            </w:tcBorders>
            <w:vAlign w:val="center"/>
          </w:tcPr>
          <w:p w:rsidR="009A6B10" w:rsidRPr="009A6B10" w:rsidRDefault="009A6B10" w:rsidP="009A6B10">
            <w:pPr>
              <w:rPr>
                <w:b/>
              </w:rPr>
            </w:pPr>
            <w:r w:rsidRPr="009A6B10">
              <w:rPr>
                <w:b/>
              </w:rPr>
              <w:t>Zlato [kg]</w:t>
            </w:r>
          </w:p>
        </w:tc>
        <w:tc>
          <w:tcPr>
            <w:tcW w:w="720" w:type="dxa"/>
            <w:tcBorders>
              <w:left w:val="nil"/>
              <w:right w:val="nil"/>
            </w:tcBorders>
            <w:vAlign w:val="center"/>
          </w:tcPr>
          <w:p w:rsidR="009A6B10" w:rsidRPr="009A6B10" w:rsidRDefault="009A6B10" w:rsidP="009A6B10">
            <w:pPr>
              <w:jc w:val="right"/>
            </w:pPr>
            <w:r w:rsidRPr="009A6B10">
              <w:t xml:space="preserve">21 </w:t>
            </w:r>
          </w:p>
        </w:tc>
        <w:tc>
          <w:tcPr>
            <w:tcW w:w="567" w:type="dxa"/>
            <w:tcBorders>
              <w:left w:val="nil"/>
              <w:right w:val="nil"/>
            </w:tcBorders>
            <w:vAlign w:val="center"/>
          </w:tcPr>
          <w:p w:rsidR="009A6B10" w:rsidRPr="009A6B10" w:rsidRDefault="009A6B10" w:rsidP="009A6B10">
            <w:pPr>
              <w:jc w:val="right"/>
            </w:pPr>
            <w:r w:rsidRPr="009A6B10">
              <w:t>1</w:t>
            </w:r>
          </w:p>
        </w:tc>
        <w:tc>
          <w:tcPr>
            <w:tcW w:w="1252" w:type="dxa"/>
            <w:tcBorders>
              <w:left w:val="nil"/>
              <w:right w:val="nil"/>
            </w:tcBorders>
            <w:vAlign w:val="center"/>
          </w:tcPr>
          <w:p w:rsidR="009A6B10" w:rsidRPr="009A6B10" w:rsidRDefault="009A6B10" w:rsidP="009A6B10">
            <w:pPr>
              <w:jc w:val="right"/>
              <w:rPr>
                <w:b/>
              </w:rPr>
            </w:pPr>
            <w:r w:rsidRPr="009A6B10">
              <w:rPr>
                <w:b/>
              </w:rPr>
              <w:t>139 567</w:t>
            </w:r>
          </w:p>
        </w:tc>
        <w:tc>
          <w:tcPr>
            <w:tcW w:w="1260" w:type="dxa"/>
            <w:tcBorders>
              <w:left w:val="nil"/>
              <w:right w:val="nil"/>
            </w:tcBorders>
            <w:vAlign w:val="center"/>
          </w:tcPr>
          <w:p w:rsidR="009A6B10" w:rsidRPr="009A6B10" w:rsidRDefault="009A6B10" w:rsidP="009A6B10">
            <w:pPr>
              <w:jc w:val="right"/>
            </w:pPr>
            <w:r w:rsidRPr="009A6B10">
              <w:t>74 803</w:t>
            </w:r>
          </w:p>
        </w:tc>
        <w:tc>
          <w:tcPr>
            <w:tcW w:w="1260" w:type="dxa"/>
            <w:tcBorders>
              <w:left w:val="nil"/>
              <w:right w:val="nil"/>
            </w:tcBorders>
            <w:vAlign w:val="center"/>
          </w:tcPr>
          <w:p w:rsidR="009A6B10" w:rsidRPr="009A6B10" w:rsidRDefault="009A6B10" w:rsidP="009A6B10">
            <w:pPr>
              <w:jc w:val="right"/>
            </w:pPr>
            <w:r w:rsidRPr="009A6B10">
              <w:t>64 764</w:t>
            </w:r>
          </w:p>
        </w:tc>
        <w:tc>
          <w:tcPr>
            <w:tcW w:w="824" w:type="dxa"/>
            <w:tcBorders>
              <w:left w:val="nil"/>
              <w:right w:val="nil"/>
            </w:tcBorders>
            <w:vAlign w:val="center"/>
          </w:tcPr>
          <w:p w:rsidR="009A6B10" w:rsidRPr="009A6B10" w:rsidRDefault="009A6B10" w:rsidP="009A6B10">
            <w:pPr>
              <w:jc w:val="right"/>
              <w:rPr>
                <w:b/>
              </w:rPr>
            </w:pPr>
            <w:r w:rsidRPr="009A6B10">
              <w:rPr>
                <w:b/>
              </w:rPr>
              <w:t>398</w:t>
            </w:r>
          </w:p>
        </w:tc>
      </w:tr>
    </w:tbl>
    <w:p w:rsidR="009A6B10" w:rsidRPr="009A6B10" w:rsidRDefault="009A6B10" w:rsidP="009A6B10">
      <w:pPr>
        <w:spacing w:line="360" w:lineRule="auto"/>
      </w:pPr>
    </w:p>
    <w:p w:rsidR="009A6B10" w:rsidRPr="009A6B10" w:rsidRDefault="009A6B10" w:rsidP="009A6B10">
      <w:pPr>
        <w:spacing w:line="360" w:lineRule="auto"/>
        <w:rPr>
          <w:sz w:val="22"/>
          <w:szCs w:val="22"/>
        </w:rPr>
      </w:pPr>
      <w:r w:rsidRPr="009A6B10">
        <w:rPr>
          <w:sz w:val="22"/>
          <w:szCs w:val="22"/>
        </w:rPr>
        <w:t>Pozn.:</w:t>
      </w:r>
    </w:p>
    <w:p w:rsidR="009A6B10" w:rsidRPr="009A6B10" w:rsidRDefault="009A6B10" w:rsidP="009A6B10">
      <w:pPr>
        <w:spacing w:before="120" w:after="120" w:line="240" w:lineRule="atLeast"/>
        <w:ind w:firstLine="360"/>
        <w:jc w:val="both"/>
        <w:rPr>
          <w:sz w:val="22"/>
          <w:szCs w:val="22"/>
        </w:rPr>
      </w:pPr>
      <w:r w:rsidRPr="009A6B10">
        <w:rPr>
          <w:sz w:val="22"/>
          <w:szCs w:val="22"/>
          <w:vertAlign w:val="superscript"/>
        </w:rPr>
        <w:t>1</w:t>
      </w:r>
      <w:r w:rsidRPr="009A6B10">
        <w:rPr>
          <w:sz w:val="22"/>
          <w:szCs w:val="22"/>
        </w:rPr>
        <w:t xml:space="preserve"> Striebro, zinok, olovo a meď sa v malom množstve nachádzajú v koncentráte získavanom úpravou Au rudy pri ťažbe zlata na ložisku Banská </w:t>
      </w:r>
      <w:proofErr w:type="spellStart"/>
      <w:r w:rsidRPr="009A6B10">
        <w:rPr>
          <w:sz w:val="22"/>
          <w:szCs w:val="22"/>
        </w:rPr>
        <w:t>Hodruša</w:t>
      </w:r>
      <w:proofErr w:type="spellEnd"/>
      <w:r w:rsidRPr="009A6B10">
        <w:rPr>
          <w:sz w:val="22"/>
          <w:szCs w:val="22"/>
        </w:rPr>
        <w:t>.</w:t>
      </w:r>
    </w:p>
    <w:p w:rsidR="009A6B10" w:rsidRPr="009A6B10" w:rsidRDefault="009A6B10" w:rsidP="009A6B10">
      <w:pPr>
        <w:spacing w:before="120" w:after="120" w:line="240" w:lineRule="atLeast"/>
        <w:ind w:firstLine="360"/>
        <w:jc w:val="both"/>
        <w:rPr>
          <w:sz w:val="22"/>
          <w:szCs w:val="22"/>
        </w:rPr>
      </w:pPr>
      <w:r w:rsidRPr="009A6B10">
        <w:rPr>
          <w:sz w:val="22"/>
          <w:szCs w:val="22"/>
          <w:vertAlign w:val="superscript"/>
        </w:rPr>
        <w:t>2</w:t>
      </w:r>
      <w:r w:rsidRPr="009A6B10">
        <w:rPr>
          <w:sz w:val="22"/>
          <w:szCs w:val="22"/>
        </w:rPr>
        <w:t xml:space="preserve"> Meď a ortuť sa v nevýznamnom množstve nachádzajú v </w:t>
      </w:r>
      <w:proofErr w:type="spellStart"/>
      <w:r w:rsidRPr="009A6B10">
        <w:rPr>
          <w:sz w:val="22"/>
          <w:szCs w:val="22"/>
        </w:rPr>
        <w:t>sulfidickom</w:t>
      </w:r>
      <w:proofErr w:type="spellEnd"/>
      <w:r w:rsidRPr="009A6B10">
        <w:rPr>
          <w:sz w:val="22"/>
          <w:szCs w:val="22"/>
        </w:rPr>
        <w:t xml:space="preserve"> </w:t>
      </w:r>
      <w:proofErr w:type="spellStart"/>
      <w:r w:rsidRPr="009A6B10">
        <w:rPr>
          <w:sz w:val="22"/>
          <w:szCs w:val="22"/>
        </w:rPr>
        <w:t>flotačnom</w:t>
      </w:r>
      <w:proofErr w:type="spellEnd"/>
      <w:r w:rsidRPr="009A6B10">
        <w:rPr>
          <w:sz w:val="22"/>
          <w:szCs w:val="22"/>
        </w:rPr>
        <w:t xml:space="preserve"> koncentráte získavanom úpravou komplexných rúd z ložiska Rudňany</w:t>
      </w:r>
    </w:p>
    <w:p w:rsidR="009A6B10" w:rsidRPr="009A6B10" w:rsidRDefault="009A6B10" w:rsidP="009A6B10">
      <w:pPr>
        <w:spacing w:line="360" w:lineRule="auto"/>
        <w:rPr>
          <w:rFonts w:ascii="Arial" w:hAnsi="Arial" w:cs="Arial"/>
        </w:rPr>
      </w:pPr>
    </w:p>
    <w:p w:rsidR="009A6B10" w:rsidRPr="009A6B10" w:rsidRDefault="009A6B10" w:rsidP="009A6B10">
      <w:pPr>
        <w:spacing w:line="360" w:lineRule="auto"/>
        <w:jc w:val="center"/>
      </w:pPr>
      <w:r w:rsidRPr="009A6B10">
        <w:t>Zásoby a ťažba na výhradných ložiskách nerudných surovín (2011)</w:t>
      </w:r>
    </w:p>
    <w:tbl>
      <w:tblPr>
        <w:tblW w:w="9691" w:type="dxa"/>
        <w:jc w:val="center"/>
        <w:tblBorders>
          <w:top w:val="single" w:sz="6" w:space="0" w:color="auto"/>
          <w:bottom w:val="single" w:sz="6" w:space="0" w:color="auto"/>
          <w:insideH w:val="single" w:sz="6" w:space="0" w:color="auto"/>
        </w:tblBorders>
        <w:tblLayout w:type="fixed"/>
        <w:tblCellMar>
          <w:left w:w="70" w:type="dxa"/>
          <w:right w:w="70" w:type="dxa"/>
        </w:tblCellMar>
        <w:tblLook w:val="00A0" w:firstRow="1" w:lastRow="0" w:firstColumn="1" w:lastColumn="0" w:noHBand="0" w:noVBand="0"/>
      </w:tblPr>
      <w:tblGrid>
        <w:gridCol w:w="2884"/>
        <w:gridCol w:w="540"/>
        <w:gridCol w:w="540"/>
        <w:gridCol w:w="1113"/>
        <w:gridCol w:w="1197"/>
        <w:gridCol w:w="1297"/>
        <w:gridCol w:w="1141"/>
        <w:gridCol w:w="979"/>
      </w:tblGrid>
      <w:tr w:rsidR="009A6B10" w:rsidRPr="009A6B10" w:rsidTr="009A6B10">
        <w:trPr>
          <w:cantSplit/>
          <w:trHeight w:val="2044"/>
          <w:jc w:val="center"/>
        </w:trPr>
        <w:tc>
          <w:tcPr>
            <w:tcW w:w="2884" w:type="dxa"/>
            <w:tcBorders>
              <w:left w:val="nil"/>
              <w:bottom w:val="single" w:sz="12" w:space="0" w:color="auto"/>
              <w:right w:val="nil"/>
            </w:tcBorders>
            <w:vAlign w:val="bottom"/>
          </w:tcPr>
          <w:p w:rsidR="009A6B10" w:rsidRPr="009A6B10" w:rsidRDefault="009A6B10" w:rsidP="009A6B10">
            <w:pPr>
              <w:rPr>
                <w:b/>
              </w:rPr>
            </w:pPr>
            <w:r w:rsidRPr="009A6B10">
              <w:rPr>
                <w:b/>
              </w:rPr>
              <w:t>Surovina</w:t>
            </w:r>
          </w:p>
        </w:tc>
        <w:tc>
          <w:tcPr>
            <w:tcW w:w="540"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Počet ložísk</w:t>
            </w:r>
          </w:p>
        </w:tc>
        <w:tc>
          <w:tcPr>
            <w:tcW w:w="540"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 z toho ťažených</w:t>
            </w:r>
          </w:p>
        </w:tc>
        <w:tc>
          <w:tcPr>
            <w:tcW w:w="1113"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Zásoby spolu</w:t>
            </w:r>
          </w:p>
        </w:tc>
        <w:tc>
          <w:tcPr>
            <w:tcW w:w="1197"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 bilančné            </w:t>
            </w:r>
          </w:p>
          <w:p w:rsidR="009A6B10" w:rsidRPr="009A6B10" w:rsidRDefault="009A6B10" w:rsidP="009A6B10">
            <w:pPr>
              <w:rPr>
                <w:b/>
              </w:rPr>
            </w:pPr>
            <w:r w:rsidRPr="009A6B10">
              <w:rPr>
                <w:b/>
              </w:rPr>
              <w:t xml:space="preserve">  (Z-1 +  Z-2)</w:t>
            </w:r>
          </w:p>
        </w:tc>
        <w:tc>
          <w:tcPr>
            <w:tcW w:w="1297"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 bilančné (Z-3)</w:t>
            </w:r>
          </w:p>
        </w:tc>
        <w:tc>
          <w:tcPr>
            <w:tcW w:w="1141"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 nebilančné</w:t>
            </w:r>
          </w:p>
        </w:tc>
        <w:tc>
          <w:tcPr>
            <w:tcW w:w="979" w:type="dxa"/>
            <w:tcBorders>
              <w:left w:val="nil"/>
              <w:bottom w:val="single" w:sz="12" w:space="0" w:color="auto"/>
              <w:right w:val="nil"/>
            </w:tcBorders>
            <w:textDirection w:val="btLr"/>
            <w:vAlign w:val="center"/>
          </w:tcPr>
          <w:p w:rsidR="009A6B10" w:rsidRPr="009A6B10" w:rsidRDefault="009A6B10" w:rsidP="009A6B10">
            <w:pPr>
              <w:rPr>
                <w:b/>
              </w:rPr>
            </w:pPr>
            <w:r w:rsidRPr="009A6B10">
              <w:rPr>
                <w:b/>
              </w:rPr>
              <w:t xml:space="preserve">  Ťažba 2011</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proofErr w:type="spellStart"/>
            <w:r w:rsidRPr="009A6B10">
              <w:rPr>
                <w:b/>
              </w:rPr>
              <w:t>Barit</w:t>
            </w:r>
            <w:proofErr w:type="spellEnd"/>
            <w:r w:rsidRPr="009A6B10">
              <w:rPr>
                <w:b/>
              </w:rPr>
              <w:t xml:space="preserve">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6</w:t>
            </w:r>
          </w:p>
        </w:tc>
        <w:tc>
          <w:tcPr>
            <w:tcW w:w="540" w:type="dxa"/>
            <w:tcBorders>
              <w:left w:val="nil"/>
              <w:right w:val="nil"/>
            </w:tcBorders>
            <w:vAlign w:val="center"/>
          </w:tcPr>
          <w:p w:rsidR="009A6B10" w:rsidRPr="009A6B10" w:rsidRDefault="009A6B10" w:rsidP="009A6B10">
            <w:pPr>
              <w:jc w:val="right"/>
            </w:pPr>
            <w:r w:rsidRPr="009A6B10">
              <w:t>2</w:t>
            </w:r>
          </w:p>
        </w:tc>
        <w:tc>
          <w:tcPr>
            <w:tcW w:w="1113" w:type="dxa"/>
            <w:tcBorders>
              <w:left w:val="nil"/>
              <w:right w:val="nil"/>
            </w:tcBorders>
            <w:vAlign w:val="center"/>
          </w:tcPr>
          <w:p w:rsidR="009A6B10" w:rsidRPr="009A6B10" w:rsidRDefault="009A6B10" w:rsidP="009A6B10">
            <w:pPr>
              <w:jc w:val="right"/>
              <w:rPr>
                <w:b/>
              </w:rPr>
            </w:pPr>
            <w:r w:rsidRPr="009A6B10">
              <w:rPr>
                <w:b/>
              </w:rPr>
              <w:t>12 640</w:t>
            </w:r>
          </w:p>
        </w:tc>
        <w:tc>
          <w:tcPr>
            <w:tcW w:w="1197" w:type="dxa"/>
            <w:tcBorders>
              <w:left w:val="nil"/>
              <w:right w:val="nil"/>
            </w:tcBorders>
            <w:vAlign w:val="center"/>
          </w:tcPr>
          <w:p w:rsidR="009A6B10" w:rsidRPr="009A6B10" w:rsidRDefault="009A6B10" w:rsidP="009A6B10">
            <w:pPr>
              <w:jc w:val="right"/>
            </w:pPr>
            <w:r w:rsidRPr="009A6B10">
              <w:t>1 256</w:t>
            </w:r>
          </w:p>
        </w:tc>
        <w:tc>
          <w:tcPr>
            <w:tcW w:w="1297" w:type="dxa"/>
            <w:tcBorders>
              <w:left w:val="nil"/>
              <w:right w:val="nil"/>
            </w:tcBorders>
            <w:vAlign w:val="center"/>
          </w:tcPr>
          <w:p w:rsidR="009A6B10" w:rsidRPr="009A6B10" w:rsidRDefault="009A6B10" w:rsidP="009A6B10">
            <w:pPr>
              <w:jc w:val="right"/>
            </w:pPr>
            <w:r w:rsidRPr="009A6B10">
              <w:t>7 934</w:t>
            </w:r>
          </w:p>
        </w:tc>
        <w:tc>
          <w:tcPr>
            <w:tcW w:w="1141" w:type="dxa"/>
            <w:tcBorders>
              <w:left w:val="nil"/>
              <w:right w:val="nil"/>
            </w:tcBorders>
            <w:vAlign w:val="center"/>
          </w:tcPr>
          <w:p w:rsidR="009A6B10" w:rsidRPr="009A6B10" w:rsidRDefault="009A6B10" w:rsidP="009A6B10">
            <w:pPr>
              <w:jc w:val="right"/>
            </w:pPr>
            <w:r w:rsidRPr="009A6B10">
              <w:t>3 450</w:t>
            </w:r>
          </w:p>
        </w:tc>
        <w:tc>
          <w:tcPr>
            <w:tcW w:w="979" w:type="dxa"/>
            <w:tcBorders>
              <w:left w:val="nil"/>
              <w:right w:val="nil"/>
            </w:tcBorders>
            <w:vAlign w:val="center"/>
          </w:tcPr>
          <w:p w:rsidR="009A6B10" w:rsidRPr="009A6B10" w:rsidRDefault="009A6B10" w:rsidP="009A6B10">
            <w:pPr>
              <w:jc w:val="right"/>
              <w:rPr>
                <w:b/>
              </w:rPr>
            </w:pPr>
            <w:r w:rsidRPr="009A6B10">
              <w:rPr>
                <w:b/>
              </w:rPr>
              <w:t>13</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proofErr w:type="spellStart"/>
            <w:r w:rsidRPr="009A6B10">
              <w:rPr>
                <w:b/>
              </w:rPr>
              <w:t>Bentonit</w:t>
            </w:r>
            <w:proofErr w:type="spellEnd"/>
            <w:r w:rsidRPr="009A6B10">
              <w:rPr>
                <w:b/>
              </w:rPr>
              <w:t xml:space="preserve">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29</w:t>
            </w:r>
          </w:p>
        </w:tc>
        <w:tc>
          <w:tcPr>
            <w:tcW w:w="540" w:type="dxa"/>
            <w:tcBorders>
              <w:left w:val="nil"/>
              <w:right w:val="nil"/>
            </w:tcBorders>
            <w:vAlign w:val="center"/>
          </w:tcPr>
          <w:p w:rsidR="009A6B10" w:rsidRPr="009A6B10" w:rsidRDefault="009A6B10" w:rsidP="009A6B10">
            <w:pPr>
              <w:jc w:val="right"/>
            </w:pPr>
            <w:r w:rsidRPr="009A6B10">
              <w:t>11</w:t>
            </w:r>
          </w:p>
        </w:tc>
        <w:tc>
          <w:tcPr>
            <w:tcW w:w="1113" w:type="dxa"/>
            <w:tcBorders>
              <w:left w:val="nil"/>
              <w:right w:val="nil"/>
            </w:tcBorders>
            <w:vAlign w:val="center"/>
          </w:tcPr>
          <w:p w:rsidR="009A6B10" w:rsidRPr="009A6B10" w:rsidRDefault="009A6B10" w:rsidP="009A6B10">
            <w:pPr>
              <w:jc w:val="right"/>
              <w:rPr>
                <w:b/>
              </w:rPr>
            </w:pPr>
            <w:r w:rsidRPr="009A6B10">
              <w:rPr>
                <w:b/>
              </w:rPr>
              <w:t>49 109</w:t>
            </w:r>
          </w:p>
        </w:tc>
        <w:tc>
          <w:tcPr>
            <w:tcW w:w="1197" w:type="dxa"/>
            <w:tcBorders>
              <w:left w:val="nil"/>
              <w:right w:val="nil"/>
            </w:tcBorders>
            <w:vAlign w:val="center"/>
          </w:tcPr>
          <w:p w:rsidR="009A6B10" w:rsidRPr="009A6B10" w:rsidRDefault="009A6B10" w:rsidP="009A6B10">
            <w:pPr>
              <w:jc w:val="right"/>
            </w:pPr>
            <w:r w:rsidRPr="009A6B10">
              <w:t>14 466</w:t>
            </w:r>
          </w:p>
        </w:tc>
        <w:tc>
          <w:tcPr>
            <w:tcW w:w="1297" w:type="dxa"/>
            <w:tcBorders>
              <w:left w:val="nil"/>
              <w:right w:val="nil"/>
            </w:tcBorders>
            <w:vAlign w:val="center"/>
          </w:tcPr>
          <w:p w:rsidR="009A6B10" w:rsidRPr="009A6B10" w:rsidRDefault="009A6B10" w:rsidP="009A6B10">
            <w:pPr>
              <w:jc w:val="right"/>
            </w:pPr>
            <w:r w:rsidRPr="009A6B10">
              <w:t>22 450</w:t>
            </w:r>
          </w:p>
        </w:tc>
        <w:tc>
          <w:tcPr>
            <w:tcW w:w="1141" w:type="dxa"/>
            <w:tcBorders>
              <w:left w:val="nil"/>
              <w:right w:val="nil"/>
            </w:tcBorders>
            <w:vAlign w:val="center"/>
          </w:tcPr>
          <w:p w:rsidR="009A6B10" w:rsidRPr="009A6B10" w:rsidRDefault="009A6B10" w:rsidP="009A6B10">
            <w:pPr>
              <w:jc w:val="right"/>
            </w:pPr>
            <w:r w:rsidRPr="009A6B10">
              <w:t>12 193</w:t>
            </w:r>
          </w:p>
        </w:tc>
        <w:tc>
          <w:tcPr>
            <w:tcW w:w="979" w:type="dxa"/>
            <w:tcBorders>
              <w:left w:val="nil"/>
              <w:right w:val="nil"/>
            </w:tcBorders>
            <w:vAlign w:val="center"/>
          </w:tcPr>
          <w:p w:rsidR="009A6B10" w:rsidRPr="009A6B10" w:rsidRDefault="009A6B10" w:rsidP="009A6B10">
            <w:pPr>
              <w:jc w:val="right"/>
              <w:rPr>
                <w:b/>
              </w:rPr>
            </w:pPr>
            <w:r w:rsidRPr="009A6B10">
              <w:rPr>
                <w:b/>
              </w:rPr>
              <w:t>213</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Tavný čadič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5</w:t>
            </w:r>
          </w:p>
        </w:tc>
        <w:tc>
          <w:tcPr>
            <w:tcW w:w="540" w:type="dxa"/>
            <w:tcBorders>
              <w:left w:val="nil"/>
              <w:right w:val="nil"/>
            </w:tcBorders>
            <w:vAlign w:val="center"/>
          </w:tcPr>
          <w:p w:rsidR="009A6B10" w:rsidRPr="009A6B10" w:rsidRDefault="009A6B10" w:rsidP="009A6B10">
            <w:pPr>
              <w:jc w:val="right"/>
            </w:pPr>
            <w:r w:rsidRPr="009A6B10">
              <w:t>1</w:t>
            </w:r>
          </w:p>
        </w:tc>
        <w:tc>
          <w:tcPr>
            <w:tcW w:w="1113" w:type="dxa"/>
            <w:tcBorders>
              <w:left w:val="nil"/>
              <w:right w:val="nil"/>
            </w:tcBorders>
            <w:vAlign w:val="center"/>
          </w:tcPr>
          <w:p w:rsidR="009A6B10" w:rsidRPr="009A6B10" w:rsidRDefault="009A6B10" w:rsidP="009A6B10">
            <w:pPr>
              <w:jc w:val="right"/>
              <w:rPr>
                <w:b/>
              </w:rPr>
            </w:pPr>
            <w:r w:rsidRPr="009A6B10">
              <w:rPr>
                <w:b/>
              </w:rPr>
              <w:t>39 644</w:t>
            </w:r>
          </w:p>
        </w:tc>
        <w:tc>
          <w:tcPr>
            <w:tcW w:w="1197" w:type="dxa"/>
            <w:tcBorders>
              <w:left w:val="nil"/>
              <w:right w:val="nil"/>
            </w:tcBorders>
            <w:vAlign w:val="center"/>
          </w:tcPr>
          <w:p w:rsidR="009A6B10" w:rsidRPr="009A6B10" w:rsidRDefault="009A6B10" w:rsidP="009A6B10">
            <w:pPr>
              <w:jc w:val="right"/>
            </w:pPr>
            <w:r w:rsidRPr="009A6B10">
              <w:t>15 477</w:t>
            </w:r>
          </w:p>
        </w:tc>
        <w:tc>
          <w:tcPr>
            <w:tcW w:w="1297" w:type="dxa"/>
            <w:tcBorders>
              <w:left w:val="nil"/>
              <w:right w:val="nil"/>
            </w:tcBorders>
            <w:vAlign w:val="center"/>
          </w:tcPr>
          <w:p w:rsidR="009A6B10" w:rsidRPr="009A6B10" w:rsidRDefault="009A6B10" w:rsidP="009A6B10">
            <w:pPr>
              <w:jc w:val="right"/>
            </w:pPr>
            <w:r w:rsidRPr="009A6B10">
              <w:t>6 992</w:t>
            </w:r>
          </w:p>
        </w:tc>
        <w:tc>
          <w:tcPr>
            <w:tcW w:w="1141" w:type="dxa"/>
            <w:tcBorders>
              <w:left w:val="nil"/>
              <w:right w:val="nil"/>
            </w:tcBorders>
            <w:vAlign w:val="center"/>
          </w:tcPr>
          <w:p w:rsidR="009A6B10" w:rsidRPr="009A6B10" w:rsidRDefault="009A6B10" w:rsidP="009A6B10">
            <w:pPr>
              <w:jc w:val="right"/>
            </w:pPr>
            <w:r w:rsidRPr="009A6B10">
              <w:t>17 175</w:t>
            </w:r>
          </w:p>
        </w:tc>
        <w:tc>
          <w:tcPr>
            <w:tcW w:w="979" w:type="dxa"/>
            <w:tcBorders>
              <w:left w:val="nil"/>
              <w:right w:val="nil"/>
            </w:tcBorders>
            <w:vAlign w:val="center"/>
          </w:tcPr>
          <w:p w:rsidR="009A6B10" w:rsidRPr="009A6B10" w:rsidRDefault="009A6B10" w:rsidP="009A6B10">
            <w:pPr>
              <w:jc w:val="right"/>
              <w:rPr>
                <w:b/>
              </w:rPr>
            </w:pPr>
            <w:r w:rsidRPr="009A6B10">
              <w:rPr>
                <w:b/>
              </w:rPr>
              <w:t>94</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vertAlign w:val="superscript"/>
              </w:rPr>
            </w:pPr>
            <w:proofErr w:type="spellStart"/>
            <w:r w:rsidRPr="009A6B10">
              <w:rPr>
                <w:b/>
              </w:rPr>
              <w:t>Dekor</w:t>
            </w:r>
            <w:proofErr w:type="spellEnd"/>
            <w:r w:rsidRPr="009A6B10">
              <w:rPr>
                <w:b/>
              </w:rPr>
              <w:t>. kameň [tis. m</w:t>
            </w:r>
            <w:r w:rsidRPr="009A6B10">
              <w:rPr>
                <w:b/>
                <w:vertAlign w:val="superscript"/>
              </w:rPr>
              <w:t>3</w:t>
            </w:r>
            <w:r w:rsidRPr="009A6B10">
              <w:rPr>
                <w:b/>
              </w:rPr>
              <w:t xml:space="preserve">] </w:t>
            </w:r>
          </w:p>
        </w:tc>
        <w:tc>
          <w:tcPr>
            <w:tcW w:w="540" w:type="dxa"/>
            <w:tcBorders>
              <w:left w:val="nil"/>
              <w:right w:val="nil"/>
            </w:tcBorders>
            <w:vAlign w:val="center"/>
          </w:tcPr>
          <w:p w:rsidR="009A6B10" w:rsidRPr="009A6B10" w:rsidRDefault="009A6B10" w:rsidP="009A6B10">
            <w:pPr>
              <w:jc w:val="right"/>
            </w:pPr>
            <w:r w:rsidRPr="009A6B10">
              <w:t>22</w:t>
            </w:r>
          </w:p>
        </w:tc>
        <w:tc>
          <w:tcPr>
            <w:tcW w:w="540" w:type="dxa"/>
            <w:tcBorders>
              <w:left w:val="nil"/>
              <w:right w:val="nil"/>
            </w:tcBorders>
            <w:vAlign w:val="center"/>
          </w:tcPr>
          <w:p w:rsidR="009A6B10" w:rsidRPr="009A6B10" w:rsidRDefault="009A6B10" w:rsidP="009A6B10">
            <w:pPr>
              <w:jc w:val="right"/>
            </w:pPr>
            <w:r w:rsidRPr="009A6B10">
              <w:t>4</w:t>
            </w:r>
          </w:p>
        </w:tc>
        <w:tc>
          <w:tcPr>
            <w:tcW w:w="1113" w:type="dxa"/>
            <w:tcBorders>
              <w:left w:val="nil"/>
              <w:right w:val="nil"/>
            </w:tcBorders>
            <w:vAlign w:val="center"/>
          </w:tcPr>
          <w:p w:rsidR="009A6B10" w:rsidRPr="009A6B10" w:rsidRDefault="009A6B10" w:rsidP="009A6B10">
            <w:pPr>
              <w:jc w:val="right"/>
              <w:rPr>
                <w:b/>
              </w:rPr>
            </w:pPr>
            <w:r w:rsidRPr="009A6B10">
              <w:rPr>
                <w:b/>
              </w:rPr>
              <w:t>26 158</w:t>
            </w:r>
          </w:p>
        </w:tc>
        <w:tc>
          <w:tcPr>
            <w:tcW w:w="1197" w:type="dxa"/>
            <w:tcBorders>
              <w:left w:val="nil"/>
              <w:right w:val="nil"/>
            </w:tcBorders>
            <w:vAlign w:val="center"/>
          </w:tcPr>
          <w:p w:rsidR="009A6B10" w:rsidRPr="009A6B10" w:rsidRDefault="009A6B10" w:rsidP="009A6B10">
            <w:pPr>
              <w:jc w:val="right"/>
            </w:pPr>
            <w:r w:rsidRPr="009A6B10">
              <w:t>10 587</w:t>
            </w:r>
          </w:p>
        </w:tc>
        <w:tc>
          <w:tcPr>
            <w:tcW w:w="1297" w:type="dxa"/>
            <w:tcBorders>
              <w:left w:val="nil"/>
              <w:right w:val="nil"/>
            </w:tcBorders>
            <w:vAlign w:val="center"/>
          </w:tcPr>
          <w:p w:rsidR="009A6B10" w:rsidRPr="009A6B10" w:rsidRDefault="009A6B10" w:rsidP="009A6B10">
            <w:pPr>
              <w:jc w:val="right"/>
            </w:pPr>
            <w:r w:rsidRPr="009A6B10">
              <w:t>4 045</w:t>
            </w:r>
          </w:p>
        </w:tc>
        <w:tc>
          <w:tcPr>
            <w:tcW w:w="1141" w:type="dxa"/>
            <w:tcBorders>
              <w:left w:val="nil"/>
              <w:right w:val="nil"/>
            </w:tcBorders>
            <w:vAlign w:val="center"/>
          </w:tcPr>
          <w:p w:rsidR="009A6B10" w:rsidRPr="009A6B10" w:rsidRDefault="009A6B10" w:rsidP="009A6B10">
            <w:pPr>
              <w:jc w:val="right"/>
            </w:pPr>
            <w:r w:rsidRPr="009A6B10">
              <w:t>11 526</w:t>
            </w:r>
          </w:p>
        </w:tc>
        <w:tc>
          <w:tcPr>
            <w:tcW w:w="979" w:type="dxa"/>
            <w:tcBorders>
              <w:left w:val="nil"/>
              <w:right w:val="nil"/>
            </w:tcBorders>
            <w:vAlign w:val="center"/>
          </w:tcPr>
          <w:p w:rsidR="009A6B10" w:rsidRPr="009A6B10" w:rsidRDefault="009A6B10" w:rsidP="009A6B10">
            <w:pPr>
              <w:jc w:val="right"/>
              <w:rPr>
                <w:b/>
              </w:rPr>
            </w:pPr>
            <w:r w:rsidRPr="009A6B10">
              <w:rPr>
                <w:b/>
              </w:rPr>
              <w:t>34</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proofErr w:type="spellStart"/>
            <w:r w:rsidRPr="009A6B10">
              <w:rPr>
                <w:b/>
              </w:rPr>
              <w:t>Diatomit</w:t>
            </w:r>
            <w:proofErr w:type="spellEnd"/>
            <w:r w:rsidRPr="009A6B10">
              <w:rPr>
                <w:b/>
              </w:rPr>
              <w:t xml:space="preserve">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3</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8 436</w:t>
            </w:r>
          </w:p>
        </w:tc>
        <w:tc>
          <w:tcPr>
            <w:tcW w:w="1197" w:type="dxa"/>
            <w:tcBorders>
              <w:left w:val="nil"/>
              <w:right w:val="nil"/>
            </w:tcBorders>
            <w:vAlign w:val="center"/>
          </w:tcPr>
          <w:p w:rsidR="009A6B10" w:rsidRPr="009A6B10" w:rsidRDefault="009A6B10" w:rsidP="009A6B10">
            <w:pPr>
              <w:jc w:val="right"/>
            </w:pPr>
            <w:r w:rsidRPr="009A6B10">
              <w:t>3 791</w:t>
            </w:r>
          </w:p>
        </w:tc>
        <w:tc>
          <w:tcPr>
            <w:tcW w:w="1297" w:type="dxa"/>
            <w:tcBorders>
              <w:left w:val="nil"/>
              <w:right w:val="nil"/>
            </w:tcBorders>
            <w:vAlign w:val="center"/>
          </w:tcPr>
          <w:p w:rsidR="009A6B10" w:rsidRPr="009A6B10" w:rsidRDefault="009A6B10" w:rsidP="009A6B10">
            <w:pPr>
              <w:jc w:val="right"/>
            </w:pPr>
            <w:r w:rsidRPr="009A6B10">
              <w:t>2 765</w:t>
            </w:r>
          </w:p>
        </w:tc>
        <w:tc>
          <w:tcPr>
            <w:tcW w:w="1141" w:type="dxa"/>
            <w:tcBorders>
              <w:left w:val="nil"/>
              <w:right w:val="nil"/>
            </w:tcBorders>
            <w:vAlign w:val="center"/>
          </w:tcPr>
          <w:p w:rsidR="009A6B10" w:rsidRPr="009A6B10" w:rsidRDefault="009A6B10" w:rsidP="009A6B10">
            <w:pPr>
              <w:jc w:val="right"/>
            </w:pPr>
            <w:r w:rsidRPr="009A6B10">
              <w:t>1 880</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Dolomit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21</w:t>
            </w:r>
          </w:p>
        </w:tc>
        <w:tc>
          <w:tcPr>
            <w:tcW w:w="540" w:type="dxa"/>
            <w:tcBorders>
              <w:left w:val="nil"/>
              <w:right w:val="nil"/>
            </w:tcBorders>
            <w:vAlign w:val="center"/>
          </w:tcPr>
          <w:p w:rsidR="009A6B10" w:rsidRPr="009A6B10" w:rsidRDefault="009A6B10" w:rsidP="009A6B10">
            <w:pPr>
              <w:jc w:val="right"/>
            </w:pPr>
            <w:r w:rsidRPr="009A6B10">
              <w:t>10</w:t>
            </w:r>
          </w:p>
        </w:tc>
        <w:tc>
          <w:tcPr>
            <w:tcW w:w="1113" w:type="dxa"/>
            <w:tcBorders>
              <w:left w:val="nil"/>
              <w:right w:val="nil"/>
            </w:tcBorders>
            <w:vAlign w:val="center"/>
          </w:tcPr>
          <w:p w:rsidR="009A6B10" w:rsidRPr="009A6B10" w:rsidRDefault="009A6B10" w:rsidP="009A6B10">
            <w:pPr>
              <w:jc w:val="right"/>
              <w:rPr>
                <w:b/>
              </w:rPr>
            </w:pPr>
            <w:r w:rsidRPr="009A6B10">
              <w:rPr>
                <w:b/>
              </w:rPr>
              <w:t>670 396</w:t>
            </w:r>
          </w:p>
        </w:tc>
        <w:tc>
          <w:tcPr>
            <w:tcW w:w="1197" w:type="dxa"/>
            <w:tcBorders>
              <w:left w:val="nil"/>
              <w:right w:val="nil"/>
            </w:tcBorders>
            <w:vAlign w:val="center"/>
          </w:tcPr>
          <w:p w:rsidR="009A6B10" w:rsidRPr="009A6B10" w:rsidRDefault="009A6B10" w:rsidP="009A6B10">
            <w:pPr>
              <w:jc w:val="right"/>
            </w:pPr>
            <w:r w:rsidRPr="009A6B10">
              <w:t>224 262</w:t>
            </w:r>
          </w:p>
        </w:tc>
        <w:tc>
          <w:tcPr>
            <w:tcW w:w="1297" w:type="dxa"/>
            <w:tcBorders>
              <w:left w:val="nil"/>
              <w:right w:val="nil"/>
            </w:tcBorders>
            <w:vAlign w:val="center"/>
          </w:tcPr>
          <w:p w:rsidR="009A6B10" w:rsidRPr="009A6B10" w:rsidRDefault="009A6B10" w:rsidP="009A6B10">
            <w:pPr>
              <w:jc w:val="right"/>
            </w:pPr>
            <w:r w:rsidRPr="009A6B10">
              <w:t>436 874</w:t>
            </w:r>
          </w:p>
        </w:tc>
        <w:tc>
          <w:tcPr>
            <w:tcW w:w="1141" w:type="dxa"/>
            <w:tcBorders>
              <w:left w:val="nil"/>
              <w:right w:val="nil"/>
            </w:tcBorders>
            <w:vAlign w:val="center"/>
          </w:tcPr>
          <w:p w:rsidR="009A6B10" w:rsidRPr="009A6B10" w:rsidRDefault="009A6B10" w:rsidP="009A6B10">
            <w:pPr>
              <w:jc w:val="right"/>
            </w:pPr>
            <w:r w:rsidRPr="009A6B10">
              <w:t>9 260</w:t>
            </w:r>
          </w:p>
        </w:tc>
        <w:tc>
          <w:tcPr>
            <w:tcW w:w="979" w:type="dxa"/>
            <w:tcBorders>
              <w:left w:val="nil"/>
              <w:right w:val="nil"/>
            </w:tcBorders>
            <w:vAlign w:val="center"/>
          </w:tcPr>
          <w:p w:rsidR="009A6B10" w:rsidRPr="009A6B10" w:rsidRDefault="009A6B10" w:rsidP="009A6B10">
            <w:pPr>
              <w:jc w:val="right"/>
              <w:rPr>
                <w:b/>
              </w:rPr>
            </w:pPr>
            <w:r w:rsidRPr="009A6B10">
              <w:rPr>
                <w:b/>
              </w:rPr>
              <w:t>1 349</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Drahé kamene [</w:t>
            </w:r>
            <w:proofErr w:type="spellStart"/>
            <w:r w:rsidRPr="009A6B10">
              <w:rPr>
                <w:b/>
              </w:rPr>
              <w:t>ct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2 309 202</w:t>
            </w:r>
          </w:p>
        </w:tc>
        <w:tc>
          <w:tcPr>
            <w:tcW w:w="1197" w:type="dxa"/>
            <w:tcBorders>
              <w:left w:val="nil"/>
              <w:right w:val="nil"/>
            </w:tcBorders>
            <w:vAlign w:val="center"/>
          </w:tcPr>
          <w:p w:rsidR="009A6B10" w:rsidRPr="009A6B10" w:rsidRDefault="009A6B10" w:rsidP="009A6B10">
            <w:pPr>
              <w:jc w:val="right"/>
            </w:pPr>
            <w:r w:rsidRPr="009A6B10">
              <w:t>945 999</w:t>
            </w:r>
          </w:p>
        </w:tc>
        <w:tc>
          <w:tcPr>
            <w:tcW w:w="1297" w:type="dxa"/>
            <w:tcBorders>
              <w:left w:val="nil"/>
              <w:right w:val="nil"/>
            </w:tcBorders>
            <w:vAlign w:val="center"/>
          </w:tcPr>
          <w:p w:rsidR="009A6B10" w:rsidRPr="009A6B10" w:rsidRDefault="009A6B10" w:rsidP="009A6B10">
            <w:pPr>
              <w:jc w:val="right"/>
            </w:pPr>
            <w:r w:rsidRPr="009A6B10">
              <w:t>1 073 043</w:t>
            </w:r>
          </w:p>
        </w:tc>
        <w:tc>
          <w:tcPr>
            <w:tcW w:w="1141" w:type="dxa"/>
            <w:tcBorders>
              <w:left w:val="nil"/>
              <w:right w:val="nil"/>
            </w:tcBorders>
            <w:vAlign w:val="center"/>
          </w:tcPr>
          <w:p w:rsidR="009A6B10" w:rsidRPr="009A6B10" w:rsidRDefault="009A6B10" w:rsidP="009A6B10">
            <w:pPr>
              <w:jc w:val="right"/>
            </w:pPr>
            <w:r w:rsidRPr="009A6B10">
              <w:t>290 160</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Grafit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294</w:t>
            </w:r>
          </w:p>
        </w:tc>
        <w:tc>
          <w:tcPr>
            <w:tcW w:w="1197" w:type="dxa"/>
            <w:tcBorders>
              <w:left w:val="nil"/>
              <w:right w:val="nil"/>
            </w:tcBorders>
            <w:vAlign w:val="center"/>
          </w:tcPr>
          <w:p w:rsidR="009A6B10" w:rsidRPr="009A6B10" w:rsidRDefault="009A6B10" w:rsidP="009A6B10">
            <w:pPr>
              <w:jc w:val="right"/>
            </w:pPr>
            <w:r w:rsidRPr="009A6B10">
              <w:t>–</w:t>
            </w:r>
          </w:p>
        </w:tc>
        <w:tc>
          <w:tcPr>
            <w:tcW w:w="1297" w:type="dxa"/>
            <w:tcBorders>
              <w:left w:val="nil"/>
              <w:right w:val="nil"/>
            </w:tcBorders>
            <w:vAlign w:val="center"/>
          </w:tcPr>
          <w:p w:rsidR="009A6B10" w:rsidRPr="009A6B10" w:rsidRDefault="009A6B10" w:rsidP="009A6B10">
            <w:pPr>
              <w:jc w:val="right"/>
            </w:pPr>
            <w:r w:rsidRPr="009A6B10">
              <w:t>–</w:t>
            </w:r>
          </w:p>
        </w:tc>
        <w:tc>
          <w:tcPr>
            <w:tcW w:w="1141" w:type="dxa"/>
            <w:tcBorders>
              <w:left w:val="nil"/>
              <w:right w:val="nil"/>
            </w:tcBorders>
            <w:vAlign w:val="center"/>
          </w:tcPr>
          <w:p w:rsidR="009A6B10" w:rsidRPr="009A6B10" w:rsidRDefault="009A6B10" w:rsidP="009A6B10">
            <w:pPr>
              <w:jc w:val="right"/>
            </w:pPr>
            <w:r w:rsidRPr="009A6B10">
              <w:t>294</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Kamenná soľ [</w:t>
            </w:r>
            <w:proofErr w:type="spellStart"/>
            <w:r w:rsidRPr="009A6B10">
              <w:rPr>
                <w:b/>
              </w:rPr>
              <w:t>kt</w:t>
            </w:r>
            <w:proofErr w:type="spellEnd"/>
            <w:r w:rsidRPr="009A6B10">
              <w:rPr>
                <w:b/>
              </w:rPr>
              <w:t xml:space="preserve">] </w:t>
            </w:r>
          </w:p>
        </w:tc>
        <w:tc>
          <w:tcPr>
            <w:tcW w:w="540" w:type="dxa"/>
            <w:tcBorders>
              <w:left w:val="nil"/>
              <w:right w:val="nil"/>
            </w:tcBorders>
            <w:vAlign w:val="center"/>
          </w:tcPr>
          <w:p w:rsidR="009A6B10" w:rsidRPr="009A6B10" w:rsidRDefault="009A6B10" w:rsidP="009A6B10">
            <w:pPr>
              <w:jc w:val="right"/>
            </w:pPr>
            <w:r w:rsidRPr="009A6B10">
              <w:t>4</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1 349 679</w:t>
            </w:r>
          </w:p>
        </w:tc>
        <w:tc>
          <w:tcPr>
            <w:tcW w:w="1197" w:type="dxa"/>
            <w:tcBorders>
              <w:left w:val="nil"/>
              <w:right w:val="nil"/>
            </w:tcBorders>
            <w:vAlign w:val="center"/>
          </w:tcPr>
          <w:p w:rsidR="009A6B10" w:rsidRPr="009A6B10" w:rsidRDefault="009A6B10" w:rsidP="009A6B10">
            <w:pPr>
              <w:jc w:val="right"/>
            </w:pPr>
            <w:r w:rsidRPr="009A6B10">
              <w:t>185 124</w:t>
            </w:r>
          </w:p>
        </w:tc>
        <w:tc>
          <w:tcPr>
            <w:tcW w:w="1297" w:type="dxa"/>
            <w:tcBorders>
              <w:left w:val="nil"/>
              <w:right w:val="nil"/>
            </w:tcBorders>
            <w:vAlign w:val="center"/>
          </w:tcPr>
          <w:p w:rsidR="009A6B10" w:rsidRPr="009A6B10" w:rsidRDefault="009A6B10" w:rsidP="009A6B10">
            <w:pPr>
              <w:jc w:val="right"/>
            </w:pPr>
            <w:r w:rsidRPr="009A6B10">
              <w:t>1 164 490</w:t>
            </w:r>
          </w:p>
        </w:tc>
        <w:tc>
          <w:tcPr>
            <w:tcW w:w="1141" w:type="dxa"/>
            <w:tcBorders>
              <w:left w:val="nil"/>
              <w:right w:val="nil"/>
            </w:tcBorders>
            <w:vAlign w:val="center"/>
          </w:tcPr>
          <w:p w:rsidR="009A6B10" w:rsidRPr="009A6B10" w:rsidRDefault="009A6B10" w:rsidP="009A6B10">
            <w:pPr>
              <w:jc w:val="right"/>
            </w:pPr>
            <w:r w:rsidRPr="009A6B10">
              <w:t>65</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Kaolín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14</w:t>
            </w:r>
          </w:p>
        </w:tc>
        <w:tc>
          <w:tcPr>
            <w:tcW w:w="540" w:type="dxa"/>
            <w:tcBorders>
              <w:left w:val="nil"/>
              <w:right w:val="nil"/>
            </w:tcBorders>
            <w:vAlign w:val="center"/>
          </w:tcPr>
          <w:p w:rsidR="009A6B10" w:rsidRPr="009A6B10" w:rsidRDefault="009A6B10" w:rsidP="009A6B10">
            <w:pPr>
              <w:jc w:val="right"/>
            </w:pPr>
            <w:r w:rsidRPr="009A6B10">
              <w:t>1</w:t>
            </w:r>
          </w:p>
        </w:tc>
        <w:tc>
          <w:tcPr>
            <w:tcW w:w="1113" w:type="dxa"/>
            <w:tcBorders>
              <w:left w:val="nil"/>
              <w:right w:val="nil"/>
            </w:tcBorders>
            <w:vAlign w:val="center"/>
          </w:tcPr>
          <w:p w:rsidR="009A6B10" w:rsidRPr="009A6B10" w:rsidRDefault="009A6B10" w:rsidP="009A6B10">
            <w:pPr>
              <w:jc w:val="right"/>
              <w:rPr>
                <w:b/>
              </w:rPr>
            </w:pPr>
            <w:r w:rsidRPr="009A6B10">
              <w:rPr>
                <w:b/>
              </w:rPr>
              <w:t>59 774</w:t>
            </w:r>
          </w:p>
        </w:tc>
        <w:tc>
          <w:tcPr>
            <w:tcW w:w="1197" w:type="dxa"/>
            <w:tcBorders>
              <w:left w:val="nil"/>
              <w:right w:val="nil"/>
            </w:tcBorders>
            <w:vAlign w:val="center"/>
          </w:tcPr>
          <w:p w:rsidR="009A6B10" w:rsidRPr="009A6B10" w:rsidRDefault="009A6B10" w:rsidP="009A6B10">
            <w:pPr>
              <w:jc w:val="right"/>
            </w:pPr>
            <w:r w:rsidRPr="009A6B10">
              <w:t>28 048</w:t>
            </w:r>
          </w:p>
        </w:tc>
        <w:tc>
          <w:tcPr>
            <w:tcW w:w="1297" w:type="dxa"/>
            <w:tcBorders>
              <w:left w:val="nil"/>
              <w:right w:val="nil"/>
            </w:tcBorders>
            <w:vAlign w:val="center"/>
          </w:tcPr>
          <w:p w:rsidR="009A6B10" w:rsidRPr="009A6B10" w:rsidRDefault="009A6B10" w:rsidP="009A6B10">
            <w:pPr>
              <w:jc w:val="right"/>
            </w:pPr>
            <w:r w:rsidRPr="009A6B10">
              <w:t>27 833</w:t>
            </w:r>
          </w:p>
        </w:tc>
        <w:tc>
          <w:tcPr>
            <w:tcW w:w="1141" w:type="dxa"/>
            <w:tcBorders>
              <w:left w:val="nil"/>
              <w:right w:val="nil"/>
            </w:tcBorders>
            <w:vAlign w:val="center"/>
          </w:tcPr>
          <w:p w:rsidR="009A6B10" w:rsidRPr="009A6B10" w:rsidRDefault="009A6B10" w:rsidP="009A6B10">
            <w:pPr>
              <w:jc w:val="right"/>
            </w:pPr>
            <w:r w:rsidRPr="009A6B10">
              <w:t>3 893</w:t>
            </w:r>
          </w:p>
        </w:tc>
        <w:tc>
          <w:tcPr>
            <w:tcW w:w="979" w:type="dxa"/>
            <w:tcBorders>
              <w:left w:val="nil"/>
              <w:right w:val="nil"/>
            </w:tcBorders>
            <w:vAlign w:val="center"/>
          </w:tcPr>
          <w:p w:rsidR="009A6B10" w:rsidRPr="009A6B10" w:rsidRDefault="009A6B10" w:rsidP="009A6B10">
            <w:pPr>
              <w:jc w:val="right"/>
              <w:rPr>
                <w:b/>
              </w:rPr>
            </w:pPr>
            <w:r w:rsidRPr="009A6B10">
              <w:rPr>
                <w:b/>
              </w:rPr>
              <w:t>4</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lastRenderedPageBreak/>
              <w:t>Keramické íly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36</w:t>
            </w:r>
          </w:p>
        </w:tc>
        <w:tc>
          <w:tcPr>
            <w:tcW w:w="540" w:type="dxa"/>
            <w:tcBorders>
              <w:left w:val="nil"/>
              <w:right w:val="nil"/>
            </w:tcBorders>
            <w:vAlign w:val="center"/>
          </w:tcPr>
          <w:p w:rsidR="009A6B10" w:rsidRPr="009A6B10" w:rsidRDefault="009A6B10" w:rsidP="009A6B10">
            <w:pPr>
              <w:jc w:val="right"/>
            </w:pPr>
            <w:r w:rsidRPr="009A6B10">
              <w:t>4</w:t>
            </w:r>
          </w:p>
        </w:tc>
        <w:tc>
          <w:tcPr>
            <w:tcW w:w="1113" w:type="dxa"/>
            <w:tcBorders>
              <w:left w:val="nil"/>
              <w:right w:val="nil"/>
            </w:tcBorders>
            <w:vAlign w:val="center"/>
          </w:tcPr>
          <w:p w:rsidR="009A6B10" w:rsidRPr="009A6B10" w:rsidRDefault="009A6B10" w:rsidP="009A6B10">
            <w:pPr>
              <w:jc w:val="right"/>
              <w:rPr>
                <w:b/>
              </w:rPr>
            </w:pPr>
            <w:r w:rsidRPr="009A6B10">
              <w:rPr>
                <w:b/>
              </w:rPr>
              <w:t>188 977</w:t>
            </w:r>
          </w:p>
        </w:tc>
        <w:tc>
          <w:tcPr>
            <w:tcW w:w="1197" w:type="dxa"/>
            <w:tcBorders>
              <w:left w:val="nil"/>
              <w:right w:val="nil"/>
            </w:tcBorders>
            <w:vAlign w:val="center"/>
          </w:tcPr>
          <w:p w:rsidR="009A6B10" w:rsidRPr="009A6B10" w:rsidRDefault="009A6B10" w:rsidP="009A6B10">
            <w:pPr>
              <w:jc w:val="right"/>
            </w:pPr>
            <w:r w:rsidRPr="009A6B10">
              <w:t>14 233</w:t>
            </w:r>
          </w:p>
        </w:tc>
        <w:tc>
          <w:tcPr>
            <w:tcW w:w="1297" w:type="dxa"/>
            <w:tcBorders>
              <w:left w:val="nil"/>
              <w:right w:val="nil"/>
            </w:tcBorders>
            <w:vAlign w:val="center"/>
          </w:tcPr>
          <w:p w:rsidR="009A6B10" w:rsidRPr="009A6B10" w:rsidRDefault="009A6B10" w:rsidP="009A6B10">
            <w:pPr>
              <w:jc w:val="right"/>
            </w:pPr>
            <w:r w:rsidRPr="009A6B10">
              <w:t>102 287</w:t>
            </w:r>
          </w:p>
        </w:tc>
        <w:tc>
          <w:tcPr>
            <w:tcW w:w="1141" w:type="dxa"/>
            <w:tcBorders>
              <w:left w:val="nil"/>
              <w:right w:val="nil"/>
            </w:tcBorders>
            <w:vAlign w:val="center"/>
          </w:tcPr>
          <w:p w:rsidR="009A6B10" w:rsidRPr="009A6B10" w:rsidRDefault="009A6B10" w:rsidP="009A6B10">
            <w:pPr>
              <w:jc w:val="right"/>
            </w:pPr>
            <w:r w:rsidRPr="009A6B10">
              <w:t>72 457</w:t>
            </w:r>
          </w:p>
        </w:tc>
        <w:tc>
          <w:tcPr>
            <w:tcW w:w="979" w:type="dxa"/>
            <w:tcBorders>
              <w:left w:val="nil"/>
              <w:right w:val="nil"/>
            </w:tcBorders>
            <w:vAlign w:val="center"/>
          </w:tcPr>
          <w:p w:rsidR="009A6B10" w:rsidRPr="009A6B10" w:rsidRDefault="009A6B10" w:rsidP="009A6B10">
            <w:pPr>
              <w:jc w:val="right"/>
              <w:rPr>
                <w:b/>
              </w:rPr>
            </w:pPr>
            <w:r w:rsidRPr="009A6B10">
              <w:rPr>
                <w:b/>
              </w:rPr>
              <w:t>24</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Kremeň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7</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327</w:t>
            </w:r>
          </w:p>
        </w:tc>
        <w:tc>
          <w:tcPr>
            <w:tcW w:w="1197" w:type="dxa"/>
            <w:tcBorders>
              <w:left w:val="nil"/>
              <w:right w:val="nil"/>
            </w:tcBorders>
            <w:vAlign w:val="center"/>
          </w:tcPr>
          <w:p w:rsidR="009A6B10" w:rsidRPr="009A6B10" w:rsidRDefault="009A6B10" w:rsidP="009A6B10">
            <w:pPr>
              <w:jc w:val="right"/>
            </w:pPr>
            <w:r w:rsidRPr="009A6B10">
              <w:t>240</w:t>
            </w:r>
          </w:p>
        </w:tc>
        <w:tc>
          <w:tcPr>
            <w:tcW w:w="1297" w:type="dxa"/>
            <w:tcBorders>
              <w:left w:val="nil"/>
              <w:right w:val="nil"/>
            </w:tcBorders>
            <w:vAlign w:val="center"/>
          </w:tcPr>
          <w:p w:rsidR="009A6B10" w:rsidRPr="009A6B10" w:rsidRDefault="009A6B10" w:rsidP="009A6B10">
            <w:pPr>
              <w:jc w:val="right"/>
            </w:pPr>
            <w:r w:rsidRPr="009A6B10">
              <w:t>61</w:t>
            </w:r>
          </w:p>
        </w:tc>
        <w:tc>
          <w:tcPr>
            <w:tcW w:w="1141" w:type="dxa"/>
            <w:tcBorders>
              <w:left w:val="nil"/>
              <w:right w:val="nil"/>
            </w:tcBorders>
            <w:vAlign w:val="center"/>
          </w:tcPr>
          <w:p w:rsidR="009A6B10" w:rsidRPr="009A6B10" w:rsidRDefault="009A6B10" w:rsidP="009A6B10">
            <w:pPr>
              <w:jc w:val="right"/>
            </w:pPr>
            <w:r w:rsidRPr="009A6B10">
              <w:t>26</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Kremenec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15</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26 950</w:t>
            </w:r>
          </w:p>
        </w:tc>
        <w:tc>
          <w:tcPr>
            <w:tcW w:w="1197" w:type="dxa"/>
            <w:tcBorders>
              <w:left w:val="nil"/>
              <w:right w:val="nil"/>
            </w:tcBorders>
            <w:vAlign w:val="center"/>
          </w:tcPr>
          <w:p w:rsidR="009A6B10" w:rsidRPr="009A6B10" w:rsidRDefault="009A6B10" w:rsidP="009A6B10">
            <w:pPr>
              <w:jc w:val="right"/>
            </w:pPr>
            <w:r w:rsidRPr="009A6B10">
              <w:t>6 501</w:t>
            </w:r>
          </w:p>
        </w:tc>
        <w:tc>
          <w:tcPr>
            <w:tcW w:w="1297" w:type="dxa"/>
            <w:tcBorders>
              <w:left w:val="nil"/>
              <w:right w:val="nil"/>
            </w:tcBorders>
            <w:vAlign w:val="center"/>
          </w:tcPr>
          <w:p w:rsidR="009A6B10" w:rsidRPr="009A6B10" w:rsidRDefault="009A6B10" w:rsidP="009A6B10">
            <w:pPr>
              <w:jc w:val="right"/>
            </w:pPr>
            <w:r w:rsidRPr="009A6B10">
              <w:t>10 947</w:t>
            </w:r>
          </w:p>
        </w:tc>
        <w:tc>
          <w:tcPr>
            <w:tcW w:w="1141" w:type="dxa"/>
            <w:tcBorders>
              <w:left w:val="nil"/>
              <w:right w:val="nil"/>
            </w:tcBorders>
            <w:vAlign w:val="center"/>
          </w:tcPr>
          <w:p w:rsidR="009A6B10" w:rsidRPr="009A6B10" w:rsidRDefault="009A6B10" w:rsidP="009A6B10">
            <w:pPr>
              <w:jc w:val="right"/>
            </w:pPr>
            <w:r w:rsidRPr="009A6B10">
              <w:t>9 502</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Magnezit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10</w:t>
            </w:r>
          </w:p>
        </w:tc>
        <w:tc>
          <w:tcPr>
            <w:tcW w:w="540" w:type="dxa"/>
            <w:tcBorders>
              <w:left w:val="nil"/>
              <w:right w:val="nil"/>
            </w:tcBorders>
            <w:vAlign w:val="center"/>
          </w:tcPr>
          <w:p w:rsidR="009A6B10" w:rsidRPr="009A6B10" w:rsidRDefault="009A6B10" w:rsidP="009A6B10">
            <w:pPr>
              <w:jc w:val="right"/>
            </w:pPr>
            <w:r w:rsidRPr="009A6B10">
              <w:t>3</w:t>
            </w:r>
          </w:p>
        </w:tc>
        <w:tc>
          <w:tcPr>
            <w:tcW w:w="1113" w:type="dxa"/>
            <w:tcBorders>
              <w:left w:val="nil"/>
              <w:right w:val="nil"/>
            </w:tcBorders>
            <w:vAlign w:val="center"/>
          </w:tcPr>
          <w:p w:rsidR="009A6B10" w:rsidRPr="009A6B10" w:rsidRDefault="009A6B10" w:rsidP="009A6B10">
            <w:pPr>
              <w:jc w:val="right"/>
              <w:rPr>
                <w:b/>
              </w:rPr>
            </w:pPr>
            <w:r w:rsidRPr="009A6B10">
              <w:rPr>
                <w:b/>
              </w:rPr>
              <w:t>1 158 515</w:t>
            </w:r>
          </w:p>
        </w:tc>
        <w:tc>
          <w:tcPr>
            <w:tcW w:w="1197" w:type="dxa"/>
            <w:tcBorders>
              <w:left w:val="nil"/>
              <w:right w:val="nil"/>
            </w:tcBorders>
            <w:vAlign w:val="center"/>
          </w:tcPr>
          <w:p w:rsidR="009A6B10" w:rsidRPr="009A6B10" w:rsidRDefault="009A6B10" w:rsidP="009A6B10">
            <w:pPr>
              <w:jc w:val="right"/>
            </w:pPr>
            <w:r w:rsidRPr="009A6B10">
              <w:t>118 559</w:t>
            </w:r>
          </w:p>
        </w:tc>
        <w:tc>
          <w:tcPr>
            <w:tcW w:w="1297" w:type="dxa"/>
            <w:tcBorders>
              <w:left w:val="nil"/>
              <w:right w:val="nil"/>
            </w:tcBorders>
            <w:vAlign w:val="center"/>
          </w:tcPr>
          <w:p w:rsidR="009A6B10" w:rsidRPr="009A6B10" w:rsidRDefault="009A6B10" w:rsidP="009A6B10">
            <w:pPr>
              <w:jc w:val="right"/>
            </w:pPr>
            <w:r w:rsidRPr="009A6B10">
              <w:t>666 391</w:t>
            </w:r>
          </w:p>
        </w:tc>
        <w:tc>
          <w:tcPr>
            <w:tcW w:w="1141" w:type="dxa"/>
            <w:tcBorders>
              <w:left w:val="nil"/>
              <w:right w:val="nil"/>
            </w:tcBorders>
            <w:vAlign w:val="center"/>
          </w:tcPr>
          <w:p w:rsidR="009A6B10" w:rsidRPr="009A6B10" w:rsidRDefault="009A6B10" w:rsidP="009A6B10">
            <w:pPr>
              <w:jc w:val="right"/>
            </w:pPr>
            <w:r w:rsidRPr="009A6B10">
              <w:t>373 565</w:t>
            </w:r>
          </w:p>
        </w:tc>
        <w:tc>
          <w:tcPr>
            <w:tcW w:w="979" w:type="dxa"/>
            <w:tcBorders>
              <w:left w:val="nil"/>
              <w:right w:val="nil"/>
            </w:tcBorders>
            <w:vAlign w:val="center"/>
          </w:tcPr>
          <w:p w:rsidR="009A6B10" w:rsidRPr="009A6B10" w:rsidRDefault="009A6B10" w:rsidP="009A6B10">
            <w:pPr>
              <w:jc w:val="right"/>
              <w:rPr>
                <w:b/>
              </w:rPr>
            </w:pPr>
            <w:r w:rsidRPr="009A6B10">
              <w:rPr>
                <w:b/>
              </w:rPr>
              <w:t>914</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Mastenec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5</w:t>
            </w:r>
          </w:p>
        </w:tc>
        <w:tc>
          <w:tcPr>
            <w:tcW w:w="540" w:type="dxa"/>
            <w:tcBorders>
              <w:left w:val="nil"/>
              <w:right w:val="nil"/>
            </w:tcBorders>
            <w:vAlign w:val="center"/>
          </w:tcPr>
          <w:p w:rsidR="009A6B10" w:rsidRPr="009A6B10" w:rsidRDefault="009A6B10" w:rsidP="009A6B10">
            <w:pPr>
              <w:jc w:val="right"/>
            </w:pPr>
            <w:r w:rsidRPr="009A6B10">
              <w:t>1</w:t>
            </w:r>
          </w:p>
        </w:tc>
        <w:tc>
          <w:tcPr>
            <w:tcW w:w="1113" w:type="dxa"/>
            <w:tcBorders>
              <w:left w:val="nil"/>
              <w:right w:val="nil"/>
            </w:tcBorders>
            <w:vAlign w:val="center"/>
          </w:tcPr>
          <w:p w:rsidR="009A6B10" w:rsidRPr="009A6B10" w:rsidRDefault="009A6B10" w:rsidP="009A6B10">
            <w:pPr>
              <w:jc w:val="right"/>
              <w:rPr>
                <w:b/>
              </w:rPr>
            </w:pPr>
            <w:r w:rsidRPr="009A6B10">
              <w:rPr>
                <w:b/>
              </w:rPr>
              <w:t>242 164</w:t>
            </w:r>
          </w:p>
        </w:tc>
        <w:tc>
          <w:tcPr>
            <w:tcW w:w="1197" w:type="dxa"/>
            <w:tcBorders>
              <w:left w:val="nil"/>
              <w:right w:val="nil"/>
            </w:tcBorders>
            <w:vAlign w:val="center"/>
          </w:tcPr>
          <w:p w:rsidR="009A6B10" w:rsidRPr="009A6B10" w:rsidRDefault="009A6B10" w:rsidP="009A6B10">
            <w:pPr>
              <w:jc w:val="right"/>
            </w:pPr>
            <w:r w:rsidRPr="009A6B10">
              <w:t>1 253</w:t>
            </w:r>
          </w:p>
        </w:tc>
        <w:tc>
          <w:tcPr>
            <w:tcW w:w="1297" w:type="dxa"/>
            <w:tcBorders>
              <w:left w:val="nil"/>
              <w:right w:val="nil"/>
            </w:tcBorders>
            <w:vAlign w:val="center"/>
          </w:tcPr>
          <w:p w:rsidR="009A6B10" w:rsidRPr="009A6B10" w:rsidRDefault="009A6B10" w:rsidP="009A6B10">
            <w:pPr>
              <w:jc w:val="right"/>
            </w:pPr>
            <w:r w:rsidRPr="009A6B10">
              <w:t>92 448</w:t>
            </w:r>
          </w:p>
        </w:tc>
        <w:tc>
          <w:tcPr>
            <w:tcW w:w="1141" w:type="dxa"/>
            <w:tcBorders>
              <w:left w:val="nil"/>
              <w:right w:val="nil"/>
            </w:tcBorders>
            <w:vAlign w:val="center"/>
          </w:tcPr>
          <w:p w:rsidR="009A6B10" w:rsidRPr="009A6B10" w:rsidRDefault="009A6B10" w:rsidP="009A6B10">
            <w:pPr>
              <w:jc w:val="right"/>
            </w:pPr>
            <w:r w:rsidRPr="009A6B10">
              <w:t>148 463</w:t>
            </w:r>
          </w:p>
        </w:tc>
        <w:tc>
          <w:tcPr>
            <w:tcW w:w="979" w:type="dxa"/>
            <w:tcBorders>
              <w:left w:val="nil"/>
              <w:right w:val="nil"/>
            </w:tcBorders>
            <w:vAlign w:val="center"/>
          </w:tcPr>
          <w:p w:rsidR="009A6B10" w:rsidRPr="009A6B10" w:rsidRDefault="009A6B10" w:rsidP="009A6B10">
            <w:pPr>
              <w:jc w:val="right"/>
              <w:rPr>
                <w:b/>
              </w:rPr>
            </w:pPr>
            <w:r w:rsidRPr="009A6B10">
              <w:rPr>
                <w:b/>
              </w:rPr>
              <w:t>7</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proofErr w:type="spellStart"/>
            <w:r w:rsidRPr="009A6B10">
              <w:rPr>
                <w:b/>
              </w:rPr>
              <w:t>Perlit</w:t>
            </w:r>
            <w:proofErr w:type="spellEnd"/>
            <w:r w:rsidRPr="009A6B10">
              <w:rPr>
                <w:b/>
              </w:rPr>
              <w:t xml:space="preserve">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5</w:t>
            </w:r>
          </w:p>
        </w:tc>
        <w:tc>
          <w:tcPr>
            <w:tcW w:w="540" w:type="dxa"/>
            <w:tcBorders>
              <w:left w:val="nil"/>
              <w:right w:val="nil"/>
            </w:tcBorders>
            <w:vAlign w:val="center"/>
          </w:tcPr>
          <w:p w:rsidR="009A6B10" w:rsidRPr="009A6B10" w:rsidRDefault="009A6B10" w:rsidP="009A6B10">
            <w:pPr>
              <w:jc w:val="right"/>
            </w:pPr>
            <w:r w:rsidRPr="009A6B10">
              <w:t>1</w:t>
            </w:r>
          </w:p>
        </w:tc>
        <w:tc>
          <w:tcPr>
            <w:tcW w:w="1113" w:type="dxa"/>
            <w:tcBorders>
              <w:left w:val="nil"/>
              <w:right w:val="nil"/>
            </w:tcBorders>
            <w:vAlign w:val="center"/>
          </w:tcPr>
          <w:p w:rsidR="009A6B10" w:rsidRPr="009A6B10" w:rsidRDefault="009A6B10" w:rsidP="009A6B10">
            <w:pPr>
              <w:jc w:val="right"/>
              <w:rPr>
                <w:b/>
              </w:rPr>
            </w:pPr>
            <w:r w:rsidRPr="009A6B10">
              <w:rPr>
                <w:b/>
              </w:rPr>
              <w:t>30 459</w:t>
            </w:r>
          </w:p>
        </w:tc>
        <w:tc>
          <w:tcPr>
            <w:tcW w:w="1197" w:type="dxa"/>
            <w:tcBorders>
              <w:left w:val="nil"/>
              <w:right w:val="nil"/>
            </w:tcBorders>
            <w:vAlign w:val="center"/>
          </w:tcPr>
          <w:p w:rsidR="009A6B10" w:rsidRPr="009A6B10" w:rsidRDefault="009A6B10" w:rsidP="009A6B10">
            <w:pPr>
              <w:jc w:val="right"/>
            </w:pPr>
            <w:r w:rsidRPr="009A6B10">
              <w:t>17 046</w:t>
            </w:r>
          </w:p>
        </w:tc>
        <w:tc>
          <w:tcPr>
            <w:tcW w:w="1297" w:type="dxa"/>
            <w:tcBorders>
              <w:left w:val="nil"/>
              <w:right w:val="nil"/>
            </w:tcBorders>
            <w:vAlign w:val="center"/>
          </w:tcPr>
          <w:p w:rsidR="009A6B10" w:rsidRPr="009A6B10" w:rsidRDefault="009A6B10" w:rsidP="009A6B10">
            <w:pPr>
              <w:jc w:val="right"/>
            </w:pPr>
            <w:r w:rsidRPr="009A6B10">
              <w:t>13 093</w:t>
            </w:r>
          </w:p>
        </w:tc>
        <w:tc>
          <w:tcPr>
            <w:tcW w:w="1141" w:type="dxa"/>
            <w:tcBorders>
              <w:left w:val="nil"/>
              <w:right w:val="nil"/>
            </w:tcBorders>
            <w:vAlign w:val="center"/>
          </w:tcPr>
          <w:p w:rsidR="009A6B10" w:rsidRPr="009A6B10" w:rsidRDefault="009A6B10" w:rsidP="009A6B10">
            <w:pPr>
              <w:jc w:val="right"/>
            </w:pPr>
            <w:r w:rsidRPr="009A6B10">
              <w:t>320</w:t>
            </w:r>
          </w:p>
        </w:tc>
        <w:tc>
          <w:tcPr>
            <w:tcW w:w="979" w:type="dxa"/>
            <w:tcBorders>
              <w:left w:val="nil"/>
              <w:right w:val="nil"/>
            </w:tcBorders>
            <w:vAlign w:val="center"/>
          </w:tcPr>
          <w:p w:rsidR="009A6B10" w:rsidRPr="009A6B10" w:rsidRDefault="009A6B10" w:rsidP="009A6B10">
            <w:pPr>
              <w:jc w:val="right"/>
              <w:rPr>
                <w:b/>
              </w:rPr>
            </w:pPr>
            <w:r w:rsidRPr="009A6B10">
              <w:rPr>
                <w:b/>
              </w:rPr>
              <w:t>23</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 xml:space="preserve">Sadrovec a </w:t>
            </w:r>
            <w:proofErr w:type="spellStart"/>
            <w:r w:rsidRPr="009A6B10">
              <w:rPr>
                <w:b/>
              </w:rPr>
              <w:t>anhydrit</w:t>
            </w:r>
            <w:proofErr w:type="spellEnd"/>
            <w:r w:rsidRPr="009A6B10">
              <w:rPr>
                <w:b/>
              </w:rPr>
              <w:t xml:space="preserve">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7</w:t>
            </w:r>
          </w:p>
        </w:tc>
        <w:tc>
          <w:tcPr>
            <w:tcW w:w="540" w:type="dxa"/>
            <w:tcBorders>
              <w:left w:val="nil"/>
              <w:right w:val="nil"/>
            </w:tcBorders>
            <w:vAlign w:val="center"/>
          </w:tcPr>
          <w:p w:rsidR="009A6B10" w:rsidRPr="009A6B10" w:rsidRDefault="009A6B10" w:rsidP="009A6B10">
            <w:pPr>
              <w:jc w:val="right"/>
            </w:pPr>
            <w:r w:rsidRPr="009A6B10">
              <w:t>1</w:t>
            </w:r>
          </w:p>
        </w:tc>
        <w:tc>
          <w:tcPr>
            <w:tcW w:w="1113" w:type="dxa"/>
            <w:tcBorders>
              <w:left w:val="nil"/>
              <w:right w:val="nil"/>
            </w:tcBorders>
            <w:vAlign w:val="center"/>
          </w:tcPr>
          <w:p w:rsidR="009A6B10" w:rsidRPr="009A6B10" w:rsidRDefault="009A6B10" w:rsidP="009A6B10">
            <w:pPr>
              <w:jc w:val="right"/>
              <w:rPr>
                <w:b/>
              </w:rPr>
            </w:pPr>
            <w:r w:rsidRPr="009A6B10">
              <w:rPr>
                <w:b/>
              </w:rPr>
              <w:t>1 343 441</w:t>
            </w:r>
          </w:p>
        </w:tc>
        <w:tc>
          <w:tcPr>
            <w:tcW w:w="1197" w:type="dxa"/>
            <w:tcBorders>
              <w:left w:val="nil"/>
              <w:right w:val="nil"/>
            </w:tcBorders>
            <w:vAlign w:val="center"/>
          </w:tcPr>
          <w:p w:rsidR="009A6B10" w:rsidRPr="009A6B10" w:rsidRDefault="009A6B10" w:rsidP="009A6B10">
            <w:pPr>
              <w:jc w:val="right"/>
            </w:pPr>
            <w:r w:rsidRPr="009A6B10">
              <w:t>409 418</w:t>
            </w:r>
          </w:p>
        </w:tc>
        <w:tc>
          <w:tcPr>
            <w:tcW w:w="1297" w:type="dxa"/>
            <w:tcBorders>
              <w:left w:val="nil"/>
              <w:right w:val="nil"/>
            </w:tcBorders>
            <w:vAlign w:val="center"/>
          </w:tcPr>
          <w:p w:rsidR="009A6B10" w:rsidRPr="009A6B10" w:rsidRDefault="009A6B10" w:rsidP="009A6B10">
            <w:pPr>
              <w:jc w:val="right"/>
            </w:pPr>
            <w:r w:rsidRPr="009A6B10">
              <w:t>329 871</w:t>
            </w:r>
          </w:p>
        </w:tc>
        <w:tc>
          <w:tcPr>
            <w:tcW w:w="1141" w:type="dxa"/>
            <w:tcBorders>
              <w:left w:val="nil"/>
              <w:right w:val="nil"/>
            </w:tcBorders>
            <w:vAlign w:val="center"/>
          </w:tcPr>
          <w:p w:rsidR="009A6B10" w:rsidRPr="009A6B10" w:rsidRDefault="009A6B10" w:rsidP="009A6B10">
            <w:pPr>
              <w:jc w:val="right"/>
            </w:pPr>
            <w:r w:rsidRPr="009A6B10">
              <w:t>604 152</w:t>
            </w:r>
          </w:p>
        </w:tc>
        <w:tc>
          <w:tcPr>
            <w:tcW w:w="979" w:type="dxa"/>
            <w:tcBorders>
              <w:left w:val="nil"/>
              <w:right w:val="nil"/>
            </w:tcBorders>
            <w:vAlign w:val="center"/>
          </w:tcPr>
          <w:p w:rsidR="009A6B10" w:rsidRPr="009A6B10" w:rsidRDefault="009A6B10" w:rsidP="009A6B10">
            <w:pPr>
              <w:jc w:val="right"/>
              <w:rPr>
                <w:b/>
              </w:rPr>
            </w:pPr>
            <w:r w:rsidRPr="009A6B10">
              <w:rPr>
                <w:b/>
              </w:rPr>
              <w:t>88</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proofErr w:type="spellStart"/>
            <w:r w:rsidRPr="009A6B10">
              <w:rPr>
                <w:b/>
              </w:rPr>
              <w:t>Sialitická</w:t>
            </w:r>
            <w:proofErr w:type="spellEnd"/>
            <w:r w:rsidRPr="009A6B10">
              <w:rPr>
                <w:b/>
              </w:rPr>
              <w:t xml:space="preserve"> surovina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5</w:t>
            </w:r>
          </w:p>
        </w:tc>
        <w:tc>
          <w:tcPr>
            <w:tcW w:w="540" w:type="dxa"/>
            <w:tcBorders>
              <w:left w:val="nil"/>
              <w:right w:val="nil"/>
            </w:tcBorders>
            <w:vAlign w:val="center"/>
          </w:tcPr>
          <w:p w:rsidR="009A6B10" w:rsidRPr="009A6B10" w:rsidRDefault="009A6B10" w:rsidP="009A6B10">
            <w:pPr>
              <w:jc w:val="right"/>
            </w:pPr>
            <w:r w:rsidRPr="009A6B10">
              <w:t>2</w:t>
            </w:r>
          </w:p>
        </w:tc>
        <w:tc>
          <w:tcPr>
            <w:tcW w:w="1113" w:type="dxa"/>
            <w:tcBorders>
              <w:left w:val="nil"/>
              <w:right w:val="nil"/>
            </w:tcBorders>
            <w:vAlign w:val="center"/>
          </w:tcPr>
          <w:p w:rsidR="009A6B10" w:rsidRPr="009A6B10" w:rsidRDefault="009A6B10" w:rsidP="009A6B10">
            <w:pPr>
              <w:jc w:val="right"/>
              <w:rPr>
                <w:b/>
              </w:rPr>
            </w:pPr>
            <w:r w:rsidRPr="009A6B10">
              <w:rPr>
                <w:b/>
              </w:rPr>
              <w:t>122 261</w:t>
            </w:r>
          </w:p>
        </w:tc>
        <w:tc>
          <w:tcPr>
            <w:tcW w:w="1197" w:type="dxa"/>
            <w:tcBorders>
              <w:left w:val="nil"/>
              <w:right w:val="nil"/>
            </w:tcBorders>
            <w:vAlign w:val="center"/>
          </w:tcPr>
          <w:p w:rsidR="009A6B10" w:rsidRPr="009A6B10" w:rsidRDefault="009A6B10" w:rsidP="009A6B10">
            <w:pPr>
              <w:jc w:val="right"/>
            </w:pPr>
            <w:r w:rsidRPr="009A6B10">
              <w:t>69 867</w:t>
            </w:r>
          </w:p>
        </w:tc>
        <w:tc>
          <w:tcPr>
            <w:tcW w:w="1297" w:type="dxa"/>
            <w:tcBorders>
              <w:left w:val="nil"/>
              <w:right w:val="nil"/>
            </w:tcBorders>
            <w:vAlign w:val="center"/>
          </w:tcPr>
          <w:p w:rsidR="009A6B10" w:rsidRPr="009A6B10" w:rsidRDefault="009A6B10" w:rsidP="009A6B10">
            <w:pPr>
              <w:jc w:val="right"/>
            </w:pPr>
            <w:r w:rsidRPr="009A6B10">
              <w:t>44 378</w:t>
            </w:r>
          </w:p>
        </w:tc>
        <w:tc>
          <w:tcPr>
            <w:tcW w:w="1141" w:type="dxa"/>
            <w:tcBorders>
              <w:left w:val="nil"/>
              <w:right w:val="nil"/>
            </w:tcBorders>
            <w:vAlign w:val="center"/>
          </w:tcPr>
          <w:p w:rsidR="009A6B10" w:rsidRPr="009A6B10" w:rsidRDefault="009A6B10" w:rsidP="009A6B10">
            <w:pPr>
              <w:jc w:val="right"/>
            </w:pPr>
            <w:r w:rsidRPr="009A6B10">
              <w:t>8 016</w:t>
            </w:r>
          </w:p>
        </w:tc>
        <w:tc>
          <w:tcPr>
            <w:tcW w:w="979" w:type="dxa"/>
            <w:tcBorders>
              <w:left w:val="nil"/>
              <w:right w:val="nil"/>
            </w:tcBorders>
            <w:vAlign w:val="center"/>
          </w:tcPr>
          <w:p w:rsidR="009A6B10" w:rsidRPr="009A6B10" w:rsidRDefault="009A6B10" w:rsidP="009A6B10">
            <w:pPr>
              <w:jc w:val="right"/>
              <w:rPr>
                <w:b/>
              </w:rPr>
            </w:pPr>
            <w:r w:rsidRPr="009A6B10">
              <w:rPr>
                <w:b/>
              </w:rPr>
              <w:t>123</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Slieň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8</w:t>
            </w:r>
          </w:p>
        </w:tc>
        <w:tc>
          <w:tcPr>
            <w:tcW w:w="540" w:type="dxa"/>
            <w:tcBorders>
              <w:left w:val="nil"/>
              <w:right w:val="nil"/>
            </w:tcBorders>
            <w:vAlign w:val="center"/>
          </w:tcPr>
          <w:p w:rsidR="009A6B10" w:rsidRPr="009A6B10" w:rsidRDefault="009A6B10" w:rsidP="009A6B10">
            <w:pPr>
              <w:jc w:val="right"/>
            </w:pPr>
            <w:r w:rsidRPr="009A6B10">
              <w:t>2</w:t>
            </w:r>
          </w:p>
        </w:tc>
        <w:tc>
          <w:tcPr>
            <w:tcW w:w="1113" w:type="dxa"/>
            <w:tcBorders>
              <w:left w:val="nil"/>
              <w:right w:val="nil"/>
            </w:tcBorders>
            <w:vAlign w:val="center"/>
          </w:tcPr>
          <w:p w:rsidR="009A6B10" w:rsidRPr="009A6B10" w:rsidRDefault="009A6B10" w:rsidP="009A6B10">
            <w:pPr>
              <w:jc w:val="right"/>
              <w:rPr>
                <w:b/>
              </w:rPr>
            </w:pPr>
            <w:r w:rsidRPr="009A6B10">
              <w:rPr>
                <w:b/>
              </w:rPr>
              <w:t>166 514</w:t>
            </w:r>
          </w:p>
        </w:tc>
        <w:tc>
          <w:tcPr>
            <w:tcW w:w="1197" w:type="dxa"/>
            <w:tcBorders>
              <w:left w:val="nil"/>
              <w:right w:val="nil"/>
            </w:tcBorders>
            <w:vAlign w:val="center"/>
          </w:tcPr>
          <w:p w:rsidR="009A6B10" w:rsidRPr="009A6B10" w:rsidRDefault="009A6B10" w:rsidP="009A6B10">
            <w:pPr>
              <w:jc w:val="right"/>
            </w:pPr>
            <w:r w:rsidRPr="009A6B10">
              <w:t>90 883</w:t>
            </w:r>
          </w:p>
        </w:tc>
        <w:tc>
          <w:tcPr>
            <w:tcW w:w="1297" w:type="dxa"/>
            <w:tcBorders>
              <w:left w:val="nil"/>
              <w:right w:val="nil"/>
            </w:tcBorders>
            <w:vAlign w:val="center"/>
          </w:tcPr>
          <w:p w:rsidR="009A6B10" w:rsidRPr="009A6B10" w:rsidRDefault="009A6B10" w:rsidP="009A6B10">
            <w:pPr>
              <w:jc w:val="right"/>
            </w:pPr>
            <w:r w:rsidRPr="009A6B10">
              <w:t>73 379</w:t>
            </w:r>
          </w:p>
        </w:tc>
        <w:tc>
          <w:tcPr>
            <w:tcW w:w="1141" w:type="dxa"/>
            <w:tcBorders>
              <w:left w:val="nil"/>
              <w:right w:val="nil"/>
            </w:tcBorders>
            <w:vAlign w:val="center"/>
          </w:tcPr>
          <w:p w:rsidR="009A6B10" w:rsidRPr="009A6B10" w:rsidRDefault="009A6B10" w:rsidP="009A6B10">
            <w:pPr>
              <w:jc w:val="right"/>
            </w:pPr>
            <w:r w:rsidRPr="009A6B10">
              <w:t>2 252</w:t>
            </w:r>
          </w:p>
        </w:tc>
        <w:tc>
          <w:tcPr>
            <w:tcW w:w="979" w:type="dxa"/>
            <w:tcBorders>
              <w:left w:val="nil"/>
              <w:right w:val="nil"/>
            </w:tcBorders>
            <w:vAlign w:val="center"/>
          </w:tcPr>
          <w:p w:rsidR="009A6B10" w:rsidRPr="009A6B10" w:rsidRDefault="009A6B10" w:rsidP="009A6B10">
            <w:pPr>
              <w:jc w:val="right"/>
              <w:rPr>
                <w:b/>
              </w:rPr>
            </w:pPr>
            <w:r w:rsidRPr="009A6B10">
              <w:rPr>
                <w:b/>
              </w:rPr>
              <w:t>407</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Sľuda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w:t>
            </w:r>
          </w:p>
        </w:tc>
        <w:tc>
          <w:tcPr>
            <w:tcW w:w="540" w:type="dxa"/>
            <w:tcBorders>
              <w:left w:val="nil"/>
              <w:right w:val="nil"/>
            </w:tcBorders>
            <w:vAlign w:val="center"/>
          </w:tcPr>
          <w:p w:rsidR="009A6B10" w:rsidRPr="009A6B10" w:rsidRDefault="009A6B10" w:rsidP="009A6B10">
            <w:pPr>
              <w:jc w:val="right"/>
            </w:pPr>
            <w:bookmarkStart w:id="7" w:name="OLE_LINK3"/>
            <w:bookmarkStart w:id="8" w:name="OLE_LINK4"/>
            <w:r w:rsidRPr="009A6B10">
              <w:t>–</w:t>
            </w:r>
            <w:bookmarkEnd w:id="7"/>
            <w:bookmarkEnd w:id="8"/>
          </w:p>
        </w:tc>
        <w:tc>
          <w:tcPr>
            <w:tcW w:w="1113" w:type="dxa"/>
            <w:tcBorders>
              <w:left w:val="nil"/>
              <w:right w:val="nil"/>
            </w:tcBorders>
            <w:vAlign w:val="center"/>
          </w:tcPr>
          <w:p w:rsidR="009A6B10" w:rsidRPr="009A6B10" w:rsidRDefault="009A6B10" w:rsidP="009A6B10">
            <w:pPr>
              <w:jc w:val="right"/>
              <w:rPr>
                <w:b/>
              </w:rPr>
            </w:pPr>
            <w:r w:rsidRPr="009A6B10">
              <w:rPr>
                <w:b/>
              </w:rPr>
              <w:t>14 073</w:t>
            </w:r>
          </w:p>
        </w:tc>
        <w:tc>
          <w:tcPr>
            <w:tcW w:w="1197" w:type="dxa"/>
            <w:tcBorders>
              <w:left w:val="nil"/>
              <w:right w:val="nil"/>
            </w:tcBorders>
            <w:vAlign w:val="center"/>
          </w:tcPr>
          <w:p w:rsidR="009A6B10" w:rsidRPr="009A6B10" w:rsidRDefault="009A6B10" w:rsidP="009A6B10">
            <w:pPr>
              <w:jc w:val="right"/>
            </w:pPr>
            <w:r w:rsidRPr="009A6B10">
              <w:t>–</w:t>
            </w:r>
          </w:p>
        </w:tc>
        <w:tc>
          <w:tcPr>
            <w:tcW w:w="1297" w:type="dxa"/>
            <w:tcBorders>
              <w:left w:val="nil"/>
              <w:right w:val="nil"/>
            </w:tcBorders>
            <w:vAlign w:val="center"/>
          </w:tcPr>
          <w:p w:rsidR="009A6B10" w:rsidRPr="009A6B10" w:rsidRDefault="009A6B10" w:rsidP="009A6B10">
            <w:pPr>
              <w:jc w:val="right"/>
            </w:pPr>
            <w:r w:rsidRPr="009A6B10">
              <w:t>14 073</w:t>
            </w:r>
          </w:p>
        </w:tc>
        <w:tc>
          <w:tcPr>
            <w:tcW w:w="1141" w:type="dxa"/>
            <w:tcBorders>
              <w:left w:val="nil"/>
              <w:right w:val="nil"/>
            </w:tcBorders>
            <w:vAlign w:val="center"/>
          </w:tcPr>
          <w:p w:rsidR="009A6B10" w:rsidRPr="009A6B10" w:rsidRDefault="009A6B10" w:rsidP="009A6B10">
            <w:pPr>
              <w:jc w:val="right"/>
            </w:pPr>
            <w:r w:rsidRPr="009A6B10">
              <w:t>–</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Technické kryštály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3</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2 103</w:t>
            </w:r>
          </w:p>
        </w:tc>
        <w:tc>
          <w:tcPr>
            <w:tcW w:w="1197" w:type="dxa"/>
            <w:tcBorders>
              <w:left w:val="nil"/>
              <w:right w:val="nil"/>
            </w:tcBorders>
            <w:vAlign w:val="center"/>
          </w:tcPr>
          <w:p w:rsidR="009A6B10" w:rsidRPr="009A6B10" w:rsidRDefault="009A6B10" w:rsidP="009A6B10">
            <w:pPr>
              <w:jc w:val="right"/>
            </w:pPr>
            <w:r w:rsidRPr="009A6B10">
              <w:t>68</w:t>
            </w:r>
          </w:p>
        </w:tc>
        <w:tc>
          <w:tcPr>
            <w:tcW w:w="1297" w:type="dxa"/>
            <w:tcBorders>
              <w:left w:val="nil"/>
              <w:right w:val="nil"/>
            </w:tcBorders>
            <w:vAlign w:val="center"/>
          </w:tcPr>
          <w:p w:rsidR="009A6B10" w:rsidRPr="009A6B10" w:rsidRDefault="009A6B10" w:rsidP="009A6B10">
            <w:pPr>
              <w:jc w:val="right"/>
            </w:pPr>
            <w:r w:rsidRPr="009A6B10">
              <w:t>253</w:t>
            </w:r>
          </w:p>
        </w:tc>
        <w:tc>
          <w:tcPr>
            <w:tcW w:w="1141" w:type="dxa"/>
            <w:tcBorders>
              <w:left w:val="nil"/>
              <w:right w:val="nil"/>
            </w:tcBorders>
            <w:vAlign w:val="center"/>
          </w:tcPr>
          <w:p w:rsidR="009A6B10" w:rsidRPr="009A6B10" w:rsidRDefault="009A6B10" w:rsidP="009A6B10">
            <w:pPr>
              <w:jc w:val="right"/>
            </w:pPr>
            <w:r w:rsidRPr="009A6B10">
              <w:t>1 782</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vertAlign w:val="superscript"/>
              </w:rPr>
            </w:pPr>
            <w:r w:rsidRPr="009A6B10">
              <w:rPr>
                <w:b/>
              </w:rPr>
              <w:t xml:space="preserve">Vápenec ostatný </w:t>
            </w:r>
            <w:proofErr w:type="spellStart"/>
            <w:r w:rsidRPr="009A6B10">
              <w:rPr>
                <w:b/>
              </w:rPr>
              <w:t>Mt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30</w:t>
            </w:r>
          </w:p>
        </w:tc>
        <w:tc>
          <w:tcPr>
            <w:tcW w:w="540" w:type="dxa"/>
            <w:tcBorders>
              <w:left w:val="nil"/>
              <w:right w:val="nil"/>
            </w:tcBorders>
            <w:vAlign w:val="center"/>
          </w:tcPr>
          <w:p w:rsidR="009A6B10" w:rsidRPr="009A6B10" w:rsidRDefault="009A6B10" w:rsidP="009A6B10">
            <w:pPr>
              <w:jc w:val="right"/>
            </w:pPr>
            <w:r w:rsidRPr="009A6B10">
              <w:t>14</w:t>
            </w:r>
          </w:p>
        </w:tc>
        <w:tc>
          <w:tcPr>
            <w:tcW w:w="1113" w:type="dxa"/>
            <w:tcBorders>
              <w:left w:val="nil"/>
              <w:right w:val="nil"/>
            </w:tcBorders>
            <w:vAlign w:val="center"/>
          </w:tcPr>
          <w:p w:rsidR="009A6B10" w:rsidRPr="009A6B10" w:rsidRDefault="009A6B10" w:rsidP="009A6B10">
            <w:pPr>
              <w:jc w:val="right"/>
              <w:rPr>
                <w:b/>
              </w:rPr>
            </w:pPr>
            <w:r w:rsidRPr="009A6B10">
              <w:rPr>
                <w:b/>
              </w:rPr>
              <w:t>2 165</w:t>
            </w:r>
          </w:p>
        </w:tc>
        <w:tc>
          <w:tcPr>
            <w:tcW w:w="1197" w:type="dxa"/>
            <w:tcBorders>
              <w:left w:val="nil"/>
              <w:right w:val="nil"/>
            </w:tcBorders>
            <w:vAlign w:val="center"/>
          </w:tcPr>
          <w:p w:rsidR="009A6B10" w:rsidRPr="009A6B10" w:rsidRDefault="009A6B10" w:rsidP="009A6B10">
            <w:pPr>
              <w:jc w:val="right"/>
            </w:pPr>
            <w:r w:rsidRPr="009A6B10">
              <w:t>811</w:t>
            </w:r>
          </w:p>
        </w:tc>
        <w:tc>
          <w:tcPr>
            <w:tcW w:w="1297" w:type="dxa"/>
            <w:tcBorders>
              <w:left w:val="nil"/>
              <w:right w:val="nil"/>
            </w:tcBorders>
            <w:vAlign w:val="center"/>
          </w:tcPr>
          <w:p w:rsidR="009A6B10" w:rsidRPr="009A6B10" w:rsidRDefault="009A6B10" w:rsidP="009A6B10">
            <w:pPr>
              <w:jc w:val="right"/>
            </w:pPr>
            <w:r w:rsidRPr="009A6B10">
              <w:t>1 313</w:t>
            </w:r>
          </w:p>
        </w:tc>
        <w:tc>
          <w:tcPr>
            <w:tcW w:w="1141" w:type="dxa"/>
            <w:tcBorders>
              <w:left w:val="nil"/>
              <w:right w:val="nil"/>
            </w:tcBorders>
            <w:vAlign w:val="center"/>
          </w:tcPr>
          <w:p w:rsidR="009A6B10" w:rsidRPr="009A6B10" w:rsidRDefault="009A6B10" w:rsidP="009A6B10">
            <w:pPr>
              <w:jc w:val="right"/>
            </w:pPr>
            <w:r w:rsidRPr="009A6B10">
              <w:t>41</w:t>
            </w:r>
          </w:p>
        </w:tc>
        <w:tc>
          <w:tcPr>
            <w:tcW w:w="979" w:type="dxa"/>
            <w:tcBorders>
              <w:left w:val="nil"/>
              <w:right w:val="nil"/>
            </w:tcBorders>
            <w:vAlign w:val="center"/>
          </w:tcPr>
          <w:p w:rsidR="009A6B10" w:rsidRPr="009A6B10" w:rsidRDefault="009A6B10" w:rsidP="009A6B10">
            <w:pPr>
              <w:jc w:val="right"/>
              <w:rPr>
                <w:b/>
              </w:rPr>
            </w:pPr>
            <w:r w:rsidRPr="009A6B10">
              <w:rPr>
                <w:b/>
              </w:rPr>
              <w:t>5.3</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vertAlign w:val="superscript"/>
              </w:rPr>
            </w:pPr>
            <w:r w:rsidRPr="009A6B10">
              <w:rPr>
                <w:b/>
              </w:rPr>
              <w:t xml:space="preserve">Vápenec </w:t>
            </w:r>
            <w:proofErr w:type="spellStart"/>
            <w:r w:rsidRPr="009A6B10">
              <w:rPr>
                <w:b/>
              </w:rPr>
              <w:t>vysokopercentný</w:t>
            </w:r>
            <w:proofErr w:type="spellEnd"/>
            <w:r w:rsidRPr="009A6B10">
              <w:rPr>
                <w:b/>
              </w:rPr>
              <w:t xml:space="preserve"> [</w:t>
            </w:r>
            <w:proofErr w:type="spellStart"/>
            <w:r w:rsidRPr="009A6B10">
              <w:rPr>
                <w:b/>
              </w:rPr>
              <w:t>Mt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10</w:t>
            </w:r>
          </w:p>
        </w:tc>
        <w:tc>
          <w:tcPr>
            <w:tcW w:w="540" w:type="dxa"/>
            <w:tcBorders>
              <w:left w:val="nil"/>
              <w:right w:val="nil"/>
            </w:tcBorders>
            <w:vAlign w:val="center"/>
          </w:tcPr>
          <w:p w:rsidR="009A6B10" w:rsidRPr="009A6B10" w:rsidRDefault="009A6B10" w:rsidP="009A6B10">
            <w:pPr>
              <w:jc w:val="right"/>
            </w:pPr>
            <w:r w:rsidRPr="009A6B10">
              <w:t>4</w:t>
            </w:r>
          </w:p>
        </w:tc>
        <w:tc>
          <w:tcPr>
            <w:tcW w:w="1113" w:type="dxa"/>
            <w:tcBorders>
              <w:left w:val="nil"/>
              <w:right w:val="nil"/>
            </w:tcBorders>
            <w:vAlign w:val="center"/>
          </w:tcPr>
          <w:p w:rsidR="009A6B10" w:rsidRPr="009A6B10" w:rsidRDefault="009A6B10" w:rsidP="009A6B10">
            <w:pPr>
              <w:jc w:val="right"/>
              <w:rPr>
                <w:b/>
              </w:rPr>
            </w:pPr>
            <w:r w:rsidRPr="009A6B10">
              <w:rPr>
                <w:b/>
              </w:rPr>
              <w:t>3 351</w:t>
            </w:r>
          </w:p>
        </w:tc>
        <w:tc>
          <w:tcPr>
            <w:tcW w:w="1197" w:type="dxa"/>
            <w:tcBorders>
              <w:left w:val="nil"/>
              <w:right w:val="nil"/>
            </w:tcBorders>
            <w:vAlign w:val="center"/>
          </w:tcPr>
          <w:p w:rsidR="009A6B10" w:rsidRPr="009A6B10" w:rsidRDefault="009A6B10" w:rsidP="009A6B10">
            <w:pPr>
              <w:jc w:val="right"/>
            </w:pPr>
            <w:r w:rsidRPr="009A6B10">
              <w:t>289</w:t>
            </w:r>
          </w:p>
        </w:tc>
        <w:tc>
          <w:tcPr>
            <w:tcW w:w="1297" w:type="dxa"/>
            <w:tcBorders>
              <w:left w:val="nil"/>
              <w:right w:val="nil"/>
            </w:tcBorders>
            <w:vAlign w:val="center"/>
          </w:tcPr>
          <w:p w:rsidR="009A6B10" w:rsidRPr="009A6B10" w:rsidRDefault="009A6B10" w:rsidP="009A6B10">
            <w:pPr>
              <w:jc w:val="right"/>
            </w:pPr>
            <w:r w:rsidRPr="009A6B10">
              <w:t>3 052</w:t>
            </w:r>
          </w:p>
        </w:tc>
        <w:tc>
          <w:tcPr>
            <w:tcW w:w="1141" w:type="dxa"/>
            <w:tcBorders>
              <w:left w:val="nil"/>
              <w:right w:val="nil"/>
            </w:tcBorders>
            <w:vAlign w:val="center"/>
          </w:tcPr>
          <w:p w:rsidR="009A6B10" w:rsidRPr="009A6B10" w:rsidRDefault="009A6B10" w:rsidP="009A6B10">
            <w:pPr>
              <w:jc w:val="right"/>
            </w:pPr>
            <w:r w:rsidRPr="009A6B10">
              <w:t>11</w:t>
            </w:r>
          </w:p>
        </w:tc>
        <w:tc>
          <w:tcPr>
            <w:tcW w:w="979" w:type="dxa"/>
            <w:tcBorders>
              <w:left w:val="nil"/>
              <w:right w:val="nil"/>
            </w:tcBorders>
            <w:vAlign w:val="center"/>
          </w:tcPr>
          <w:p w:rsidR="009A6B10" w:rsidRPr="009A6B10" w:rsidRDefault="009A6B10" w:rsidP="009A6B10">
            <w:pPr>
              <w:jc w:val="right"/>
              <w:rPr>
                <w:b/>
              </w:rPr>
            </w:pPr>
            <w:r w:rsidRPr="009A6B10">
              <w:rPr>
                <w:b/>
              </w:rPr>
              <w:t>2.1</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proofErr w:type="spellStart"/>
            <w:r w:rsidRPr="009A6B10">
              <w:rPr>
                <w:b/>
              </w:rPr>
              <w:t>Zeolit</w:t>
            </w:r>
            <w:proofErr w:type="spellEnd"/>
            <w:r w:rsidRPr="009A6B10">
              <w:rPr>
                <w:b/>
              </w:rPr>
              <w:t xml:space="preserve">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6</w:t>
            </w:r>
          </w:p>
        </w:tc>
        <w:tc>
          <w:tcPr>
            <w:tcW w:w="540" w:type="dxa"/>
            <w:tcBorders>
              <w:left w:val="nil"/>
              <w:right w:val="nil"/>
            </w:tcBorders>
            <w:vAlign w:val="center"/>
          </w:tcPr>
          <w:p w:rsidR="009A6B10" w:rsidRPr="009A6B10" w:rsidRDefault="009A6B10" w:rsidP="009A6B10">
            <w:pPr>
              <w:jc w:val="right"/>
            </w:pPr>
            <w:r w:rsidRPr="009A6B10">
              <w:t>3</w:t>
            </w:r>
          </w:p>
        </w:tc>
        <w:tc>
          <w:tcPr>
            <w:tcW w:w="1113" w:type="dxa"/>
            <w:tcBorders>
              <w:left w:val="nil"/>
              <w:right w:val="nil"/>
            </w:tcBorders>
            <w:vAlign w:val="center"/>
          </w:tcPr>
          <w:p w:rsidR="009A6B10" w:rsidRPr="009A6B10" w:rsidRDefault="009A6B10" w:rsidP="009A6B10">
            <w:pPr>
              <w:jc w:val="right"/>
              <w:rPr>
                <w:b/>
              </w:rPr>
            </w:pPr>
            <w:r w:rsidRPr="009A6B10">
              <w:rPr>
                <w:b/>
              </w:rPr>
              <w:t>119 582</w:t>
            </w:r>
          </w:p>
        </w:tc>
        <w:tc>
          <w:tcPr>
            <w:tcW w:w="1197" w:type="dxa"/>
            <w:tcBorders>
              <w:left w:val="nil"/>
              <w:right w:val="nil"/>
            </w:tcBorders>
            <w:vAlign w:val="center"/>
          </w:tcPr>
          <w:p w:rsidR="009A6B10" w:rsidRPr="009A6B10" w:rsidRDefault="009A6B10" w:rsidP="009A6B10">
            <w:pPr>
              <w:jc w:val="right"/>
            </w:pPr>
            <w:r w:rsidRPr="009A6B10">
              <w:t>102 889</w:t>
            </w:r>
          </w:p>
        </w:tc>
        <w:tc>
          <w:tcPr>
            <w:tcW w:w="1297" w:type="dxa"/>
            <w:tcBorders>
              <w:left w:val="nil"/>
              <w:right w:val="nil"/>
            </w:tcBorders>
            <w:vAlign w:val="center"/>
          </w:tcPr>
          <w:p w:rsidR="009A6B10" w:rsidRPr="009A6B10" w:rsidRDefault="009A6B10" w:rsidP="009A6B10">
            <w:pPr>
              <w:jc w:val="right"/>
            </w:pPr>
            <w:r w:rsidRPr="009A6B10">
              <w:t>12 313</w:t>
            </w:r>
          </w:p>
        </w:tc>
        <w:tc>
          <w:tcPr>
            <w:tcW w:w="1141" w:type="dxa"/>
            <w:tcBorders>
              <w:left w:val="nil"/>
              <w:right w:val="nil"/>
            </w:tcBorders>
            <w:vAlign w:val="center"/>
          </w:tcPr>
          <w:p w:rsidR="009A6B10" w:rsidRPr="009A6B10" w:rsidRDefault="009A6B10" w:rsidP="009A6B10">
            <w:pPr>
              <w:jc w:val="right"/>
            </w:pPr>
            <w:r w:rsidRPr="009A6B10">
              <w:t>4 380</w:t>
            </w:r>
          </w:p>
        </w:tc>
        <w:tc>
          <w:tcPr>
            <w:tcW w:w="979" w:type="dxa"/>
            <w:tcBorders>
              <w:left w:val="nil"/>
              <w:right w:val="nil"/>
            </w:tcBorders>
            <w:vAlign w:val="center"/>
          </w:tcPr>
          <w:p w:rsidR="009A6B10" w:rsidRPr="009A6B10" w:rsidRDefault="009A6B10" w:rsidP="009A6B10">
            <w:pPr>
              <w:jc w:val="right"/>
              <w:rPr>
                <w:b/>
              </w:rPr>
            </w:pPr>
            <w:r w:rsidRPr="009A6B10">
              <w:rPr>
                <w:b/>
              </w:rPr>
              <w:t>103</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Zlievarenské a sklárske piesky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18</w:t>
            </w:r>
          </w:p>
        </w:tc>
        <w:tc>
          <w:tcPr>
            <w:tcW w:w="540" w:type="dxa"/>
            <w:tcBorders>
              <w:left w:val="nil"/>
              <w:right w:val="nil"/>
            </w:tcBorders>
            <w:vAlign w:val="center"/>
          </w:tcPr>
          <w:p w:rsidR="009A6B10" w:rsidRPr="009A6B10" w:rsidRDefault="009A6B10" w:rsidP="009A6B10">
            <w:pPr>
              <w:jc w:val="right"/>
            </w:pPr>
            <w:r w:rsidRPr="009A6B10">
              <w:t>3</w:t>
            </w:r>
          </w:p>
        </w:tc>
        <w:tc>
          <w:tcPr>
            <w:tcW w:w="1113" w:type="dxa"/>
            <w:tcBorders>
              <w:left w:val="nil"/>
              <w:right w:val="nil"/>
            </w:tcBorders>
            <w:vAlign w:val="center"/>
          </w:tcPr>
          <w:p w:rsidR="009A6B10" w:rsidRPr="009A6B10" w:rsidRDefault="009A6B10" w:rsidP="009A6B10">
            <w:pPr>
              <w:jc w:val="right"/>
              <w:rPr>
                <w:b/>
              </w:rPr>
            </w:pPr>
            <w:r w:rsidRPr="009A6B10">
              <w:rPr>
                <w:b/>
              </w:rPr>
              <w:t>1 097 017</w:t>
            </w:r>
          </w:p>
        </w:tc>
        <w:tc>
          <w:tcPr>
            <w:tcW w:w="1197" w:type="dxa"/>
            <w:tcBorders>
              <w:left w:val="nil"/>
              <w:right w:val="nil"/>
            </w:tcBorders>
            <w:vAlign w:val="center"/>
          </w:tcPr>
          <w:p w:rsidR="009A6B10" w:rsidRPr="009A6B10" w:rsidRDefault="009A6B10" w:rsidP="009A6B10">
            <w:pPr>
              <w:jc w:val="right"/>
            </w:pPr>
            <w:r w:rsidRPr="009A6B10">
              <w:t xml:space="preserve">697 973             </w:t>
            </w:r>
          </w:p>
        </w:tc>
        <w:tc>
          <w:tcPr>
            <w:tcW w:w="1297" w:type="dxa"/>
            <w:tcBorders>
              <w:left w:val="nil"/>
              <w:right w:val="nil"/>
            </w:tcBorders>
            <w:vAlign w:val="center"/>
          </w:tcPr>
          <w:p w:rsidR="009A6B10" w:rsidRPr="009A6B10" w:rsidRDefault="009A6B10" w:rsidP="009A6B10">
            <w:pPr>
              <w:jc w:val="right"/>
            </w:pPr>
            <w:r w:rsidRPr="009A6B10">
              <w:t>383 174</w:t>
            </w:r>
          </w:p>
        </w:tc>
        <w:tc>
          <w:tcPr>
            <w:tcW w:w="1141" w:type="dxa"/>
            <w:tcBorders>
              <w:left w:val="nil"/>
              <w:right w:val="nil"/>
            </w:tcBorders>
            <w:vAlign w:val="center"/>
          </w:tcPr>
          <w:p w:rsidR="009A6B10" w:rsidRPr="009A6B10" w:rsidRDefault="009A6B10" w:rsidP="009A6B10">
            <w:pPr>
              <w:jc w:val="right"/>
            </w:pPr>
            <w:r w:rsidRPr="009A6B10">
              <w:t>15 870</w:t>
            </w:r>
          </w:p>
        </w:tc>
        <w:tc>
          <w:tcPr>
            <w:tcW w:w="979" w:type="dxa"/>
            <w:tcBorders>
              <w:left w:val="nil"/>
              <w:right w:val="nil"/>
            </w:tcBorders>
            <w:vAlign w:val="center"/>
          </w:tcPr>
          <w:p w:rsidR="009A6B10" w:rsidRPr="009A6B10" w:rsidRDefault="009A6B10" w:rsidP="009A6B10">
            <w:pPr>
              <w:jc w:val="right"/>
              <w:rPr>
                <w:b/>
              </w:rPr>
            </w:pPr>
            <w:r w:rsidRPr="009A6B10">
              <w:rPr>
                <w:b/>
              </w:rPr>
              <w:t>476</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Žiaruvzdorné  íly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7</w:t>
            </w:r>
          </w:p>
        </w:tc>
        <w:tc>
          <w:tcPr>
            <w:tcW w:w="540" w:type="dxa"/>
            <w:tcBorders>
              <w:left w:val="nil"/>
              <w:right w:val="nil"/>
            </w:tcBorders>
            <w:vAlign w:val="center"/>
          </w:tcPr>
          <w:p w:rsidR="009A6B10" w:rsidRPr="009A6B10" w:rsidRDefault="009A6B10" w:rsidP="009A6B10">
            <w:pPr>
              <w:jc w:val="right"/>
            </w:pPr>
            <w:r w:rsidRPr="009A6B10">
              <w:t>1</w:t>
            </w:r>
          </w:p>
        </w:tc>
        <w:tc>
          <w:tcPr>
            <w:tcW w:w="1113" w:type="dxa"/>
            <w:tcBorders>
              <w:left w:val="nil"/>
              <w:right w:val="nil"/>
            </w:tcBorders>
            <w:vAlign w:val="center"/>
          </w:tcPr>
          <w:p w:rsidR="009A6B10" w:rsidRPr="009A6B10" w:rsidRDefault="009A6B10" w:rsidP="009A6B10">
            <w:pPr>
              <w:jc w:val="right"/>
              <w:rPr>
                <w:b/>
              </w:rPr>
            </w:pPr>
            <w:r w:rsidRPr="009A6B10">
              <w:rPr>
                <w:b/>
              </w:rPr>
              <w:t>5 311</w:t>
            </w:r>
          </w:p>
        </w:tc>
        <w:tc>
          <w:tcPr>
            <w:tcW w:w="1197" w:type="dxa"/>
            <w:tcBorders>
              <w:left w:val="nil"/>
              <w:right w:val="nil"/>
            </w:tcBorders>
            <w:vAlign w:val="center"/>
          </w:tcPr>
          <w:p w:rsidR="009A6B10" w:rsidRPr="009A6B10" w:rsidRDefault="009A6B10" w:rsidP="009A6B10">
            <w:pPr>
              <w:jc w:val="right"/>
            </w:pPr>
            <w:r w:rsidRPr="009A6B10">
              <w:t>201</w:t>
            </w:r>
          </w:p>
        </w:tc>
        <w:tc>
          <w:tcPr>
            <w:tcW w:w="1297" w:type="dxa"/>
            <w:tcBorders>
              <w:left w:val="nil"/>
              <w:right w:val="nil"/>
            </w:tcBorders>
            <w:vAlign w:val="center"/>
          </w:tcPr>
          <w:p w:rsidR="009A6B10" w:rsidRPr="009A6B10" w:rsidRDefault="009A6B10" w:rsidP="009A6B10">
            <w:pPr>
              <w:jc w:val="right"/>
            </w:pPr>
            <w:r w:rsidRPr="009A6B10">
              <w:t>2 886</w:t>
            </w:r>
          </w:p>
        </w:tc>
        <w:tc>
          <w:tcPr>
            <w:tcW w:w="1141" w:type="dxa"/>
            <w:tcBorders>
              <w:left w:val="nil"/>
              <w:right w:val="nil"/>
            </w:tcBorders>
            <w:vAlign w:val="center"/>
          </w:tcPr>
          <w:p w:rsidR="009A6B10" w:rsidRPr="009A6B10" w:rsidRDefault="009A6B10" w:rsidP="009A6B10">
            <w:pPr>
              <w:jc w:val="right"/>
            </w:pPr>
            <w:r w:rsidRPr="009A6B10">
              <w:t>2 224</w:t>
            </w:r>
          </w:p>
        </w:tc>
        <w:tc>
          <w:tcPr>
            <w:tcW w:w="979" w:type="dxa"/>
            <w:tcBorders>
              <w:left w:val="nil"/>
              <w:right w:val="nil"/>
            </w:tcBorders>
            <w:vAlign w:val="center"/>
          </w:tcPr>
          <w:p w:rsidR="009A6B10" w:rsidRPr="009A6B10" w:rsidRDefault="009A6B10" w:rsidP="009A6B10">
            <w:pPr>
              <w:jc w:val="right"/>
              <w:rPr>
                <w:b/>
              </w:rPr>
            </w:pPr>
            <w:r w:rsidRPr="009A6B10">
              <w:rPr>
                <w:b/>
              </w:rPr>
              <w:t>2</w:t>
            </w:r>
          </w:p>
        </w:tc>
      </w:tr>
      <w:tr w:rsidR="009A6B10" w:rsidRPr="009A6B10" w:rsidTr="009A6B10">
        <w:trPr>
          <w:trHeight w:val="340"/>
          <w:jc w:val="center"/>
        </w:trPr>
        <w:tc>
          <w:tcPr>
            <w:tcW w:w="2884" w:type="dxa"/>
            <w:tcBorders>
              <w:left w:val="nil"/>
              <w:right w:val="nil"/>
            </w:tcBorders>
            <w:vAlign w:val="center"/>
          </w:tcPr>
          <w:p w:rsidR="009A6B10" w:rsidRPr="009A6B10" w:rsidRDefault="009A6B10" w:rsidP="009A6B10">
            <w:pPr>
              <w:rPr>
                <w:b/>
              </w:rPr>
            </w:pPr>
            <w:r w:rsidRPr="009A6B10">
              <w:rPr>
                <w:b/>
              </w:rPr>
              <w:t>Živce a náhrady [</w:t>
            </w:r>
            <w:proofErr w:type="spellStart"/>
            <w:r w:rsidRPr="009A6B10">
              <w:rPr>
                <w:b/>
              </w:rPr>
              <w:t>kt</w:t>
            </w:r>
            <w:proofErr w:type="spellEnd"/>
            <w:r w:rsidRPr="009A6B10">
              <w:rPr>
                <w:b/>
              </w:rPr>
              <w:t>]</w:t>
            </w:r>
          </w:p>
        </w:tc>
        <w:tc>
          <w:tcPr>
            <w:tcW w:w="540" w:type="dxa"/>
            <w:tcBorders>
              <w:left w:val="nil"/>
              <w:right w:val="nil"/>
            </w:tcBorders>
            <w:vAlign w:val="center"/>
          </w:tcPr>
          <w:p w:rsidR="009A6B10" w:rsidRPr="009A6B10" w:rsidRDefault="009A6B10" w:rsidP="009A6B10">
            <w:pPr>
              <w:jc w:val="right"/>
            </w:pPr>
            <w:r w:rsidRPr="009A6B10">
              <w:t>10</w:t>
            </w:r>
          </w:p>
        </w:tc>
        <w:tc>
          <w:tcPr>
            <w:tcW w:w="540" w:type="dxa"/>
            <w:tcBorders>
              <w:left w:val="nil"/>
              <w:right w:val="nil"/>
            </w:tcBorders>
            <w:vAlign w:val="center"/>
          </w:tcPr>
          <w:p w:rsidR="009A6B10" w:rsidRPr="009A6B10" w:rsidRDefault="009A6B10" w:rsidP="009A6B10">
            <w:pPr>
              <w:jc w:val="right"/>
            </w:pPr>
            <w:r w:rsidRPr="009A6B10">
              <w:t>–</w:t>
            </w:r>
          </w:p>
        </w:tc>
        <w:tc>
          <w:tcPr>
            <w:tcW w:w="1113" w:type="dxa"/>
            <w:tcBorders>
              <w:left w:val="nil"/>
              <w:right w:val="nil"/>
            </w:tcBorders>
            <w:vAlign w:val="center"/>
          </w:tcPr>
          <w:p w:rsidR="009A6B10" w:rsidRPr="009A6B10" w:rsidRDefault="009A6B10" w:rsidP="009A6B10">
            <w:pPr>
              <w:jc w:val="right"/>
              <w:rPr>
                <w:b/>
              </w:rPr>
            </w:pPr>
            <w:r w:rsidRPr="009A6B10">
              <w:rPr>
                <w:b/>
              </w:rPr>
              <w:t>24 145</w:t>
            </w:r>
          </w:p>
        </w:tc>
        <w:tc>
          <w:tcPr>
            <w:tcW w:w="1197" w:type="dxa"/>
            <w:tcBorders>
              <w:left w:val="nil"/>
              <w:right w:val="nil"/>
            </w:tcBorders>
            <w:vAlign w:val="center"/>
          </w:tcPr>
          <w:p w:rsidR="009A6B10" w:rsidRPr="009A6B10" w:rsidRDefault="009A6B10" w:rsidP="009A6B10">
            <w:pPr>
              <w:jc w:val="right"/>
            </w:pPr>
            <w:r w:rsidRPr="009A6B10">
              <w:t>4 324</w:t>
            </w:r>
          </w:p>
        </w:tc>
        <w:tc>
          <w:tcPr>
            <w:tcW w:w="1297" w:type="dxa"/>
            <w:tcBorders>
              <w:left w:val="nil"/>
              <w:right w:val="nil"/>
            </w:tcBorders>
            <w:vAlign w:val="center"/>
          </w:tcPr>
          <w:p w:rsidR="009A6B10" w:rsidRPr="009A6B10" w:rsidRDefault="009A6B10" w:rsidP="009A6B10">
            <w:pPr>
              <w:jc w:val="right"/>
            </w:pPr>
            <w:r w:rsidRPr="009A6B10">
              <w:t>18 716</w:t>
            </w:r>
          </w:p>
        </w:tc>
        <w:tc>
          <w:tcPr>
            <w:tcW w:w="1141" w:type="dxa"/>
            <w:tcBorders>
              <w:left w:val="nil"/>
              <w:right w:val="nil"/>
            </w:tcBorders>
            <w:vAlign w:val="center"/>
          </w:tcPr>
          <w:p w:rsidR="009A6B10" w:rsidRPr="009A6B10" w:rsidRDefault="009A6B10" w:rsidP="009A6B10">
            <w:pPr>
              <w:jc w:val="right"/>
            </w:pPr>
            <w:r w:rsidRPr="009A6B10">
              <w:t>1 105</w:t>
            </w:r>
          </w:p>
        </w:tc>
        <w:tc>
          <w:tcPr>
            <w:tcW w:w="979" w:type="dxa"/>
            <w:tcBorders>
              <w:left w:val="nil"/>
              <w:right w:val="nil"/>
            </w:tcBorders>
            <w:vAlign w:val="center"/>
          </w:tcPr>
          <w:p w:rsidR="009A6B10" w:rsidRPr="009A6B10" w:rsidRDefault="009A6B10" w:rsidP="009A6B10">
            <w:pPr>
              <w:jc w:val="right"/>
              <w:rPr>
                <w:b/>
              </w:rPr>
            </w:pPr>
            <w:r w:rsidRPr="009A6B10">
              <w:rPr>
                <w:b/>
              </w:rPr>
              <w:t>–</w:t>
            </w:r>
          </w:p>
        </w:tc>
      </w:tr>
    </w:tbl>
    <w:p w:rsidR="009A6B10" w:rsidRPr="009A6B10" w:rsidRDefault="009A6B10" w:rsidP="009A6B10"/>
    <w:p w:rsidR="009A6B10" w:rsidRPr="009A6B10" w:rsidRDefault="009A6B10" w:rsidP="009A6B10">
      <w:pPr>
        <w:spacing w:line="360" w:lineRule="auto"/>
        <w:jc w:val="center"/>
        <w:rPr>
          <w:b/>
        </w:rPr>
      </w:pPr>
    </w:p>
    <w:p w:rsidR="009A6B10" w:rsidRPr="009A6B10" w:rsidRDefault="009A6B10" w:rsidP="009A6B10">
      <w:pPr>
        <w:spacing w:line="360" w:lineRule="auto"/>
        <w:jc w:val="center"/>
        <w:rPr>
          <w:b/>
        </w:rPr>
      </w:pPr>
    </w:p>
    <w:p w:rsidR="009A6B10" w:rsidRPr="009A6B10" w:rsidRDefault="009A6B10" w:rsidP="009A6B10">
      <w:pPr>
        <w:spacing w:line="360" w:lineRule="auto"/>
        <w:jc w:val="center"/>
      </w:pPr>
      <w:r w:rsidRPr="009A6B10">
        <w:t>Zásoby a ťažba na výhradných ložiskách stavebných surovín (2011)</w:t>
      </w:r>
    </w:p>
    <w:tbl>
      <w:tblPr>
        <w:tblW w:w="0" w:type="auto"/>
        <w:jc w:val="center"/>
        <w:tblBorders>
          <w:top w:val="single" w:sz="6" w:space="0" w:color="auto"/>
          <w:bottom w:val="single" w:sz="6" w:space="0" w:color="auto"/>
          <w:insideH w:val="single" w:sz="6" w:space="0" w:color="auto"/>
        </w:tblBorders>
        <w:tblLayout w:type="fixed"/>
        <w:tblCellMar>
          <w:left w:w="70" w:type="dxa"/>
          <w:right w:w="70" w:type="dxa"/>
        </w:tblCellMar>
        <w:tblLook w:val="00A0" w:firstRow="1" w:lastRow="0" w:firstColumn="1" w:lastColumn="0" w:noHBand="0" w:noVBand="0"/>
      </w:tblPr>
      <w:tblGrid>
        <w:gridCol w:w="2845"/>
        <w:gridCol w:w="615"/>
        <w:gridCol w:w="488"/>
        <w:gridCol w:w="1186"/>
        <w:gridCol w:w="1081"/>
        <w:gridCol w:w="1042"/>
        <w:gridCol w:w="824"/>
        <w:gridCol w:w="824"/>
      </w:tblGrid>
      <w:tr w:rsidR="009A6B10" w:rsidRPr="009A6B10" w:rsidTr="009A6B10">
        <w:trPr>
          <w:cantSplit/>
          <w:trHeight w:val="2055"/>
          <w:jc w:val="center"/>
        </w:trPr>
        <w:tc>
          <w:tcPr>
            <w:tcW w:w="2845" w:type="dxa"/>
            <w:tcBorders>
              <w:left w:val="nil"/>
              <w:bottom w:val="single" w:sz="12" w:space="0" w:color="auto"/>
              <w:right w:val="nil"/>
            </w:tcBorders>
            <w:vAlign w:val="bottom"/>
          </w:tcPr>
          <w:p w:rsidR="009A6B10" w:rsidRPr="009A6B10" w:rsidRDefault="009A6B10" w:rsidP="00754C28">
            <w:pPr>
              <w:keepNext/>
              <w:autoSpaceDE w:val="0"/>
              <w:autoSpaceDN w:val="0"/>
              <w:adjustRightInd w:val="0"/>
              <w:outlineLvl w:val="4"/>
              <w:rPr>
                <w:b/>
                <w:i/>
                <w:iCs/>
                <w:sz w:val="22"/>
                <w:szCs w:val="22"/>
              </w:rPr>
            </w:pPr>
            <w:r w:rsidRPr="009A6B10">
              <w:rPr>
                <w:b/>
                <w:i/>
                <w:iCs/>
                <w:sz w:val="22"/>
                <w:szCs w:val="22"/>
              </w:rPr>
              <w:t>Surovina</w:t>
            </w:r>
          </w:p>
        </w:tc>
        <w:tc>
          <w:tcPr>
            <w:tcW w:w="615"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bCs/>
                <w:sz w:val="22"/>
                <w:szCs w:val="22"/>
              </w:rPr>
              <w:t>Počet ložísk</w:t>
            </w:r>
          </w:p>
        </w:tc>
        <w:tc>
          <w:tcPr>
            <w:tcW w:w="488"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sz w:val="22"/>
                <w:szCs w:val="22"/>
              </w:rPr>
              <w:t>– z toho ťažených</w:t>
            </w:r>
          </w:p>
        </w:tc>
        <w:tc>
          <w:tcPr>
            <w:tcW w:w="1186"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bCs/>
                <w:sz w:val="22"/>
                <w:szCs w:val="22"/>
              </w:rPr>
              <w:t>Zásoby spolu</w:t>
            </w:r>
          </w:p>
        </w:tc>
        <w:tc>
          <w:tcPr>
            <w:tcW w:w="1081"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sz w:val="22"/>
                <w:szCs w:val="22"/>
              </w:rPr>
              <w:t xml:space="preserve">– bilančné </w:t>
            </w:r>
          </w:p>
          <w:p w:rsidR="009A6B10" w:rsidRPr="009A6B10" w:rsidRDefault="009A6B10" w:rsidP="00754C28">
            <w:pPr>
              <w:keepNext/>
              <w:ind w:left="113" w:right="113"/>
              <w:outlineLvl w:val="3"/>
              <w:rPr>
                <w:b/>
                <w:sz w:val="22"/>
                <w:szCs w:val="22"/>
              </w:rPr>
            </w:pPr>
            <w:r w:rsidRPr="009A6B10">
              <w:rPr>
                <w:b/>
                <w:sz w:val="22"/>
                <w:szCs w:val="22"/>
              </w:rPr>
              <w:t>(Z-1 + Z-2)</w:t>
            </w:r>
          </w:p>
        </w:tc>
        <w:tc>
          <w:tcPr>
            <w:tcW w:w="1042"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sz w:val="22"/>
                <w:szCs w:val="22"/>
              </w:rPr>
              <w:t>– bilančné (Z-3)</w:t>
            </w:r>
          </w:p>
        </w:tc>
        <w:tc>
          <w:tcPr>
            <w:tcW w:w="824"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sz w:val="22"/>
                <w:szCs w:val="22"/>
              </w:rPr>
              <w:t>– nebilančné</w:t>
            </w:r>
          </w:p>
        </w:tc>
        <w:tc>
          <w:tcPr>
            <w:tcW w:w="824" w:type="dxa"/>
            <w:tcBorders>
              <w:left w:val="nil"/>
              <w:bottom w:val="single" w:sz="12" w:space="0" w:color="auto"/>
              <w:right w:val="nil"/>
            </w:tcBorders>
            <w:textDirection w:val="btLr"/>
            <w:vAlign w:val="center"/>
          </w:tcPr>
          <w:p w:rsidR="009A6B10" w:rsidRPr="009A6B10" w:rsidRDefault="009A6B10" w:rsidP="00754C28">
            <w:pPr>
              <w:keepNext/>
              <w:ind w:left="113" w:right="113"/>
              <w:outlineLvl w:val="3"/>
              <w:rPr>
                <w:b/>
                <w:sz w:val="22"/>
                <w:szCs w:val="22"/>
              </w:rPr>
            </w:pPr>
            <w:r w:rsidRPr="009A6B10">
              <w:rPr>
                <w:b/>
                <w:sz w:val="22"/>
                <w:szCs w:val="22"/>
              </w:rPr>
              <w:t>Ťažba 2011</w:t>
            </w:r>
          </w:p>
        </w:tc>
      </w:tr>
      <w:tr w:rsidR="009A6B10" w:rsidRPr="009A6B10" w:rsidTr="009A6B10">
        <w:trPr>
          <w:trHeight w:val="355"/>
          <w:jc w:val="center"/>
        </w:trPr>
        <w:tc>
          <w:tcPr>
            <w:tcW w:w="2845" w:type="dxa"/>
            <w:tcBorders>
              <w:top w:val="nil"/>
              <w:left w:val="nil"/>
              <w:right w:val="nil"/>
            </w:tcBorders>
            <w:vAlign w:val="center"/>
          </w:tcPr>
          <w:p w:rsidR="009A6B10" w:rsidRPr="009A6B10" w:rsidRDefault="009A6B10" w:rsidP="009A6B10">
            <w:pPr>
              <w:rPr>
                <w:b/>
              </w:rPr>
            </w:pPr>
            <w:r w:rsidRPr="009A6B10">
              <w:rPr>
                <w:b/>
              </w:rPr>
              <w:t xml:space="preserve">Stavebný kameň </w:t>
            </w:r>
            <w:r w:rsidRPr="009A6B10">
              <w:rPr>
                <w:b/>
                <w:i/>
              </w:rPr>
              <w:t>[tis. m</w:t>
            </w:r>
            <w:r w:rsidRPr="009A6B10">
              <w:rPr>
                <w:b/>
                <w:i/>
                <w:vertAlign w:val="superscript"/>
              </w:rPr>
              <w:t>3</w:t>
            </w:r>
            <w:r w:rsidRPr="009A6B10">
              <w:rPr>
                <w:b/>
                <w:i/>
              </w:rPr>
              <w:t>]</w:t>
            </w:r>
          </w:p>
        </w:tc>
        <w:tc>
          <w:tcPr>
            <w:tcW w:w="615" w:type="dxa"/>
            <w:tcBorders>
              <w:top w:val="nil"/>
              <w:left w:val="nil"/>
              <w:right w:val="nil"/>
            </w:tcBorders>
            <w:vAlign w:val="center"/>
          </w:tcPr>
          <w:p w:rsidR="009A6B10" w:rsidRPr="009A6B10" w:rsidRDefault="009A6B10" w:rsidP="009A6B10">
            <w:pPr>
              <w:jc w:val="right"/>
            </w:pPr>
            <w:r w:rsidRPr="009A6B10">
              <w:t>131</w:t>
            </w:r>
          </w:p>
        </w:tc>
        <w:tc>
          <w:tcPr>
            <w:tcW w:w="488" w:type="dxa"/>
            <w:tcBorders>
              <w:top w:val="nil"/>
              <w:left w:val="nil"/>
              <w:right w:val="nil"/>
            </w:tcBorders>
            <w:vAlign w:val="center"/>
          </w:tcPr>
          <w:p w:rsidR="009A6B10" w:rsidRPr="009A6B10" w:rsidRDefault="009A6B10" w:rsidP="009A6B10">
            <w:pPr>
              <w:jc w:val="right"/>
            </w:pPr>
            <w:r w:rsidRPr="009A6B10">
              <w:t>90</w:t>
            </w:r>
          </w:p>
        </w:tc>
        <w:tc>
          <w:tcPr>
            <w:tcW w:w="1186" w:type="dxa"/>
            <w:tcBorders>
              <w:top w:val="nil"/>
              <w:left w:val="nil"/>
              <w:right w:val="nil"/>
            </w:tcBorders>
            <w:vAlign w:val="center"/>
          </w:tcPr>
          <w:p w:rsidR="009A6B10" w:rsidRPr="009A6B10" w:rsidRDefault="009A6B10" w:rsidP="009A6B10">
            <w:pPr>
              <w:jc w:val="right"/>
              <w:rPr>
                <w:b/>
              </w:rPr>
            </w:pPr>
            <w:r w:rsidRPr="009A6B10">
              <w:rPr>
                <w:b/>
              </w:rPr>
              <w:t>781 811</w:t>
            </w:r>
          </w:p>
        </w:tc>
        <w:tc>
          <w:tcPr>
            <w:tcW w:w="1081" w:type="dxa"/>
            <w:tcBorders>
              <w:top w:val="nil"/>
              <w:left w:val="nil"/>
              <w:right w:val="nil"/>
            </w:tcBorders>
            <w:vAlign w:val="center"/>
          </w:tcPr>
          <w:p w:rsidR="009A6B10" w:rsidRPr="009A6B10" w:rsidRDefault="009A6B10" w:rsidP="009A6B10">
            <w:pPr>
              <w:jc w:val="right"/>
            </w:pPr>
            <w:r w:rsidRPr="009A6B10">
              <w:t>528 117</w:t>
            </w:r>
          </w:p>
        </w:tc>
        <w:tc>
          <w:tcPr>
            <w:tcW w:w="1042" w:type="dxa"/>
            <w:tcBorders>
              <w:top w:val="nil"/>
              <w:left w:val="nil"/>
              <w:right w:val="nil"/>
            </w:tcBorders>
            <w:vAlign w:val="center"/>
          </w:tcPr>
          <w:p w:rsidR="009A6B10" w:rsidRPr="009A6B10" w:rsidRDefault="009A6B10" w:rsidP="009A6B10">
            <w:pPr>
              <w:jc w:val="right"/>
            </w:pPr>
            <w:r w:rsidRPr="009A6B10">
              <w:t>246 540</w:t>
            </w:r>
          </w:p>
        </w:tc>
        <w:tc>
          <w:tcPr>
            <w:tcW w:w="824" w:type="dxa"/>
            <w:tcBorders>
              <w:top w:val="nil"/>
              <w:left w:val="nil"/>
              <w:right w:val="nil"/>
            </w:tcBorders>
            <w:vAlign w:val="center"/>
          </w:tcPr>
          <w:p w:rsidR="009A6B10" w:rsidRPr="009A6B10" w:rsidRDefault="009A6B10" w:rsidP="009A6B10">
            <w:pPr>
              <w:jc w:val="right"/>
            </w:pPr>
            <w:r w:rsidRPr="009A6B10">
              <w:t>7 154</w:t>
            </w:r>
          </w:p>
        </w:tc>
        <w:tc>
          <w:tcPr>
            <w:tcW w:w="824" w:type="dxa"/>
            <w:tcBorders>
              <w:top w:val="nil"/>
              <w:left w:val="nil"/>
              <w:right w:val="nil"/>
            </w:tcBorders>
            <w:vAlign w:val="center"/>
          </w:tcPr>
          <w:p w:rsidR="009A6B10" w:rsidRPr="009A6B10" w:rsidRDefault="009A6B10" w:rsidP="009A6B10">
            <w:pPr>
              <w:jc w:val="right"/>
              <w:rPr>
                <w:b/>
              </w:rPr>
            </w:pPr>
            <w:r w:rsidRPr="009A6B10">
              <w:rPr>
                <w:b/>
              </w:rPr>
              <w:t>5 124</w:t>
            </w:r>
          </w:p>
        </w:tc>
      </w:tr>
      <w:tr w:rsidR="009A6B10" w:rsidRPr="009A6B10" w:rsidTr="009A6B10">
        <w:trPr>
          <w:cantSplit/>
          <w:trHeight w:val="280"/>
          <w:jc w:val="center"/>
        </w:trPr>
        <w:tc>
          <w:tcPr>
            <w:tcW w:w="2845" w:type="dxa"/>
            <w:tcBorders>
              <w:left w:val="nil"/>
              <w:right w:val="nil"/>
            </w:tcBorders>
            <w:vAlign w:val="center"/>
          </w:tcPr>
          <w:p w:rsidR="009A6B10" w:rsidRPr="009A6B10" w:rsidRDefault="009A6B10" w:rsidP="009A6B10">
            <w:pPr>
              <w:rPr>
                <w:b/>
              </w:rPr>
            </w:pPr>
            <w:r w:rsidRPr="009A6B10">
              <w:rPr>
                <w:b/>
              </w:rPr>
              <w:t xml:space="preserve">Štrkopiesky </w:t>
            </w:r>
            <w:r w:rsidRPr="009A6B10">
              <w:rPr>
                <w:b/>
                <w:i/>
              </w:rPr>
              <w:t>[tis. m</w:t>
            </w:r>
            <w:r w:rsidRPr="009A6B10">
              <w:rPr>
                <w:b/>
                <w:i/>
                <w:vertAlign w:val="superscript"/>
              </w:rPr>
              <w:t>3</w:t>
            </w:r>
            <w:r w:rsidRPr="009A6B10">
              <w:rPr>
                <w:b/>
                <w:i/>
              </w:rPr>
              <w:t>]</w:t>
            </w:r>
          </w:p>
        </w:tc>
        <w:tc>
          <w:tcPr>
            <w:tcW w:w="615" w:type="dxa"/>
            <w:tcBorders>
              <w:left w:val="nil"/>
              <w:right w:val="nil"/>
            </w:tcBorders>
            <w:vAlign w:val="center"/>
          </w:tcPr>
          <w:p w:rsidR="009A6B10" w:rsidRPr="009A6B10" w:rsidRDefault="009A6B10" w:rsidP="009A6B10">
            <w:pPr>
              <w:jc w:val="right"/>
            </w:pPr>
            <w:r w:rsidRPr="009A6B10">
              <w:t>23</w:t>
            </w:r>
          </w:p>
        </w:tc>
        <w:tc>
          <w:tcPr>
            <w:tcW w:w="488" w:type="dxa"/>
            <w:tcBorders>
              <w:left w:val="nil"/>
              <w:right w:val="nil"/>
            </w:tcBorders>
            <w:vAlign w:val="center"/>
          </w:tcPr>
          <w:p w:rsidR="009A6B10" w:rsidRPr="009A6B10" w:rsidRDefault="009A6B10" w:rsidP="009A6B10">
            <w:pPr>
              <w:jc w:val="right"/>
            </w:pPr>
            <w:r w:rsidRPr="009A6B10">
              <w:t>11</w:t>
            </w:r>
          </w:p>
        </w:tc>
        <w:tc>
          <w:tcPr>
            <w:tcW w:w="1186" w:type="dxa"/>
            <w:tcBorders>
              <w:left w:val="nil"/>
              <w:right w:val="nil"/>
            </w:tcBorders>
            <w:vAlign w:val="center"/>
          </w:tcPr>
          <w:p w:rsidR="009A6B10" w:rsidRPr="009A6B10" w:rsidRDefault="009A6B10" w:rsidP="009A6B10">
            <w:pPr>
              <w:jc w:val="right"/>
              <w:rPr>
                <w:b/>
              </w:rPr>
            </w:pPr>
            <w:r w:rsidRPr="009A6B10">
              <w:rPr>
                <w:b/>
              </w:rPr>
              <w:t>163 412</w:t>
            </w:r>
          </w:p>
        </w:tc>
        <w:tc>
          <w:tcPr>
            <w:tcW w:w="1081" w:type="dxa"/>
            <w:tcBorders>
              <w:left w:val="nil"/>
              <w:right w:val="nil"/>
            </w:tcBorders>
            <w:vAlign w:val="center"/>
          </w:tcPr>
          <w:p w:rsidR="009A6B10" w:rsidRPr="009A6B10" w:rsidRDefault="009A6B10" w:rsidP="009A6B10">
            <w:pPr>
              <w:jc w:val="right"/>
            </w:pPr>
            <w:r w:rsidRPr="009A6B10">
              <w:t>153 567</w:t>
            </w:r>
          </w:p>
        </w:tc>
        <w:tc>
          <w:tcPr>
            <w:tcW w:w="1042" w:type="dxa"/>
            <w:tcBorders>
              <w:left w:val="nil"/>
              <w:right w:val="nil"/>
            </w:tcBorders>
            <w:vAlign w:val="center"/>
          </w:tcPr>
          <w:p w:rsidR="009A6B10" w:rsidRPr="009A6B10" w:rsidRDefault="009A6B10" w:rsidP="009A6B10">
            <w:pPr>
              <w:jc w:val="right"/>
            </w:pPr>
            <w:r w:rsidRPr="009A6B10">
              <w:t>4 654</w:t>
            </w:r>
          </w:p>
        </w:tc>
        <w:tc>
          <w:tcPr>
            <w:tcW w:w="824" w:type="dxa"/>
            <w:tcBorders>
              <w:left w:val="nil"/>
              <w:right w:val="nil"/>
            </w:tcBorders>
            <w:vAlign w:val="center"/>
          </w:tcPr>
          <w:p w:rsidR="009A6B10" w:rsidRPr="009A6B10" w:rsidRDefault="009A6B10" w:rsidP="009A6B10">
            <w:pPr>
              <w:ind w:left="720" w:hanging="720"/>
              <w:jc w:val="right"/>
              <w:rPr>
                <w:snapToGrid w:val="0"/>
                <w:lang w:eastAsia="en-GB"/>
              </w:rPr>
            </w:pPr>
            <w:r w:rsidRPr="009A6B10">
              <w:rPr>
                <w:snapToGrid w:val="0"/>
                <w:lang w:eastAsia="en-GB"/>
              </w:rPr>
              <w:t>5 191</w:t>
            </w:r>
          </w:p>
        </w:tc>
        <w:tc>
          <w:tcPr>
            <w:tcW w:w="824" w:type="dxa"/>
            <w:tcBorders>
              <w:left w:val="nil"/>
              <w:right w:val="nil"/>
            </w:tcBorders>
            <w:vAlign w:val="center"/>
          </w:tcPr>
          <w:p w:rsidR="009A6B10" w:rsidRPr="009A6B10" w:rsidRDefault="009A6B10" w:rsidP="009A6B10">
            <w:pPr>
              <w:jc w:val="right"/>
              <w:rPr>
                <w:b/>
              </w:rPr>
            </w:pPr>
            <w:r w:rsidRPr="009A6B10">
              <w:rPr>
                <w:b/>
              </w:rPr>
              <w:t>1 120</w:t>
            </w:r>
          </w:p>
        </w:tc>
      </w:tr>
      <w:tr w:rsidR="009A6B10" w:rsidRPr="009A6B10" w:rsidTr="009A6B10">
        <w:trPr>
          <w:cantSplit/>
          <w:trHeight w:val="298"/>
          <w:jc w:val="center"/>
        </w:trPr>
        <w:tc>
          <w:tcPr>
            <w:tcW w:w="2845" w:type="dxa"/>
            <w:tcBorders>
              <w:left w:val="nil"/>
              <w:right w:val="nil"/>
            </w:tcBorders>
            <w:vAlign w:val="center"/>
          </w:tcPr>
          <w:p w:rsidR="009A6B10" w:rsidRPr="009A6B10" w:rsidRDefault="009A6B10" w:rsidP="009A6B10">
            <w:pPr>
              <w:rPr>
                <w:b/>
              </w:rPr>
            </w:pPr>
            <w:r w:rsidRPr="009A6B10">
              <w:rPr>
                <w:b/>
              </w:rPr>
              <w:t xml:space="preserve">Tehliarske suroviny </w:t>
            </w:r>
            <w:r w:rsidRPr="009A6B10">
              <w:rPr>
                <w:b/>
                <w:i/>
              </w:rPr>
              <w:t>[tis. m</w:t>
            </w:r>
            <w:r w:rsidRPr="009A6B10">
              <w:rPr>
                <w:b/>
                <w:i/>
                <w:vertAlign w:val="superscript"/>
              </w:rPr>
              <w:t>3</w:t>
            </w:r>
            <w:r w:rsidRPr="009A6B10">
              <w:rPr>
                <w:b/>
                <w:i/>
              </w:rPr>
              <w:t>]</w:t>
            </w:r>
          </w:p>
        </w:tc>
        <w:tc>
          <w:tcPr>
            <w:tcW w:w="615" w:type="dxa"/>
            <w:tcBorders>
              <w:left w:val="nil"/>
              <w:right w:val="nil"/>
            </w:tcBorders>
            <w:vAlign w:val="center"/>
          </w:tcPr>
          <w:p w:rsidR="009A6B10" w:rsidRPr="009A6B10" w:rsidRDefault="009A6B10" w:rsidP="009A6B10">
            <w:pPr>
              <w:jc w:val="right"/>
            </w:pPr>
            <w:r w:rsidRPr="009A6B10">
              <w:t>38</w:t>
            </w:r>
          </w:p>
        </w:tc>
        <w:tc>
          <w:tcPr>
            <w:tcW w:w="488" w:type="dxa"/>
            <w:tcBorders>
              <w:left w:val="nil"/>
              <w:right w:val="nil"/>
            </w:tcBorders>
            <w:vAlign w:val="center"/>
          </w:tcPr>
          <w:p w:rsidR="009A6B10" w:rsidRPr="009A6B10" w:rsidRDefault="009A6B10" w:rsidP="009A6B10">
            <w:pPr>
              <w:jc w:val="right"/>
            </w:pPr>
            <w:r w:rsidRPr="009A6B10">
              <w:t>7</w:t>
            </w:r>
          </w:p>
        </w:tc>
        <w:tc>
          <w:tcPr>
            <w:tcW w:w="1186" w:type="dxa"/>
            <w:tcBorders>
              <w:left w:val="nil"/>
              <w:right w:val="nil"/>
            </w:tcBorders>
            <w:vAlign w:val="center"/>
          </w:tcPr>
          <w:p w:rsidR="009A6B10" w:rsidRPr="009A6B10" w:rsidRDefault="009A6B10" w:rsidP="009A6B10">
            <w:pPr>
              <w:jc w:val="right"/>
              <w:rPr>
                <w:b/>
              </w:rPr>
            </w:pPr>
            <w:r w:rsidRPr="009A6B10">
              <w:rPr>
                <w:b/>
              </w:rPr>
              <w:t>118 156</w:t>
            </w:r>
          </w:p>
        </w:tc>
        <w:tc>
          <w:tcPr>
            <w:tcW w:w="1081" w:type="dxa"/>
            <w:tcBorders>
              <w:left w:val="nil"/>
              <w:right w:val="nil"/>
            </w:tcBorders>
            <w:vAlign w:val="center"/>
          </w:tcPr>
          <w:p w:rsidR="009A6B10" w:rsidRPr="009A6B10" w:rsidRDefault="009A6B10" w:rsidP="009A6B10">
            <w:pPr>
              <w:jc w:val="right"/>
            </w:pPr>
            <w:r w:rsidRPr="009A6B10">
              <w:t>40 497</w:t>
            </w:r>
          </w:p>
        </w:tc>
        <w:tc>
          <w:tcPr>
            <w:tcW w:w="1042" w:type="dxa"/>
            <w:tcBorders>
              <w:left w:val="nil"/>
              <w:right w:val="nil"/>
            </w:tcBorders>
            <w:vAlign w:val="center"/>
          </w:tcPr>
          <w:p w:rsidR="009A6B10" w:rsidRPr="009A6B10" w:rsidRDefault="009A6B10" w:rsidP="009A6B10">
            <w:pPr>
              <w:jc w:val="right"/>
            </w:pPr>
            <w:r w:rsidRPr="009A6B10">
              <w:t>31 902</w:t>
            </w:r>
          </w:p>
        </w:tc>
        <w:tc>
          <w:tcPr>
            <w:tcW w:w="824" w:type="dxa"/>
            <w:tcBorders>
              <w:left w:val="nil"/>
              <w:right w:val="nil"/>
            </w:tcBorders>
            <w:vAlign w:val="center"/>
          </w:tcPr>
          <w:p w:rsidR="009A6B10" w:rsidRPr="009A6B10" w:rsidRDefault="009A6B10" w:rsidP="009A6B10">
            <w:pPr>
              <w:jc w:val="right"/>
            </w:pPr>
            <w:r w:rsidRPr="009A6B10">
              <w:t>15 757</w:t>
            </w:r>
          </w:p>
        </w:tc>
        <w:tc>
          <w:tcPr>
            <w:tcW w:w="824" w:type="dxa"/>
            <w:tcBorders>
              <w:left w:val="nil"/>
              <w:right w:val="nil"/>
            </w:tcBorders>
            <w:vAlign w:val="center"/>
          </w:tcPr>
          <w:p w:rsidR="009A6B10" w:rsidRPr="009A6B10" w:rsidRDefault="009A6B10" w:rsidP="009A6B10">
            <w:pPr>
              <w:jc w:val="right"/>
              <w:rPr>
                <w:b/>
              </w:rPr>
            </w:pPr>
            <w:r w:rsidRPr="009A6B10">
              <w:rPr>
                <w:b/>
              </w:rPr>
              <w:t>224</w:t>
            </w:r>
          </w:p>
        </w:tc>
      </w:tr>
    </w:tbl>
    <w:p w:rsidR="009A6B10" w:rsidRPr="009A6B10" w:rsidRDefault="009A6B10" w:rsidP="009A6B10">
      <w:pPr>
        <w:spacing w:line="360" w:lineRule="auto"/>
        <w:rPr>
          <w:rFonts w:ascii="Arial" w:hAnsi="Arial" w:cs="Arial"/>
        </w:rPr>
      </w:pPr>
    </w:p>
    <w:p w:rsidR="009A6B10" w:rsidRPr="009A6B10" w:rsidRDefault="009A6B10" w:rsidP="009A6B10">
      <w:pPr>
        <w:rPr>
          <w:rFonts w:ascii="Arial" w:hAnsi="Arial" w:cs="Arial"/>
          <w:bCs/>
        </w:rPr>
      </w:pPr>
    </w:p>
    <w:p w:rsidR="009A6B10" w:rsidRPr="009A6B10" w:rsidRDefault="009A6B10" w:rsidP="009A6B10">
      <w:pPr>
        <w:rPr>
          <w:b/>
          <w:bCs/>
        </w:rPr>
      </w:pPr>
      <w:r w:rsidRPr="009A6B10">
        <w:rPr>
          <w:b/>
          <w:bCs/>
        </w:rPr>
        <w:t>Ložiská nevyhradených nerastov</w:t>
      </w:r>
    </w:p>
    <w:p w:rsidR="009A6B10" w:rsidRPr="009A6B10" w:rsidRDefault="009A6B10" w:rsidP="009A6B10">
      <w:pPr>
        <w:rPr>
          <w:b/>
          <w:bCs/>
        </w:rPr>
      </w:pPr>
    </w:p>
    <w:p w:rsidR="009A6B10" w:rsidRPr="009A6B10" w:rsidRDefault="009A6B10" w:rsidP="009A6B10">
      <w:pPr>
        <w:autoSpaceDE w:val="0"/>
        <w:autoSpaceDN w:val="0"/>
        <w:adjustRightInd w:val="0"/>
        <w:jc w:val="both"/>
      </w:pPr>
      <w:r w:rsidRPr="009A6B10">
        <w:t xml:space="preserve"> K 1. 1. 2012 je na území Slovenska evidovaných spolu 466 ložísk nevyhradených nerastov  s celkovými geologickými zásobami 2,8 mld. t. V roku 2011 ťažba z ložísk nevyhradených nerastov dosiahla 7,8 mil. t.</w:t>
      </w:r>
    </w:p>
    <w:p w:rsidR="009A6B10" w:rsidRDefault="009A6B10" w:rsidP="009A6B10">
      <w:pPr>
        <w:autoSpaceDE w:val="0"/>
        <w:autoSpaceDN w:val="0"/>
        <w:adjustRightInd w:val="0"/>
        <w:jc w:val="both"/>
        <w:rPr>
          <w:rFonts w:ascii="Arial" w:hAnsi="Arial" w:cs="Arial"/>
        </w:rPr>
      </w:pPr>
    </w:p>
    <w:p w:rsidR="00754C28" w:rsidRDefault="00754C28" w:rsidP="009A6B10">
      <w:pPr>
        <w:autoSpaceDE w:val="0"/>
        <w:autoSpaceDN w:val="0"/>
        <w:adjustRightInd w:val="0"/>
        <w:jc w:val="both"/>
        <w:rPr>
          <w:rFonts w:ascii="Arial" w:hAnsi="Arial" w:cs="Arial"/>
        </w:rPr>
      </w:pPr>
    </w:p>
    <w:p w:rsidR="00754C28" w:rsidRDefault="00754C28" w:rsidP="009A6B10">
      <w:pPr>
        <w:autoSpaceDE w:val="0"/>
        <w:autoSpaceDN w:val="0"/>
        <w:adjustRightInd w:val="0"/>
        <w:jc w:val="both"/>
        <w:rPr>
          <w:rFonts w:ascii="Arial" w:hAnsi="Arial" w:cs="Arial"/>
        </w:rPr>
      </w:pPr>
    </w:p>
    <w:p w:rsidR="00754C28" w:rsidRDefault="00754C28" w:rsidP="009A6B10">
      <w:pPr>
        <w:autoSpaceDE w:val="0"/>
        <w:autoSpaceDN w:val="0"/>
        <w:adjustRightInd w:val="0"/>
        <w:jc w:val="both"/>
        <w:rPr>
          <w:rFonts w:ascii="Arial" w:hAnsi="Arial" w:cs="Arial"/>
        </w:rPr>
      </w:pPr>
    </w:p>
    <w:p w:rsidR="00754C28" w:rsidRPr="009A6B10" w:rsidRDefault="00754C28" w:rsidP="009A6B10">
      <w:pPr>
        <w:autoSpaceDE w:val="0"/>
        <w:autoSpaceDN w:val="0"/>
        <w:adjustRightInd w:val="0"/>
        <w:jc w:val="both"/>
        <w:rPr>
          <w:rFonts w:ascii="Arial" w:hAnsi="Arial" w:cs="Arial"/>
        </w:rPr>
      </w:pPr>
    </w:p>
    <w:p w:rsidR="009A6B10" w:rsidRPr="009A6B10" w:rsidRDefault="009A6B10" w:rsidP="009A6B10">
      <w:pPr>
        <w:autoSpaceDE w:val="0"/>
        <w:autoSpaceDN w:val="0"/>
        <w:adjustRightInd w:val="0"/>
        <w:spacing w:line="360" w:lineRule="auto"/>
        <w:jc w:val="both"/>
        <w:rPr>
          <w:b/>
        </w:rPr>
      </w:pPr>
      <w:r w:rsidRPr="009A6B10">
        <w:t xml:space="preserve">        </w:t>
      </w:r>
      <w:r w:rsidRPr="009A6B10">
        <w:rPr>
          <w:b/>
        </w:rPr>
        <w:t xml:space="preserve">Geologické zásoby [mil. t]                                Ťažba [mil. t]   </w:t>
      </w:r>
    </w:p>
    <w:p w:rsidR="009A6B10" w:rsidRPr="009A6B10" w:rsidRDefault="00CB5F71" w:rsidP="009A6B10">
      <w:pPr>
        <w:autoSpaceDE w:val="0"/>
        <w:autoSpaceDN w:val="0"/>
        <w:adjustRightInd w:val="0"/>
        <w:spacing w:line="360" w:lineRule="auto"/>
        <w:ind w:left="708"/>
        <w:rPr>
          <w:rFonts w:ascii="Arial" w:hAnsi="Arial" w:cs="Arial"/>
        </w:rPr>
      </w:pPr>
      <w:r>
        <w:rPr>
          <w:rFonts w:ascii="Arial" w:hAnsi="Arial" w:cs="Arial"/>
          <w:noProof/>
          <w:color w:val="000000"/>
        </w:rPr>
        <w:pict>
          <v:shape id="_x0000_i1054" type="#_x0000_t75" style="width:194.25pt;height:109.5pt;visibility:visible">
            <v:imagedata r:id="rId47" o:title="" croptop="8247f" cropbottom="9551f" cropleft="5114f" cropright="5333f"/>
          </v:shape>
        </w:pict>
      </w:r>
      <w:r w:rsidR="009A6B10" w:rsidRPr="009A6B10">
        <w:rPr>
          <w:rFonts w:ascii="Arial" w:hAnsi="Arial" w:cs="Arial"/>
          <w:color w:val="000000"/>
        </w:rPr>
        <w:t xml:space="preserve">   </w:t>
      </w:r>
      <w:r>
        <w:rPr>
          <w:rFonts w:ascii="Arial" w:hAnsi="Arial" w:cs="Arial"/>
          <w:noProof/>
          <w:color w:val="000000"/>
        </w:rPr>
        <w:pict>
          <v:shape id="_x0000_i1055" type="#_x0000_t75" style="width:196.5pt;height:96pt;visibility:visible">
            <v:imagedata r:id="rId48" o:title="" croptop="6697f" cropbottom="15789f" cropleft="4009f" cropright="4500f"/>
          </v:shape>
        </w:pict>
      </w:r>
    </w:p>
    <w:p w:rsidR="009A6B10" w:rsidRPr="009A6B10" w:rsidRDefault="00CB5F71" w:rsidP="009A6B10">
      <w:pPr>
        <w:autoSpaceDE w:val="0"/>
        <w:autoSpaceDN w:val="0"/>
        <w:adjustRightInd w:val="0"/>
        <w:spacing w:line="360" w:lineRule="auto"/>
        <w:jc w:val="both"/>
        <w:rPr>
          <w:color w:val="000000"/>
        </w:rPr>
      </w:pPr>
      <w:r>
        <w:rPr>
          <w:rFonts w:ascii="Arial" w:hAnsi="Arial" w:cs="Arial"/>
          <w:noProof/>
          <w:color w:val="000000"/>
        </w:rPr>
        <w:pict>
          <v:shape id="_x0000_i1056" type="#_x0000_t75" style="width:400.5pt;height:15pt;visibility:visible">
            <v:imagedata r:id="rId49" o:title="" croptop="47462f" cropbottom="14171f" cropleft="1886f" cropright="3615f"/>
          </v:shape>
        </w:pict>
      </w:r>
    </w:p>
    <w:p w:rsidR="009A6B10" w:rsidRPr="009A6B10" w:rsidRDefault="009A6B10" w:rsidP="009A6B10">
      <w:pPr>
        <w:jc w:val="center"/>
      </w:pPr>
      <w:r w:rsidRPr="009A6B10">
        <w:rPr>
          <w:b/>
        </w:rPr>
        <w:t>Obr.</w:t>
      </w:r>
      <w:r w:rsidRPr="009A6B10">
        <w:t xml:space="preserve">  Geologické zásoby a ťažba na ložiskách nevyhradených nerastov, 2011 </w:t>
      </w:r>
    </w:p>
    <w:p w:rsidR="009A6B10" w:rsidRPr="009A6B10" w:rsidRDefault="009A6B10" w:rsidP="009A6B10">
      <w:pPr>
        <w:jc w:val="center"/>
      </w:pPr>
      <w:r w:rsidRPr="009A6B10">
        <w:t>(1 – stavebný kameň, 2 – štrkopiesky, 3 – tehliarske suroviny, 4 – ostatné suroviny).</w:t>
      </w:r>
    </w:p>
    <w:p w:rsidR="009A6B10" w:rsidRPr="009A6B10" w:rsidRDefault="009A6B10" w:rsidP="009A6B10">
      <w:pPr>
        <w:autoSpaceDE w:val="0"/>
        <w:autoSpaceDN w:val="0"/>
        <w:adjustRightInd w:val="0"/>
        <w:jc w:val="both"/>
        <w:rPr>
          <w:rFonts w:ascii="Arial" w:hAnsi="Arial" w:cs="Arial"/>
        </w:rPr>
      </w:pPr>
    </w:p>
    <w:p w:rsidR="009A6B10" w:rsidRPr="009A6B10" w:rsidRDefault="009A6B10" w:rsidP="009A6B10">
      <w:pPr>
        <w:autoSpaceDE w:val="0"/>
        <w:autoSpaceDN w:val="0"/>
        <w:adjustRightInd w:val="0"/>
        <w:jc w:val="both"/>
        <w:rPr>
          <w:b/>
        </w:rPr>
      </w:pPr>
      <w:r w:rsidRPr="009A6B10">
        <w:rPr>
          <w:b/>
        </w:rPr>
        <w:t xml:space="preserve">Stav geologickej </w:t>
      </w:r>
      <w:proofErr w:type="spellStart"/>
      <w:r w:rsidRPr="009A6B10">
        <w:rPr>
          <w:b/>
        </w:rPr>
        <w:t>preskúmanosti</w:t>
      </w:r>
      <w:proofErr w:type="spellEnd"/>
      <w:r w:rsidRPr="009A6B10">
        <w:rPr>
          <w:b/>
        </w:rPr>
        <w:t xml:space="preserve"> a životnosť zásob</w:t>
      </w:r>
    </w:p>
    <w:p w:rsidR="009A6B10" w:rsidRPr="009A6B10" w:rsidRDefault="009A6B10" w:rsidP="009A6B10">
      <w:pPr>
        <w:autoSpaceDE w:val="0"/>
        <w:autoSpaceDN w:val="0"/>
        <w:adjustRightInd w:val="0"/>
        <w:jc w:val="both"/>
        <w:rPr>
          <w:b/>
        </w:rPr>
      </w:pPr>
    </w:p>
    <w:p w:rsidR="009A6B10" w:rsidRPr="009A6B10" w:rsidRDefault="009A6B10" w:rsidP="009A6B10">
      <w:pPr>
        <w:autoSpaceDE w:val="0"/>
        <w:autoSpaceDN w:val="0"/>
        <w:adjustRightInd w:val="0"/>
        <w:jc w:val="both"/>
      </w:pPr>
      <w:r w:rsidRPr="009A6B10">
        <w:t>Súčasná štruktúra zásob a ťažby nerastných surovín je výsledkom rozsiahleho štátneho geologického prieskumu realizovaného najmä v druhej polovici 20. storočia (</w:t>
      </w:r>
      <w:r w:rsidRPr="009A6B10">
        <w:rPr>
          <w:color w:val="000000"/>
        </w:rPr>
        <w:t>cca 90% bolo objavených do roku 1990 podľa vtedy zadaných kritérií na kvalitu a objem overených zásob)</w:t>
      </w:r>
      <w:r w:rsidRPr="009A6B10">
        <w:t>. Štát vynakla</w:t>
      </w:r>
      <w:r w:rsidRPr="009A6B10">
        <w:rPr>
          <w:color w:val="000000"/>
        </w:rPr>
        <w:t xml:space="preserve">dal značné finančné prostriedky na vyhľadávanie a prieskum ložísk nerastných surovín (v priemere okolo 600 mil. Kčs/rok), čo súviselo s požiadavkou surovinovej bezpečnosti v rámci RVHP. Za obdobie rokov 1970 - 1990 bolo zo štátneho rozpočtu na vyhľadávanie a prieskum výhradných ložísk vynaložených okolo 15 miliárd Kčs. Na zabezpečenie prieskumu nerastného potenciálu štátu bolo prispôsobené aj školstvo so strednými a vysokými školami geologického zamerania a štátne organizácie geologického prieskumu. Po roku 1990 štát pristúpil k značnej redukcii vynakladania prostriedkov štátneho rozpočtu na geologický prieskum.  </w:t>
      </w:r>
      <w:r w:rsidRPr="009A6B10">
        <w:t xml:space="preserve">V </w:t>
      </w:r>
      <w:r w:rsidRPr="009A6B10">
        <w:rPr>
          <w:color w:val="000000"/>
        </w:rPr>
        <w:t>podmienkach trhovej ekonomiky bez rozsiahlych štátnych dotácií sa využívanie časti takto overených zásob stalo neefektívnym, čo viedlo k útlmovému programu baníctva.</w:t>
      </w:r>
    </w:p>
    <w:p w:rsidR="009A6B10" w:rsidRPr="009A6B10" w:rsidRDefault="009A6B10" w:rsidP="009A6B10">
      <w:pPr>
        <w:autoSpaceDE w:val="0"/>
        <w:autoSpaceDN w:val="0"/>
        <w:adjustRightInd w:val="0"/>
        <w:jc w:val="both"/>
        <w:rPr>
          <w:color w:val="000000"/>
        </w:rPr>
      </w:pPr>
      <w:r w:rsidRPr="009A6B10">
        <w:rPr>
          <w:color w:val="000000"/>
        </w:rPr>
        <w:t xml:space="preserve">Geologickú </w:t>
      </w:r>
      <w:proofErr w:type="spellStart"/>
      <w:r w:rsidRPr="009A6B10">
        <w:rPr>
          <w:color w:val="000000"/>
        </w:rPr>
        <w:t>preskúmanosť</w:t>
      </w:r>
      <w:proofErr w:type="spellEnd"/>
      <w:r w:rsidRPr="009A6B10">
        <w:rPr>
          <w:color w:val="000000"/>
        </w:rPr>
        <w:t xml:space="preserve"> Slovenska je možné z hľadiska nerastných surovín považovať za vysokú, v prípade viacerých nerastných surovín sú preskúmané zásoby na vyše 100 rokov (pri súčasnej výške ťažby). Stupeň </w:t>
      </w:r>
      <w:proofErr w:type="spellStart"/>
      <w:r w:rsidRPr="009A6B10">
        <w:rPr>
          <w:color w:val="000000"/>
        </w:rPr>
        <w:t>preskúmanosti</w:t>
      </w:r>
      <w:proofErr w:type="spellEnd"/>
      <w:r w:rsidRPr="009A6B10">
        <w:rPr>
          <w:color w:val="000000"/>
        </w:rPr>
        <w:t xml:space="preserve"> mnohých výhradných (aj neťažených) ložísk je vysoký, avšak s vzhľadom na absenciu štátneho systému oceňovania ložísk, nie sú vlastníkovi nerastného bohatstva (štátu) k dispozícii ani základné informácie o potenciálnej hodnote (cene) ložísk.</w:t>
      </w:r>
    </w:p>
    <w:p w:rsidR="009A6B10" w:rsidRPr="009A6B10" w:rsidRDefault="009A6B10" w:rsidP="009A6B10">
      <w:pPr>
        <w:ind w:firstLine="426"/>
        <w:jc w:val="both"/>
      </w:pPr>
      <w:r w:rsidRPr="009A6B10">
        <w:t xml:space="preserve">Vysoká </w:t>
      </w:r>
      <w:proofErr w:type="spellStart"/>
      <w:r w:rsidRPr="009A6B10">
        <w:t>preskúmanosť</w:t>
      </w:r>
      <w:proofErr w:type="spellEnd"/>
      <w:r w:rsidRPr="009A6B10">
        <w:t xml:space="preserve"> nerastných zdrojov Slovenska umožňuje tvorbu efektívnej surovinovej politiky do budúcnosti. Napriek tomu bude účelné aj v budúcnosti podporovať vyhľadávanie a prieskum ložísk nerastných surovín formou legislatívnych a ekonomických nástrojov surovinovej politiky. Je pravdepodobné, že podiel štátu na priamom financovaní vyhľadávania a prieskumu výhradných ložísk bude aj naďalej obmedzený.  </w:t>
      </w:r>
    </w:p>
    <w:p w:rsidR="009A6B10" w:rsidRPr="009A6B10" w:rsidRDefault="009A6B10" w:rsidP="009A6B10">
      <w:pPr>
        <w:ind w:firstLine="426"/>
        <w:rPr>
          <w:rFonts w:ascii="Arial" w:hAnsi="Arial" w:cs="Arial"/>
        </w:rPr>
      </w:pPr>
    </w:p>
    <w:p w:rsidR="009A6B10" w:rsidRPr="009A6B10" w:rsidRDefault="009A6B10" w:rsidP="009A6B10">
      <w:pPr>
        <w:ind w:firstLine="426"/>
        <w:rPr>
          <w:b/>
        </w:rPr>
      </w:pPr>
    </w:p>
    <w:p w:rsidR="009A6B10" w:rsidRPr="009A6B10" w:rsidRDefault="009A6B10" w:rsidP="009A6B10">
      <w:pPr>
        <w:ind w:firstLine="426"/>
        <w:rPr>
          <w:rFonts w:ascii="Arial" w:hAnsi="Arial" w:cs="Arial"/>
        </w:rPr>
      </w:pPr>
      <w:r w:rsidRPr="009A6B10">
        <w:t xml:space="preserve">Odhadovaná životnosť zásob vybraných ťažených surovín z výhradných ložísk </w:t>
      </w:r>
    </w:p>
    <w:tbl>
      <w:tblPr>
        <w:tblW w:w="0" w:type="auto"/>
        <w:jc w:val="center"/>
        <w:tblInd w:w="70" w:type="dxa"/>
        <w:tblBorders>
          <w:top w:val="single" w:sz="6" w:space="0" w:color="auto"/>
          <w:bottom w:val="single" w:sz="6" w:space="0" w:color="auto"/>
          <w:insideH w:val="single" w:sz="6" w:space="0" w:color="auto"/>
        </w:tblBorders>
        <w:tblLayout w:type="fixed"/>
        <w:tblCellMar>
          <w:left w:w="70" w:type="dxa"/>
          <w:right w:w="70" w:type="dxa"/>
        </w:tblCellMar>
        <w:tblLook w:val="00A0" w:firstRow="1" w:lastRow="0" w:firstColumn="1" w:lastColumn="0" w:noHBand="0" w:noVBand="0"/>
      </w:tblPr>
      <w:tblGrid>
        <w:gridCol w:w="2978"/>
        <w:gridCol w:w="1501"/>
        <w:gridCol w:w="1506"/>
        <w:gridCol w:w="1473"/>
        <w:gridCol w:w="1368"/>
      </w:tblGrid>
      <w:tr w:rsidR="009A6B10" w:rsidRPr="009A6B10" w:rsidTr="009A6B10">
        <w:trPr>
          <w:trHeight w:val="263"/>
          <w:jc w:val="center"/>
        </w:trPr>
        <w:tc>
          <w:tcPr>
            <w:tcW w:w="2978" w:type="dxa"/>
            <w:tcBorders>
              <w:left w:val="nil"/>
              <w:bottom w:val="single" w:sz="12" w:space="0" w:color="auto"/>
              <w:right w:val="nil"/>
            </w:tcBorders>
            <w:vAlign w:val="center"/>
          </w:tcPr>
          <w:p w:rsidR="009A6B10" w:rsidRPr="009A6B10" w:rsidRDefault="009A6B10" w:rsidP="009A6B10">
            <w:pPr>
              <w:tabs>
                <w:tab w:val="left" w:pos="305"/>
              </w:tabs>
              <w:rPr>
                <w:b/>
              </w:rPr>
            </w:pPr>
            <w:r w:rsidRPr="009A6B10">
              <w:rPr>
                <w:b/>
              </w:rPr>
              <w:t>Surovina</w:t>
            </w:r>
          </w:p>
        </w:tc>
        <w:tc>
          <w:tcPr>
            <w:tcW w:w="1501" w:type="dxa"/>
            <w:tcBorders>
              <w:left w:val="nil"/>
              <w:bottom w:val="single" w:sz="12" w:space="0" w:color="auto"/>
              <w:right w:val="nil"/>
            </w:tcBorders>
            <w:vAlign w:val="center"/>
          </w:tcPr>
          <w:p w:rsidR="009A6B10" w:rsidRPr="009A6B10" w:rsidRDefault="009A6B10" w:rsidP="009A6B10">
            <w:pPr>
              <w:tabs>
                <w:tab w:val="left" w:pos="305"/>
              </w:tabs>
              <w:jc w:val="center"/>
              <w:rPr>
                <w:b/>
              </w:rPr>
            </w:pPr>
            <w:r w:rsidRPr="009A6B10">
              <w:rPr>
                <w:b/>
              </w:rPr>
              <w:t>Geologické zásoby 2010</w:t>
            </w:r>
          </w:p>
          <w:p w:rsidR="009A6B10" w:rsidRPr="009A6B10" w:rsidRDefault="009A6B10" w:rsidP="009A6B10">
            <w:pPr>
              <w:tabs>
                <w:tab w:val="left" w:pos="305"/>
              </w:tabs>
              <w:jc w:val="center"/>
              <w:rPr>
                <w:b/>
              </w:rPr>
            </w:pPr>
            <w:r w:rsidRPr="009A6B10">
              <w:rPr>
                <w:b/>
              </w:rPr>
              <w:t>[</w:t>
            </w:r>
            <w:proofErr w:type="spellStart"/>
            <w:r w:rsidRPr="009A6B10">
              <w:rPr>
                <w:b/>
              </w:rPr>
              <w:t>kt</w:t>
            </w:r>
            <w:proofErr w:type="spellEnd"/>
            <w:r w:rsidRPr="009A6B10">
              <w:rPr>
                <w:b/>
              </w:rPr>
              <w:t>]</w:t>
            </w:r>
          </w:p>
        </w:tc>
        <w:tc>
          <w:tcPr>
            <w:tcW w:w="1506" w:type="dxa"/>
            <w:tcBorders>
              <w:left w:val="nil"/>
              <w:bottom w:val="single" w:sz="12" w:space="0" w:color="auto"/>
              <w:right w:val="nil"/>
            </w:tcBorders>
            <w:vAlign w:val="center"/>
          </w:tcPr>
          <w:p w:rsidR="009A6B10" w:rsidRPr="009A6B10" w:rsidRDefault="009A6B10" w:rsidP="009A6B10">
            <w:pPr>
              <w:tabs>
                <w:tab w:val="left" w:pos="305"/>
              </w:tabs>
              <w:jc w:val="center"/>
              <w:rPr>
                <w:b/>
              </w:rPr>
            </w:pPr>
            <w:proofErr w:type="spellStart"/>
            <w:r w:rsidRPr="009A6B10">
              <w:rPr>
                <w:b/>
              </w:rPr>
              <w:t>Vyťažiteľné</w:t>
            </w:r>
            <w:proofErr w:type="spellEnd"/>
            <w:r w:rsidRPr="009A6B10">
              <w:rPr>
                <w:b/>
              </w:rPr>
              <w:t xml:space="preserve"> zásoby – odhad* [</w:t>
            </w:r>
            <w:proofErr w:type="spellStart"/>
            <w:r w:rsidRPr="009A6B10">
              <w:rPr>
                <w:b/>
              </w:rPr>
              <w:t>kt</w:t>
            </w:r>
            <w:proofErr w:type="spellEnd"/>
            <w:r w:rsidRPr="009A6B10">
              <w:rPr>
                <w:b/>
              </w:rPr>
              <w:t>]</w:t>
            </w:r>
          </w:p>
        </w:tc>
        <w:tc>
          <w:tcPr>
            <w:tcW w:w="1473" w:type="dxa"/>
            <w:tcBorders>
              <w:left w:val="nil"/>
              <w:bottom w:val="single" w:sz="12" w:space="0" w:color="auto"/>
              <w:right w:val="nil"/>
            </w:tcBorders>
            <w:vAlign w:val="center"/>
          </w:tcPr>
          <w:p w:rsidR="009A6B10" w:rsidRPr="009A6B10" w:rsidRDefault="009A6B10" w:rsidP="009A6B10">
            <w:pPr>
              <w:tabs>
                <w:tab w:val="left" w:pos="305"/>
              </w:tabs>
              <w:jc w:val="center"/>
              <w:rPr>
                <w:b/>
              </w:rPr>
            </w:pPr>
            <w:r w:rsidRPr="009A6B10">
              <w:rPr>
                <w:b/>
              </w:rPr>
              <w:t xml:space="preserve">Priemerná ťažba </w:t>
            </w:r>
          </w:p>
          <w:p w:rsidR="009A6B10" w:rsidRPr="009A6B10" w:rsidRDefault="009A6B10" w:rsidP="009A6B10">
            <w:pPr>
              <w:tabs>
                <w:tab w:val="left" w:pos="305"/>
              </w:tabs>
              <w:jc w:val="center"/>
              <w:rPr>
                <w:b/>
              </w:rPr>
            </w:pPr>
            <w:r w:rsidRPr="009A6B10">
              <w:rPr>
                <w:b/>
              </w:rPr>
              <w:t>2008-2010</w:t>
            </w:r>
          </w:p>
          <w:p w:rsidR="009A6B10" w:rsidRPr="009A6B10" w:rsidRDefault="009A6B10" w:rsidP="009A6B10">
            <w:pPr>
              <w:tabs>
                <w:tab w:val="left" w:pos="305"/>
              </w:tabs>
              <w:jc w:val="center"/>
              <w:rPr>
                <w:b/>
              </w:rPr>
            </w:pPr>
            <w:r w:rsidRPr="009A6B10">
              <w:rPr>
                <w:b/>
              </w:rPr>
              <w:t>[</w:t>
            </w:r>
            <w:proofErr w:type="spellStart"/>
            <w:r w:rsidRPr="009A6B10">
              <w:rPr>
                <w:b/>
              </w:rPr>
              <w:t>kt</w:t>
            </w:r>
            <w:proofErr w:type="spellEnd"/>
            <w:r w:rsidRPr="009A6B10">
              <w:rPr>
                <w:b/>
              </w:rPr>
              <w:t>]</w:t>
            </w:r>
          </w:p>
        </w:tc>
        <w:tc>
          <w:tcPr>
            <w:tcW w:w="1368" w:type="dxa"/>
            <w:tcBorders>
              <w:left w:val="nil"/>
              <w:bottom w:val="single" w:sz="12" w:space="0" w:color="auto"/>
              <w:right w:val="nil"/>
            </w:tcBorders>
            <w:vAlign w:val="center"/>
          </w:tcPr>
          <w:p w:rsidR="009A6B10" w:rsidRPr="009A6B10" w:rsidRDefault="009A6B10" w:rsidP="009A6B10">
            <w:pPr>
              <w:tabs>
                <w:tab w:val="left" w:pos="305"/>
              </w:tabs>
              <w:jc w:val="center"/>
              <w:rPr>
                <w:b/>
              </w:rPr>
            </w:pPr>
            <w:r w:rsidRPr="009A6B10">
              <w:rPr>
                <w:b/>
              </w:rPr>
              <w:t>Odhad životnosti [roky]</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lastRenderedPageBreak/>
              <w:t>Hnedé uhlie a lignit</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1 087 876</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80 000</w:t>
            </w:r>
          </w:p>
        </w:tc>
        <w:tc>
          <w:tcPr>
            <w:tcW w:w="1473" w:type="dxa"/>
            <w:tcBorders>
              <w:top w:val="nil"/>
              <w:left w:val="nil"/>
              <w:right w:val="nil"/>
            </w:tcBorders>
            <w:vAlign w:val="center"/>
          </w:tcPr>
          <w:p w:rsidR="009A6B10" w:rsidRPr="009A6B10" w:rsidRDefault="009A6B10" w:rsidP="009A6B10">
            <w:pPr>
              <w:tabs>
                <w:tab w:val="left" w:pos="305"/>
              </w:tabs>
              <w:jc w:val="right"/>
            </w:pPr>
            <w:r w:rsidRPr="009A6B10">
              <w:t>2 247</w:t>
            </w:r>
          </w:p>
        </w:tc>
        <w:tc>
          <w:tcPr>
            <w:tcW w:w="1368" w:type="dxa"/>
            <w:tcBorders>
              <w:top w:val="nil"/>
              <w:left w:val="nil"/>
              <w:right w:val="nil"/>
            </w:tcBorders>
            <w:vAlign w:val="bottom"/>
          </w:tcPr>
          <w:p w:rsidR="009A6B10" w:rsidRPr="009A6B10" w:rsidRDefault="009A6B10" w:rsidP="009A6B10">
            <w:pPr>
              <w:jc w:val="right"/>
              <w:rPr>
                <w:b/>
              </w:rPr>
            </w:pPr>
            <w:r w:rsidRPr="009A6B10">
              <w:rPr>
                <w:b/>
              </w:rPr>
              <w:t>36</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Ropa</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10 187</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80</w:t>
            </w:r>
          </w:p>
        </w:tc>
        <w:tc>
          <w:tcPr>
            <w:tcW w:w="1473" w:type="dxa"/>
            <w:tcBorders>
              <w:top w:val="nil"/>
              <w:left w:val="nil"/>
              <w:right w:val="nil"/>
            </w:tcBorders>
            <w:vAlign w:val="center"/>
          </w:tcPr>
          <w:p w:rsidR="009A6B10" w:rsidRPr="009A6B10" w:rsidRDefault="009A6B10" w:rsidP="009A6B10">
            <w:pPr>
              <w:tabs>
                <w:tab w:val="left" w:pos="305"/>
              </w:tabs>
              <w:jc w:val="right"/>
            </w:pPr>
            <w:r w:rsidRPr="009A6B10">
              <w:t>19</w:t>
            </w:r>
          </w:p>
        </w:tc>
        <w:tc>
          <w:tcPr>
            <w:tcW w:w="1368" w:type="dxa"/>
            <w:tcBorders>
              <w:top w:val="nil"/>
              <w:left w:val="nil"/>
              <w:right w:val="nil"/>
            </w:tcBorders>
            <w:vAlign w:val="bottom"/>
          </w:tcPr>
          <w:p w:rsidR="009A6B10" w:rsidRPr="009A6B10" w:rsidRDefault="009A6B10" w:rsidP="009A6B10">
            <w:pPr>
              <w:jc w:val="right"/>
              <w:rPr>
                <w:b/>
              </w:rPr>
            </w:pPr>
            <w:r w:rsidRPr="009A6B10">
              <w:rPr>
                <w:b/>
              </w:rPr>
              <w:t>4</w:t>
            </w:r>
          </w:p>
        </w:tc>
      </w:tr>
      <w:tr w:rsidR="009A6B10" w:rsidRPr="009A6B10" w:rsidTr="009A6B10">
        <w:trPr>
          <w:trHeight w:val="262"/>
          <w:jc w:val="center"/>
        </w:trPr>
        <w:tc>
          <w:tcPr>
            <w:tcW w:w="2978" w:type="dxa"/>
            <w:tcBorders>
              <w:left w:val="nil"/>
              <w:bottom w:val="single" w:sz="12" w:space="0" w:color="auto"/>
              <w:right w:val="nil"/>
            </w:tcBorders>
            <w:vAlign w:val="center"/>
          </w:tcPr>
          <w:p w:rsidR="009A6B10" w:rsidRPr="009A6B10" w:rsidRDefault="009A6B10" w:rsidP="009A6B10">
            <w:pPr>
              <w:tabs>
                <w:tab w:val="left" w:pos="305"/>
              </w:tabs>
              <w:rPr>
                <w:b/>
              </w:rPr>
            </w:pPr>
            <w:r w:rsidRPr="009A6B10">
              <w:rPr>
                <w:b/>
              </w:rPr>
              <w:t>Zemný plyn</w:t>
            </w:r>
          </w:p>
        </w:tc>
        <w:tc>
          <w:tcPr>
            <w:tcW w:w="1501" w:type="dxa"/>
            <w:tcBorders>
              <w:left w:val="nil"/>
              <w:bottom w:val="single" w:sz="12" w:space="0" w:color="auto"/>
              <w:right w:val="nil"/>
            </w:tcBorders>
            <w:vAlign w:val="center"/>
          </w:tcPr>
          <w:p w:rsidR="009A6B10" w:rsidRPr="009A6B10" w:rsidRDefault="009A6B10" w:rsidP="009A6B10">
            <w:pPr>
              <w:tabs>
                <w:tab w:val="left" w:pos="305"/>
              </w:tabs>
              <w:jc w:val="right"/>
            </w:pPr>
            <w:r w:rsidRPr="009A6B10">
              <w:t>24 520</w:t>
            </w:r>
          </w:p>
        </w:tc>
        <w:tc>
          <w:tcPr>
            <w:tcW w:w="1506" w:type="dxa"/>
            <w:tcBorders>
              <w:left w:val="nil"/>
              <w:bottom w:val="single" w:sz="12" w:space="0" w:color="auto"/>
              <w:right w:val="nil"/>
            </w:tcBorders>
            <w:vAlign w:val="center"/>
          </w:tcPr>
          <w:p w:rsidR="009A6B10" w:rsidRPr="009A6B10" w:rsidRDefault="009A6B10" w:rsidP="009A6B10">
            <w:pPr>
              <w:tabs>
                <w:tab w:val="left" w:pos="305"/>
              </w:tabs>
              <w:jc w:val="right"/>
            </w:pPr>
            <w:r w:rsidRPr="009A6B10">
              <w:t>980</w:t>
            </w:r>
          </w:p>
        </w:tc>
        <w:tc>
          <w:tcPr>
            <w:tcW w:w="1473" w:type="dxa"/>
            <w:tcBorders>
              <w:left w:val="nil"/>
              <w:bottom w:val="single" w:sz="12" w:space="0" w:color="auto"/>
              <w:right w:val="nil"/>
            </w:tcBorders>
            <w:vAlign w:val="center"/>
          </w:tcPr>
          <w:p w:rsidR="009A6B10" w:rsidRPr="009A6B10" w:rsidRDefault="009A6B10" w:rsidP="009A6B10">
            <w:pPr>
              <w:tabs>
                <w:tab w:val="left" w:pos="305"/>
              </w:tabs>
              <w:jc w:val="right"/>
            </w:pPr>
            <w:r w:rsidRPr="009A6B10">
              <w:t>108</w:t>
            </w:r>
          </w:p>
        </w:tc>
        <w:tc>
          <w:tcPr>
            <w:tcW w:w="1368" w:type="dxa"/>
            <w:tcBorders>
              <w:left w:val="nil"/>
              <w:bottom w:val="single" w:sz="12" w:space="0" w:color="auto"/>
              <w:right w:val="nil"/>
            </w:tcBorders>
            <w:vAlign w:val="bottom"/>
          </w:tcPr>
          <w:p w:rsidR="009A6B10" w:rsidRPr="009A6B10" w:rsidRDefault="009A6B10" w:rsidP="009A6B10">
            <w:pPr>
              <w:jc w:val="right"/>
              <w:rPr>
                <w:b/>
              </w:rPr>
            </w:pPr>
            <w:r w:rsidRPr="009A6B10">
              <w:rPr>
                <w:b/>
              </w:rPr>
              <w:t>9</w:t>
            </w:r>
          </w:p>
        </w:tc>
      </w:tr>
      <w:tr w:rsidR="009A6B10" w:rsidRPr="009A6B10" w:rsidTr="009A6B10">
        <w:trPr>
          <w:trHeight w:val="262"/>
          <w:jc w:val="center"/>
        </w:trPr>
        <w:tc>
          <w:tcPr>
            <w:tcW w:w="2978" w:type="dxa"/>
            <w:tcBorders>
              <w:top w:val="single" w:sz="12" w:space="0" w:color="auto"/>
              <w:left w:val="nil"/>
              <w:right w:val="nil"/>
            </w:tcBorders>
            <w:vAlign w:val="center"/>
          </w:tcPr>
          <w:p w:rsidR="009A6B10" w:rsidRPr="009A6B10" w:rsidRDefault="009A6B10" w:rsidP="009A6B10">
            <w:pPr>
              <w:tabs>
                <w:tab w:val="left" w:pos="305"/>
              </w:tabs>
              <w:rPr>
                <w:b/>
              </w:rPr>
            </w:pPr>
            <w:r w:rsidRPr="009A6B10">
              <w:rPr>
                <w:b/>
              </w:rPr>
              <w:t>Zlato</w:t>
            </w:r>
          </w:p>
        </w:tc>
        <w:tc>
          <w:tcPr>
            <w:tcW w:w="1501" w:type="dxa"/>
            <w:tcBorders>
              <w:top w:val="single" w:sz="12" w:space="0" w:color="auto"/>
              <w:left w:val="nil"/>
              <w:right w:val="nil"/>
            </w:tcBorders>
            <w:vAlign w:val="center"/>
          </w:tcPr>
          <w:p w:rsidR="009A6B10" w:rsidRPr="009A6B10" w:rsidRDefault="009A6B10" w:rsidP="009A6B10">
            <w:pPr>
              <w:tabs>
                <w:tab w:val="left" w:pos="305"/>
              </w:tabs>
              <w:jc w:val="right"/>
            </w:pPr>
            <w:r w:rsidRPr="009A6B10">
              <w:t>172 575</w:t>
            </w:r>
          </w:p>
        </w:tc>
        <w:tc>
          <w:tcPr>
            <w:tcW w:w="1506" w:type="dxa"/>
            <w:tcBorders>
              <w:top w:val="single" w:sz="12" w:space="0" w:color="auto"/>
              <w:left w:val="nil"/>
              <w:right w:val="nil"/>
            </w:tcBorders>
            <w:vAlign w:val="center"/>
          </w:tcPr>
          <w:p w:rsidR="009A6B10" w:rsidRPr="009A6B10" w:rsidRDefault="009A6B10" w:rsidP="009A6B10">
            <w:pPr>
              <w:tabs>
                <w:tab w:val="left" w:pos="305"/>
              </w:tabs>
              <w:jc w:val="right"/>
            </w:pPr>
            <w:r w:rsidRPr="009A6B10">
              <w:t>290</w:t>
            </w:r>
          </w:p>
        </w:tc>
        <w:tc>
          <w:tcPr>
            <w:tcW w:w="1473" w:type="dxa"/>
            <w:tcBorders>
              <w:top w:val="single" w:sz="12" w:space="0" w:color="auto"/>
              <w:left w:val="nil"/>
              <w:right w:val="nil"/>
            </w:tcBorders>
            <w:vAlign w:val="center"/>
          </w:tcPr>
          <w:p w:rsidR="009A6B10" w:rsidRPr="009A6B10" w:rsidRDefault="009A6B10" w:rsidP="009A6B10">
            <w:pPr>
              <w:tabs>
                <w:tab w:val="left" w:pos="305"/>
              </w:tabs>
              <w:jc w:val="right"/>
            </w:pPr>
            <w:r w:rsidRPr="009A6B10">
              <w:t>26</w:t>
            </w:r>
          </w:p>
        </w:tc>
        <w:tc>
          <w:tcPr>
            <w:tcW w:w="1368" w:type="dxa"/>
            <w:tcBorders>
              <w:top w:val="single" w:sz="12" w:space="0" w:color="auto"/>
              <w:left w:val="nil"/>
              <w:right w:val="nil"/>
            </w:tcBorders>
            <w:vAlign w:val="bottom"/>
          </w:tcPr>
          <w:p w:rsidR="009A6B10" w:rsidRPr="009A6B10" w:rsidRDefault="009A6B10" w:rsidP="009A6B10">
            <w:pPr>
              <w:jc w:val="right"/>
              <w:rPr>
                <w:b/>
              </w:rPr>
            </w:pPr>
            <w:r w:rsidRPr="009A6B10">
              <w:rPr>
                <w:b/>
              </w:rPr>
              <w:t>11</w:t>
            </w:r>
          </w:p>
        </w:tc>
      </w:tr>
      <w:tr w:rsidR="009A6B10" w:rsidRPr="009A6B10" w:rsidTr="009A6B10">
        <w:trPr>
          <w:trHeight w:val="262"/>
          <w:jc w:val="center"/>
        </w:trPr>
        <w:tc>
          <w:tcPr>
            <w:tcW w:w="2978" w:type="dxa"/>
            <w:tcBorders>
              <w:top w:val="single" w:sz="12" w:space="0" w:color="auto"/>
              <w:left w:val="nil"/>
              <w:right w:val="nil"/>
            </w:tcBorders>
            <w:vAlign w:val="center"/>
          </w:tcPr>
          <w:p w:rsidR="009A6B10" w:rsidRPr="009A6B10" w:rsidRDefault="009A6B10" w:rsidP="009A6B10">
            <w:pPr>
              <w:tabs>
                <w:tab w:val="left" w:pos="305"/>
              </w:tabs>
              <w:rPr>
                <w:b/>
              </w:rPr>
            </w:pPr>
            <w:proofErr w:type="spellStart"/>
            <w:r w:rsidRPr="009A6B10">
              <w:rPr>
                <w:b/>
              </w:rPr>
              <w:t>Barit</w:t>
            </w:r>
            <w:proofErr w:type="spellEnd"/>
          </w:p>
        </w:tc>
        <w:tc>
          <w:tcPr>
            <w:tcW w:w="1501" w:type="dxa"/>
            <w:tcBorders>
              <w:top w:val="single" w:sz="12" w:space="0" w:color="auto"/>
              <w:left w:val="nil"/>
              <w:right w:val="nil"/>
            </w:tcBorders>
            <w:vAlign w:val="center"/>
          </w:tcPr>
          <w:p w:rsidR="009A6B10" w:rsidRPr="009A6B10" w:rsidRDefault="009A6B10" w:rsidP="009A6B10">
            <w:pPr>
              <w:tabs>
                <w:tab w:val="left" w:pos="305"/>
              </w:tabs>
              <w:jc w:val="right"/>
            </w:pPr>
            <w:r w:rsidRPr="009A6B10">
              <w:t>12 653</w:t>
            </w:r>
          </w:p>
        </w:tc>
        <w:tc>
          <w:tcPr>
            <w:tcW w:w="1506" w:type="dxa"/>
            <w:tcBorders>
              <w:top w:val="single" w:sz="12" w:space="0" w:color="auto"/>
              <w:left w:val="nil"/>
              <w:right w:val="nil"/>
            </w:tcBorders>
            <w:vAlign w:val="center"/>
          </w:tcPr>
          <w:p w:rsidR="009A6B10" w:rsidRPr="009A6B10" w:rsidRDefault="009A6B10" w:rsidP="009A6B10">
            <w:pPr>
              <w:tabs>
                <w:tab w:val="left" w:pos="305"/>
              </w:tabs>
              <w:jc w:val="right"/>
            </w:pPr>
            <w:r w:rsidRPr="009A6B10">
              <w:t>620</w:t>
            </w:r>
          </w:p>
        </w:tc>
        <w:tc>
          <w:tcPr>
            <w:tcW w:w="1473" w:type="dxa"/>
            <w:tcBorders>
              <w:top w:val="single" w:sz="12" w:space="0" w:color="auto"/>
              <w:left w:val="nil"/>
              <w:right w:val="nil"/>
            </w:tcBorders>
            <w:vAlign w:val="bottom"/>
          </w:tcPr>
          <w:p w:rsidR="009A6B10" w:rsidRPr="009A6B10" w:rsidRDefault="009A6B10" w:rsidP="009A6B10">
            <w:pPr>
              <w:jc w:val="right"/>
            </w:pPr>
            <w:r w:rsidRPr="009A6B10">
              <w:t>22</w:t>
            </w:r>
          </w:p>
        </w:tc>
        <w:tc>
          <w:tcPr>
            <w:tcW w:w="1368" w:type="dxa"/>
            <w:tcBorders>
              <w:top w:val="single" w:sz="12" w:space="0" w:color="auto"/>
              <w:left w:val="nil"/>
              <w:right w:val="nil"/>
            </w:tcBorders>
            <w:vAlign w:val="bottom"/>
          </w:tcPr>
          <w:p w:rsidR="009A6B10" w:rsidRPr="009A6B10" w:rsidRDefault="009A6B10" w:rsidP="009A6B10">
            <w:pPr>
              <w:jc w:val="right"/>
              <w:rPr>
                <w:b/>
              </w:rPr>
            </w:pPr>
            <w:r w:rsidRPr="009A6B10">
              <w:rPr>
                <w:b/>
              </w:rPr>
              <w:t>28</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proofErr w:type="spellStart"/>
            <w:r w:rsidRPr="009A6B10">
              <w:rPr>
                <w:b/>
              </w:rPr>
              <w:t>Bentonit</w:t>
            </w:r>
            <w:proofErr w:type="spellEnd"/>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47 906</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11 900</w:t>
            </w:r>
          </w:p>
        </w:tc>
        <w:tc>
          <w:tcPr>
            <w:tcW w:w="1473" w:type="dxa"/>
            <w:tcBorders>
              <w:top w:val="nil"/>
              <w:left w:val="nil"/>
              <w:right w:val="nil"/>
            </w:tcBorders>
            <w:vAlign w:val="bottom"/>
          </w:tcPr>
          <w:p w:rsidR="009A6B10" w:rsidRPr="009A6B10" w:rsidRDefault="009A6B10" w:rsidP="009A6B10">
            <w:pPr>
              <w:jc w:val="right"/>
            </w:pPr>
            <w:r w:rsidRPr="009A6B10">
              <w:t>136</w:t>
            </w:r>
          </w:p>
        </w:tc>
        <w:tc>
          <w:tcPr>
            <w:tcW w:w="1368" w:type="dxa"/>
            <w:tcBorders>
              <w:top w:val="nil"/>
              <w:left w:val="nil"/>
              <w:right w:val="nil"/>
            </w:tcBorders>
            <w:vAlign w:val="bottom"/>
          </w:tcPr>
          <w:p w:rsidR="009A6B10" w:rsidRPr="009A6B10" w:rsidRDefault="009A6B10" w:rsidP="009A6B10">
            <w:pPr>
              <w:jc w:val="right"/>
              <w:rPr>
                <w:b/>
              </w:rPr>
            </w:pPr>
            <w:r w:rsidRPr="009A6B10">
              <w:rPr>
                <w:b/>
              </w:rPr>
              <w:t>88</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Čadič tavný</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39 738</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5 900</w:t>
            </w:r>
          </w:p>
        </w:tc>
        <w:tc>
          <w:tcPr>
            <w:tcW w:w="1473" w:type="dxa"/>
            <w:tcBorders>
              <w:top w:val="nil"/>
              <w:left w:val="nil"/>
              <w:right w:val="nil"/>
            </w:tcBorders>
            <w:vAlign w:val="bottom"/>
          </w:tcPr>
          <w:p w:rsidR="009A6B10" w:rsidRPr="009A6B10" w:rsidRDefault="009A6B10" w:rsidP="009A6B10">
            <w:pPr>
              <w:jc w:val="right"/>
            </w:pPr>
            <w:r w:rsidRPr="009A6B10">
              <w:t>91</w:t>
            </w:r>
          </w:p>
        </w:tc>
        <w:tc>
          <w:tcPr>
            <w:tcW w:w="1368" w:type="dxa"/>
            <w:tcBorders>
              <w:top w:val="nil"/>
              <w:left w:val="nil"/>
              <w:right w:val="nil"/>
            </w:tcBorders>
            <w:vAlign w:val="bottom"/>
          </w:tcPr>
          <w:p w:rsidR="009A6B10" w:rsidRPr="009A6B10" w:rsidRDefault="009A6B10" w:rsidP="009A6B10">
            <w:pPr>
              <w:jc w:val="right"/>
              <w:rPr>
                <w:b/>
              </w:rPr>
            </w:pPr>
            <w:r w:rsidRPr="009A6B10">
              <w:rPr>
                <w:b/>
              </w:rPr>
              <w:t>65</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Dolomit</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671 751</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193 590</w:t>
            </w:r>
          </w:p>
        </w:tc>
        <w:tc>
          <w:tcPr>
            <w:tcW w:w="1473" w:type="dxa"/>
            <w:tcBorders>
              <w:top w:val="nil"/>
              <w:left w:val="nil"/>
              <w:right w:val="nil"/>
            </w:tcBorders>
            <w:vAlign w:val="bottom"/>
          </w:tcPr>
          <w:p w:rsidR="009A6B10" w:rsidRPr="009A6B10" w:rsidRDefault="009A6B10" w:rsidP="009A6B10">
            <w:pPr>
              <w:jc w:val="right"/>
            </w:pPr>
            <w:r w:rsidRPr="009A6B10">
              <w:t>1 362</w:t>
            </w:r>
          </w:p>
        </w:tc>
        <w:tc>
          <w:tcPr>
            <w:tcW w:w="1368" w:type="dxa"/>
            <w:tcBorders>
              <w:top w:val="nil"/>
              <w:left w:val="nil"/>
              <w:right w:val="nil"/>
            </w:tcBorders>
            <w:vAlign w:val="bottom"/>
          </w:tcPr>
          <w:p w:rsidR="009A6B10" w:rsidRPr="009A6B10" w:rsidRDefault="009A6B10" w:rsidP="009A6B10">
            <w:pPr>
              <w:jc w:val="right"/>
              <w:rPr>
                <w:b/>
              </w:rPr>
            </w:pPr>
            <w:r w:rsidRPr="009A6B10">
              <w:rPr>
                <w:b/>
              </w:rPr>
              <w:t>142</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Keramické íly</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191 351</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7 790</w:t>
            </w:r>
          </w:p>
        </w:tc>
        <w:tc>
          <w:tcPr>
            <w:tcW w:w="1473" w:type="dxa"/>
            <w:tcBorders>
              <w:top w:val="nil"/>
              <w:left w:val="nil"/>
              <w:right w:val="nil"/>
            </w:tcBorders>
            <w:vAlign w:val="bottom"/>
          </w:tcPr>
          <w:p w:rsidR="009A6B10" w:rsidRPr="009A6B10" w:rsidRDefault="009A6B10" w:rsidP="009A6B10">
            <w:pPr>
              <w:jc w:val="right"/>
            </w:pPr>
            <w:r w:rsidRPr="009A6B10">
              <w:t>37</w:t>
            </w:r>
          </w:p>
        </w:tc>
        <w:tc>
          <w:tcPr>
            <w:tcW w:w="1368" w:type="dxa"/>
            <w:tcBorders>
              <w:top w:val="nil"/>
              <w:left w:val="nil"/>
              <w:right w:val="nil"/>
            </w:tcBorders>
            <w:vAlign w:val="bottom"/>
          </w:tcPr>
          <w:p w:rsidR="009A6B10" w:rsidRPr="009A6B10" w:rsidRDefault="009A6B10" w:rsidP="009A6B10">
            <w:pPr>
              <w:jc w:val="right"/>
              <w:rPr>
                <w:b/>
              </w:rPr>
            </w:pPr>
            <w:r w:rsidRPr="009A6B10">
              <w:rPr>
                <w:b/>
              </w:rPr>
              <w:t>&gt; 200</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Magnezit</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1 159 843</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212 040</w:t>
            </w:r>
          </w:p>
        </w:tc>
        <w:tc>
          <w:tcPr>
            <w:tcW w:w="1473" w:type="dxa"/>
            <w:tcBorders>
              <w:top w:val="nil"/>
              <w:left w:val="nil"/>
              <w:right w:val="nil"/>
            </w:tcBorders>
            <w:vAlign w:val="bottom"/>
          </w:tcPr>
          <w:p w:rsidR="009A6B10" w:rsidRPr="009A6B10" w:rsidRDefault="009A6B10" w:rsidP="009A6B10">
            <w:pPr>
              <w:jc w:val="right"/>
            </w:pPr>
            <w:r w:rsidRPr="009A6B10">
              <w:t>1 077</w:t>
            </w:r>
          </w:p>
        </w:tc>
        <w:tc>
          <w:tcPr>
            <w:tcW w:w="1368" w:type="dxa"/>
            <w:tcBorders>
              <w:top w:val="nil"/>
              <w:left w:val="nil"/>
              <w:right w:val="nil"/>
            </w:tcBorders>
            <w:vAlign w:val="bottom"/>
          </w:tcPr>
          <w:p w:rsidR="009A6B10" w:rsidRPr="009A6B10" w:rsidRDefault="009A6B10" w:rsidP="009A6B10">
            <w:pPr>
              <w:jc w:val="right"/>
              <w:rPr>
                <w:b/>
              </w:rPr>
            </w:pPr>
            <w:r w:rsidRPr="009A6B10">
              <w:rPr>
                <w:b/>
              </w:rPr>
              <w:t>197</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Mastenec</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242 171</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76 840</w:t>
            </w:r>
          </w:p>
        </w:tc>
        <w:tc>
          <w:tcPr>
            <w:tcW w:w="1473" w:type="dxa"/>
            <w:tcBorders>
              <w:top w:val="nil"/>
              <w:left w:val="nil"/>
              <w:right w:val="nil"/>
            </w:tcBorders>
            <w:vAlign w:val="bottom"/>
          </w:tcPr>
          <w:p w:rsidR="009A6B10" w:rsidRPr="009A6B10" w:rsidRDefault="009A6B10" w:rsidP="009A6B10">
            <w:pPr>
              <w:jc w:val="right"/>
            </w:pPr>
            <w:r w:rsidRPr="009A6B10">
              <w:t>7</w:t>
            </w:r>
          </w:p>
        </w:tc>
        <w:tc>
          <w:tcPr>
            <w:tcW w:w="1368" w:type="dxa"/>
            <w:tcBorders>
              <w:top w:val="nil"/>
              <w:left w:val="nil"/>
              <w:right w:val="nil"/>
            </w:tcBorders>
            <w:vAlign w:val="bottom"/>
          </w:tcPr>
          <w:p w:rsidR="009A6B10" w:rsidRPr="009A6B10" w:rsidRDefault="009A6B10" w:rsidP="009A6B10">
            <w:pPr>
              <w:jc w:val="right"/>
              <w:rPr>
                <w:b/>
              </w:rPr>
            </w:pPr>
            <w:r w:rsidRPr="009A6B10">
              <w:rPr>
                <w:b/>
              </w:rPr>
              <w:t>&gt; 200</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proofErr w:type="spellStart"/>
            <w:r w:rsidRPr="009A6B10">
              <w:rPr>
                <w:b/>
              </w:rPr>
              <w:t>Perlit</w:t>
            </w:r>
            <w:proofErr w:type="spellEnd"/>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30 484</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2 210</w:t>
            </w:r>
          </w:p>
        </w:tc>
        <w:tc>
          <w:tcPr>
            <w:tcW w:w="1473" w:type="dxa"/>
            <w:tcBorders>
              <w:top w:val="nil"/>
              <w:left w:val="nil"/>
              <w:right w:val="nil"/>
            </w:tcBorders>
            <w:vAlign w:val="bottom"/>
          </w:tcPr>
          <w:p w:rsidR="009A6B10" w:rsidRPr="009A6B10" w:rsidRDefault="009A6B10" w:rsidP="009A6B10">
            <w:pPr>
              <w:jc w:val="right"/>
            </w:pPr>
            <w:r w:rsidRPr="009A6B10">
              <w:t>24</w:t>
            </w:r>
          </w:p>
        </w:tc>
        <w:tc>
          <w:tcPr>
            <w:tcW w:w="1368" w:type="dxa"/>
            <w:tcBorders>
              <w:top w:val="nil"/>
              <w:left w:val="nil"/>
              <w:right w:val="nil"/>
            </w:tcBorders>
            <w:vAlign w:val="bottom"/>
          </w:tcPr>
          <w:p w:rsidR="009A6B10" w:rsidRPr="009A6B10" w:rsidRDefault="009A6B10" w:rsidP="009A6B10">
            <w:pPr>
              <w:jc w:val="right"/>
              <w:rPr>
                <w:b/>
              </w:rPr>
            </w:pPr>
            <w:r w:rsidRPr="009A6B10">
              <w:rPr>
                <w:b/>
              </w:rPr>
              <w:t>91</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 xml:space="preserve">Sadrovec a </w:t>
            </w:r>
            <w:proofErr w:type="spellStart"/>
            <w:r w:rsidRPr="009A6B10">
              <w:rPr>
                <w:b/>
              </w:rPr>
              <w:t>anhydrit</w:t>
            </w:r>
            <w:proofErr w:type="spellEnd"/>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1 343 529</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7 150</w:t>
            </w:r>
          </w:p>
        </w:tc>
        <w:tc>
          <w:tcPr>
            <w:tcW w:w="1473" w:type="dxa"/>
            <w:tcBorders>
              <w:top w:val="nil"/>
              <w:left w:val="nil"/>
              <w:right w:val="nil"/>
            </w:tcBorders>
            <w:vAlign w:val="bottom"/>
          </w:tcPr>
          <w:p w:rsidR="009A6B10" w:rsidRPr="009A6B10" w:rsidRDefault="009A6B10" w:rsidP="009A6B10">
            <w:pPr>
              <w:jc w:val="right"/>
            </w:pPr>
            <w:r w:rsidRPr="009A6B10">
              <w:t>123</w:t>
            </w:r>
          </w:p>
        </w:tc>
        <w:tc>
          <w:tcPr>
            <w:tcW w:w="1368" w:type="dxa"/>
            <w:tcBorders>
              <w:top w:val="nil"/>
              <w:left w:val="nil"/>
              <w:right w:val="nil"/>
            </w:tcBorders>
            <w:vAlign w:val="bottom"/>
          </w:tcPr>
          <w:p w:rsidR="009A6B10" w:rsidRPr="009A6B10" w:rsidRDefault="009A6B10" w:rsidP="009A6B10">
            <w:pPr>
              <w:jc w:val="right"/>
              <w:rPr>
                <w:b/>
              </w:rPr>
            </w:pPr>
            <w:r w:rsidRPr="009A6B10">
              <w:rPr>
                <w:b/>
              </w:rPr>
              <w:t>58</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 xml:space="preserve">Sklárske a </w:t>
            </w:r>
            <w:proofErr w:type="spellStart"/>
            <w:r w:rsidRPr="009A6B10">
              <w:rPr>
                <w:b/>
              </w:rPr>
              <w:t>zliev</w:t>
            </w:r>
            <w:proofErr w:type="spellEnd"/>
            <w:r w:rsidRPr="009A6B10">
              <w:rPr>
                <w:b/>
              </w:rPr>
              <w:t>. piesky</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1 097 582</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262 430</w:t>
            </w:r>
          </w:p>
        </w:tc>
        <w:tc>
          <w:tcPr>
            <w:tcW w:w="1473" w:type="dxa"/>
            <w:tcBorders>
              <w:top w:val="nil"/>
              <w:left w:val="nil"/>
              <w:right w:val="nil"/>
            </w:tcBorders>
            <w:vAlign w:val="bottom"/>
          </w:tcPr>
          <w:p w:rsidR="009A6B10" w:rsidRPr="009A6B10" w:rsidRDefault="009A6B10" w:rsidP="009A6B10">
            <w:pPr>
              <w:jc w:val="right"/>
            </w:pPr>
            <w:r w:rsidRPr="009A6B10">
              <w:t>545</w:t>
            </w:r>
          </w:p>
        </w:tc>
        <w:tc>
          <w:tcPr>
            <w:tcW w:w="1368" w:type="dxa"/>
            <w:tcBorders>
              <w:top w:val="nil"/>
              <w:left w:val="nil"/>
              <w:right w:val="nil"/>
            </w:tcBorders>
            <w:vAlign w:val="bottom"/>
          </w:tcPr>
          <w:p w:rsidR="009A6B10" w:rsidRPr="009A6B10" w:rsidRDefault="009A6B10" w:rsidP="009A6B10">
            <w:pPr>
              <w:jc w:val="right"/>
              <w:rPr>
                <w:b/>
              </w:rPr>
            </w:pPr>
            <w:r w:rsidRPr="009A6B10">
              <w:rPr>
                <w:b/>
              </w:rPr>
              <w:t>&gt; 200</w:t>
            </w:r>
          </w:p>
        </w:tc>
      </w:tr>
      <w:tr w:rsidR="009A6B10" w:rsidRPr="009A6B10" w:rsidTr="009A6B10">
        <w:trPr>
          <w:trHeight w:val="262"/>
          <w:jc w:val="center"/>
        </w:trPr>
        <w:tc>
          <w:tcPr>
            <w:tcW w:w="2978" w:type="dxa"/>
            <w:tcBorders>
              <w:top w:val="nil"/>
              <w:left w:val="nil"/>
              <w:right w:val="nil"/>
            </w:tcBorders>
            <w:vAlign w:val="center"/>
          </w:tcPr>
          <w:p w:rsidR="009A6B10" w:rsidRPr="009A6B10" w:rsidRDefault="009A6B10" w:rsidP="009A6B10">
            <w:pPr>
              <w:tabs>
                <w:tab w:val="left" w:pos="305"/>
              </w:tabs>
              <w:rPr>
                <w:b/>
              </w:rPr>
            </w:pPr>
            <w:r w:rsidRPr="009A6B10">
              <w:rPr>
                <w:b/>
              </w:rPr>
              <w:t>Vápenec</w:t>
            </w:r>
          </w:p>
        </w:tc>
        <w:tc>
          <w:tcPr>
            <w:tcW w:w="1501" w:type="dxa"/>
            <w:tcBorders>
              <w:top w:val="nil"/>
              <w:left w:val="nil"/>
              <w:right w:val="nil"/>
            </w:tcBorders>
            <w:vAlign w:val="center"/>
          </w:tcPr>
          <w:p w:rsidR="009A6B10" w:rsidRPr="009A6B10" w:rsidRDefault="009A6B10" w:rsidP="009A6B10">
            <w:pPr>
              <w:tabs>
                <w:tab w:val="left" w:pos="305"/>
              </w:tabs>
              <w:jc w:val="right"/>
            </w:pPr>
            <w:r w:rsidRPr="009A6B10">
              <w:t>5 813 700</w:t>
            </w:r>
          </w:p>
        </w:tc>
        <w:tc>
          <w:tcPr>
            <w:tcW w:w="1506" w:type="dxa"/>
            <w:tcBorders>
              <w:top w:val="nil"/>
              <w:left w:val="nil"/>
              <w:right w:val="nil"/>
            </w:tcBorders>
            <w:vAlign w:val="center"/>
          </w:tcPr>
          <w:p w:rsidR="009A6B10" w:rsidRPr="009A6B10" w:rsidRDefault="009A6B10" w:rsidP="009A6B10">
            <w:pPr>
              <w:tabs>
                <w:tab w:val="left" w:pos="305"/>
              </w:tabs>
              <w:jc w:val="right"/>
            </w:pPr>
            <w:r w:rsidRPr="009A6B10">
              <w:t>1 464 540</w:t>
            </w:r>
          </w:p>
        </w:tc>
        <w:tc>
          <w:tcPr>
            <w:tcW w:w="1473" w:type="dxa"/>
            <w:tcBorders>
              <w:top w:val="nil"/>
              <w:left w:val="nil"/>
              <w:right w:val="nil"/>
            </w:tcBorders>
            <w:vAlign w:val="bottom"/>
          </w:tcPr>
          <w:p w:rsidR="009A6B10" w:rsidRPr="009A6B10" w:rsidRDefault="009A6B10" w:rsidP="009A6B10">
            <w:pPr>
              <w:jc w:val="right"/>
            </w:pPr>
            <w:r w:rsidRPr="009A6B10">
              <w:t>7 843</w:t>
            </w:r>
          </w:p>
        </w:tc>
        <w:tc>
          <w:tcPr>
            <w:tcW w:w="1368" w:type="dxa"/>
            <w:tcBorders>
              <w:top w:val="nil"/>
              <w:left w:val="nil"/>
              <w:right w:val="nil"/>
            </w:tcBorders>
            <w:vAlign w:val="bottom"/>
          </w:tcPr>
          <w:p w:rsidR="009A6B10" w:rsidRPr="009A6B10" w:rsidRDefault="009A6B10" w:rsidP="009A6B10">
            <w:pPr>
              <w:jc w:val="right"/>
              <w:rPr>
                <w:b/>
              </w:rPr>
            </w:pPr>
            <w:r w:rsidRPr="009A6B10">
              <w:rPr>
                <w:b/>
              </w:rPr>
              <w:t>187</w:t>
            </w:r>
          </w:p>
        </w:tc>
      </w:tr>
      <w:tr w:rsidR="009A6B10" w:rsidRPr="009A6B10" w:rsidTr="009A6B10">
        <w:trPr>
          <w:trHeight w:val="262"/>
          <w:jc w:val="center"/>
        </w:trPr>
        <w:tc>
          <w:tcPr>
            <w:tcW w:w="2978" w:type="dxa"/>
            <w:tcBorders>
              <w:left w:val="nil"/>
              <w:bottom w:val="single" w:sz="12" w:space="0" w:color="auto"/>
              <w:right w:val="nil"/>
            </w:tcBorders>
            <w:vAlign w:val="center"/>
          </w:tcPr>
          <w:p w:rsidR="009A6B10" w:rsidRPr="009A6B10" w:rsidRDefault="009A6B10" w:rsidP="009A6B10">
            <w:pPr>
              <w:tabs>
                <w:tab w:val="left" w:pos="305"/>
              </w:tabs>
              <w:rPr>
                <w:b/>
              </w:rPr>
            </w:pPr>
            <w:proofErr w:type="spellStart"/>
            <w:r w:rsidRPr="009A6B10">
              <w:rPr>
                <w:b/>
              </w:rPr>
              <w:t>Zeolit</w:t>
            </w:r>
            <w:proofErr w:type="spellEnd"/>
          </w:p>
        </w:tc>
        <w:tc>
          <w:tcPr>
            <w:tcW w:w="1501" w:type="dxa"/>
            <w:tcBorders>
              <w:left w:val="nil"/>
              <w:bottom w:val="single" w:sz="12" w:space="0" w:color="auto"/>
              <w:right w:val="nil"/>
            </w:tcBorders>
            <w:vAlign w:val="center"/>
          </w:tcPr>
          <w:p w:rsidR="009A6B10" w:rsidRPr="009A6B10" w:rsidRDefault="009A6B10" w:rsidP="009A6B10">
            <w:pPr>
              <w:tabs>
                <w:tab w:val="left" w:pos="305"/>
              </w:tabs>
              <w:jc w:val="right"/>
            </w:pPr>
            <w:r w:rsidRPr="009A6B10">
              <w:t>113 215</w:t>
            </w:r>
          </w:p>
        </w:tc>
        <w:tc>
          <w:tcPr>
            <w:tcW w:w="1506" w:type="dxa"/>
            <w:tcBorders>
              <w:left w:val="nil"/>
              <w:bottom w:val="single" w:sz="12" w:space="0" w:color="auto"/>
              <w:right w:val="nil"/>
            </w:tcBorders>
            <w:vAlign w:val="center"/>
          </w:tcPr>
          <w:p w:rsidR="009A6B10" w:rsidRPr="009A6B10" w:rsidRDefault="009A6B10" w:rsidP="009A6B10">
            <w:pPr>
              <w:tabs>
                <w:tab w:val="left" w:pos="305"/>
              </w:tabs>
              <w:jc w:val="right"/>
            </w:pPr>
            <w:r w:rsidRPr="009A6B10">
              <w:t>26 780</w:t>
            </w:r>
          </w:p>
        </w:tc>
        <w:tc>
          <w:tcPr>
            <w:tcW w:w="1473" w:type="dxa"/>
            <w:tcBorders>
              <w:left w:val="nil"/>
              <w:bottom w:val="single" w:sz="12" w:space="0" w:color="auto"/>
              <w:right w:val="nil"/>
            </w:tcBorders>
            <w:vAlign w:val="bottom"/>
          </w:tcPr>
          <w:p w:rsidR="009A6B10" w:rsidRPr="009A6B10" w:rsidRDefault="009A6B10" w:rsidP="009A6B10">
            <w:pPr>
              <w:jc w:val="right"/>
            </w:pPr>
            <w:r w:rsidRPr="009A6B10">
              <w:t>87</w:t>
            </w:r>
          </w:p>
        </w:tc>
        <w:tc>
          <w:tcPr>
            <w:tcW w:w="1368" w:type="dxa"/>
            <w:tcBorders>
              <w:left w:val="nil"/>
              <w:bottom w:val="single" w:sz="12" w:space="0" w:color="auto"/>
              <w:right w:val="nil"/>
            </w:tcBorders>
            <w:vAlign w:val="bottom"/>
          </w:tcPr>
          <w:p w:rsidR="009A6B10" w:rsidRPr="009A6B10" w:rsidRDefault="009A6B10" w:rsidP="009A6B10">
            <w:pPr>
              <w:jc w:val="right"/>
              <w:rPr>
                <w:b/>
              </w:rPr>
            </w:pPr>
            <w:r w:rsidRPr="009A6B10">
              <w:rPr>
                <w:b/>
              </w:rPr>
              <w:t>&gt; 200</w:t>
            </w:r>
          </w:p>
        </w:tc>
      </w:tr>
      <w:tr w:rsidR="009A6B10" w:rsidRPr="009A6B10" w:rsidTr="009A6B10">
        <w:trPr>
          <w:trHeight w:val="262"/>
          <w:jc w:val="center"/>
        </w:trPr>
        <w:tc>
          <w:tcPr>
            <w:tcW w:w="2978" w:type="dxa"/>
            <w:tcBorders>
              <w:top w:val="single" w:sz="12" w:space="0" w:color="auto"/>
              <w:left w:val="nil"/>
              <w:right w:val="nil"/>
            </w:tcBorders>
            <w:vAlign w:val="center"/>
          </w:tcPr>
          <w:p w:rsidR="009A6B10" w:rsidRPr="009A6B10" w:rsidRDefault="009A6B10" w:rsidP="009A6B10">
            <w:pPr>
              <w:tabs>
                <w:tab w:val="left" w:pos="305"/>
              </w:tabs>
              <w:rPr>
                <w:b/>
              </w:rPr>
            </w:pPr>
            <w:r w:rsidRPr="009A6B10">
              <w:rPr>
                <w:b/>
              </w:rPr>
              <w:t>Stavebný kameň</w:t>
            </w:r>
          </w:p>
        </w:tc>
        <w:tc>
          <w:tcPr>
            <w:tcW w:w="1501" w:type="dxa"/>
            <w:tcBorders>
              <w:top w:val="single" w:sz="12" w:space="0" w:color="auto"/>
              <w:left w:val="nil"/>
              <w:right w:val="nil"/>
            </w:tcBorders>
            <w:vAlign w:val="center"/>
          </w:tcPr>
          <w:p w:rsidR="009A6B10" w:rsidRPr="009A6B10" w:rsidRDefault="009A6B10" w:rsidP="009A6B10">
            <w:pPr>
              <w:tabs>
                <w:tab w:val="left" w:pos="305"/>
              </w:tabs>
              <w:jc w:val="right"/>
            </w:pPr>
            <w:r w:rsidRPr="009A6B10">
              <w:t>2 025 486</w:t>
            </w:r>
          </w:p>
        </w:tc>
        <w:tc>
          <w:tcPr>
            <w:tcW w:w="1506" w:type="dxa"/>
            <w:tcBorders>
              <w:top w:val="single" w:sz="12" w:space="0" w:color="auto"/>
              <w:left w:val="nil"/>
              <w:right w:val="nil"/>
            </w:tcBorders>
            <w:vAlign w:val="center"/>
          </w:tcPr>
          <w:p w:rsidR="009A6B10" w:rsidRPr="009A6B10" w:rsidRDefault="009A6B10" w:rsidP="009A6B10">
            <w:pPr>
              <w:tabs>
                <w:tab w:val="left" w:pos="305"/>
              </w:tabs>
              <w:jc w:val="right"/>
            </w:pPr>
            <w:r w:rsidRPr="009A6B10">
              <w:t>391 040</w:t>
            </w:r>
          </w:p>
        </w:tc>
        <w:tc>
          <w:tcPr>
            <w:tcW w:w="1473" w:type="dxa"/>
            <w:tcBorders>
              <w:top w:val="single" w:sz="12" w:space="0" w:color="auto"/>
              <w:left w:val="nil"/>
              <w:right w:val="nil"/>
            </w:tcBorders>
            <w:vAlign w:val="bottom"/>
          </w:tcPr>
          <w:p w:rsidR="009A6B10" w:rsidRPr="009A6B10" w:rsidRDefault="009A6B10" w:rsidP="009A6B10">
            <w:pPr>
              <w:jc w:val="right"/>
            </w:pPr>
            <w:r w:rsidRPr="009A6B10">
              <w:t>15 496</w:t>
            </w:r>
          </w:p>
        </w:tc>
        <w:tc>
          <w:tcPr>
            <w:tcW w:w="1368" w:type="dxa"/>
            <w:tcBorders>
              <w:top w:val="single" w:sz="12" w:space="0" w:color="auto"/>
              <w:left w:val="nil"/>
              <w:right w:val="nil"/>
            </w:tcBorders>
            <w:vAlign w:val="bottom"/>
          </w:tcPr>
          <w:p w:rsidR="009A6B10" w:rsidRPr="009A6B10" w:rsidRDefault="009A6B10" w:rsidP="009A6B10">
            <w:pPr>
              <w:jc w:val="right"/>
              <w:rPr>
                <w:b/>
              </w:rPr>
            </w:pPr>
            <w:r w:rsidRPr="009A6B10">
              <w:rPr>
                <w:b/>
              </w:rPr>
              <w:t>25</w:t>
            </w:r>
          </w:p>
        </w:tc>
      </w:tr>
      <w:tr w:rsidR="009A6B10" w:rsidRPr="009A6B10" w:rsidTr="009A6B10">
        <w:trPr>
          <w:trHeight w:val="262"/>
          <w:jc w:val="center"/>
        </w:trPr>
        <w:tc>
          <w:tcPr>
            <w:tcW w:w="2978" w:type="dxa"/>
            <w:tcBorders>
              <w:left w:val="nil"/>
              <w:right w:val="nil"/>
            </w:tcBorders>
            <w:vAlign w:val="center"/>
          </w:tcPr>
          <w:p w:rsidR="009A6B10" w:rsidRPr="009A6B10" w:rsidRDefault="009A6B10" w:rsidP="009A6B10">
            <w:pPr>
              <w:tabs>
                <w:tab w:val="left" w:pos="305"/>
              </w:tabs>
              <w:rPr>
                <w:b/>
              </w:rPr>
            </w:pPr>
            <w:r w:rsidRPr="009A6B10">
              <w:rPr>
                <w:b/>
              </w:rPr>
              <w:t>Štrkopiesky a piesky</w:t>
            </w:r>
          </w:p>
        </w:tc>
        <w:tc>
          <w:tcPr>
            <w:tcW w:w="1501" w:type="dxa"/>
            <w:tcBorders>
              <w:left w:val="nil"/>
              <w:right w:val="nil"/>
            </w:tcBorders>
            <w:vAlign w:val="center"/>
          </w:tcPr>
          <w:p w:rsidR="009A6B10" w:rsidRPr="009A6B10" w:rsidRDefault="009A6B10" w:rsidP="009A6B10">
            <w:pPr>
              <w:tabs>
                <w:tab w:val="left" w:pos="305"/>
              </w:tabs>
              <w:jc w:val="right"/>
            </w:pPr>
            <w:r w:rsidRPr="009A6B10">
              <w:t>271 552</w:t>
            </w:r>
          </w:p>
        </w:tc>
        <w:tc>
          <w:tcPr>
            <w:tcW w:w="1506" w:type="dxa"/>
            <w:tcBorders>
              <w:left w:val="nil"/>
              <w:right w:val="nil"/>
            </w:tcBorders>
            <w:vAlign w:val="center"/>
          </w:tcPr>
          <w:p w:rsidR="009A6B10" w:rsidRPr="009A6B10" w:rsidRDefault="009A6B10" w:rsidP="009A6B10">
            <w:pPr>
              <w:tabs>
                <w:tab w:val="left" w:pos="305"/>
              </w:tabs>
              <w:jc w:val="right"/>
            </w:pPr>
            <w:r w:rsidRPr="009A6B10">
              <w:t>92 550</w:t>
            </w:r>
          </w:p>
        </w:tc>
        <w:tc>
          <w:tcPr>
            <w:tcW w:w="1473" w:type="dxa"/>
            <w:tcBorders>
              <w:left w:val="nil"/>
              <w:right w:val="nil"/>
            </w:tcBorders>
            <w:vAlign w:val="bottom"/>
          </w:tcPr>
          <w:p w:rsidR="009A6B10" w:rsidRPr="009A6B10" w:rsidRDefault="009A6B10" w:rsidP="009A6B10">
            <w:pPr>
              <w:jc w:val="right"/>
            </w:pPr>
            <w:r w:rsidRPr="009A6B10">
              <w:t>1 739</w:t>
            </w:r>
          </w:p>
        </w:tc>
        <w:tc>
          <w:tcPr>
            <w:tcW w:w="1368" w:type="dxa"/>
            <w:tcBorders>
              <w:left w:val="nil"/>
              <w:right w:val="nil"/>
            </w:tcBorders>
            <w:vAlign w:val="bottom"/>
          </w:tcPr>
          <w:p w:rsidR="009A6B10" w:rsidRPr="009A6B10" w:rsidRDefault="009A6B10" w:rsidP="009A6B10">
            <w:pPr>
              <w:jc w:val="right"/>
              <w:rPr>
                <w:b/>
              </w:rPr>
            </w:pPr>
            <w:r w:rsidRPr="009A6B10">
              <w:rPr>
                <w:b/>
              </w:rPr>
              <w:t>53</w:t>
            </w:r>
          </w:p>
        </w:tc>
      </w:tr>
      <w:tr w:rsidR="009A6B10" w:rsidRPr="009A6B10" w:rsidTr="009A6B10">
        <w:trPr>
          <w:trHeight w:val="262"/>
          <w:jc w:val="center"/>
        </w:trPr>
        <w:tc>
          <w:tcPr>
            <w:tcW w:w="2978" w:type="dxa"/>
            <w:tcBorders>
              <w:left w:val="nil"/>
              <w:right w:val="nil"/>
            </w:tcBorders>
            <w:vAlign w:val="center"/>
          </w:tcPr>
          <w:p w:rsidR="009A6B10" w:rsidRPr="009A6B10" w:rsidRDefault="009A6B10" w:rsidP="009A6B10">
            <w:pPr>
              <w:tabs>
                <w:tab w:val="left" w:pos="305"/>
              </w:tabs>
              <w:rPr>
                <w:b/>
              </w:rPr>
            </w:pPr>
            <w:r w:rsidRPr="009A6B10">
              <w:rPr>
                <w:b/>
              </w:rPr>
              <w:t>Tehliarske suroviny</w:t>
            </w:r>
          </w:p>
        </w:tc>
        <w:tc>
          <w:tcPr>
            <w:tcW w:w="1501" w:type="dxa"/>
            <w:tcBorders>
              <w:left w:val="nil"/>
              <w:right w:val="nil"/>
            </w:tcBorders>
            <w:vAlign w:val="center"/>
          </w:tcPr>
          <w:p w:rsidR="009A6B10" w:rsidRPr="009A6B10" w:rsidRDefault="009A6B10" w:rsidP="009A6B10">
            <w:pPr>
              <w:tabs>
                <w:tab w:val="left" w:pos="305"/>
              </w:tabs>
              <w:jc w:val="right"/>
            </w:pPr>
            <w:r w:rsidRPr="009A6B10">
              <w:t>219 364</w:t>
            </w:r>
          </w:p>
        </w:tc>
        <w:tc>
          <w:tcPr>
            <w:tcW w:w="1506" w:type="dxa"/>
            <w:tcBorders>
              <w:left w:val="nil"/>
              <w:right w:val="nil"/>
            </w:tcBorders>
            <w:vAlign w:val="center"/>
          </w:tcPr>
          <w:p w:rsidR="009A6B10" w:rsidRPr="009A6B10" w:rsidRDefault="009A6B10" w:rsidP="009A6B10">
            <w:pPr>
              <w:tabs>
                <w:tab w:val="left" w:pos="305"/>
              </w:tabs>
              <w:jc w:val="right"/>
            </w:pPr>
            <w:r w:rsidRPr="009A6B10">
              <w:t>27 630</w:t>
            </w:r>
          </w:p>
        </w:tc>
        <w:tc>
          <w:tcPr>
            <w:tcW w:w="1473" w:type="dxa"/>
            <w:tcBorders>
              <w:left w:val="nil"/>
              <w:right w:val="nil"/>
            </w:tcBorders>
            <w:vAlign w:val="bottom"/>
          </w:tcPr>
          <w:p w:rsidR="009A6B10" w:rsidRPr="009A6B10" w:rsidRDefault="009A6B10" w:rsidP="009A6B10">
            <w:pPr>
              <w:jc w:val="right"/>
            </w:pPr>
            <w:r w:rsidRPr="009A6B10">
              <w:t>654</w:t>
            </w:r>
          </w:p>
        </w:tc>
        <w:tc>
          <w:tcPr>
            <w:tcW w:w="1368" w:type="dxa"/>
            <w:tcBorders>
              <w:left w:val="nil"/>
              <w:right w:val="nil"/>
            </w:tcBorders>
            <w:vAlign w:val="bottom"/>
          </w:tcPr>
          <w:p w:rsidR="009A6B10" w:rsidRPr="009A6B10" w:rsidRDefault="009A6B10" w:rsidP="009A6B10">
            <w:pPr>
              <w:jc w:val="right"/>
              <w:rPr>
                <w:b/>
              </w:rPr>
            </w:pPr>
            <w:r w:rsidRPr="009A6B10">
              <w:rPr>
                <w:b/>
              </w:rPr>
              <w:t>42</w:t>
            </w:r>
          </w:p>
        </w:tc>
      </w:tr>
    </w:tbl>
    <w:p w:rsidR="009A6B10" w:rsidRPr="009A6B10" w:rsidRDefault="009A6B10" w:rsidP="009A6B10">
      <w:pPr>
        <w:ind w:firstLine="426"/>
        <w:rPr>
          <w:rFonts w:ascii="Arial" w:hAnsi="Arial" w:cs="Arial"/>
        </w:rPr>
      </w:pPr>
    </w:p>
    <w:p w:rsidR="005259DF" w:rsidRPr="00B81065" w:rsidRDefault="009A6B10" w:rsidP="00B81065">
      <w:pPr>
        <w:ind w:firstLine="12"/>
        <w:jc w:val="both"/>
        <w:rPr>
          <w:sz w:val="20"/>
          <w:szCs w:val="20"/>
        </w:rPr>
      </w:pPr>
      <w:r w:rsidRPr="009A6B10">
        <w:rPr>
          <w:sz w:val="20"/>
          <w:szCs w:val="20"/>
        </w:rPr>
        <w:t>* odhadované z bilančných voľných zásob ťažených ložísk, v prípade ložísk ropy a zemného plynu z bil. voľných zásob kat. Z-1 a Z-2.</w:t>
      </w:r>
    </w:p>
    <w:p w:rsidR="005259DF" w:rsidRPr="009A6B10" w:rsidRDefault="005259DF" w:rsidP="00C94238">
      <w:pPr>
        <w:rPr>
          <w:rFonts w:ascii="Arial" w:hAnsi="Arial" w:cs="Arial"/>
        </w:rPr>
      </w:pPr>
    </w:p>
    <w:p w:rsidR="009A6B10" w:rsidRPr="009A6B10" w:rsidRDefault="009A6B10" w:rsidP="009A6B10">
      <w:pPr>
        <w:rPr>
          <w:b/>
        </w:rPr>
      </w:pPr>
      <w:r w:rsidRPr="009A6B10">
        <w:rPr>
          <w:b/>
        </w:rPr>
        <w:t xml:space="preserve">Prognóza vývoja geologickej </w:t>
      </w:r>
      <w:proofErr w:type="spellStart"/>
      <w:r w:rsidRPr="009A6B10">
        <w:rPr>
          <w:b/>
        </w:rPr>
        <w:t>preskúmanosti</w:t>
      </w:r>
      <w:proofErr w:type="spellEnd"/>
    </w:p>
    <w:p w:rsidR="009A6B10" w:rsidRPr="009A6B10" w:rsidRDefault="009A6B10" w:rsidP="009A6B10">
      <w:pPr>
        <w:rPr>
          <w:b/>
        </w:rPr>
      </w:pPr>
    </w:p>
    <w:p w:rsidR="009A6B10" w:rsidRPr="009A6B10" w:rsidRDefault="009A6B10" w:rsidP="009A6B10">
      <w:pPr>
        <w:ind w:firstLine="426"/>
      </w:pPr>
      <w:r w:rsidRPr="009A6B10">
        <w:t xml:space="preserve">V súlade so zásadami trvalo udržateľného rozvoja nerastnej surovinovej základne bude účelné v budúcnosti podporovať vyhľadávanie a prieskum ložísk nerastných surovín na území Slovenskej republiky. Je nevyhnutné zamerať prieskum na deficitné nerastné suroviny, dôležité pre zabezpečenie hospodárskych potrieb Slovenska a v širšom kontexte aj potrieb Európskej únie (kritické nerastné suroviny). </w:t>
      </w:r>
    </w:p>
    <w:p w:rsidR="009A6B10" w:rsidRPr="009A6B10" w:rsidRDefault="009A6B10" w:rsidP="009A6B10">
      <w:pPr>
        <w:suppressAutoHyphens/>
        <w:jc w:val="both"/>
        <w:rPr>
          <w:bCs/>
          <w:lang w:eastAsia="zh-CN"/>
        </w:rPr>
      </w:pPr>
      <w:r w:rsidRPr="009A6B10">
        <w:rPr>
          <w:bCs/>
          <w:lang w:eastAsia="zh-CN"/>
        </w:rPr>
        <w:t xml:space="preserve">Nízka životnosť, resp. absencia významných zásob energetických a väčšiny rudných surovín neznamená nízku </w:t>
      </w:r>
      <w:proofErr w:type="spellStart"/>
      <w:r w:rsidRPr="009A6B10">
        <w:rPr>
          <w:bCs/>
          <w:lang w:eastAsia="zh-CN"/>
        </w:rPr>
        <w:t>preskúmanosť</w:t>
      </w:r>
      <w:proofErr w:type="spellEnd"/>
      <w:r w:rsidRPr="009A6B10">
        <w:rPr>
          <w:bCs/>
          <w:lang w:eastAsia="zh-CN"/>
        </w:rPr>
        <w:t>, ale skutočnosť, že geologické podmienky Slovenska a súčasné ekonomické podmienky (ceny, náklady) neumožnili overiť ekonomicky významné ložiská s bilančnými zásobami. V prípade tradičných rudných surovín (</w:t>
      </w:r>
      <w:proofErr w:type="spellStart"/>
      <w:r w:rsidRPr="009A6B10">
        <w:rPr>
          <w:bCs/>
          <w:lang w:eastAsia="zh-CN"/>
        </w:rPr>
        <w:t>Fe</w:t>
      </w:r>
      <w:proofErr w:type="spellEnd"/>
      <w:r w:rsidRPr="009A6B10">
        <w:rPr>
          <w:bCs/>
          <w:lang w:eastAsia="zh-CN"/>
        </w:rPr>
        <w:t xml:space="preserve">, </w:t>
      </w:r>
      <w:proofErr w:type="spellStart"/>
      <w:r w:rsidRPr="009A6B10">
        <w:rPr>
          <w:bCs/>
          <w:lang w:eastAsia="zh-CN"/>
        </w:rPr>
        <w:t>Cu</w:t>
      </w:r>
      <w:proofErr w:type="spellEnd"/>
      <w:r w:rsidRPr="009A6B10">
        <w:rPr>
          <w:bCs/>
          <w:lang w:eastAsia="zh-CN"/>
        </w:rPr>
        <w:t xml:space="preserve">, </w:t>
      </w:r>
      <w:proofErr w:type="spellStart"/>
      <w:r w:rsidRPr="009A6B10">
        <w:rPr>
          <w:bCs/>
          <w:lang w:eastAsia="zh-CN"/>
        </w:rPr>
        <w:t>Pb-Zn</w:t>
      </w:r>
      <w:proofErr w:type="spellEnd"/>
      <w:r w:rsidRPr="009A6B10">
        <w:rPr>
          <w:bCs/>
          <w:lang w:eastAsia="zh-CN"/>
        </w:rPr>
        <w:t xml:space="preserve">, </w:t>
      </w:r>
      <w:proofErr w:type="spellStart"/>
      <w:r w:rsidRPr="009A6B10">
        <w:rPr>
          <w:bCs/>
          <w:lang w:eastAsia="zh-CN"/>
        </w:rPr>
        <w:t>Au-Ag</w:t>
      </w:r>
      <w:proofErr w:type="spellEnd"/>
      <w:r w:rsidRPr="009A6B10">
        <w:rPr>
          <w:bCs/>
          <w:lang w:eastAsia="zh-CN"/>
        </w:rPr>
        <w:t xml:space="preserve">, </w:t>
      </w:r>
      <w:proofErr w:type="spellStart"/>
      <w:r w:rsidRPr="009A6B10">
        <w:rPr>
          <w:bCs/>
          <w:lang w:eastAsia="zh-CN"/>
        </w:rPr>
        <w:t>Sb</w:t>
      </w:r>
      <w:proofErr w:type="spellEnd"/>
      <w:r w:rsidRPr="009A6B10">
        <w:rPr>
          <w:bCs/>
          <w:lang w:eastAsia="zh-CN"/>
        </w:rPr>
        <w:t>) je potrebné zohľadňovať aj dlhodobé 200 až 700 ročné ťažobné aktivity na historicky významných ložiskách.</w:t>
      </w:r>
    </w:p>
    <w:p w:rsidR="009A6B10" w:rsidRPr="009A6B10" w:rsidRDefault="009A6B10" w:rsidP="009A6B10">
      <w:pPr>
        <w:suppressAutoHyphens/>
        <w:spacing w:before="120"/>
        <w:jc w:val="both"/>
        <w:rPr>
          <w:bCs/>
          <w:lang w:eastAsia="zh-CN"/>
        </w:rPr>
      </w:pPr>
      <w:r w:rsidRPr="009A6B10">
        <w:rPr>
          <w:bCs/>
          <w:lang w:eastAsia="zh-CN"/>
        </w:rPr>
        <w:t xml:space="preserve">Objavy ekonomicky významných ložísk mastencov, </w:t>
      </w:r>
      <w:proofErr w:type="spellStart"/>
      <w:r w:rsidRPr="009A6B10">
        <w:rPr>
          <w:bCs/>
          <w:lang w:eastAsia="zh-CN"/>
        </w:rPr>
        <w:t>zeolitov</w:t>
      </w:r>
      <w:proofErr w:type="spellEnd"/>
      <w:r w:rsidRPr="009A6B10">
        <w:rPr>
          <w:bCs/>
          <w:lang w:eastAsia="zh-CN"/>
        </w:rPr>
        <w:t>, uránu a iných surovín v posledných desaťročiach poukazujú na opodstatnenosť ďalších výskumných a </w:t>
      </w:r>
      <w:proofErr w:type="spellStart"/>
      <w:r w:rsidRPr="009A6B10">
        <w:rPr>
          <w:bCs/>
          <w:lang w:eastAsia="zh-CN"/>
        </w:rPr>
        <w:t>prospekčných</w:t>
      </w:r>
      <w:proofErr w:type="spellEnd"/>
      <w:r w:rsidRPr="009A6B10">
        <w:rPr>
          <w:bCs/>
          <w:lang w:eastAsia="zh-CN"/>
        </w:rPr>
        <w:t xml:space="preserve"> aktivít, zameraných predovšetkým na nerastné suroviny, ktorých akumulácie sú reálne v geologických podmienkach Slovenska.</w:t>
      </w:r>
    </w:p>
    <w:p w:rsidR="009A6B10" w:rsidRPr="009A6B10" w:rsidRDefault="009A6B10" w:rsidP="009A6B10">
      <w:pPr>
        <w:autoSpaceDE w:val="0"/>
        <w:autoSpaceDN w:val="0"/>
        <w:adjustRightInd w:val="0"/>
        <w:ind w:firstLine="708"/>
        <w:jc w:val="both"/>
      </w:pPr>
      <w:r w:rsidRPr="009A6B10">
        <w:t xml:space="preserve">Vzhľadom na </w:t>
      </w:r>
      <w:proofErr w:type="spellStart"/>
      <w:r w:rsidRPr="009A6B10">
        <w:t>preskúmanosť</w:t>
      </w:r>
      <w:proofErr w:type="spellEnd"/>
      <w:r w:rsidRPr="009A6B10">
        <w:t xml:space="preserve"> územia je málo pravdepodobné, že v prípade kritických komodít, ako sú palivovo-energetické a rudné suroviny, budú v budúcnosti objavené priemyselne využiteľné ložiská, ktoré by mohli podstatne znížiť dovoznú závislosť Slovenskej republiky. Je potrebné vytvoriť pre ťažobné organizácie také ekonomicko-legislatívne podmienky, aby sa v rozhodujúcej miere podieľali na financovaní geologického prieskumu z vlastných zdrojov. </w:t>
      </w:r>
    </w:p>
    <w:p w:rsidR="009A6B10" w:rsidRPr="009A6B10" w:rsidRDefault="009A6B10" w:rsidP="009A6B10">
      <w:pPr>
        <w:autoSpaceDE w:val="0"/>
        <w:autoSpaceDN w:val="0"/>
        <w:adjustRightInd w:val="0"/>
        <w:ind w:firstLine="708"/>
        <w:jc w:val="both"/>
      </w:pPr>
      <w:r w:rsidRPr="009A6B10">
        <w:t>Alternatívou zabezpečenia deficitných surovinových komodít je priama účasť na geologickom prieskume a využívaní ložísk v zahraničí. Súvisiace aktivity sú však limitované obmedzenými zdrojmi štátneho rozpočtu, podpora investovania do geologického prieskumu a využívanie nerastných surovín v zahraničí je hlavne nepriama.</w:t>
      </w:r>
    </w:p>
    <w:p w:rsidR="009A6B10" w:rsidRPr="009A6B10" w:rsidRDefault="009A6B10" w:rsidP="009A6B10">
      <w:pPr>
        <w:autoSpaceDE w:val="0"/>
        <w:autoSpaceDN w:val="0"/>
        <w:adjustRightInd w:val="0"/>
        <w:ind w:firstLine="708"/>
        <w:jc w:val="both"/>
      </w:pPr>
      <w:r w:rsidRPr="009A6B10">
        <w:lastRenderedPageBreak/>
        <w:t xml:space="preserve"> Vzhľadom na priaznivú polohu Slovenska pre vedenie tranzitných sústav zemného plynu, je potrebné venovať pozornosť vyhľadávaniu vhodných prírodných horninových štruktúr na budovanie ďalších podzemných zásobníkov na jeho uskladňovanie. </w:t>
      </w:r>
    </w:p>
    <w:p w:rsidR="009A6B10" w:rsidRPr="009A6B10" w:rsidRDefault="009A6B10" w:rsidP="009A6B10">
      <w:pPr>
        <w:autoSpaceDE w:val="0"/>
        <w:autoSpaceDN w:val="0"/>
        <w:adjustRightInd w:val="0"/>
        <w:ind w:firstLine="708"/>
        <w:jc w:val="both"/>
      </w:pPr>
      <w:r w:rsidRPr="009A6B10">
        <w:t>Koncepcia geologického výskumu a geologického prieskumu územia Slovenskej republiky na roky 2012 - 2016 (s výhľadom do roku 2020) je uvedená v samostatnom materiáli, ktorý schválila vláda SR uznesením č. 73/2012.</w:t>
      </w:r>
    </w:p>
    <w:p w:rsidR="009A6B10" w:rsidRPr="009A6B10" w:rsidRDefault="009A6B10" w:rsidP="009A6B10">
      <w:pPr>
        <w:jc w:val="center"/>
      </w:pPr>
    </w:p>
    <w:p w:rsidR="009A6B10" w:rsidRPr="009A6B10" w:rsidRDefault="009A6B10" w:rsidP="009A6B10">
      <w:pPr>
        <w:autoSpaceDE w:val="0"/>
        <w:autoSpaceDN w:val="0"/>
        <w:adjustRightInd w:val="0"/>
        <w:jc w:val="both"/>
        <w:rPr>
          <w:b/>
        </w:rPr>
      </w:pPr>
      <w:r w:rsidRPr="009A6B10">
        <w:rPr>
          <w:b/>
        </w:rPr>
        <w:t>Suroviny morského dna</w:t>
      </w:r>
    </w:p>
    <w:p w:rsidR="009A6B10" w:rsidRPr="009A6B10" w:rsidRDefault="009A6B10" w:rsidP="009A6B10">
      <w:pPr>
        <w:autoSpaceDE w:val="0"/>
        <w:autoSpaceDN w:val="0"/>
        <w:adjustRightInd w:val="0"/>
        <w:jc w:val="both"/>
        <w:rPr>
          <w:b/>
        </w:rPr>
      </w:pPr>
    </w:p>
    <w:p w:rsidR="009A6B10" w:rsidRPr="009A6B10" w:rsidRDefault="009A6B10" w:rsidP="009A6B10">
      <w:pPr>
        <w:autoSpaceDE w:val="0"/>
        <w:autoSpaceDN w:val="0"/>
        <w:adjustRightInd w:val="0"/>
        <w:ind w:firstLine="708"/>
        <w:jc w:val="both"/>
      </w:pPr>
      <w:r w:rsidRPr="009A6B10">
        <w:t xml:space="preserve">Európska únia vrátane Slovenska má obmedzené zásoby rudných a energetických surovín a niektorých nerudných surovín. Jednou z perspektívnych možností zabezpečenia deficitných kovov je členstvo Slovenskej republiky v Spoločnej organizácii </w:t>
      </w:r>
      <w:proofErr w:type="spellStart"/>
      <w:r w:rsidRPr="009A6B10">
        <w:t>Interoceanmetal</w:t>
      </w:r>
      <w:proofErr w:type="spellEnd"/>
      <w:r w:rsidRPr="009A6B10">
        <w:t xml:space="preserve"> (SO IOM) so sídlom v Štetíne, ktorá vykonáva prieskum podmorských akumulácií </w:t>
      </w:r>
      <w:proofErr w:type="spellStart"/>
      <w:r w:rsidRPr="009A6B10">
        <w:t>polymetalických</w:t>
      </w:r>
      <w:proofErr w:type="spellEnd"/>
      <w:r w:rsidRPr="009A6B10">
        <w:t xml:space="preserve"> </w:t>
      </w:r>
      <w:proofErr w:type="spellStart"/>
      <w:r w:rsidRPr="009A6B10">
        <w:t>konkrécií</w:t>
      </w:r>
      <w:proofErr w:type="spellEnd"/>
      <w:r w:rsidRPr="009A6B10">
        <w:t xml:space="preserve"> v pridelenom prieskumnom území (75 tis. km</w:t>
      </w:r>
      <w:r w:rsidRPr="009A6B10">
        <w:rPr>
          <w:vertAlign w:val="superscript"/>
        </w:rPr>
        <w:t>2</w:t>
      </w:r>
      <w:r w:rsidRPr="009A6B10">
        <w:t xml:space="preserve">) v oblasti Tichého oceánu západne od Mexika. Program prieskumu a budúceho využívania nerastných surovín z morského dna v súlade s Dohovorom OSN o morskom práve koordinuje prostredníctvom kontraktov na prieskum Medzinárodná organizácia pre morské dno (ISA) so sídlom v Kingstone na Jamajke, ktorej riadnym členom je aj Slovenská republika. </w:t>
      </w:r>
    </w:p>
    <w:p w:rsidR="009A6B10" w:rsidRPr="009A6B10" w:rsidRDefault="009A6B10" w:rsidP="009A6B10">
      <w:pPr>
        <w:autoSpaceDE w:val="0"/>
        <w:autoSpaceDN w:val="0"/>
        <w:adjustRightInd w:val="0"/>
        <w:ind w:firstLine="708"/>
        <w:jc w:val="both"/>
      </w:pPr>
      <w:r w:rsidRPr="009A6B10">
        <w:t>Posledná expedícia sa uskutočnila v roku 2009, výsledkom je spresnený výpočet zdrojov vo vybranej časti prieskumného územia (označenie H11) s rozlohou 5 380 km</w:t>
      </w:r>
      <w:r w:rsidRPr="009A6B10">
        <w:rPr>
          <w:vertAlign w:val="superscript"/>
        </w:rPr>
        <w:t>2</w:t>
      </w:r>
      <w:r w:rsidRPr="009A6B10">
        <w:t xml:space="preserve">, ktorá bude z hľadiska perspektívy aj cieľom ďalších prieskumných aktivít. Celkové zásoby vlhkých </w:t>
      </w:r>
      <w:proofErr w:type="spellStart"/>
      <w:r w:rsidRPr="009A6B10">
        <w:t>konkrécií</w:t>
      </w:r>
      <w:proofErr w:type="spellEnd"/>
      <w:r w:rsidRPr="009A6B10">
        <w:t xml:space="preserve"> dosahujú v tejto vybranej oblasti 48 mil. ton (priemerné obsahy kovov: </w:t>
      </w:r>
      <w:proofErr w:type="spellStart"/>
      <w:r w:rsidRPr="009A6B10">
        <w:t>Mn</w:t>
      </w:r>
      <w:proofErr w:type="spellEnd"/>
      <w:r w:rsidRPr="009A6B10">
        <w:t xml:space="preserve">  31,7%, </w:t>
      </w:r>
      <w:proofErr w:type="spellStart"/>
      <w:r w:rsidRPr="009A6B10">
        <w:t>Cu</w:t>
      </w:r>
      <w:proofErr w:type="spellEnd"/>
      <w:r w:rsidRPr="009A6B10">
        <w:t xml:space="preserve"> 1,29%, </w:t>
      </w:r>
      <w:proofErr w:type="spellStart"/>
      <w:r w:rsidRPr="009A6B10">
        <w:t>Ni</w:t>
      </w:r>
      <w:proofErr w:type="spellEnd"/>
      <w:r w:rsidRPr="009A6B10">
        <w:t xml:space="preserve"> 1,31%, </w:t>
      </w:r>
      <w:proofErr w:type="spellStart"/>
      <w:r w:rsidRPr="009A6B10">
        <w:t>Co</w:t>
      </w:r>
      <w:proofErr w:type="spellEnd"/>
      <w:r w:rsidRPr="009A6B10">
        <w:t xml:space="preserve"> 0,16%). Najbližšia expedícia je plánovaná v roku 2014, po spracovaní nových meraní a výpočte zásob (zdrojov) sa pristúpi k predbežnému technicko-ekonomickému hodnoteniu. Zvýšená pozornosť sa bude venovať obsahu vzácnych zemín v </w:t>
      </w:r>
      <w:proofErr w:type="spellStart"/>
      <w:r w:rsidRPr="009A6B10">
        <w:t>konkréciách</w:t>
      </w:r>
      <w:proofErr w:type="spellEnd"/>
      <w:r w:rsidRPr="009A6B10">
        <w:t>, ktoré spolu s kobaltom patria medzi super</w:t>
      </w:r>
      <w:r w:rsidR="006823E1">
        <w:t xml:space="preserve"> </w:t>
      </w:r>
      <w:r w:rsidRPr="009A6B10">
        <w:t xml:space="preserve">kritické suroviny pre európske hospodárstvo, tak ako boli definované v správe pracovnej skupiny EK - Kritické nerastné suroviny pre EÚ (2010). </w:t>
      </w:r>
    </w:p>
    <w:p w:rsidR="009A6B10" w:rsidRPr="009A6B10" w:rsidRDefault="009A6B10" w:rsidP="009A6B10">
      <w:pPr>
        <w:jc w:val="both"/>
      </w:pPr>
      <w:r w:rsidRPr="009A6B10">
        <w:t>Predpokladaný termín ukončenia prieskumu s ohľadom na možné varianty naplnenia kontraktu s MOMD je reálny po roku 2020. V súčasnosti sa vyvíjajú aktivity smerujúce k určeniu hodnoty nemateriálnych aktív SO IOM a možnosti transformácie z prieskumnej na ťažobnú, resp. obchodnú organizáciu. Cieľom je umožniť v budúcnosti obchodovanie s podielom v SO IOM. To si vyžiada dôkladnú právno-ekonomickú analýzu a pravdepodobne aj podpísanie novej medzinárodnej zmluvy.</w:t>
      </w:r>
    </w:p>
    <w:p w:rsidR="009A6B10" w:rsidRPr="009A6B10" w:rsidRDefault="009A6B10" w:rsidP="009A6B10">
      <w:pPr>
        <w:jc w:val="both"/>
      </w:pPr>
    </w:p>
    <w:p w:rsidR="009A6B10" w:rsidRPr="009A6B10" w:rsidRDefault="009A6B10" w:rsidP="009A6B10">
      <w:pPr>
        <w:jc w:val="center"/>
      </w:pPr>
      <w:r w:rsidRPr="009A6B10">
        <w:t>Dovoz a vývoz vybraných nerastných surovín v Slovenskej republike</w:t>
      </w:r>
    </w:p>
    <w:p w:rsidR="009A6B10" w:rsidRPr="009A6B10" w:rsidRDefault="009A6B10" w:rsidP="009A6B10">
      <w:pPr>
        <w:jc w:val="center"/>
        <w:rPr>
          <w:b/>
          <w:bCs/>
        </w:rPr>
      </w:pPr>
      <w:r w:rsidRPr="009A6B10">
        <w:rPr>
          <w:b/>
          <w:bCs/>
        </w:rPr>
        <w:t>v rokoch 2005 - 2010</w:t>
      </w:r>
    </w:p>
    <w:p w:rsidR="009A6B10" w:rsidRPr="009A6B10" w:rsidRDefault="009A6B10" w:rsidP="009A6B10"/>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0"/>
        <w:gridCol w:w="780"/>
        <w:gridCol w:w="640"/>
        <w:gridCol w:w="987"/>
        <w:gridCol w:w="1037"/>
        <w:gridCol w:w="1040"/>
        <w:gridCol w:w="1023"/>
        <w:gridCol w:w="1082"/>
        <w:gridCol w:w="1069"/>
      </w:tblGrid>
      <w:tr w:rsidR="009A6B10" w:rsidRPr="009A6B10" w:rsidTr="009A6B10">
        <w:trPr>
          <w:cantSplit/>
          <w:trHeight w:val="245"/>
        </w:trPr>
        <w:tc>
          <w:tcPr>
            <w:tcW w:w="1401" w:type="pct"/>
            <w:gridSpan w:val="2"/>
            <w:vMerge w:val="restart"/>
            <w:tcBorders>
              <w:top w:val="single" w:sz="12" w:space="0" w:color="auto"/>
              <w:left w:val="single" w:sz="12" w:space="0" w:color="auto"/>
              <w:bottom w:val="nil"/>
              <w:right w:val="single" w:sz="12" w:space="0" w:color="auto"/>
            </w:tcBorders>
          </w:tcPr>
          <w:p w:rsidR="009A6B10" w:rsidRPr="009A6B10" w:rsidRDefault="009A6B10" w:rsidP="009A6B10">
            <w:pPr>
              <w:jc w:val="center"/>
              <w:rPr>
                <w:b/>
                <w:bCs/>
              </w:rPr>
            </w:pPr>
          </w:p>
          <w:p w:rsidR="009A6B10" w:rsidRPr="009A6B10" w:rsidRDefault="009A6B10" w:rsidP="009A6B10">
            <w:pPr>
              <w:jc w:val="center"/>
            </w:pPr>
            <w:r w:rsidRPr="009A6B10">
              <w:rPr>
                <w:b/>
                <w:bCs/>
              </w:rPr>
              <w:t>Druh nerastnej suroviny</w:t>
            </w:r>
          </w:p>
        </w:tc>
        <w:tc>
          <w:tcPr>
            <w:tcW w:w="311" w:type="pct"/>
            <w:vMerge w:val="restart"/>
            <w:tcBorders>
              <w:top w:val="single" w:sz="12" w:space="0" w:color="auto"/>
              <w:left w:val="single" w:sz="12" w:space="0" w:color="auto"/>
              <w:bottom w:val="single" w:sz="12" w:space="0" w:color="auto"/>
              <w:right w:val="single" w:sz="12" w:space="0" w:color="auto"/>
            </w:tcBorders>
          </w:tcPr>
          <w:p w:rsidR="009A6B10" w:rsidRPr="009A6B10" w:rsidRDefault="009A6B10" w:rsidP="009A6B10">
            <w:pPr>
              <w:jc w:val="center"/>
              <w:rPr>
                <w:b/>
                <w:bCs/>
              </w:rPr>
            </w:pPr>
          </w:p>
          <w:p w:rsidR="009A6B10" w:rsidRPr="009A6B10" w:rsidRDefault="009A6B10" w:rsidP="009A6B10">
            <w:pPr>
              <w:jc w:val="center"/>
              <w:rPr>
                <w:b/>
                <w:bCs/>
              </w:rPr>
            </w:pPr>
            <w:proofErr w:type="spellStart"/>
            <w:r w:rsidRPr="009A6B10">
              <w:rPr>
                <w:b/>
                <w:bCs/>
              </w:rPr>
              <w:t>Mer</w:t>
            </w:r>
            <w:proofErr w:type="spellEnd"/>
            <w:r w:rsidRPr="009A6B10">
              <w:rPr>
                <w:b/>
                <w:bCs/>
              </w:rPr>
              <w:t>.</w:t>
            </w:r>
          </w:p>
          <w:p w:rsidR="009A6B10" w:rsidRPr="009A6B10" w:rsidRDefault="009A6B10" w:rsidP="009A6B10">
            <w:pPr>
              <w:jc w:val="center"/>
            </w:pPr>
            <w:r w:rsidRPr="009A6B10">
              <w:rPr>
                <w:b/>
                <w:bCs/>
              </w:rPr>
              <w:t>jed.</w:t>
            </w:r>
          </w:p>
        </w:tc>
        <w:tc>
          <w:tcPr>
            <w:tcW w:w="3288" w:type="pct"/>
            <w:gridSpan w:val="6"/>
            <w:tcBorders>
              <w:top w:val="single" w:sz="12" w:space="0" w:color="auto"/>
              <w:left w:val="single" w:sz="12" w:space="0" w:color="auto"/>
              <w:bottom w:val="single" w:sz="12" w:space="0" w:color="auto"/>
              <w:right w:val="single" w:sz="12" w:space="0" w:color="auto"/>
            </w:tcBorders>
          </w:tcPr>
          <w:p w:rsidR="009A6B10" w:rsidRPr="009A6B10" w:rsidRDefault="009A6B10" w:rsidP="009A6B10">
            <w:pPr>
              <w:jc w:val="center"/>
              <w:rPr>
                <w:b/>
                <w:bCs/>
              </w:rPr>
            </w:pPr>
            <w:r w:rsidRPr="009A6B10">
              <w:rPr>
                <w:b/>
                <w:bCs/>
              </w:rPr>
              <w:t>R O K Y</w:t>
            </w:r>
          </w:p>
        </w:tc>
      </w:tr>
      <w:tr w:rsidR="009A6B10" w:rsidRPr="009A6B10" w:rsidTr="009A6B10">
        <w:trPr>
          <w:cantSplit/>
          <w:trHeight w:val="281"/>
        </w:trPr>
        <w:tc>
          <w:tcPr>
            <w:tcW w:w="1401" w:type="pct"/>
            <w:gridSpan w:val="2"/>
            <w:vMerge/>
            <w:tcBorders>
              <w:top w:val="nil"/>
              <w:left w:val="single" w:sz="12" w:space="0" w:color="auto"/>
              <w:bottom w:val="nil"/>
              <w:right w:val="single" w:sz="12" w:space="0" w:color="auto"/>
            </w:tcBorders>
          </w:tcPr>
          <w:p w:rsidR="009A6B10" w:rsidRPr="009A6B10" w:rsidRDefault="009A6B10" w:rsidP="009A6B10">
            <w:pPr>
              <w:jc w:val="center"/>
              <w:rPr>
                <w:b/>
                <w:bCs/>
              </w:rPr>
            </w:pPr>
          </w:p>
        </w:tc>
        <w:tc>
          <w:tcPr>
            <w:tcW w:w="311" w:type="pct"/>
            <w:vMerge/>
            <w:tcBorders>
              <w:top w:val="nil"/>
              <w:left w:val="single" w:sz="12" w:space="0" w:color="auto"/>
              <w:bottom w:val="nil"/>
              <w:right w:val="single" w:sz="12" w:space="0" w:color="auto"/>
            </w:tcBorders>
          </w:tcPr>
          <w:p w:rsidR="009A6B10" w:rsidRPr="009A6B10" w:rsidRDefault="009A6B10" w:rsidP="009A6B10">
            <w:pPr>
              <w:jc w:val="center"/>
            </w:pPr>
          </w:p>
        </w:tc>
        <w:tc>
          <w:tcPr>
            <w:tcW w:w="521" w:type="pct"/>
            <w:tcBorders>
              <w:left w:val="single" w:sz="12" w:space="0" w:color="auto"/>
              <w:bottom w:val="nil"/>
              <w:right w:val="single" w:sz="12" w:space="0" w:color="auto"/>
            </w:tcBorders>
          </w:tcPr>
          <w:p w:rsidR="009A6B10" w:rsidRPr="009A6B10" w:rsidRDefault="009A6B10" w:rsidP="009A6B10">
            <w:pPr>
              <w:jc w:val="center"/>
              <w:rPr>
                <w:b/>
                <w:bCs/>
              </w:rPr>
            </w:pPr>
          </w:p>
          <w:p w:rsidR="009A6B10" w:rsidRPr="009A6B10" w:rsidRDefault="009A6B10" w:rsidP="009A6B10">
            <w:pPr>
              <w:jc w:val="center"/>
              <w:rPr>
                <w:b/>
                <w:bCs/>
                <w:vertAlign w:val="superscript"/>
              </w:rPr>
            </w:pPr>
            <w:r w:rsidRPr="009A6B10">
              <w:rPr>
                <w:b/>
                <w:bCs/>
              </w:rPr>
              <w:t>2005</w:t>
            </w:r>
          </w:p>
          <w:p w:rsidR="009A6B10" w:rsidRPr="009A6B10" w:rsidRDefault="009A6B10" w:rsidP="009A6B10">
            <w:pPr>
              <w:jc w:val="center"/>
              <w:rPr>
                <w:b/>
                <w:bCs/>
              </w:rPr>
            </w:pPr>
          </w:p>
        </w:tc>
        <w:tc>
          <w:tcPr>
            <w:tcW w:w="547" w:type="pct"/>
            <w:tcBorders>
              <w:left w:val="single" w:sz="12" w:space="0" w:color="auto"/>
              <w:bottom w:val="single" w:sz="2" w:space="0" w:color="auto"/>
              <w:right w:val="single" w:sz="12" w:space="0" w:color="auto"/>
            </w:tcBorders>
          </w:tcPr>
          <w:p w:rsidR="009A6B10" w:rsidRPr="009A6B10" w:rsidRDefault="009A6B10" w:rsidP="009A6B10">
            <w:pPr>
              <w:jc w:val="center"/>
              <w:rPr>
                <w:b/>
                <w:bCs/>
              </w:rPr>
            </w:pPr>
          </w:p>
          <w:p w:rsidR="009A6B10" w:rsidRPr="009A6B10" w:rsidRDefault="009A6B10" w:rsidP="009A6B10">
            <w:pPr>
              <w:jc w:val="center"/>
              <w:rPr>
                <w:b/>
                <w:bCs/>
              </w:rPr>
            </w:pPr>
            <w:r w:rsidRPr="009A6B10">
              <w:rPr>
                <w:b/>
                <w:bCs/>
              </w:rPr>
              <w:t>2006</w:t>
            </w:r>
          </w:p>
        </w:tc>
        <w:tc>
          <w:tcPr>
            <w:tcW w:w="548" w:type="pct"/>
            <w:tcBorders>
              <w:top w:val="single" w:sz="2" w:space="0" w:color="auto"/>
              <w:left w:val="single" w:sz="12" w:space="0" w:color="auto"/>
              <w:bottom w:val="single" w:sz="2" w:space="0" w:color="auto"/>
              <w:right w:val="single" w:sz="12" w:space="0" w:color="auto"/>
            </w:tcBorders>
            <w:vAlign w:val="center"/>
          </w:tcPr>
          <w:p w:rsidR="009A6B10" w:rsidRPr="009A6B10" w:rsidRDefault="009A6B10" w:rsidP="009A6B10">
            <w:pPr>
              <w:jc w:val="center"/>
              <w:rPr>
                <w:b/>
                <w:bCs/>
              </w:rPr>
            </w:pPr>
            <w:r w:rsidRPr="009A6B10">
              <w:rPr>
                <w:b/>
                <w:bCs/>
              </w:rPr>
              <w:t>2007</w:t>
            </w:r>
          </w:p>
        </w:tc>
        <w:tc>
          <w:tcPr>
            <w:tcW w:w="539" w:type="pct"/>
            <w:tcBorders>
              <w:top w:val="single" w:sz="2" w:space="0" w:color="auto"/>
              <w:left w:val="single" w:sz="12" w:space="0" w:color="auto"/>
              <w:bottom w:val="single" w:sz="2" w:space="0" w:color="auto"/>
              <w:right w:val="single" w:sz="12" w:space="0" w:color="auto"/>
            </w:tcBorders>
            <w:vAlign w:val="center"/>
          </w:tcPr>
          <w:p w:rsidR="009A6B10" w:rsidRPr="009A6B10" w:rsidRDefault="009A6B10" w:rsidP="009A6B10">
            <w:pPr>
              <w:jc w:val="center"/>
              <w:rPr>
                <w:b/>
                <w:bCs/>
              </w:rPr>
            </w:pPr>
            <w:r w:rsidRPr="009A6B10">
              <w:rPr>
                <w:b/>
                <w:bCs/>
              </w:rPr>
              <w:t>2008</w:t>
            </w:r>
          </w:p>
        </w:tc>
        <w:tc>
          <w:tcPr>
            <w:tcW w:w="570" w:type="pct"/>
            <w:tcBorders>
              <w:top w:val="single" w:sz="2" w:space="0" w:color="auto"/>
              <w:left w:val="single" w:sz="12" w:space="0" w:color="auto"/>
              <w:bottom w:val="single" w:sz="2" w:space="0" w:color="auto"/>
              <w:right w:val="single" w:sz="12" w:space="0" w:color="auto"/>
            </w:tcBorders>
            <w:vAlign w:val="center"/>
          </w:tcPr>
          <w:p w:rsidR="009A6B10" w:rsidRPr="009A6B10" w:rsidRDefault="009A6B10" w:rsidP="009A6B10">
            <w:pPr>
              <w:jc w:val="center"/>
              <w:rPr>
                <w:b/>
                <w:bCs/>
              </w:rPr>
            </w:pPr>
            <w:r w:rsidRPr="009A6B10">
              <w:rPr>
                <w:b/>
                <w:bCs/>
              </w:rPr>
              <w:t>2009</w:t>
            </w:r>
          </w:p>
        </w:tc>
        <w:tc>
          <w:tcPr>
            <w:tcW w:w="563" w:type="pct"/>
            <w:tcBorders>
              <w:top w:val="single" w:sz="2" w:space="0" w:color="auto"/>
              <w:left w:val="single" w:sz="12" w:space="0" w:color="auto"/>
              <w:bottom w:val="single" w:sz="2" w:space="0" w:color="auto"/>
              <w:right w:val="single" w:sz="12" w:space="0" w:color="auto"/>
            </w:tcBorders>
            <w:vAlign w:val="center"/>
          </w:tcPr>
          <w:p w:rsidR="009A6B10" w:rsidRPr="009A6B10" w:rsidRDefault="009A6B10" w:rsidP="009A6B10">
            <w:pPr>
              <w:jc w:val="center"/>
              <w:rPr>
                <w:b/>
                <w:bCs/>
              </w:rPr>
            </w:pPr>
            <w:r w:rsidRPr="009A6B10">
              <w:rPr>
                <w:b/>
                <w:bCs/>
              </w:rPr>
              <w:t>2010</w:t>
            </w:r>
          </w:p>
        </w:tc>
      </w:tr>
      <w:tr w:rsidR="009A6B10" w:rsidRPr="009A6B10" w:rsidTr="009A6B10">
        <w:trPr>
          <w:cantSplit/>
          <w:trHeight w:val="193"/>
        </w:trPr>
        <w:tc>
          <w:tcPr>
            <w:tcW w:w="1401" w:type="pct"/>
            <w:gridSpan w:val="2"/>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1</w:t>
            </w:r>
          </w:p>
        </w:tc>
        <w:tc>
          <w:tcPr>
            <w:tcW w:w="311"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2</w:t>
            </w:r>
          </w:p>
        </w:tc>
        <w:tc>
          <w:tcPr>
            <w:tcW w:w="521"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3</w:t>
            </w:r>
          </w:p>
        </w:tc>
        <w:tc>
          <w:tcPr>
            <w:tcW w:w="547"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4</w:t>
            </w:r>
          </w:p>
        </w:tc>
        <w:tc>
          <w:tcPr>
            <w:tcW w:w="548"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ind w:left="420" w:hanging="420"/>
              <w:jc w:val="center"/>
              <w:rPr>
                <w:b/>
                <w:bCs/>
              </w:rPr>
            </w:pPr>
            <w:r w:rsidRPr="009A6B10">
              <w:rPr>
                <w:b/>
                <w:bCs/>
              </w:rPr>
              <w:t>5</w:t>
            </w:r>
          </w:p>
        </w:tc>
        <w:tc>
          <w:tcPr>
            <w:tcW w:w="539"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6</w:t>
            </w:r>
          </w:p>
        </w:tc>
        <w:tc>
          <w:tcPr>
            <w:tcW w:w="570"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7</w:t>
            </w:r>
          </w:p>
        </w:tc>
        <w:tc>
          <w:tcPr>
            <w:tcW w:w="563" w:type="pct"/>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jc w:val="center"/>
              <w:rPr>
                <w:b/>
                <w:bCs/>
              </w:rPr>
            </w:pPr>
            <w:r w:rsidRPr="009A6B10">
              <w:rPr>
                <w:b/>
                <w:bCs/>
              </w:rPr>
              <w:t>8</w:t>
            </w:r>
          </w:p>
        </w:tc>
      </w:tr>
      <w:tr w:rsidR="009A6B10" w:rsidRPr="009A6B10" w:rsidTr="009A6B10">
        <w:trPr>
          <w:cantSplit/>
          <w:trHeight w:val="193"/>
        </w:trPr>
        <w:tc>
          <w:tcPr>
            <w:tcW w:w="5000" w:type="pct"/>
            <w:gridSpan w:val="9"/>
            <w:tcBorders>
              <w:top w:val="single" w:sz="12" w:space="0" w:color="auto"/>
              <w:left w:val="single" w:sz="12" w:space="0" w:color="auto"/>
              <w:bottom w:val="single" w:sz="12" w:space="0" w:color="auto"/>
              <w:right w:val="single" w:sz="12" w:space="0" w:color="auto"/>
            </w:tcBorders>
            <w:vAlign w:val="center"/>
          </w:tcPr>
          <w:p w:rsidR="009A6B10" w:rsidRPr="009A6B10" w:rsidRDefault="009A6B10" w:rsidP="009A6B10">
            <w:pPr>
              <w:spacing w:before="120" w:after="120"/>
              <w:rPr>
                <w:b/>
                <w:bCs/>
              </w:rPr>
            </w:pPr>
            <w:r w:rsidRPr="009A6B10">
              <w:rPr>
                <w:b/>
                <w:bCs/>
              </w:rPr>
              <w:t>Palivovo-energetické suroviny</w:t>
            </w:r>
          </w:p>
        </w:tc>
      </w:tr>
      <w:tr w:rsidR="009A6B10" w:rsidRPr="009A6B10" w:rsidTr="009A6B10">
        <w:trPr>
          <w:cantSplit/>
        </w:trPr>
        <w:tc>
          <w:tcPr>
            <w:tcW w:w="1022" w:type="pct"/>
            <w:vMerge w:val="restart"/>
            <w:tcBorders>
              <w:top w:val="single" w:sz="12" w:space="0" w:color="auto"/>
              <w:left w:val="single" w:sz="12" w:space="0" w:color="auto"/>
            </w:tcBorders>
            <w:vAlign w:val="center"/>
          </w:tcPr>
          <w:p w:rsidR="009A6B10" w:rsidRPr="009A6B10" w:rsidRDefault="009A6B10" w:rsidP="009A6B10">
            <w:pPr>
              <w:ind w:right="-230"/>
              <w:jc w:val="center"/>
              <w:rPr>
                <w:b/>
                <w:bCs/>
              </w:rPr>
            </w:pPr>
            <w:r w:rsidRPr="009A6B10">
              <w:rPr>
                <w:b/>
                <w:bCs/>
              </w:rPr>
              <w:t>Čierne uhlie</w:t>
            </w:r>
          </w:p>
        </w:tc>
        <w:tc>
          <w:tcPr>
            <w:tcW w:w="379" w:type="pct"/>
            <w:tcBorders>
              <w:top w:val="single" w:sz="12" w:space="0" w:color="auto"/>
              <w:right w:val="single" w:sz="12" w:space="0" w:color="auto"/>
            </w:tcBorders>
          </w:tcPr>
          <w:p w:rsidR="009A6B10" w:rsidRPr="009A6B10" w:rsidRDefault="009A6B10" w:rsidP="00754C28">
            <w:pPr>
              <w:keepNext/>
              <w:jc w:val="center"/>
              <w:outlineLvl w:val="0"/>
              <w:rPr>
                <w:rFonts w:eastAsia="Arial Unicode MS"/>
                <w:b/>
                <w:bCs/>
              </w:rPr>
            </w:pPr>
            <w:r w:rsidRPr="009A6B10">
              <w:rPr>
                <w:rFonts w:eastAsia="Arial Unicode MS"/>
                <w:b/>
                <w:bCs/>
              </w:rPr>
              <w:t>Dovoz</w:t>
            </w:r>
          </w:p>
        </w:tc>
        <w:tc>
          <w:tcPr>
            <w:tcW w:w="311" w:type="pct"/>
            <w:tcBorders>
              <w:top w:val="single" w:sz="12" w:space="0" w:color="auto"/>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N</w:t>
            </w:r>
          </w:p>
        </w:tc>
        <w:tc>
          <w:tcPr>
            <w:tcW w:w="547"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4 464</w:t>
            </w:r>
          </w:p>
        </w:tc>
        <w:tc>
          <w:tcPr>
            <w:tcW w:w="548"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5 286</w:t>
            </w:r>
          </w:p>
        </w:tc>
        <w:tc>
          <w:tcPr>
            <w:tcW w:w="539"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4 610</w:t>
            </w:r>
          </w:p>
        </w:tc>
        <w:tc>
          <w:tcPr>
            <w:tcW w:w="570"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4 368</w:t>
            </w:r>
          </w:p>
        </w:tc>
        <w:tc>
          <w:tcPr>
            <w:tcW w:w="563"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4 100</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33</w:t>
            </w:r>
          </w:p>
        </w:tc>
        <w:tc>
          <w:tcPr>
            <w:tcW w:w="548" w:type="pct"/>
            <w:tcBorders>
              <w:left w:val="single" w:sz="12" w:space="0" w:color="auto"/>
              <w:right w:val="single" w:sz="12" w:space="0" w:color="auto"/>
            </w:tcBorders>
          </w:tcPr>
          <w:p w:rsidR="009A6B10" w:rsidRPr="009A6B10" w:rsidRDefault="009A6B10" w:rsidP="009A6B10">
            <w:pPr>
              <w:jc w:val="center"/>
            </w:pPr>
            <w:r w:rsidRPr="009A6B10">
              <w:t>17</w:t>
            </w:r>
          </w:p>
        </w:tc>
        <w:tc>
          <w:tcPr>
            <w:tcW w:w="539" w:type="pct"/>
            <w:tcBorders>
              <w:left w:val="single" w:sz="12" w:space="0" w:color="auto"/>
              <w:right w:val="single" w:sz="12" w:space="0" w:color="auto"/>
            </w:tcBorders>
          </w:tcPr>
          <w:p w:rsidR="009A6B10" w:rsidRPr="009A6B10" w:rsidRDefault="009A6B10" w:rsidP="009A6B10">
            <w:pPr>
              <w:jc w:val="center"/>
            </w:pPr>
            <w:r w:rsidRPr="009A6B10">
              <w:t>25</w:t>
            </w:r>
          </w:p>
        </w:tc>
        <w:tc>
          <w:tcPr>
            <w:tcW w:w="570" w:type="pct"/>
            <w:tcBorders>
              <w:left w:val="single" w:sz="12" w:space="0" w:color="auto"/>
              <w:right w:val="single" w:sz="12" w:space="0" w:color="auto"/>
            </w:tcBorders>
          </w:tcPr>
          <w:p w:rsidR="009A6B10" w:rsidRPr="009A6B10" w:rsidRDefault="009A6B10" w:rsidP="009A6B10">
            <w:pPr>
              <w:jc w:val="center"/>
            </w:pPr>
            <w:r w:rsidRPr="009A6B10">
              <w:t>28</w:t>
            </w:r>
          </w:p>
        </w:tc>
        <w:tc>
          <w:tcPr>
            <w:tcW w:w="563" w:type="pct"/>
            <w:tcBorders>
              <w:left w:val="single" w:sz="12" w:space="0" w:color="auto"/>
              <w:right w:val="single" w:sz="12" w:space="0" w:color="auto"/>
            </w:tcBorders>
          </w:tcPr>
          <w:p w:rsidR="009A6B10" w:rsidRPr="009A6B10" w:rsidRDefault="009A6B10" w:rsidP="009A6B10">
            <w:pPr>
              <w:jc w:val="center"/>
            </w:pPr>
            <w:r w:rsidRPr="009A6B10">
              <w:t>6</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Hnedé uhlie, lignit</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647</w:t>
            </w:r>
          </w:p>
        </w:tc>
        <w:tc>
          <w:tcPr>
            <w:tcW w:w="547" w:type="pct"/>
            <w:tcBorders>
              <w:left w:val="single" w:sz="12" w:space="0" w:color="auto"/>
              <w:right w:val="single" w:sz="12" w:space="0" w:color="auto"/>
            </w:tcBorders>
          </w:tcPr>
          <w:p w:rsidR="009A6B10" w:rsidRPr="009A6B10" w:rsidRDefault="009A6B10" w:rsidP="009A6B10">
            <w:pPr>
              <w:jc w:val="center"/>
            </w:pPr>
            <w:r w:rsidRPr="009A6B10">
              <w:t>739</w:t>
            </w:r>
          </w:p>
        </w:tc>
        <w:tc>
          <w:tcPr>
            <w:tcW w:w="548" w:type="pct"/>
            <w:tcBorders>
              <w:left w:val="single" w:sz="12" w:space="0" w:color="auto"/>
              <w:right w:val="single" w:sz="12" w:space="0" w:color="auto"/>
            </w:tcBorders>
          </w:tcPr>
          <w:p w:rsidR="009A6B10" w:rsidRPr="009A6B10" w:rsidRDefault="009A6B10" w:rsidP="009A6B10">
            <w:pPr>
              <w:jc w:val="center"/>
            </w:pPr>
            <w:r w:rsidRPr="009A6B10">
              <w:t>726</w:t>
            </w:r>
          </w:p>
        </w:tc>
        <w:tc>
          <w:tcPr>
            <w:tcW w:w="539" w:type="pct"/>
            <w:tcBorders>
              <w:left w:val="single" w:sz="12" w:space="0" w:color="auto"/>
              <w:right w:val="single" w:sz="12" w:space="0" w:color="auto"/>
            </w:tcBorders>
          </w:tcPr>
          <w:p w:rsidR="009A6B10" w:rsidRPr="009A6B10" w:rsidRDefault="009A6B10" w:rsidP="009A6B10">
            <w:pPr>
              <w:jc w:val="center"/>
            </w:pPr>
            <w:r w:rsidRPr="009A6B10">
              <w:t>983</w:t>
            </w:r>
          </w:p>
        </w:tc>
        <w:tc>
          <w:tcPr>
            <w:tcW w:w="570" w:type="pct"/>
            <w:tcBorders>
              <w:left w:val="single" w:sz="12" w:space="0" w:color="auto"/>
              <w:right w:val="single" w:sz="12" w:space="0" w:color="auto"/>
            </w:tcBorders>
          </w:tcPr>
          <w:p w:rsidR="009A6B10" w:rsidRPr="009A6B10" w:rsidRDefault="009A6B10" w:rsidP="009A6B10">
            <w:pPr>
              <w:jc w:val="center"/>
            </w:pPr>
            <w:r w:rsidRPr="009A6B10">
              <w:t>695</w:t>
            </w:r>
          </w:p>
        </w:tc>
        <w:tc>
          <w:tcPr>
            <w:tcW w:w="563" w:type="pct"/>
            <w:tcBorders>
              <w:left w:val="single" w:sz="12" w:space="0" w:color="auto"/>
              <w:right w:val="single" w:sz="12" w:space="0" w:color="auto"/>
            </w:tcBorders>
          </w:tcPr>
          <w:p w:rsidR="009A6B10" w:rsidRPr="009A6B10" w:rsidRDefault="009A6B10" w:rsidP="009A6B10">
            <w:pPr>
              <w:jc w:val="center"/>
            </w:pPr>
            <w:r w:rsidRPr="009A6B10">
              <w:t>567</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N</w:t>
            </w:r>
          </w:p>
        </w:tc>
        <w:tc>
          <w:tcPr>
            <w:tcW w:w="570" w:type="pct"/>
            <w:tcBorders>
              <w:left w:val="single" w:sz="12" w:space="0" w:color="auto"/>
              <w:right w:val="single" w:sz="12" w:space="0" w:color="auto"/>
            </w:tcBorders>
          </w:tcPr>
          <w:p w:rsidR="009A6B10" w:rsidRPr="009A6B10" w:rsidRDefault="009A6B10" w:rsidP="009A6B10">
            <w:pPr>
              <w:jc w:val="center"/>
            </w:pPr>
            <w:r w:rsidRPr="009A6B10">
              <w:t>7</w:t>
            </w:r>
          </w:p>
        </w:tc>
        <w:tc>
          <w:tcPr>
            <w:tcW w:w="563"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Zemný plyn</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vertAlign w:val="superscript"/>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5 257</w:t>
            </w:r>
          </w:p>
        </w:tc>
        <w:tc>
          <w:tcPr>
            <w:tcW w:w="547" w:type="pct"/>
            <w:tcBorders>
              <w:left w:val="single" w:sz="12" w:space="0" w:color="auto"/>
              <w:right w:val="single" w:sz="12" w:space="0" w:color="auto"/>
            </w:tcBorders>
          </w:tcPr>
          <w:p w:rsidR="009A6B10" w:rsidRPr="009A6B10" w:rsidRDefault="009A6B10" w:rsidP="009A6B10">
            <w:pPr>
              <w:jc w:val="center"/>
            </w:pPr>
            <w:r w:rsidRPr="009A6B10">
              <w:t>5 230</w:t>
            </w:r>
          </w:p>
        </w:tc>
        <w:tc>
          <w:tcPr>
            <w:tcW w:w="548" w:type="pct"/>
            <w:tcBorders>
              <w:left w:val="single" w:sz="12" w:space="0" w:color="auto"/>
              <w:right w:val="single" w:sz="12" w:space="0" w:color="auto"/>
            </w:tcBorders>
          </w:tcPr>
          <w:p w:rsidR="009A6B10" w:rsidRPr="009A6B10" w:rsidRDefault="009A6B10" w:rsidP="009A6B10">
            <w:pPr>
              <w:jc w:val="center"/>
            </w:pPr>
            <w:r w:rsidRPr="009A6B10">
              <w:t>4 320</w:t>
            </w:r>
          </w:p>
        </w:tc>
        <w:tc>
          <w:tcPr>
            <w:tcW w:w="539" w:type="pct"/>
            <w:tcBorders>
              <w:left w:val="single" w:sz="12" w:space="0" w:color="auto"/>
              <w:right w:val="single" w:sz="12" w:space="0" w:color="auto"/>
            </w:tcBorders>
          </w:tcPr>
          <w:p w:rsidR="009A6B10" w:rsidRPr="009A6B10" w:rsidRDefault="009A6B10" w:rsidP="009A6B10">
            <w:pPr>
              <w:jc w:val="center"/>
            </w:pPr>
            <w:r w:rsidRPr="009A6B10">
              <w:t>4 695</w:t>
            </w:r>
          </w:p>
        </w:tc>
        <w:tc>
          <w:tcPr>
            <w:tcW w:w="570" w:type="pct"/>
            <w:tcBorders>
              <w:left w:val="single" w:sz="12" w:space="0" w:color="auto"/>
              <w:right w:val="single" w:sz="12" w:space="0" w:color="auto"/>
            </w:tcBorders>
          </w:tcPr>
          <w:p w:rsidR="009A6B10" w:rsidRPr="009A6B10" w:rsidRDefault="009A6B10" w:rsidP="009A6B10">
            <w:pPr>
              <w:jc w:val="center"/>
            </w:pPr>
            <w:r w:rsidRPr="009A6B10">
              <w:t xml:space="preserve">4 898 </w:t>
            </w:r>
          </w:p>
        </w:tc>
        <w:tc>
          <w:tcPr>
            <w:tcW w:w="563" w:type="pct"/>
            <w:tcBorders>
              <w:left w:val="single" w:sz="12" w:space="0" w:color="auto"/>
              <w:right w:val="single" w:sz="12" w:space="0" w:color="auto"/>
            </w:tcBorders>
          </w:tcPr>
          <w:p w:rsidR="009A6B10" w:rsidRPr="009A6B10" w:rsidRDefault="009A6B10" w:rsidP="009A6B10">
            <w:pPr>
              <w:jc w:val="center"/>
            </w:pPr>
            <w:r w:rsidRPr="009A6B10">
              <w:t>5 837</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vertAlign w:val="superscript"/>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272</w:t>
            </w:r>
          </w:p>
        </w:tc>
        <w:tc>
          <w:tcPr>
            <w:tcW w:w="547" w:type="pct"/>
            <w:tcBorders>
              <w:left w:val="single" w:sz="12" w:space="0" w:color="auto"/>
              <w:right w:val="single" w:sz="12" w:space="0" w:color="auto"/>
            </w:tcBorders>
          </w:tcPr>
          <w:p w:rsidR="009A6B10" w:rsidRPr="009A6B10" w:rsidRDefault="009A6B10" w:rsidP="009A6B10">
            <w:pPr>
              <w:jc w:val="center"/>
            </w:pPr>
            <w:r w:rsidRPr="009A6B10">
              <w:t>1</w:t>
            </w:r>
          </w:p>
        </w:tc>
        <w:tc>
          <w:tcPr>
            <w:tcW w:w="548" w:type="pct"/>
            <w:tcBorders>
              <w:left w:val="single" w:sz="12" w:space="0" w:color="auto"/>
              <w:right w:val="single" w:sz="12" w:space="0" w:color="auto"/>
            </w:tcBorders>
          </w:tcPr>
          <w:p w:rsidR="009A6B10" w:rsidRPr="009A6B10" w:rsidRDefault="009A6B10" w:rsidP="009A6B10">
            <w:pPr>
              <w:jc w:val="center"/>
            </w:pPr>
            <w:r w:rsidRPr="009A6B10">
              <w:t>N</w:t>
            </w:r>
          </w:p>
        </w:tc>
        <w:tc>
          <w:tcPr>
            <w:tcW w:w="539" w:type="pct"/>
            <w:tcBorders>
              <w:left w:val="single" w:sz="12" w:space="0" w:color="auto"/>
              <w:right w:val="single" w:sz="12" w:space="0" w:color="auto"/>
            </w:tcBorders>
          </w:tcPr>
          <w:p w:rsidR="009A6B10" w:rsidRPr="009A6B10" w:rsidRDefault="009A6B10" w:rsidP="009A6B10">
            <w:pPr>
              <w:jc w:val="center"/>
            </w:pPr>
            <w:r w:rsidRPr="009A6B10">
              <w:t>1</w:t>
            </w:r>
          </w:p>
        </w:tc>
        <w:tc>
          <w:tcPr>
            <w:tcW w:w="570" w:type="pct"/>
            <w:tcBorders>
              <w:left w:val="single" w:sz="12" w:space="0" w:color="auto"/>
              <w:right w:val="single" w:sz="12" w:space="0" w:color="auto"/>
            </w:tcBorders>
          </w:tcPr>
          <w:p w:rsidR="009A6B10" w:rsidRPr="009A6B10" w:rsidRDefault="009A6B10" w:rsidP="009A6B10">
            <w:pPr>
              <w:jc w:val="center"/>
            </w:pPr>
            <w:r w:rsidRPr="009A6B10">
              <w:t>422</w:t>
            </w:r>
          </w:p>
        </w:tc>
        <w:tc>
          <w:tcPr>
            <w:tcW w:w="563" w:type="pct"/>
            <w:tcBorders>
              <w:left w:val="single" w:sz="12" w:space="0" w:color="auto"/>
              <w:right w:val="single" w:sz="12" w:space="0" w:color="auto"/>
            </w:tcBorders>
          </w:tcPr>
          <w:p w:rsidR="009A6B10" w:rsidRPr="009A6B10" w:rsidRDefault="009A6B10" w:rsidP="009A6B10">
            <w:pPr>
              <w:jc w:val="center"/>
            </w:pPr>
            <w:r w:rsidRPr="009A6B10">
              <w:t>1 201</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Ropa</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5 422</w:t>
            </w:r>
          </w:p>
        </w:tc>
        <w:tc>
          <w:tcPr>
            <w:tcW w:w="547" w:type="pct"/>
            <w:tcBorders>
              <w:left w:val="single" w:sz="12" w:space="0" w:color="auto"/>
              <w:right w:val="single" w:sz="12" w:space="0" w:color="auto"/>
            </w:tcBorders>
          </w:tcPr>
          <w:p w:rsidR="009A6B10" w:rsidRPr="009A6B10" w:rsidRDefault="009A6B10" w:rsidP="009A6B10">
            <w:pPr>
              <w:jc w:val="center"/>
            </w:pPr>
            <w:r w:rsidRPr="009A6B10">
              <w:t>5 879</w:t>
            </w:r>
          </w:p>
        </w:tc>
        <w:tc>
          <w:tcPr>
            <w:tcW w:w="548" w:type="pct"/>
            <w:tcBorders>
              <w:left w:val="single" w:sz="12" w:space="0" w:color="auto"/>
              <w:right w:val="single" w:sz="12" w:space="0" w:color="auto"/>
            </w:tcBorders>
          </w:tcPr>
          <w:p w:rsidR="009A6B10" w:rsidRPr="009A6B10" w:rsidRDefault="009A6B10" w:rsidP="009A6B10">
            <w:pPr>
              <w:jc w:val="center"/>
            </w:pPr>
            <w:r w:rsidRPr="009A6B10">
              <w:t>6 141</w:t>
            </w:r>
          </w:p>
        </w:tc>
        <w:tc>
          <w:tcPr>
            <w:tcW w:w="539" w:type="pct"/>
            <w:tcBorders>
              <w:left w:val="single" w:sz="12" w:space="0" w:color="auto"/>
              <w:right w:val="single" w:sz="12" w:space="0" w:color="auto"/>
            </w:tcBorders>
          </w:tcPr>
          <w:p w:rsidR="009A6B10" w:rsidRPr="009A6B10" w:rsidRDefault="009A6B10" w:rsidP="009A6B10">
            <w:pPr>
              <w:jc w:val="center"/>
            </w:pPr>
            <w:r w:rsidRPr="009A6B10">
              <w:t>5 779</w:t>
            </w:r>
          </w:p>
        </w:tc>
        <w:tc>
          <w:tcPr>
            <w:tcW w:w="570" w:type="pct"/>
            <w:tcBorders>
              <w:left w:val="single" w:sz="12" w:space="0" w:color="auto"/>
              <w:right w:val="single" w:sz="12" w:space="0" w:color="auto"/>
            </w:tcBorders>
          </w:tcPr>
          <w:p w:rsidR="009A6B10" w:rsidRPr="009A6B10" w:rsidRDefault="009A6B10" w:rsidP="009A6B10">
            <w:pPr>
              <w:jc w:val="center"/>
            </w:pPr>
            <w:r w:rsidRPr="009A6B10">
              <w:t>5 788</w:t>
            </w:r>
          </w:p>
        </w:tc>
        <w:tc>
          <w:tcPr>
            <w:tcW w:w="563" w:type="pct"/>
            <w:tcBorders>
              <w:left w:val="single" w:sz="12" w:space="0" w:color="auto"/>
              <w:right w:val="single" w:sz="12" w:space="0" w:color="auto"/>
            </w:tcBorders>
          </w:tcPr>
          <w:p w:rsidR="009A6B10" w:rsidRPr="009A6B10" w:rsidRDefault="009A6B10" w:rsidP="009A6B10">
            <w:pPr>
              <w:jc w:val="center"/>
            </w:pPr>
            <w:r w:rsidRPr="009A6B10">
              <w:t>5 556</w:t>
            </w:r>
          </w:p>
        </w:tc>
      </w:tr>
      <w:tr w:rsidR="009A6B10" w:rsidRPr="009A6B10" w:rsidTr="009A6B10">
        <w:trPr>
          <w:cantSplit/>
          <w:trHeight w:val="70"/>
        </w:trPr>
        <w:tc>
          <w:tcPr>
            <w:tcW w:w="1022" w:type="pct"/>
            <w:vMerge/>
            <w:tcBorders>
              <w:left w:val="single" w:sz="12" w:space="0" w:color="auto"/>
              <w:bottom w:val="single" w:sz="12" w:space="0" w:color="auto"/>
            </w:tcBorders>
          </w:tcPr>
          <w:p w:rsidR="009A6B10" w:rsidRPr="009A6B10" w:rsidRDefault="009A6B10" w:rsidP="009A6B10">
            <w:pPr>
              <w:rPr>
                <w:b/>
                <w:bCs/>
              </w:rPr>
            </w:pPr>
          </w:p>
        </w:tc>
        <w:tc>
          <w:tcPr>
            <w:tcW w:w="379" w:type="pct"/>
            <w:tcBorders>
              <w:bottom w:val="single" w:sz="12" w:space="0" w:color="auto"/>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bottom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31</w:t>
            </w:r>
          </w:p>
        </w:tc>
        <w:tc>
          <w:tcPr>
            <w:tcW w:w="547"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N</w:t>
            </w:r>
          </w:p>
        </w:tc>
        <w:tc>
          <w:tcPr>
            <w:tcW w:w="548"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22</w:t>
            </w:r>
          </w:p>
        </w:tc>
        <w:tc>
          <w:tcPr>
            <w:tcW w:w="539"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18</w:t>
            </w:r>
          </w:p>
        </w:tc>
        <w:tc>
          <w:tcPr>
            <w:tcW w:w="570"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15</w:t>
            </w:r>
          </w:p>
        </w:tc>
        <w:tc>
          <w:tcPr>
            <w:tcW w:w="563"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13</w:t>
            </w:r>
          </w:p>
        </w:tc>
      </w:tr>
      <w:tr w:rsidR="009A6B10" w:rsidRPr="009A6B10" w:rsidTr="009A6B10">
        <w:trPr>
          <w:cantSplit/>
          <w:trHeight w:val="70"/>
        </w:trPr>
        <w:tc>
          <w:tcPr>
            <w:tcW w:w="5000" w:type="pct"/>
            <w:gridSpan w:val="9"/>
            <w:tcBorders>
              <w:left w:val="single" w:sz="12" w:space="0" w:color="auto"/>
              <w:bottom w:val="single" w:sz="12" w:space="0" w:color="auto"/>
              <w:right w:val="single" w:sz="12" w:space="0" w:color="auto"/>
            </w:tcBorders>
          </w:tcPr>
          <w:p w:rsidR="009A6B10" w:rsidRPr="009A6B10" w:rsidRDefault="009A6B10" w:rsidP="009A6B10">
            <w:pPr>
              <w:spacing w:before="120" w:after="120"/>
              <w:rPr>
                <w:b/>
              </w:rPr>
            </w:pPr>
            <w:r w:rsidRPr="009A6B10">
              <w:rPr>
                <w:b/>
              </w:rPr>
              <w:t>Rudné suroviny a kovy</w:t>
            </w:r>
          </w:p>
        </w:tc>
      </w:tr>
      <w:tr w:rsidR="009A6B10" w:rsidRPr="009A6B10" w:rsidTr="009A6B10">
        <w:trPr>
          <w:cantSplit/>
          <w:trHeight w:val="280"/>
        </w:trPr>
        <w:tc>
          <w:tcPr>
            <w:tcW w:w="1022" w:type="pct"/>
            <w:vMerge w:val="restart"/>
            <w:tcBorders>
              <w:top w:val="single" w:sz="12" w:space="0" w:color="auto"/>
              <w:left w:val="single" w:sz="12" w:space="0" w:color="auto"/>
            </w:tcBorders>
            <w:vAlign w:val="center"/>
          </w:tcPr>
          <w:p w:rsidR="009A6B10" w:rsidRPr="009A6B10" w:rsidRDefault="009A6B10" w:rsidP="009A6B10">
            <w:pPr>
              <w:jc w:val="center"/>
              <w:rPr>
                <w:b/>
                <w:bCs/>
              </w:rPr>
            </w:pPr>
            <w:r w:rsidRPr="009A6B10">
              <w:rPr>
                <w:b/>
                <w:bCs/>
              </w:rPr>
              <w:t>Mangánové rudy</w:t>
            </w:r>
          </w:p>
        </w:tc>
        <w:tc>
          <w:tcPr>
            <w:tcW w:w="379" w:type="pct"/>
            <w:tcBorders>
              <w:top w:val="single" w:sz="12" w:space="0" w:color="auto"/>
              <w:right w:val="single" w:sz="12" w:space="0" w:color="auto"/>
            </w:tcBorders>
          </w:tcPr>
          <w:p w:rsidR="009A6B10" w:rsidRPr="009A6B10" w:rsidRDefault="009A6B10" w:rsidP="00754C28">
            <w:pPr>
              <w:keepNext/>
              <w:outlineLvl w:val="0"/>
              <w:rPr>
                <w:rFonts w:eastAsia="Arial Unicode MS"/>
                <w:b/>
                <w:bCs/>
              </w:rPr>
            </w:pPr>
            <w:r w:rsidRPr="009A6B10">
              <w:rPr>
                <w:rFonts w:eastAsia="Arial Unicode MS"/>
                <w:b/>
                <w:bCs/>
              </w:rPr>
              <w:t>Dovoz</w:t>
            </w:r>
          </w:p>
        </w:tc>
        <w:tc>
          <w:tcPr>
            <w:tcW w:w="311" w:type="pct"/>
            <w:tcBorders>
              <w:top w:val="single" w:sz="12" w:space="0" w:color="auto"/>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N</w:t>
            </w:r>
          </w:p>
        </w:tc>
        <w:tc>
          <w:tcPr>
            <w:tcW w:w="547"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285</w:t>
            </w:r>
          </w:p>
        </w:tc>
        <w:tc>
          <w:tcPr>
            <w:tcW w:w="548"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253</w:t>
            </w:r>
          </w:p>
        </w:tc>
        <w:tc>
          <w:tcPr>
            <w:tcW w:w="539"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212</w:t>
            </w:r>
          </w:p>
        </w:tc>
        <w:tc>
          <w:tcPr>
            <w:tcW w:w="567"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71</w:t>
            </w:r>
          </w:p>
        </w:tc>
        <w:tc>
          <w:tcPr>
            <w:tcW w:w="566"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146</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3</w:t>
            </w:r>
          </w:p>
        </w:tc>
        <w:tc>
          <w:tcPr>
            <w:tcW w:w="548" w:type="pct"/>
            <w:tcBorders>
              <w:left w:val="single" w:sz="12" w:space="0" w:color="auto"/>
              <w:right w:val="single" w:sz="12" w:space="0" w:color="auto"/>
            </w:tcBorders>
          </w:tcPr>
          <w:p w:rsidR="009A6B10" w:rsidRPr="009A6B10" w:rsidRDefault="009A6B10" w:rsidP="009A6B10">
            <w:pPr>
              <w:jc w:val="center"/>
            </w:pPr>
            <w:r w:rsidRPr="009A6B10">
              <w:t>0</w:t>
            </w:r>
          </w:p>
        </w:tc>
        <w:tc>
          <w:tcPr>
            <w:tcW w:w="539" w:type="pct"/>
            <w:tcBorders>
              <w:left w:val="single" w:sz="12" w:space="0" w:color="auto"/>
              <w:right w:val="single" w:sz="12" w:space="0" w:color="auto"/>
            </w:tcBorders>
          </w:tcPr>
          <w:p w:rsidR="009A6B10" w:rsidRPr="009A6B10" w:rsidRDefault="009A6B10" w:rsidP="009A6B10">
            <w:pPr>
              <w:jc w:val="center"/>
            </w:pPr>
            <w:r w:rsidRPr="009A6B10">
              <w:t>0,4</w:t>
            </w:r>
          </w:p>
        </w:tc>
        <w:tc>
          <w:tcPr>
            <w:tcW w:w="567" w:type="pct"/>
            <w:tcBorders>
              <w:left w:val="single" w:sz="12" w:space="0" w:color="auto"/>
              <w:right w:val="single" w:sz="12" w:space="0" w:color="auto"/>
            </w:tcBorders>
          </w:tcPr>
          <w:p w:rsidR="009A6B10" w:rsidRPr="009A6B10" w:rsidRDefault="009A6B10" w:rsidP="009A6B10">
            <w:pPr>
              <w:jc w:val="center"/>
            </w:pPr>
            <w:r w:rsidRPr="009A6B10">
              <w:t>1</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Meď</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1 196</w:t>
            </w:r>
          </w:p>
        </w:tc>
        <w:tc>
          <w:tcPr>
            <w:tcW w:w="547" w:type="pct"/>
            <w:tcBorders>
              <w:left w:val="single" w:sz="12" w:space="0" w:color="auto"/>
              <w:right w:val="single" w:sz="12" w:space="0" w:color="auto"/>
            </w:tcBorders>
          </w:tcPr>
          <w:p w:rsidR="009A6B10" w:rsidRPr="009A6B10" w:rsidRDefault="009A6B10" w:rsidP="009A6B10">
            <w:pPr>
              <w:jc w:val="center"/>
            </w:pPr>
            <w:r w:rsidRPr="009A6B10">
              <w:t>N</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2 113</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w:t>
            </w:r>
          </w:p>
        </w:tc>
        <w:tc>
          <w:tcPr>
            <w:tcW w:w="566" w:type="pct"/>
            <w:tcBorders>
              <w:left w:val="single" w:sz="12" w:space="0" w:color="auto"/>
              <w:right w:val="single" w:sz="12" w:space="0" w:color="auto"/>
            </w:tcBorders>
          </w:tcPr>
          <w:p w:rsidR="009A6B10" w:rsidRPr="009A6B10" w:rsidRDefault="009A6B10" w:rsidP="009A6B10">
            <w:pPr>
              <w:jc w:val="center"/>
            </w:pPr>
            <w:r w:rsidRPr="009A6B10">
              <w:t>-</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Niklové rudy (kov)</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0</w:t>
            </w:r>
          </w:p>
        </w:tc>
        <w:tc>
          <w:tcPr>
            <w:tcW w:w="548" w:type="pct"/>
            <w:tcBorders>
              <w:left w:val="single" w:sz="12" w:space="0" w:color="auto"/>
              <w:right w:val="single" w:sz="12" w:space="0" w:color="auto"/>
            </w:tcBorders>
          </w:tcPr>
          <w:p w:rsidR="009A6B10" w:rsidRPr="009A6B10" w:rsidRDefault="009A6B10" w:rsidP="009A6B10">
            <w:pPr>
              <w:jc w:val="center"/>
            </w:pPr>
            <w:r w:rsidRPr="009A6B10">
              <w:t>0</w:t>
            </w:r>
          </w:p>
        </w:tc>
        <w:tc>
          <w:tcPr>
            <w:tcW w:w="539" w:type="pct"/>
            <w:tcBorders>
              <w:left w:val="single" w:sz="12" w:space="0" w:color="auto"/>
              <w:right w:val="single" w:sz="12" w:space="0" w:color="auto"/>
            </w:tcBorders>
          </w:tcPr>
          <w:p w:rsidR="009A6B10" w:rsidRPr="009A6B10" w:rsidRDefault="009A6B10" w:rsidP="009A6B10">
            <w:pPr>
              <w:jc w:val="center"/>
            </w:pPr>
            <w:r w:rsidRPr="009A6B10">
              <w:t>25</w:t>
            </w:r>
          </w:p>
        </w:tc>
        <w:tc>
          <w:tcPr>
            <w:tcW w:w="567" w:type="pct"/>
            <w:tcBorders>
              <w:left w:val="single" w:sz="12" w:space="0" w:color="auto"/>
              <w:right w:val="single" w:sz="12" w:space="0" w:color="auto"/>
            </w:tcBorders>
          </w:tcPr>
          <w:p w:rsidR="009A6B10" w:rsidRPr="009A6B10" w:rsidRDefault="009A6B10" w:rsidP="009A6B10">
            <w:pPr>
              <w:jc w:val="center"/>
            </w:pPr>
            <w:r w:rsidRPr="009A6B10">
              <w:t>74</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0</w:t>
            </w:r>
          </w:p>
        </w:tc>
        <w:tc>
          <w:tcPr>
            <w:tcW w:w="548" w:type="pct"/>
            <w:tcBorders>
              <w:left w:val="single" w:sz="12" w:space="0" w:color="auto"/>
              <w:right w:val="single" w:sz="12" w:space="0" w:color="auto"/>
            </w:tcBorders>
          </w:tcPr>
          <w:p w:rsidR="009A6B10" w:rsidRPr="009A6B10" w:rsidRDefault="009A6B10" w:rsidP="009A6B10">
            <w:pPr>
              <w:jc w:val="center"/>
            </w:pPr>
            <w:r w:rsidRPr="009A6B10">
              <w:t>0</w:t>
            </w:r>
          </w:p>
        </w:tc>
        <w:tc>
          <w:tcPr>
            <w:tcW w:w="539" w:type="pct"/>
            <w:tcBorders>
              <w:left w:val="single" w:sz="12" w:space="0" w:color="auto"/>
              <w:right w:val="single" w:sz="12" w:space="0" w:color="auto"/>
            </w:tcBorders>
          </w:tcPr>
          <w:p w:rsidR="009A6B10" w:rsidRPr="009A6B10" w:rsidRDefault="009A6B10" w:rsidP="009A6B10">
            <w:pPr>
              <w:jc w:val="center"/>
            </w:pPr>
            <w:r w:rsidRPr="009A6B10">
              <w:t>0</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Ortuť (kov)</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kg</w:t>
            </w:r>
          </w:p>
        </w:tc>
        <w:tc>
          <w:tcPr>
            <w:tcW w:w="521" w:type="pct"/>
            <w:tcBorders>
              <w:left w:val="single" w:sz="12" w:space="0" w:color="auto"/>
              <w:right w:val="single" w:sz="12" w:space="0" w:color="auto"/>
            </w:tcBorders>
          </w:tcPr>
          <w:p w:rsidR="009A6B10" w:rsidRPr="009A6B10" w:rsidRDefault="009A6B10" w:rsidP="009A6B10">
            <w:pPr>
              <w:jc w:val="center"/>
            </w:pPr>
            <w:r w:rsidRPr="009A6B10">
              <w:t>3 386</w:t>
            </w:r>
          </w:p>
        </w:tc>
        <w:tc>
          <w:tcPr>
            <w:tcW w:w="547" w:type="pct"/>
            <w:tcBorders>
              <w:left w:val="single" w:sz="12" w:space="0" w:color="auto"/>
              <w:right w:val="single" w:sz="12" w:space="0" w:color="auto"/>
            </w:tcBorders>
          </w:tcPr>
          <w:p w:rsidR="009A6B10" w:rsidRPr="009A6B10" w:rsidRDefault="009A6B10" w:rsidP="009A6B10">
            <w:pPr>
              <w:jc w:val="center"/>
            </w:pPr>
            <w:r w:rsidRPr="009A6B10">
              <w:t>3 098</w:t>
            </w:r>
          </w:p>
        </w:tc>
        <w:tc>
          <w:tcPr>
            <w:tcW w:w="548" w:type="pct"/>
            <w:tcBorders>
              <w:left w:val="single" w:sz="12" w:space="0" w:color="auto"/>
              <w:right w:val="single" w:sz="12" w:space="0" w:color="auto"/>
            </w:tcBorders>
          </w:tcPr>
          <w:p w:rsidR="009A6B10" w:rsidRPr="009A6B10" w:rsidRDefault="009A6B10" w:rsidP="009A6B10">
            <w:pPr>
              <w:jc w:val="center"/>
            </w:pPr>
            <w:r w:rsidRPr="009A6B10">
              <w:t>3 510</w:t>
            </w:r>
          </w:p>
        </w:tc>
        <w:tc>
          <w:tcPr>
            <w:tcW w:w="539" w:type="pct"/>
            <w:tcBorders>
              <w:left w:val="single" w:sz="12" w:space="0" w:color="auto"/>
              <w:right w:val="single" w:sz="12" w:space="0" w:color="auto"/>
            </w:tcBorders>
          </w:tcPr>
          <w:p w:rsidR="009A6B10" w:rsidRPr="009A6B10" w:rsidRDefault="009A6B10" w:rsidP="009A6B10">
            <w:pPr>
              <w:jc w:val="center"/>
            </w:pPr>
            <w:r w:rsidRPr="009A6B10">
              <w:t>5 288</w:t>
            </w:r>
          </w:p>
        </w:tc>
        <w:tc>
          <w:tcPr>
            <w:tcW w:w="567" w:type="pct"/>
            <w:tcBorders>
              <w:left w:val="single" w:sz="12" w:space="0" w:color="auto"/>
              <w:right w:val="single" w:sz="12" w:space="0" w:color="auto"/>
            </w:tcBorders>
          </w:tcPr>
          <w:p w:rsidR="009A6B10" w:rsidRPr="009A6B10" w:rsidRDefault="009A6B10" w:rsidP="009A6B10">
            <w:pPr>
              <w:jc w:val="center"/>
            </w:pPr>
            <w:r w:rsidRPr="009A6B10">
              <w:t>4 534</w:t>
            </w:r>
          </w:p>
        </w:tc>
        <w:tc>
          <w:tcPr>
            <w:tcW w:w="566" w:type="pct"/>
            <w:tcBorders>
              <w:left w:val="single" w:sz="12" w:space="0" w:color="auto"/>
              <w:right w:val="single" w:sz="12" w:space="0" w:color="auto"/>
            </w:tcBorders>
          </w:tcPr>
          <w:p w:rsidR="009A6B10" w:rsidRPr="009A6B10" w:rsidRDefault="009A6B10" w:rsidP="009A6B10">
            <w:pPr>
              <w:jc w:val="center"/>
            </w:pPr>
            <w:r w:rsidRPr="009A6B10">
              <w:t>4 704</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kg</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N</w:t>
            </w:r>
          </w:p>
        </w:tc>
        <w:tc>
          <w:tcPr>
            <w:tcW w:w="548" w:type="pct"/>
            <w:tcBorders>
              <w:left w:val="single" w:sz="12" w:space="0" w:color="auto"/>
              <w:right w:val="single" w:sz="12" w:space="0" w:color="auto"/>
            </w:tcBorders>
          </w:tcPr>
          <w:p w:rsidR="009A6B10" w:rsidRPr="009A6B10" w:rsidRDefault="009A6B10" w:rsidP="009A6B10">
            <w:pPr>
              <w:jc w:val="center"/>
            </w:pPr>
            <w:r w:rsidRPr="009A6B10">
              <w:t>N</w:t>
            </w:r>
          </w:p>
        </w:tc>
        <w:tc>
          <w:tcPr>
            <w:tcW w:w="539" w:type="pct"/>
            <w:tcBorders>
              <w:left w:val="single" w:sz="12" w:space="0" w:color="auto"/>
              <w:right w:val="single" w:sz="12" w:space="0" w:color="auto"/>
            </w:tcBorders>
          </w:tcPr>
          <w:p w:rsidR="009A6B10" w:rsidRPr="009A6B10" w:rsidRDefault="009A6B10" w:rsidP="009A6B10">
            <w:pPr>
              <w:jc w:val="center"/>
            </w:pPr>
            <w:r w:rsidRPr="009A6B10">
              <w:t>N</w:t>
            </w:r>
          </w:p>
        </w:tc>
        <w:tc>
          <w:tcPr>
            <w:tcW w:w="567" w:type="pct"/>
            <w:tcBorders>
              <w:left w:val="single" w:sz="12" w:space="0" w:color="auto"/>
              <w:right w:val="single" w:sz="12" w:space="0" w:color="auto"/>
            </w:tcBorders>
          </w:tcPr>
          <w:p w:rsidR="009A6B10" w:rsidRPr="009A6B10" w:rsidRDefault="009A6B10" w:rsidP="009A6B10">
            <w:pPr>
              <w:jc w:val="center"/>
            </w:pPr>
            <w:r w:rsidRPr="009A6B10">
              <w:t>N</w:t>
            </w:r>
          </w:p>
        </w:tc>
        <w:tc>
          <w:tcPr>
            <w:tcW w:w="566" w:type="pct"/>
            <w:tcBorders>
              <w:left w:val="single" w:sz="12" w:space="0" w:color="auto"/>
              <w:right w:val="single" w:sz="12" w:space="0" w:color="auto"/>
            </w:tcBorders>
          </w:tcPr>
          <w:p w:rsidR="009A6B10" w:rsidRPr="009A6B10" w:rsidRDefault="009A6B10" w:rsidP="009A6B10">
            <w:pPr>
              <w:jc w:val="center"/>
            </w:pPr>
            <w:r w:rsidRPr="009A6B10">
              <w:t>-</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Rudy drahých kovov a ich koncentráty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kg</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81</w:t>
            </w:r>
          </w:p>
        </w:tc>
        <w:tc>
          <w:tcPr>
            <w:tcW w:w="548" w:type="pct"/>
            <w:tcBorders>
              <w:left w:val="single" w:sz="12" w:space="0" w:color="auto"/>
              <w:right w:val="single" w:sz="12" w:space="0" w:color="auto"/>
            </w:tcBorders>
          </w:tcPr>
          <w:p w:rsidR="009A6B10" w:rsidRPr="009A6B10" w:rsidRDefault="009A6B10" w:rsidP="009A6B10">
            <w:pPr>
              <w:jc w:val="center"/>
            </w:pPr>
            <w:r w:rsidRPr="009A6B10">
              <w:t>3</w:t>
            </w:r>
          </w:p>
        </w:tc>
        <w:tc>
          <w:tcPr>
            <w:tcW w:w="539" w:type="pct"/>
            <w:tcBorders>
              <w:left w:val="single" w:sz="12" w:space="0" w:color="auto"/>
              <w:right w:val="single" w:sz="12" w:space="0" w:color="auto"/>
            </w:tcBorders>
          </w:tcPr>
          <w:p w:rsidR="009A6B10" w:rsidRPr="009A6B10" w:rsidRDefault="009A6B10" w:rsidP="009A6B10">
            <w:pPr>
              <w:jc w:val="center"/>
            </w:pPr>
            <w:r w:rsidRPr="009A6B10">
              <w:t>9</w:t>
            </w:r>
          </w:p>
        </w:tc>
        <w:tc>
          <w:tcPr>
            <w:tcW w:w="567" w:type="pct"/>
            <w:tcBorders>
              <w:left w:val="single" w:sz="12" w:space="0" w:color="auto"/>
              <w:right w:val="single" w:sz="12" w:space="0" w:color="auto"/>
            </w:tcBorders>
          </w:tcPr>
          <w:p w:rsidR="009A6B10" w:rsidRPr="009A6B10" w:rsidRDefault="009A6B10" w:rsidP="009A6B10">
            <w:pPr>
              <w:jc w:val="center"/>
            </w:pPr>
            <w:r w:rsidRPr="009A6B10">
              <w:t>9</w:t>
            </w:r>
          </w:p>
        </w:tc>
        <w:tc>
          <w:tcPr>
            <w:tcW w:w="566" w:type="pct"/>
            <w:tcBorders>
              <w:left w:val="single" w:sz="12" w:space="0" w:color="auto"/>
              <w:right w:val="single" w:sz="12" w:space="0" w:color="auto"/>
            </w:tcBorders>
          </w:tcPr>
          <w:p w:rsidR="009A6B10" w:rsidRPr="009A6B10" w:rsidRDefault="009A6B10" w:rsidP="009A6B10">
            <w:pPr>
              <w:jc w:val="center"/>
            </w:pPr>
            <w:r w:rsidRPr="009A6B10">
              <w:t>7 000</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418</w:t>
            </w:r>
          </w:p>
        </w:tc>
        <w:tc>
          <w:tcPr>
            <w:tcW w:w="548" w:type="pct"/>
            <w:tcBorders>
              <w:left w:val="single" w:sz="12" w:space="0" w:color="auto"/>
              <w:right w:val="single" w:sz="12" w:space="0" w:color="auto"/>
            </w:tcBorders>
          </w:tcPr>
          <w:p w:rsidR="009A6B10" w:rsidRPr="009A6B10" w:rsidRDefault="009A6B10" w:rsidP="009A6B10">
            <w:pPr>
              <w:jc w:val="center"/>
            </w:pPr>
            <w:r w:rsidRPr="009A6B10">
              <w:t>25</w:t>
            </w:r>
          </w:p>
        </w:tc>
        <w:tc>
          <w:tcPr>
            <w:tcW w:w="539" w:type="pct"/>
            <w:tcBorders>
              <w:left w:val="single" w:sz="12" w:space="0" w:color="auto"/>
              <w:right w:val="single" w:sz="12" w:space="0" w:color="auto"/>
            </w:tcBorders>
          </w:tcPr>
          <w:p w:rsidR="009A6B10" w:rsidRPr="009A6B10" w:rsidRDefault="009A6B10" w:rsidP="009A6B10">
            <w:pPr>
              <w:jc w:val="center"/>
            </w:pPr>
            <w:r w:rsidRPr="009A6B10">
              <w:t>0</w:t>
            </w:r>
          </w:p>
        </w:tc>
        <w:tc>
          <w:tcPr>
            <w:tcW w:w="567" w:type="pct"/>
            <w:tcBorders>
              <w:left w:val="single" w:sz="12" w:space="0" w:color="auto"/>
              <w:right w:val="single" w:sz="12" w:space="0" w:color="auto"/>
            </w:tcBorders>
          </w:tcPr>
          <w:p w:rsidR="009A6B10" w:rsidRPr="009A6B10" w:rsidRDefault="009A6B10" w:rsidP="009A6B10">
            <w:pPr>
              <w:jc w:val="center"/>
            </w:pPr>
            <w:r w:rsidRPr="009A6B10">
              <w:t>659</w:t>
            </w:r>
          </w:p>
        </w:tc>
        <w:tc>
          <w:tcPr>
            <w:tcW w:w="566" w:type="pct"/>
            <w:tcBorders>
              <w:left w:val="single" w:sz="12" w:space="0" w:color="auto"/>
              <w:right w:val="single" w:sz="12" w:space="0" w:color="auto"/>
            </w:tcBorders>
          </w:tcPr>
          <w:p w:rsidR="009A6B10" w:rsidRPr="009A6B10" w:rsidRDefault="009A6B10" w:rsidP="009A6B10">
            <w:pPr>
              <w:jc w:val="center"/>
            </w:pPr>
            <w:r w:rsidRPr="009A6B10">
              <w:t>1 000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Zinok (ruda)</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0,7</w:t>
            </w:r>
          </w:p>
        </w:tc>
        <w:tc>
          <w:tcPr>
            <w:tcW w:w="548" w:type="pct"/>
            <w:tcBorders>
              <w:left w:val="single" w:sz="12" w:space="0" w:color="auto"/>
              <w:right w:val="single" w:sz="12" w:space="0" w:color="auto"/>
            </w:tcBorders>
          </w:tcPr>
          <w:p w:rsidR="009A6B10" w:rsidRPr="009A6B10" w:rsidRDefault="009A6B10" w:rsidP="009A6B10">
            <w:pPr>
              <w:jc w:val="center"/>
            </w:pPr>
            <w:r w:rsidRPr="009A6B10">
              <w:t>0</w:t>
            </w:r>
          </w:p>
        </w:tc>
        <w:tc>
          <w:tcPr>
            <w:tcW w:w="539" w:type="pct"/>
            <w:tcBorders>
              <w:left w:val="single" w:sz="12" w:space="0" w:color="auto"/>
              <w:right w:val="single" w:sz="12" w:space="0" w:color="auto"/>
            </w:tcBorders>
          </w:tcPr>
          <w:p w:rsidR="009A6B10" w:rsidRPr="009A6B10" w:rsidRDefault="009A6B10" w:rsidP="009A6B10">
            <w:pPr>
              <w:jc w:val="center"/>
            </w:pPr>
            <w:r w:rsidRPr="009A6B10">
              <w:t>52</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0,5</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0</w:t>
            </w:r>
          </w:p>
        </w:tc>
        <w:tc>
          <w:tcPr>
            <w:tcW w:w="548" w:type="pct"/>
            <w:tcBorders>
              <w:left w:val="single" w:sz="12" w:space="0" w:color="auto"/>
              <w:right w:val="single" w:sz="12" w:space="0" w:color="auto"/>
            </w:tcBorders>
          </w:tcPr>
          <w:p w:rsidR="009A6B10" w:rsidRPr="009A6B10" w:rsidRDefault="009A6B10" w:rsidP="009A6B10">
            <w:pPr>
              <w:jc w:val="center"/>
            </w:pPr>
            <w:r w:rsidRPr="009A6B10">
              <w:t>99</w:t>
            </w:r>
          </w:p>
        </w:tc>
        <w:tc>
          <w:tcPr>
            <w:tcW w:w="539" w:type="pct"/>
            <w:tcBorders>
              <w:left w:val="single" w:sz="12" w:space="0" w:color="auto"/>
              <w:right w:val="single" w:sz="12" w:space="0" w:color="auto"/>
            </w:tcBorders>
          </w:tcPr>
          <w:p w:rsidR="009A6B10" w:rsidRPr="009A6B10" w:rsidRDefault="009A6B10" w:rsidP="009A6B10">
            <w:pPr>
              <w:jc w:val="center"/>
            </w:pPr>
            <w:r w:rsidRPr="009A6B10">
              <w:t>194</w:t>
            </w:r>
          </w:p>
        </w:tc>
        <w:tc>
          <w:tcPr>
            <w:tcW w:w="567" w:type="pct"/>
            <w:tcBorders>
              <w:left w:val="single" w:sz="12" w:space="0" w:color="auto"/>
              <w:right w:val="single" w:sz="12" w:space="0" w:color="auto"/>
            </w:tcBorders>
          </w:tcPr>
          <w:p w:rsidR="009A6B10" w:rsidRPr="009A6B10" w:rsidRDefault="009A6B10" w:rsidP="009A6B10">
            <w:pPr>
              <w:jc w:val="center"/>
            </w:pPr>
            <w:r w:rsidRPr="009A6B10">
              <w:t>122</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Zlaté rudy a koncentráty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w:t>
            </w:r>
          </w:p>
        </w:tc>
        <w:tc>
          <w:tcPr>
            <w:tcW w:w="547" w:type="pct"/>
            <w:tcBorders>
              <w:left w:val="single" w:sz="12" w:space="0" w:color="auto"/>
              <w:right w:val="single" w:sz="12" w:space="0" w:color="auto"/>
            </w:tcBorders>
          </w:tcPr>
          <w:p w:rsidR="009A6B10" w:rsidRPr="009A6B10" w:rsidRDefault="009A6B10" w:rsidP="009A6B10">
            <w:pPr>
              <w:jc w:val="center"/>
            </w:pPr>
            <w:r w:rsidRPr="009A6B10">
              <w:t>0</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7</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340 e</w:t>
            </w:r>
          </w:p>
        </w:tc>
        <w:tc>
          <w:tcPr>
            <w:tcW w:w="547" w:type="pct"/>
            <w:tcBorders>
              <w:left w:val="single" w:sz="12" w:space="0" w:color="auto"/>
              <w:right w:val="single" w:sz="12" w:space="0" w:color="auto"/>
            </w:tcBorders>
          </w:tcPr>
          <w:p w:rsidR="009A6B10" w:rsidRPr="009A6B10" w:rsidRDefault="009A6B10" w:rsidP="009A6B10">
            <w:pPr>
              <w:jc w:val="center"/>
            </w:pPr>
            <w:r w:rsidRPr="009A6B10">
              <w:t>330 e</w:t>
            </w:r>
          </w:p>
        </w:tc>
        <w:tc>
          <w:tcPr>
            <w:tcW w:w="548" w:type="pct"/>
            <w:tcBorders>
              <w:left w:val="single" w:sz="12" w:space="0" w:color="auto"/>
              <w:right w:val="single" w:sz="12" w:space="0" w:color="auto"/>
            </w:tcBorders>
          </w:tcPr>
          <w:p w:rsidR="009A6B10" w:rsidRPr="009A6B10" w:rsidRDefault="009A6B10" w:rsidP="009A6B10">
            <w:pPr>
              <w:jc w:val="center"/>
            </w:pPr>
            <w:r w:rsidRPr="009A6B10">
              <w:t>330 e</w:t>
            </w:r>
          </w:p>
        </w:tc>
        <w:tc>
          <w:tcPr>
            <w:tcW w:w="539" w:type="pct"/>
            <w:tcBorders>
              <w:left w:val="single" w:sz="12" w:space="0" w:color="auto"/>
              <w:right w:val="single" w:sz="12" w:space="0" w:color="auto"/>
            </w:tcBorders>
          </w:tcPr>
          <w:p w:rsidR="009A6B10" w:rsidRPr="009A6B10" w:rsidRDefault="009A6B10" w:rsidP="009A6B10">
            <w:pPr>
              <w:jc w:val="center"/>
            </w:pPr>
            <w:r w:rsidRPr="009A6B10">
              <w:t>410 e</w:t>
            </w:r>
          </w:p>
        </w:tc>
        <w:tc>
          <w:tcPr>
            <w:tcW w:w="567" w:type="pct"/>
            <w:tcBorders>
              <w:left w:val="single" w:sz="12" w:space="0" w:color="auto"/>
              <w:right w:val="single" w:sz="12" w:space="0" w:color="auto"/>
            </w:tcBorders>
          </w:tcPr>
          <w:p w:rsidR="009A6B10" w:rsidRPr="009A6B10" w:rsidRDefault="009A6B10" w:rsidP="009A6B10">
            <w:pPr>
              <w:jc w:val="center"/>
            </w:pPr>
            <w:r w:rsidRPr="009A6B10">
              <w:t>659</w:t>
            </w:r>
          </w:p>
        </w:tc>
        <w:tc>
          <w:tcPr>
            <w:tcW w:w="566" w:type="pct"/>
            <w:tcBorders>
              <w:left w:val="single" w:sz="12" w:space="0" w:color="auto"/>
              <w:right w:val="single" w:sz="12" w:space="0" w:color="auto"/>
            </w:tcBorders>
          </w:tcPr>
          <w:p w:rsidR="009A6B10" w:rsidRPr="009A6B10" w:rsidRDefault="009A6B10" w:rsidP="009A6B10">
            <w:pPr>
              <w:jc w:val="center"/>
            </w:pPr>
            <w:r w:rsidRPr="009A6B10">
              <w:t>1 000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Železné rudy a koncentráty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5 507</w:t>
            </w:r>
          </w:p>
        </w:tc>
        <w:tc>
          <w:tcPr>
            <w:tcW w:w="547" w:type="pct"/>
            <w:tcBorders>
              <w:left w:val="single" w:sz="12" w:space="0" w:color="auto"/>
              <w:right w:val="single" w:sz="12" w:space="0" w:color="auto"/>
            </w:tcBorders>
          </w:tcPr>
          <w:p w:rsidR="009A6B10" w:rsidRPr="009A6B10" w:rsidRDefault="009A6B10" w:rsidP="009A6B10">
            <w:pPr>
              <w:jc w:val="center"/>
            </w:pPr>
            <w:r w:rsidRPr="009A6B10">
              <w:t>12 812</w:t>
            </w:r>
          </w:p>
        </w:tc>
        <w:tc>
          <w:tcPr>
            <w:tcW w:w="548" w:type="pct"/>
            <w:tcBorders>
              <w:left w:val="single" w:sz="12" w:space="0" w:color="auto"/>
              <w:right w:val="single" w:sz="12" w:space="0" w:color="auto"/>
            </w:tcBorders>
          </w:tcPr>
          <w:p w:rsidR="009A6B10" w:rsidRPr="009A6B10" w:rsidRDefault="009A6B10" w:rsidP="009A6B10">
            <w:pPr>
              <w:jc w:val="center"/>
            </w:pPr>
            <w:r w:rsidRPr="009A6B10">
              <w:t>5 854</w:t>
            </w:r>
          </w:p>
        </w:tc>
        <w:tc>
          <w:tcPr>
            <w:tcW w:w="539" w:type="pct"/>
            <w:tcBorders>
              <w:left w:val="single" w:sz="12" w:space="0" w:color="auto"/>
              <w:right w:val="single" w:sz="12" w:space="0" w:color="auto"/>
            </w:tcBorders>
          </w:tcPr>
          <w:p w:rsidR="009A6B10" w:rsidRPr="009A6B10" w:rsidRDefault="009A6B10" w:rsidP="009A6B10">
            <w:pPr>
              <w:jc w:val="center"/>
            </w:pPr>
            <w:r w:rsidRPr="009A6B10">
              <w:t>4 803</w:t>
            </w:r>
          </w:p>
        </w:tc>
        <w:tc>
          <w:tcPr>
            <w:tcW w:w="567" w:type="pct"/>
            <w:tcBorders>
              <w:left w:val="single" w:sz="12" w:space="0" w:color="auto"/>
              <w:right w:val="single" w:sz="12" w:space="0" w:color="auto"/>
            </w:tcBorders>
          </w:tcPr>
          <w:p w:rsidR="009A6B10" w:rsidRPr="009A6B10" w:rsidRDefault="009A6B10" w:rsidP="009A6B10">
            <w:pPr>
              <w:jc w:val="center"/>
            </w:pPr>
            <w:r w:rsidRPr="009A6B10">
              <w:t>4 498</w:t>
            </w:r>
          </w:p>
        </w:tc>
        <w:tc>
          <w:tcPr>
            <w:tcW w:w="566" w:type="pct"/>
            <w:tcBorders>
              <w:left w:val="single" w:sz="12" w:space="0" w:color="auto"/>
              <w:right w:val="single" w:sz="12" w:space="0" w:color="auto"/>
            </w:tcBorders>
          </w:tcPr>
          <w:p w:rsidR="009A6B10" w:rsidRPr="009A6B10" w:rsidRDefault="009A6B10" w:rsidP="009A6B10">
            <w:pPr>
              <w:jc w:val="center"/>
            </w:pPr>
            <w:r w:rsidRPr="009A6B10">
              <w:t>5 797</w:t>
            </w:r>
          </w:p>
        </w:tc>
      </w:tr>
      <w:tr w:rsidR="009A6B10" w:rsidRPr="009A6B10" w:rsidTr="009A6B10">
        <w:trPr>
          <w:cantSplit/>
          <w:trHeight w:val="106"/>
        </w:trPr>
        <w:tc>
          <w:tcPr>
            <w:tcW w:w="1022" w:type="pct"/>
            <w:vMerge/>
            <w:tcBorders>
              <w:left w:val="single" w:sz="12" w:space="0" w:color="auto"/>
              <w:bottom w:val="single" w:sz="12" w:space="0" w:color="auto"/>
            </w:tcBorders>
          </w:tcPr>
          <w:p w:rsidR="009A6B10" w:rsidRPr="009A6B10" w:rsidRDefault="009A6B10" w:rsidP="009A6B10"/>
        </w:tc>
        <w:tc>
          <w:tcPr>
            <w:tcW w:w="379" w:type="pct"/>
            <w:tcBorders>
              <w:bottom w:val="single" w:sz="12" w:space="0" w:color="auto"/>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bottom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4</w:t>
            </w:r>
          </w:p>
        </w:tc>
        <w:tc>
          <w:tcPr>
            <w:tcW w:w="547"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282</w:t>
            </w:r>
          </w:p>
        </w:tc>
        <w:tc>
          <w:tcPr>
            <w:tcW w:w="548"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4</w:t>
            </w:r>
          </w:p>
        </w:tc>
        <w:tc>
          <w:tcPr>
            <w:tcW w:w="539"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40</w:t>
            </w:r>
          </w:p>
        </w:tc>
        <w:tc>
          <w:tcPr>
            <w:tcW w:w="567"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36</w:t>
            </w:r>
          </w:p>
        </w:tc>
        <w:tc>
          <w:tcPr>
            <w:tcW w:w="566"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40</w:t>
            </w:r>
          </w:p>
        </w:tc>
      </w:tr>
      <w:tr w:rsidR="009A6B10" w:rsidRPr="009A6B10" w:rsidTr="009A6B10">
        <w:trPr>
          <w:cantSplit/>
          <w:trHeight w:val="396"/>
        </w:trPr>
        <w:tc>
          <w:tcPr>
            <w:tcW w:w="5000" w:type="pct"/>
            <w:gridSpan w:val="9"/>
            <w:tcBorders>
              <w:left w:val="single" w:sz="12" w:space="0" w:color="auto"/>
              <w:bottom w:val="single" w:sz="12" w:space="0" w:color="auto"/>
              <w:right w:val="single" w:sz="12" w:space="0" w:color="auto"/>
            </w:tcBorders>
          </w:tcPr>
          <w:p w:rsidR="009A6B10" w:rsidRPr="009A6B10" w:rsidRDefault="009A6B10" w:rsidP="009A6B10">
            <w:pPr>
              <w:spacing w:before="120" w:after="120"/>
              <w:rPr>
                <w:b/>
              </w:rPr>
            </w:pPr>
            <w:r w:rsidRPr="009A6B10">
              <w:rPr>
                <w:b/>
              </w:rPr>
              <w:t>Nerudné suroviny</w:t>
            </w:r>
          </w:p>
        </w:tc>
      </w:tr>
      <w:tr w:rsidR="009A6B10" w:rsidRPr="009A6B10" w:rsidTr="009A6B10">
        <w:trPr>
          <w:cantSplit/>
          <w:trHeight w:val="454"/>
        </w:trPr>
        <w:tc>
          <w:tcPr>
            <w:tcW w:w="1022" w:type="pct"/>
            <w:vMerge w:val="restart"/>
            <w:tcBorders>
              <w:top w:val="single" w:sz="12" w:space="0" w:color="auto"/>
              <w:left w:val="single" w:sz="12" w:space="0" w:color="auto"/>
            </w:tcBorders>
            <w:vAlign w:val="center"/>
          </w:tcPr>
          <w:p w:rsidR="009A6B10" w:rsidRPr="009A6B10" w:rsidRDefault="009A6B10" w:rsidP="00754C28">
            <w:pPr>
              <w:keepNext/>
              <w:jc w:val="center"/>
              <w:outlineLvl w:val="0"/>
              <w:rPr>
                <w:rFonts w:eastAsia="Arial Unicode MS"/>
                <w:b/>
                <w:bCs/>
              </w:rPr>
            </w:pPr>
            <w:r w:rsidRPr="009A6B10">
              <w:rPr>
                <w:rFonts w:eastAsia="Arial Unicode MS"/>
                <w:b/>
                <w:bCs/>
              </w:rPr>
              <w:t>Azbest</w:t>
            </w:r>
          </w:p>
        </w:tc>
        <w:tc>
          <w:tcPr>
            <w:tcW w:w="379" w:type="pct"/>
            <w:tcBorders>
              <w:top w:val="single" w:sz="12" w:space="0" w:color="auto"/>
              <w:right w:val="single" w:sz="12" w:space="0" w:color="auto"/>
            </w:tcBorders>
          </w:tcPr>
          <w:p w:rsidR="009A6B10" w:rsidRPr="009A6B10" w:rsidRDefault="009A6B10" w:rsidP="009A6B10">
            <w:pPr>
              <w:jc w:val="center"/>
              <w:rPr>
                <w:b/>
                <w:bCs/>
              </w:rPr>
            </w:pPr>
            <w:r w:rsidRPr="009A6B10">
              <w:rPr>
                <w:b/>
                <w:bCs/>
              </w:rPr>
              <w:t>Dovoz</w:t>
            </w:r>
          </w:p>
        </w:tc>
        <w:tc>
          <w:tcPr>
            <w:tcW w:w="311" w:type="pct"/>
            <w:tcBorders>
              <w:top w:val="single" w:sz="12" w:space="0" w:color="auto"/>
              <w:left w:val="single" w:sz="12" w:space="0" w:color="auto"/>
              <w:right w:val="single" w:sz="12" w:space="0" w:color="auto"/>
            </w:tcBorders>
          </w:tcPr>
          <w:p w:rsidR="009A6B10" w:rsidRPr="009A6B10" w:rsidRDefault="009A6B10" w:rsidP="00754C28">
            <w:pPr>
              <w:keepNext/>
              <w:outlineLvl w:val="0"/>
              <w:rPr>
                <w:rFonts w:eastAsia="Arial Unicode MS"/>
                <w:b/>
                <w:bCs/>
              </w:rPr>
            </w:pPr>
            <w:r w:rsidRPr="009A6B10">
              <w:rPr>
                <w:rFonts w:eastAsia="Arial Unicode MS"/>
                <w:b/>
                <w:bCs/>
              </w:rPr>
              <w:t>t</w:t>
            </w:r>
          </w:p>
        </w:tc>
        <w:tc>
          <w:tcPr>
            <w:tcW w:w="521"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0</w:t>
            </w:r>
          </w:p>
        </w:tc>
        <w:tc>
          <w:tcPr>
            <w:tcW w:w="547"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w:t>
            </w:r>
          </w:p>
        </w:tc>
        <w:tc>
          <w:tcPr>
            <w:tcW w:w="548"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w:t>
            </w:r>
          </w:p>
        </w:tc>
        <w:tc>
          <w:tcPr>
            <w:tcW w:w="539"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w:t>
            </w:r>
          </w:p>
        </w:tc>
        <w:tc>
          <w:tcPr>
            <w:tcW w:w="567" w:type="pct"/>
            <w:tcBorders>
              <w:top w:val="single" w:sz="12" w:space="0" w:color="auto"/>
              <w:left w:val="single" w:sz="12" w:space="0" w:color="auto"/>
              <w:right w:val="single" w:sz="12" w:space="0" w:color="auto"/>
            </w:tcBorders>
          </w:tcPr>
          <w:p w:rsidR="009A6B10" w:rsidRPr="009A6B10" w:rsidRDefault="009A6B10" w:rsidP="009A6B10">
            <w:pPr>
              <w:jc w:val="center"/>
            </w:pPr>
            <w:r w:rsidRPr="009A6B10">
              <w:t>-</w:t>
            </w:r>
          </w:p>
        </w:tc>
        <w:tc>
          <w:tcPr>
            <w:tcW w:w="566" w:type="pct"/>
            <w:tcBorders>
              <w:top w:val="single" w:sz="12" w:space="0" w:color="auto"/>
              <w:left w:val="single" w:sz="12" w:space="0" w:color="auto"/>
              <w:right w:val="single" w:sz="12" w:space="0" w:color="auto"/>
            </w:tcBorders>
          </w:tcPr>
          <w:p w:rsidR="009A6B10" w:rsidRPr="009A6B10" w:rsidRDefault="009A6B10" w:rsidP="009A6B10">
            <w:pPr>
              <w:jc w:val="center"/>
            </w:pPr>
          </w:p>
        </w:tc>
      </w:tr>
      <w:tr w:rsidR="009A6B10" w:rsidRPr="009A6B10" w:rsidTr="009A6B10">
        <w:trPr>
          <w:cantSplit/>
          <w:trHeight w:val="96"/>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w:t>
            </w:r>
          </w:p>
        </w:tc>
        <w:tc>
          <w:tcPr>
            <w:tcW w:w="566" w:type="pct"/>
            <w:tcBorders>
              <w:left w:val="single" w:sz="12" w:space="0" w:color="auto"/>
              <w:right w:val="single" w:sz="12" w:space="0" w:color="auto"/>
            </w:tcBorders>
          </w:tcPr>
          <w:p w:rsidR="009A6B10" w:rsidRPr="009A6B10" w:rsidRDefault="009A6B10" w:rsidP="009A6B10">
            <w:pPr>
              <w:jc w:val="center"/>
            </w:pP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proofErr w:type="spellStart"/>
            <w:r w:rsidRPr="009A6B10">
              <w:rPr>
                <w:b/>
                <w:bCs/>
              </w:rPr>
              <w:t>Barit</w:t>
            </w:r>
            <w:proofErr w:type="spellEnd"/>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0,8</w:t>
            </w:r>
          </w:p>
        </w:tc>
        <w:tc>
          <w:tcPr>
            <w:tcW w:w="547" w:type="pct"/>
            <w:tcBorders>
              <w:left w:val="single" w:sz="12" w:space="0" w:color="auto"/>
              <w:right w:val="single" w:sz="12" w:space="0" w:color="auto"/>
            </w:tcBorders>
          </w:tcPr>
          <w:p w:rsidR="009A6B10" w:rsidRPr="009A6B10" w:rsidRDefault="009A6B10" w:rsidP="009A6B10">
            <w:pPr>
              <w:jc w:val="center"/>
            </w:pPr>
            <w:r w:rsidRPr="009A6B10">
              <w:t>0,1</w:t>
            </w:r>
          </w:p>
        </w:tc>
        <w:tc>
          <w:tcPr>
            <w:tcW w:w="548" w:type="pct"/>
            <w:tcBorders>
              <w:left w:val="single" w:sz="12" w:space="0" w:color="auto"/>
              <w:right w:val="single" w:sz="12" w:space="0" w:color="auto"/>
            </w:tcBorders>
          </w:tcPr>
          <w:p w:rsidR="009A6B10" w:rsidRPr="009A6B10" w:rsidRDefault="009A6B10" w:rsidP="009A6B10">
            <w:pPr>
              <w:jc w:val="center"/>
            </w:pPr>
            <w:r w:rsidRPr="009A6B10">
              <w:t>0,1</w:t>
            </w:r>
          </w:p>
        </w:tc>
        <w:tc>
          <w:tcPr>
            <w:tcW w:w="539" w:type="pct"/>
            <w:tcBorders>
              <w:left w:val="single" w:sz="12" w:space="0" w:color="auto"/>
              <w:right w:val="single" w:sz="12" w:space="0" w:color="auto"/>
            </w:tcBorders>
          </w:tcPr>
          <w:p w:rsidR="009A6B10" w:rsidRPr="009A6B10" w:rsidRDefault="009A6B10" w:rsidP="009A6B10">
            <w:pPr>
              <w:jc w:val="center"/>
            </w:pPr>
            <w:r w:rsidRPr="009A6B10">
              <w:t>0,1</w:t>
            </w:r>
          </w:p>
        </w:tc>
        <w:tc>
          <w:tcPr>
            <w:tcW w:w="567" w:type="pct"/>
            <w:tcBorders>
              <w:left w:val="single" w:sz="12" w:space="0" w:color="auto"/>
              <w:right w:val="single" w:sz="12" w:space="0" w:color="auto"/>
            </w:tcBorders>
          </w:tcPr>
          <w:p w:rsidR="009A6B10" w:rsidRPr="009A6B10" w:rsidRDefault="009A6B10" w:rsidP="009A6B10">
            <w:pPr>
              <w:jc w:val="center"/>
            </w:pPr>
            <w:r w:rsidRPr="009A6B10">
              <w:t>0,1</w:t>
            </w:r>
          </w:p>
        </w:tc>
        <w:tc>
          <w:tcPr>
            <w:tcW w:w="566" w:type="pct"/>
            <w:tcBorders>
              <w:left w:val="single" w:sz="12" w:space="0" w:color="auto"/>
              <w:right w:val="single" w:sz="12" w:space="0" w:color="auto"/>
            </w:tcBorders>
          </w:tcPr>
          <w:p w:rsidR="009A6B10" w:rsidRPr="009A6B10" w:rsidRDefault="009A6B10" w:rsidP="009A6B10">
            <w:pPr>
              <w:jc w:val="center"/>
            </w:pPr>
            <w:r w:rsidRPr="009A6B10">
              <w:t>0,1</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7,9</w:t>
            </w:r>
          </w:p>
        </w:tc>
        <w:tc>
          <w:tcPr>
            <w:tcW w:w="547" w:type="pct"/>
            <w:tcBorders>
              <w:left w:val="single" w:sz="12" w:space="0" w:color="auto"/>
              <w:right w:val="single" w:sz="12" w:space="0" w:color="auto"/>
            </w:tcBorders>
          </w:tcPr>
          <w:p w:rsidR="009A6B10" w:rsidRPr="009A6B10" w:rsidRDefault="009A6B10" w:rsidP="009A6B10">
            <w:pPr>
              <w:jc w:val="center"/>
            </w:pPr>
            <w:r w:rsidRPr="009A6B10">
              <w:t>N</w:t>
            </w:r>
          </w:p>
        </w:tc>
        <w:tc>
          <w:tcPr>
            <w:tcW w:w="548" w:type="pct"/>
            <w:tcBorders>
              <w:left w:val="single" w:sz="12" w:space="0" w:color="auto"/>
              <w:right w:val="single" w:sz="12" w:space="0" w:color="auto"/>
            </w:tcBorders>
          </w:tcPr>
          <w:p w:rsidR="009A6B10" w:rsidRPr="009A6B10" w:rsidRDefault="009A6B10" w:rsidP="009A6B10">
            <w:pPr>
              <w:jc w:val="center"/>
            </w:pPr>
            <w:r w:rsidRPr="009A6B10">
              <w:t>N</w:t>
            </w:r>
          </w:p>
        </w:tc>
        <w:tc>
          <w:tcPr>
            <w:tcW w:w="539" w:type="pct"/>
            <w:tcBorders>
              <w:left w:val="single" w:sz="12" w:space="0" w:color="auto"/>
              <w:right w:val="single" w:sz="12" w:space="0" w:color="auto"/>
            </w:tcBorders>
          </w:tcPr>
          <w:p w:rsidR="009A6B10" w:rsidRPr="009A6B10" w:rsidRDefault="009A6B10" w:rsidP="009A6B10">
            <w:pPr>
              <w:jc w:val="center"/>
            </w:pPr>
            <w:r w:rsidRPr="009A6B10">
              <w:t>N</w:t>
            </w:r>
          </w:p>
        </w:tc>
        <w:tc>
          <w:tcPr>
            <w:tcW w:w="567" w:type="pct"/>
            <w:tcBorders>
              <w:left w:val="single" w:sz="12" w:space="0" w:color="auto"/>
              <w:right w:val="single" w:sz="12" w:space="0" w:color="auto"/>
            </w:tcBorders>
          </w:tcPr>
          <w:p w:rsidR="009A6B10" w:rsidRPr="009A6B10" w:rsidRDefault="009A6B10" w:rsidP="009A6B10">
            <w:pPr>
              <w:jc w:val="center"/>
            </w:pPr>
            <w:r w:rsidRPr="009A6B10">
              <w:t>6,3</w:t>
            </w:r>
          </w:p>
        </w:tc>
        <w:tc>
          <w:tcPr>
            <w:tcW w:w="566" w:type="pct"/>
            <w:tcBorders>
              <w:left w:val="single" w:sz="12" w:space="0" w:color="auto"/>
              <w:right w:val="single" w:sz="12" w:space="0" w:color="auto"/>
            </w:tcBorders>
          </w:tcPr>
          <w:p w:rsidR="009A6B10" w:rsidRPr="009A6B10" w:rsidRDefault="009A6B10" w:rsidP="009A6B10">
            <w:pPr>
              <w:jc w:val="center"/>
            </w:pPr>
            <w:r w:rsidRPr="009A6B10">
              <w:t>0,6</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proofErr w:type="spellStart"/>
            <w:r w:rsidRPr="009A6B10">
              <w:rPr>
                <w:b/>
                <w:bCs/>
              </w:rPr>
              <w:t>Bentonit</w:t>
            </w:r>
            <w:proofErr w:type="spellEnd"/>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7</w:t>
            </w:r>
          </w:p>
        </w:tc>
        <w:tc>
          <w:tcPr>
            <w:tcW w:w="547" w:type="pct"/>
            <w:tcBorders>
              <w:left w:val="single" w:sz="12" w:space="0" w:color="auto"/>
              <w:right w:val="single" w:sz="12" w:space="0" w:color="auto"/>
            </w:tcBorders>
          </w:tcPr>
          <w:p w:rsidR="009A6B10" w:rsidRPr="009A6B10" w:rsidRDefault="009A6B10" w:rsidP="009A6B10">
            <w:pPr>
              <w:jc w:val="center"/>
            </w:pPr>
            <w:r w:rsidRPr="009A6B10">
              <w:t>7</w:t>
            </w:r>
          </w:p>
        </w:tc>
        <w:tc>
          <w:tcPr>
            <w:tcW w:w="548" w:type="pct"/>
            <w:tcBorders>
              <w:left w:val="single" w:sz="12" w:space="0" w:color="auto"/>
              <w:right w:val="single" w:sz="12" w:space="0" w:color="auto"/>
            </w:tcBorders>
          </w:tcPr>
          <w:p w:rsidR="009A6B10" w:rsidRPr="009A6B10" w:rsidRDefault="009A6B10" w:rsidP="009A6B10">
            <w:pPr>
              <w:jc w:val="center"/>
            </w:pPr>
            <w:r w:rsidRPr="009A6B10">
              <w:t>7</w:t>
            </w:r>
          </w:p>
        </w:tc>
        <w:tc>
          <w:tcPr>
            <w:tcW w:w="539" w:type="pct"/>
            <w:tcBorders>
              <w:left w:val="single" w:sz="12" w:space="0" w:color="auto"/>
              <w:right w:val="single" w:sz="12" w:space="0" w:color="auto"/>
            </w:tcBorders>
          </w:tcPr>
          <w:p w:rsidR="009A6B10" w:rsidRPr="009A6B10" w:rsidRDefault="009A6B10" w:rsidP="009A6B10">
            <w:pPr>
              <w:jc w:val="center"/>
            </w:pPr>
            <w:r w:rsidRPr="009A6B10">
              <w:t>9</w:t>
            </w:r>
          </w:p>
        </w:tc>
        <w:tc>
          <w:tcPr>
            <w:tcW w:w="567" w:type="pct"/>
            <w:tcBorders>
              <w:left w:val="single" w:sz="12" w:space="0" w:color="auto"/>
              <w:right w:val="single" w:sz="12" w:space="0" w:color="auto"/>
            </w:tcBorders>
          </w:tcPr>
          <w:p w:rsidR="009A6B10" w:rsidRPr="009A6B10" w:rsidRDefault="009A6B10" w:rsidP="009A6B10">
            <w:pPr>
              <w:jc w:val="center"/>
            </w:pPr>
            <w:r w:rsidRPr="009A6B10">
              <w:t>6</w:t>
            </w:r>
          </w:p>
        </w:tc>
        <w:tc>
          <w:tcPr>
            <w:tcW w:w="566" w:type="pct"/>
            <w:tcBorders>
              <w:left w:val="single" w:sz="12" w:space="0" w:color="auto"/>
              <w:right w:val="single" w:sz="12" w:space="0" w:color="auto"/>
            </w:tcBorders>
          </w:tcPr>
          <w:p w:rsidR="009A6B10" w:rsidRPr="009A6B10" w:rsidRDefault="009A6B10" w:rsidP="009A6B10">
            <w:pPr>
              <w:jc w:val="center"/>
            </w:pPr>
            <w:r w:rsidRPr="009A6B10">
              <w:t>6</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76</w:t>
            </w:r>
          </w:p>
        </w:tc>
        <w:tc>
          <w:tcPr>
            <w:tcW w:w="547" w:type="pct"/>
            <w:tcBorders>
              <w:left w:val="single" w:sz="12" w:space="0" w:color="auto"/>
              <w:right w:val="single" w:sz="12" w:space="0" w:color="auto"/>
            </w:tcBorders>
          </w:tcPr>
          <w:p w:rsidR="009A6B10" w:rsidRPr="009A6B10" w:rsidRDefault="009A6B10" w:rsidP="009A6B10">
            <w:pPr>
              <w:jc w:val="center"/>
            </w:pPr>
            <w:r w:rsidRPr="009A6B10">
              <w:t>105</w:t>
            </w:r>
          </w:p>
        </w:tc>
        <w:tc>
          <w:tcPr>
            <w:tcW w:w="548" w:type="pct"/>
            <w:tcBorders>
              <w:left w:val="single" w:sz="12" w:space="0" w:color="auto"/>
              <w:right w:val="single" w:sz="12" w:space="0" w:color="auto"/>
            </w:tcBorders>
          </w:tcPr>
          <w:p w:rsidR="009A6B10" w:rsidRPr="009A6B10" w:rsidRDefault="009A6B10" w:rsidP="009A6B10">
            <w:pPr>
              <w:jc w:val="center"/>
            </w:pPr>
            <w:r w:rsidRPr="009A6B10">
              <w:t>90</w:t>
            </w:r>
          </w:p>
        </w:tc>
        <w:tc>
          <w:tcPr>
            <w:tcW w:w="539" w:type="pct"/>
            <w:tcBorders>
              <w:left w:val="single" w:sz="12" w:space="0" w:color="auto"/>
              <w:right w:val="single" w:sz="12" w:space="0" w:color="auto"/>
            </w:tcBorders>
          </w:tcPr>
          <w:p w:rsidR="009A6B10" w:rsidRPr="009A6B10" w:rsidRDefault="009A6B10" w:rsidP="009A6B10">
            <w:pPr>
              <w:jc w:val="center"/>
            </w:pPr>
            <w:r w:rsidRPr="009A6B10">
              <w:t>80</w:t>
            </w:r>
          </w:p>
        </w:tc>
        <w:tc>
          <w:tcPr>
            <w:tcW w:w="567" w:type="pct"/>
            <w:tcBorders>
              <w:left w:val="single" w:sz="12" w:space="0" w:color="auto"/>
              <w:right w:val="single" w:sz="12" w:space="0" w:color="auto"/>
            </w:tcBorders>
          </w:tcPr>
          <w:p w:rsidR="009A6B10" w:rsidRPr="009A6B10" w:rsidRDefault="009A6B10" w:rsidP="009A6B10">
            <w:pPr>
              <w:jc w:val="center"/>
            </w:pPr>
            <w:r w:rsidRPr="009A6B10">
              <w:t>65</w:t>
            </w:r>
          </w:p>
        </w:tc>
        <w:tc>
          <w:tcPr>
            <w:tcW w:w="566" w:type="pct"/>
            <w:tcBorders>
              <w:left w:val="single" w:sz="12" w:space="0" w:color="auto"/>
              <w:right w:val="single" w:sz="12" w:space="0" w:color="auto"/>
            </w:tcBorders>
          </w:tcPr>
          <w:p w:rsidR="009A6B10" w:rsidRPr="009A6B10" w:rsidRDefault="009A6B10" w:rsidP="009A6B10">
            <w:pPr>
              <w:jc w:val="center"/>
            </w:pPr>
            <w:r w:rsidRPr="009A6B10">
              <w:t>33</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Dekoračný kameň</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2 649</w:t>
            </w:r>
          </w:p>
        </w:tc>
        <w:tc>
          <w:tcPr>
            <w:tcW w:w="547" w:type="pct"/>
            <w:tcBorders>
              <w:left w:val="single" w:sz="12" w:space="0" w:color="auto"/>
              <w:right w:val="single" w:sz="12" w:space="0" w:color="auto"/>
            </w:tcBorders>
          </w:tcPr>
          <w:p w:rsidR="009A6B10" w:rsidRPr="009A6B10" w:rsidRDefault="009A6B10" w:rsidP="009A6B10">
            <w:pPr>
              <w:jc w:val="center"/>
            </w:pPr>
            <w:r w:rsidRPr="009A6B10">
              <w:t>3 222</w:t>
            </w:r>
          </w:p>
        </w:tc>
        <w:tc>
          <w:tcPr>
            <w:tcW w:w="548" w:type="pct"/>
            <w:tcBorders>
              <w:left w:val="single" w:sz="12" w:space="0" w:color="auto"/>
              <w:right w:val="single" w:sz="12" w:space="0" w:color="auto"/>
            </w:tcBorders>
          </w:tcPr>
          <w:p w:rsidR="009A6B10" w:rsidRPr="009A6B10" w:rsidRDefault="009A6B10" w:rsidP="009A6B10">
            <w:pPr>
              <w:jc w:val="center"/>
            </w:pPr>
            <w:r w:rsidRPr="009A6B10">
              <w:t>2 645</w:t>
            </w:r>
          </w:p>
        </w:tc>
        <w:tc>
          <w:tcPr>
            <w:tcW w:w="539" w:type="pct"/>
            <w:tcBorders>
              <w:left w:val="single" w:sz="12" w:space="0" w:color="auto"/>
              <w:right w:val="single" w:sz="12" w:space="0" w:color="auto"/>
            </w:tcBorders>
          </w:tcPr>
          <w:p w:rsidR="009A6B10" w:rsidRPr="009A6B10" w:rsidRDefault="009A6B10" w:rsidP="009A6B10">
            <w:pPr>
              <w:jc w:val="center"/>
            </w:pPr>
            <w:r w:rsidRPr="009A6B10">
              <w:t>5 080</w:t>
            </w:r>
          </w:p>
        </w:tc>
        <w:tc>
          <w:tcPr>
            <w:tcW w:w="567" w:type="pct"/>
            <w:tcBorders>
              <w:left w:val="single" w:sz="12" w:space="0" w:color="auto"/>
              <w:right w:val="single" w:sz="12" w:space="0" w:color="auto"/>
            </w:tcBorders>
          </w:tcPr>
          <w:p w:rsidR="009A6B10" w:rsidRPr="009A6B10" w:rsidRDefault="009A6B10" w:rsidP="009A6B10">
            <w:pPr>
              <w:jc w:val="center"/>
            </w:pPr>
            <w:r w:rsidRPr="009A6B10">
              <w:t>7 543</w:t>
            </w:r>
          </w:p>
        </w:tc>
        <w:tc>
          <w:tcPr>
            <w:tcW w:w="566" w:type="pct"/>
            <w:tcBorders>
              <w:left w:val="single" w:sz="12" w:space="0" w:color="auto"/>
              <w:right w:val="single" w:sz="12" w:space="0" w:color="auto"/>
            </w:tcBorders>
          </w:tcPr>
          <w:p w:rsidR="009A6B10" w:rsidRPr="009A6B10" w:rsidRDefault="009A6B10" w:rsidP="009A6B10">
            <w:pPr>
              <w:jc w:val="center"/>
            </w:pPr>
            <w:r w:rsidRPr="009A6B10">
              <w:t>5 578</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24</w:t>
            </w:r>
          </w:p>
        </w:tc>
        <w:tc>
          <w:tcPr>
            <w:tcW w:w="547" w:type="pct"/>
            <w:tcBorders>
              <w:left w:val="single" w:sz="12" w:space="0" w:color="auto"/>
              <w:right w:val="single" w:sz="12" w:space="0" w:color="auto"/>
            </w:tcBorders>
          </w:tcPr>
          <w:p w:rsidR="009A6B10" w:rsidRPr="009A6B10" w:rsidRDefault="009A6B10" w:rsidP="009A6B10">
            <w:pPr>
              <w:jc w:val="center"/>
            </w:pPr>
            <w:r w:rsidRPr="009A6B10">
              <w:t>62</w:t>
            </w:r>
          </w:p>
        </w:tc>
        <w:tc>
          <w:tcPr>
            <w:tcW w:w="548" w:type="pct"/>
            <w:tcBorders>
              <w:left w:val="single" w:sz="12" w:space="0" w:color="auto"/>
              <w:right w:val="single" w:sz="12" w:space="0" w:color="auto"/>
            </w:tcBorders>
          </w:tcPr>
          <w:p w:rsidR="009A6B10" w:rsidRPr="009A6B10" w:rsidRDefault="009A6B10" w:rsidP="009A6B10">
            <w:pPr>
              <w:jc w:val="center"/>
            </w:pPr>
            <w:r w:rsidRPr="009A6B10">
              <w:t>33</w:t>
            </w:r>
          </w:p>
        </w:tc>
        <w:tc>
          <w:tcPr>
            <w:tcW w:w="539" w:type="pct"/>
            <w:tcBorders>
              <w:left w:val="single" w:sz="12" w:space="0" w:color="auto"/>
              <w:right w:val="single" w:sz="12" w:space="0" w:color="auto"/>
            </w:tcBorders>
          </w:tcPr>
          <w:p w:rsidR="009A6B10" w:rsidRPr="009A6B10" w:rsidRDefault="009A6B10" w:rsidP="009A6B10">
            <w:pPr>
              <w:jc w:val="center"/>
            </w:pPr>
            <w:r w:rsidRPr="009A6B10">
              <w:t>120</w:t>
            </w:r>
          </w:p>
        </w:tc>
        <w:tc>
          <w:tcPr>
            <w:tcW w:w="567" w:type="pct"/>
            <w:tcBorders>
              <w:left w:val="single" w:sz="12" w:space="0" w:color="auto"/>
              <w:right w:val="single" w:sz="12" w:space="0" w:color="auto"/>
            </w:tcBorders>
          </w:tcPr>
          <w:p w:rsidR="009A6B10" w:rsidRPr="009A6B10" w:rsidRDefault="009A6B10" w:rsidP="009A6B10">
            <w:pPr>
              <w:jc w:val="center"/>
            </w:pPr>
            <w:r w:rsidRPr="009A6B10">
              <w:t>26</w:t>
            </w:r>
          </w:p>
        </w:tc>
        <w:tc>
          <w:tcPr>
            <w:tcW w:w="566" w:type="pct"/>
            <w:tcBorders>
              <w:left w:val="single" w:sz="12" w:space="0" w:color="auto"/>
              <w:right w:val="single" w:sz="12" w:space="0" w:color="auto"/>
            </w:tcBorders>
          </w:tcPr>
          <w:p w:rsidR="009A6B10" w:rsidRPr="009A6B10" w:rsidRDefault="009A6B10" w:rsidP="009A6B10">
            <w:pPr>
              <w:jc w:val="center"/>
            </w:pPr>
            <w:r w:rsidRPr="009A6B10">
              <w:t>104</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proofErr w:type="spellStart"/>
            <w:r w:rsidRPr="009A6B10">
              <w:rPr>
                <w:b/>
                <w:bCs/>
              </w:rPr>
              <w:t>Diatomit</w:t>
            </w:r>
            <w:proofErr w:type="spellEnd"/>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623</w:t>
            </w:r>
          </w:p>
        </w:tc>
        <w:tc>
          <w:tcPr>
            <w:tcW w:w="547" w:type="pct"/>
            <w:tcBorders>
              <w:left w:val="single" w:sz="12" w:space="0" w:color="auto"/>
              <w:right w:val="single" w:sz="12" w:space="0" w:color="auto"/>
            </w:tcBorders>
          </w:tcPr>
          <w:p w:rsidR="009A6B10" w:rsidRPr="009A6B10" w:rsidRDefault="009A6B10" w:rsidP="009A6B10">
            <w:pPr>
              <w:jc w:val="center"/>
            </w:pPr>
            <w:r w:rsidRPr="009A6B10">
              <w:t>698</w:t>
            </w:r>
          </w:p>
        </w:tc>
        <w:tc>
          <w:tcPr>
            <w:tcW w:w="548" w:type="pct"/>
            <w:tcBorders>
              <w:left w:val="single" w:sz="12" w:space="0" w:color="auto"/>
              <w:right w:val="single" w:sz="12" w:space="0" w:color="auto"/>
            </w:tcBorders>
          </w:tcPr>
          <w:p w:rsidR="009A6B10" w:rsidRPr="009A6B10" w:rsidRDefault="009A6B10" w:rsidP="009A6B10">
            <w:pPr>
              <w:jc w:val="center"/>
            </w:pPr>
            <w:r w:rsidRPr="009A6B10">
              <w:t>549</w:t>
            </w:r>
          </w:p>
        </w:tc>
        <w:tc>
          <w:tcPr>
            <w:tcW w:w="539" w:type="pct"/>
            <w:tcBorders>
              <w:left w:val="single" w:sz="12" w:space="0" w:color="auto"/>
              <w:right w:val="single" w:sz="12" w:space="0" w:color="auto"/>
            </w:tcBorders>
          </w:tcPr>
          <w:p w:rsidR="009A6B10" w:rsidRPr="009A6B10" w:rsidRDefault="009A6B10" w:rsidP="009A6B10">
            <w:pPr>
              <w:jc w:val="center"/>
            </w:pPr>
            <w:r w:rsidRPr="009A6B10">
              <w:t>597</w:t>
            </w:r>
          </w:p>
        </w:tc>
        <w:tc>
          <w:tcPr>
            <w:tcW w:w="567" w:type="pct"/>
            <w:tcBorders>
              <w:left w:val="single" w:sz="12" w:space="0" w:color="auto"/>
              <w:right w:val="single" w:sz="12" w:space="0" w:color="auto"/>
            </w:tcBorders>
          </w:tcPr>
          <w:p w:rsidR="009A6B10" w:rsidRPr="009A6B10" w:rsidRDefault="009A6B10" w:rsidP="009A6B10">
            <w:pPr>
              <w:jc w:val="center"/>
            </w:pPr>
            <w:r w:rsidRPr="009A6B10">
              <w:t>917</w:t>
            </w:r>
          </w:p>
        </w:tc>
        <w:tc>
          <w:tcPr>
            <w:tcW w:w="566" w:type="pct"/>
            <w:tcBorders>
              <w:left w:val="single" w:sz="12" w:space="0" w:color="auto"/>
              <w:right w:val="single" w:sz="12" w:space="0" w:color="auto"/>
            </w:tcBorders>
          </w:tcPr>
          <w:p w:rsidR="009A6B10" w:rsidRPr="009A6B10" w:rsidRDefault="009A6B10" w:rsidP="009A6B10">
            <w:pPr>
              <w:jc w:val="center"/>
            </w:pPr>
            <w:r w:rsidRPr="009A6B10">
              <w:t>783</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3</w:t>
            </w:r>
          </w:p>
        </w:tc>
        <w:tc>
          <w:tcPr>
            <w:tcW w:w="547" w:type="pct"/>
            <w:tcBorders>
              <w:left w:val="single" w:sz="12" w:space="0" w:color="auto"/>
              <w:right w:val="single" w:sz="12" w:space="0" w:color="auto"/>
            </w:tcBorders>
          </w:tcPr>
          <w:p w:rsidR="009A6B10" w:rsidRPr="009A6B10" w:rsidRDefault="009A6B10" w:rsidP="009A6B10">
            <w:pPr>
              <w:jc w:val="center"/>
            </w:pPr>
            <w:r w:rsidRPr="009A6B10">
              <w:t>19</w:t>
            </w:r>
          </w:p>
        </w:tc>
        <w:tc>
          <w:tcPr>
            <w:tcW w:w="548" w:type="pct"/>
            <w:tcBorders>
              <w:left w:val="single" w:sz="12" w:space="0" w:color="auto"/>
              <w:right w:val="single" w:sz="12" w:space="0" w:color="auto"/>
            </w:tcBorders>
          </w:tcPr>
          <w:p w:rsidR="009A6B10" w:rsidRPr="009A6B10" w:rsidRDefault="009A6B10" w:rsidP="009A6B10">
            <w:pPr>
              <w:jc w:val="center"/>
            </w:pPr>
            <w:r w:rsidRPr="009A6B10">
              <w:t>6</w:t>
            </w:r>
          </w:p>
        </w:tc>
        <w:tc>
          <w:tcPr>
            <w:tcW w:w="539" w:type="pct"/>
            <w:tcBorders>
              <w:left w:val="single" w:sz="12" w:space="0" w:color="auto"/>
              <w:right w:val="single" w:sz="12" w:space="0" w:color="auto"/>
            </w:tcBorders>
          </w:tcPr>
          <w:p w:rsidR="009A6B10" w:rsidRPr="009A6B10" w:rsidRDefault="009A6B10" w:rsidP="009A6B10">
            <w:pPr>
              <w:jc w:val="center"/>
            </w:pPr>
            <w:r w:rsidRPr="009A6B10">
              <w:t>5</w:t>
            </w:r>
          </w:p>
        </w:tc>
        <w:tc>
          <w:tcPr>
            <w:tcW w:w="567" w:type="pct"/>
            <w:tcBorders>
              <w:left w:val="single" w:sz="12" w:space="0" w:color="auto"/>
              <w:right w:val="single" w:sz="12" w:space="0" w:color="auto"/>
            </w:tcBorders>
          </w:tcPr>
          <w:p w:rsidR="009A6B10" w:rsidRPr="009A6B10" w:rsidRDefault="009A6B10" w:rsidP="009A6B10">
            <w:pPr>
              <w:jc w:val="center"/>
            </w:pPr>
            <w:r w:rsidRPr="009A6B10">
              <w:t>40</w:t>
            </w:r>
          </w:p>
        </w:tc>
        <w:tc>
          <w:tcPr>
            <w:tcW w:w="566" w:type="pct"/>
            <w:tcBorders>
              <w:left w:val="single" w:sz="12" w:space="0" w:color="auto"/>
              <w:right w:val="single" w:sz="12" w:space="0" w:color="auto"/>
            </w:tcBorders>
          </w:tcPr>
          <w:p w:rsidR="009A6B10" w:rsidRPr="009A6B10" w:rsidRDefault="009A6B10" w:rsidP="009A6B10">
            <w:pPr>
              <w:jc w:val="center"/>
            </w:pPr>
            <w:r w:rsidRPr="009A6B10">
              <w:t>46</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754C28">
            <w:pPr>
              <w:keepNext/>
              <w:spacing w:before="240" w:after="60"/>
              <w:jc w:val="center"/>
              <w:outlineLvl w:val="2"/>
              <w:rPr>
                <w:b/>
                <w:bCs/>
              </w:rPr>
            </w:pPr>
            <w:r w:rsidRPr="009A6B10">
              <w:rPr>
                <w:b/>
                <w:bCs/>
              </w:rPr>
              <w:t>Dolomit</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1</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470</w:t>
            </w:r>
          </w:p>
        </w:tc>
        <w:tc>
          <w:tcPr>
            <w:tcW w:w="547" w:type="pct"/>
            <w:tcBorders>
              <w:left w:val="single" w:sz="12" w:space="0" w:color="auto"/>
              <w:right w:val="single" w:sz="12" w:space="0" w:color="auto"/>
            </w:tcBorders>
          </w:tcPr>
          <w:p w:rsidR="009A6B10" w:rsidRPr="009A6B10" w:rsidRDefault="009A6B10" w:rsidP="009A6B10">
            <w:pPr>
              <w:jc w:val="center"/>
            </w:pPr>
            <w:r w:rsidRPr="009A6B10">
              <w:t>522</w:t>
            </w:r>
          </w:p>
        </w:tc>
        <w:tc>
          <w:tcPr>
            <w:tcW w:w="548" w:type="pct"/>
            <w:tcBorders>
              <w:left w:val="single" w:sz="12" w:space="0" w:color="auto"/>
              <w:right w:val="single" w:sz="12" w:space="0" w:color="auto"/>
            </w:tcBorders>
          </w:tcPr>
          <w:p w:rsidR="009A6B10" w:rsidRPr="009A6B10" w:rsidRDefault="009A6B10" w:rsidP="009A6B10">
            <w:pPr>
              <w:jc w:val="center"/>
            </w:pPr>
            <w:r w:rsidRPr="009A6B10">
              <w:t>416</w:t>
            </w:r>
          </w:p>
        </w:tc>
        <w:tc>
          <w:tcPr>
            <w:tcW w:w="539" w:type="pct"/>
            <w:tcBorders>
              <w:left w:val="single" w:sz="12" w:space="0" w:color="auto"/>
              <w:right w:val="single" w:sz="12" w:space="0" w:color="auto"/>
            </w:tcBorders>
          </w:tcPr>
          <w:p w:rsidR="009A6B10" w:rsidRPr="009A6B10" w:rsidRDefault="009A6B10" w:rsidP="009A6B10">
            <w:pPr>
              <w:jc w:val="center"/>
            </w:pPr>
            <w:r w:rsidRPr="009A6B10">
              <w:t>435</w:t>
            </w:r>
          </w:p>
        </w:tc>
        <w:tc>
          <w:tcPr>
            <w:tcW w:w="567" w:type="pct"/>
            <w:tcBorders>
              <w:left w:val="single" w:sz="12" w:space="0" w:color="auto"/>
              <w:right w:val="single" w:sz="12" w:space="0" w:color="auto"/>
            </w:tcBorders>
          </w:tcPr>
          <w:p w:rsidR="009A6B10" w:rsidRPr="009A6B10" w:rsidRDefault="009A6B10" w:rsidP="009A6B10">
            <w:pPr>
              <w:jc w:val="center"/>
            </w:pPr>
            <w:r w:rsidRPr="009A6B10">
              <w:t>313</w:t>
            </w:r>
          </w:p>
        </w:tc>
        <w:tc>
          <w:tcPr>
            <w:tcW w:w="566" w:type="pct"/>
            <w:tcBorders>
              <w:left w:val="single" w:sz="12" w:space="0" w:color="auto"/>
              <w:right w:val="single" w:sz="12" w:space="0" w:color="auto"/>
            </w:tcBorders>
          </w:tcPr>
          <w:p w:rsidR="009A6B10" w:rsidRPr="009A6B10" w:rsidRDefault="009A6B10" w:rsidP="009A6B10">
            <w:pPr>
              <w:jc w:val="center"/>
            </w:pPr>
            <w:r w:rsidRPr="009A6B10">
              <w:t>424</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754C28">
            <w:pPr>
              <w:keepNext/>
              <w:jc w:val="center"/>
              <w:outlineLvl w:val="0"/>
              <w:rPr>
                <w:rFonts w:eastAsia="Arial Unicode MS"/>
                <w:b/>
                <w:bCs/>
              </w:rPr>
            </w:pPr>
            <w:r w:rsidRPr="009A6B10">
              <w:rPr>
                <w:rFonts w:eastAsia="Arial Unicode MS"/>
                <w:b/>
                <w:bCs/>
              </w:rPr>
              <w:t>Grafit</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983</w:t>
            </w:r>
          </w:p>
        </w:tc>
        <w:tc>
          <w:tcPr>
            <w:tcW w:w="547" w:type="pct"/>
            <w:tcBorders>
              <w:left w:val="single" w:sz="12" w:space="0" w:color="auto"/>
              <w:right w:val="single" w:sz="12" w:space="0" w:color="auto"/>
            </w:tcBorders>
          </w:tcPr>
          <w:p w:rsidR="009A6B10" w:rsidRPr="009A6B10" w:rsidRDefault="009A6B10" w:rsidP="009A6B10">
            <w:pPr>
              <w:jc w:val="center"/>
            </w:pPr>
            <w:r w:rsidRPr="009A6B10">
              <w:t>1 381</w:t>
            </w:r>
          </w:p>
        </w:tc>
        <w:tc>
          <w:tcPr>
            <w:tcW w:w="548" w:type="pct"/>
            <w:tcBorders>
              <w:left w:val="single" w:sz="12" w:space="0" w:color="auto"/>
              <w:right w:val="single" w:sz="12" w:space="0" w:color="auto"/>
            </w:tcBorders>
          </w:tcPr>
          <w:p w:rsidR="009A6B10" w:rsidRPr="009A6B10" w:rsidRDefault="009A6B10" w:rsidP="009A6B10">
            <w:pPr>
              <w:jc w:val="center"/>
            </w:pPr>
            <w:r w:rsidRPr="009A6B10">
              <w:t>2 246</w:t>
            </w:r>
          </w:p>
        </w:tc>
        <w:tc>
          <w:tcPr>
            <w:tcW w:w="539" w:type="pct"/>
            <w:tcBorders>
              <w:left w:val="single" w:sz="12" w:space="0" w:color="auto"/>
              <w:right w:val="single" w:sz="12" w:space="0" w:color="auto"/>
            </w:tcBorders>
          </w:tcPr>
          <w:p w:rsidR="009A6B10" w:rsidRPr="009A6B10" w:rsidRDefault="009A6B10" w:rsidP="009A6B10">
            <w:pPr>
              <w:jc w:val="center"/>
            </w:pPr>
            <w:r w:rsidRPr="009A6B10">
              <w:t>2 981</w:t>
            </w:r>
          </w:p>
        </w:tc>
        <w:tc>
          <w:tcPr>
            <w:tcW w:w="567" w:type="pct"/>
            <w:tcBorders>
              <w:left w:val="single" w:sz="12" w:space="0" w:color="auto"/>
              <w:right w:val="single" w:sz="12" w:space="0" w:color="auto"/>
            </w:tcBorders>
          </w:tcPr>
          <w:p w:rsidR="009A6B10" w:rsidRPr="009A6B10" w:rsidRDefault="009A6B10" w:rsidP="009A6B10">
            <w:pPr>
              <w:jc w:val="center"/>
            </w:pPr>
            <w:r w:rsidRPr="009A6B10">
              <w:t>962</w:t>
            </w:r>
          </w:p>
        </w:tc>
        <w:tc>
          <w:tcPr>
            <w:tcW w:w="566" w:type="pct"/>
            <w:tcBorders>
              <w:left w:val="single" w:sz="12" w:space="0" w:color="auto"/>
              <w:right w:val="single" w:sz="12" w:space="0" w:color="auto"/>
            </w:tcBorders>
          </w:tcPr>
          <w:p w:rsidR="009A6B10" w:rsidRPr="009A6B10" w:rsidRDefault="009A6B10" w:rsidP="009A6B10">
            <w:pPr>
              <w:jc w:val="center"/>
            </w:pPr>
            <w:r w:rsidRPr="009A6B10">
              <w:t>1 900</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2</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16</w:t>
            </w:r>
          </w:p>
        </w:tc>
        <w:tc>
          <w:tcPr>
            <w:tcW w:w="566" w:type="pct"/>
            <w:tcBorders>
              <w:left w:val="single" w:sz="12" w:space="0" w:color="auto"/>
              <w:right w:val="single" w:sz="12" w:space="0" w:color="auto"/>
            </w:tcBorders>
          </w:tcPr>
          <w:p w:rsidR="009A6B10" w:rsidRPr="009A6B10" w:rsidRDefault="009A6B10" w:rsidP="009A6B10">
            <w:pPr>
              <w:jc w:val="center"/>
            </w:pPr>
            <w:r w:rsidRPr="009A6B10">
              <w:t>18</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Kamenná soľ</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271</w:t>
            </w:r>
          </w:p>
        </w:tc>
        <w:tc>
          <w:tcPr>
            <w:tcW w:w="547" w:type="pct"/>
            <w:tcBorders>
              <w:left w:val="single" w:sz="12" w:space="0" w:color="auto"/>
              <w:right w:val="single" w:sz="12" w:space="0" w:color="auto"/>
            </w:tcBorders>
          </w:tcPr>
          <w:p w:rsidR="009A6B10" w:rsidRPr="009A6B10" w:rsidRDefault="009A6B10" w:rsidP="009A6B10">
            <w:pPr>
              <w:jc w:val="center"/>
            </w:pPr>
            <w:r w:rsidRPr="009A6B10">
              <w:t>299</w:t>
            </w:r>
          </w:p>
        </w:tc>
        <w:tc>
          <w:tcPr>
            <w:tcW w:w="548" w:type="pct"/>
            <w:tcBorders>
              <w:left w:val="single" w:sz="12" w:space="0" w:color="auto"/>
              <w:right w:val="single" w:sz="12" w:space="0" w:color="auto"/>
            </w:tcBorders>
          </w:tcPr>
          <w:p w:rsidR="009A6B10" w:rsidRPr="009A6B10" w:rsidRDefault="009A6B10" w:rsidP="009A6B10">
            <w:pPr>
              <w:jc w:val="center"/>
            </w:pPr>
            <w:r w:rsidRPr="009A6B10">
              <w:t>175</w:t>
            </w:r>
          </w:p>
        </w:tc>
        <w:tc>
          <w:tcPr>
            <w:tcW w:w="539" w:type="pct"/>
            <w:tcBorders>
              <w:left w:val="single" w:sz="12" w:space="0" w:color="auto"/>
              <w:right w:val="single" w:sz="12" w:space="0" w:color="auto"/>
            </w:tcBorders>
          </w:tcPr>
          <w:p w:rsidR="009A6B10" w:rsidRPr="009A6B10" w:rsidRDefault="009A6B10" w:rsidP="009A6B10">
            <w:pPr>
              <w:jc w:val="center"/>
            </w:pPr>
            <w:r w:rsidRPr="009A6B10">
              <w:t>182</w:t>
            </w:r>
          </w:p>
        </w:tc>
        <w:tc>
          <w:tcPr>
            <w:tcW w:w="567" w:type="pct"/>
            <w:tcBorders>
              <w:left w:val="single" w:sz="12" w:space="0" w:color="auto"/>
              <w:right w:val="single" w:sz="12" w:space="0" w:color="auto"/>
            </w:tcBorders>
          </w:tcPr>
          <w:p w:rsidR="009A6B10" w:rsidRPr="009A6B10" w:rsidRDefault="009A6B10" w:rsidP="009A6B10">
            <w:pPr>
              <w:jc w:val="center"/>
            </w:pPr>
            <w:r w:rsidRPr="009A6B10">
              <w:t>167</w:t>
            </w:r>
          </w:p>
        </w:tc>
        <w:tc>
          <w:tcPr>
            <w:tcW w:w="566" w:type="pct"/>
            <w:tcBorders>
              <w:left w:val="single" w:sz="12" w:space="0" w:color="auto"/>
              <w:right w:val="single" w:sz="12" w:space="0" w:color="auto"/>
            </w:tcBorders>
          </w:tcPr>
          <w:p w:rsidR="009A6B10" w:rsidRPr="009A6B10" w:rsidRDefault="009A6B10" w:rsidP="009A6B10">
            <w:pPr>
              <w:jc w:val="center"/>
            </w:pPr>
            <w:r w:rsidRPr="009A6B10">
              <w:t>245</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53</w:t>
            </w:r>
          </w:p>
        </w:tc>
        <w:tc>
          <w:tcPr>
            <w:tcW w:w="547" w:type="pct"/>
            <w:tcBorders>
              <w:left w:val="single" w:sz="12" w:space="0" w:color="auto"/>
              <w:right w:val="single" w:sz="12" w:space="0" w:color="auto"/>
            </w:tcBorders>
          </w:tcPr>
          <w:p w:rsidR="009A6B10" w:rsidRPr="009A6B10" w:rsidRDefault="009A6B10" w:rsidP="009A6B10">
            <w:pPr>
              <w:jc w:val="center"/>
            </w:pPr>
            <w:r w:rsidRPr="009A6B10">
              <w:t>51</w:t>
            </w:r>
          </w:p>
        </w:tc>
        <w:tc>
          <w:tcPr>
            <w:tcW w:w="548" w:type="pct"/>
            <w:tcBorders>
              <w:left w:val="single" w:sz="12" w:space="0" w:color="auto"/>
              <w:right w:val="single" w:sz="12" w:space="0" w:color="auto"/>
            </w:tcBorders>
          </w:tcPr>
          <w:p w:rsidR="009A6B10" w:rsidRPr="009A6B10" w:rsidRDefault="009A6B10" w:rsidP="009A6B10">
            <w:pPr>
              <w:jc w:val="center"/>
            </w:pPr>
            <w:r w:rsidRPr="009A6B10">
              <w:t>44</w:t>
            </w:r>
          </w:p>
        </w:tc>
        <w:tc>
          <w:tcPr>
            <w:tcW w:w="539" w:type="pct"/>
            <w:tcBorders>
              <w:left w:val="single" w:sz="12" w:space="0" w:color="auto"/>
              <w:right w:val="single" w:sz="12" w:space="0" w:color="auto"/>
            </w:tcBorders>
          </w:tcPr>
          <w:p w:rsidR="009A6B10" w:rsidRPr="009A6B10" w:rsidRDefault="009A6B10" w:rsidP="009A6B10">
            <w:pPr>
              <w:jc w:val="center"/>
            </w:pPr>
            <w:r w:rsidRPr="009A6B10">
              <w:t>35</w:t>
            </w:r>
          </w:p>
        </w:tc>
        <w:tc>
          <w:tcPr>
            <w:tcW w:w="567" w:type="pct"/>
            <w:tcBorders>
              <w:left w:val="single" w:sz="12" w:space="0" w:color="auto"/>
              <w:right w:val="single" w:sz="12" w:space="0" w:color="auto"/>
            </w:tcBorders>
          </w:tcPr>
          <w:p w:rsidR="009A6B10" w:rsidRPr="009A6B10" w:rsidRDefault="009A6B10" w:rsidP="009A6B10">
            <w:pPr>
              <w:jc w:val="center"/>
            </w:pPr>
            <w:r w:rsidRPr="009A6B10">
              <w:t>N</w:t>
            </w:r>
          </w:p>
        </w:tc>
        <w:tc>
          <w:tcPr>
            <w:tcW w:w="566" w:type="pct"/>
            <w:tcBorders>
              <w:left w:val="single" w:sz="12" w:space="0" w:color="auto"/>
              <w:right w:val="single" w:sz="12" w:space="0" w:color="auto"/>
            </w:tcBorders>
          </w:tcPr>
          <w:p w:rsidR="009A6B10" w:rsidRPr="009A6B10" w:rsidRDefault="009A6B10" w:rsidP="009A6B10">
            <w:pPr>
              <w:jc w:val="center"/>
            </w:pPr>
            <w:r w:rsidRPr="009A6B10">
              <w:t>23</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754C28">
            <w:pPr>
              <w:keepNext/>
              <w:jc w:val="center"/>
              <w:outlineLvl w:val="7"/>
              <w:rPr>
                <w:rFonts w:eastAsia="Arial Unicode MS"/>
                <w:b/>
                <w:i/>
                <w:sz w:val="22"/>
              </w:rPr>
            </w:pPr>
            <w:r w:rsidRPr="009A6B10">
              <w:rPr>
                <w:rFonts w:eastAsia="Arial Unicode MS"/>
                <w:b/>
                <w:i/>
                <w:sz w:val="22"/>
              </w:rPr>
              <w:t>Kaolín</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94</w:t>
            </w:r>
          </w:p>
        </w:tc>
        <w:tc>
          <w:tcPr>
            <w:tcW w:w="547" w:type="pct"/>
            <w:tcBorders>
              <w:left w:val="single" w:sz="12" w:space="0" w:color="auto"/>
              <w:right w:val="single" w:sz="12" w:space="0" w:color="auto"/>
            </w:tcBorders>
          </w:tcPr>
          <w:p w:rsidR="009A6B10" w:rsidRPr="009A6B10" w:rsidRDefault="009A6B10" w:rsidP="009A6B10">
            <w:pPr>
              <w:jc w:val="center"/>
            </w:pPr>
            <w:r w:rsidRPr="009A6B10">
              <w:t>101</w:t>
            </w:r>
          </w:p>
        </w:tc>
        <w:tc>
          <w:tcPr>
            <w:tcW w:w="548" w:type="pct"/>
            <w:tcBorders>
              <w:left w:val="single" w:sz="12" w:space="0" w:color="auto"/>
              <w:right w:val="single" w:sz="12" w:space="0" w:color="auto"/>
            </w:tcBorders>
          </w:tcPr>
          <w:p w:rsidR="009A6B10" w:rsidRPr="009A6B10" w:rsidRDefault="009A6B10" w:rsidP="009A6B10">
            <w:pPr>
              <w:jc w:val="center"/>
            </w:pPr>
            <w:r w:rsidRPr="009A6B10">
              <w:t>86</w:t>
            </w:r>
          </w:p>
        </w:tc>
        <w:tc>
          <w:tcPr>
            <w:tcW w:w="539" w:type="pct"/>
            <w:tcBorders>
              <w:left w:val="single" w:sz="12" w:space="0" w:color="auto"/>
              <w:right w:val="single" w:sz="12" w:space="0" w:color="auto"/>
            </w:tcBorders>
          </w:tcPr>
          <w:p w:rsidR="009A6B10" w:rsidRPr="009A6B10" w:rsidRDefault="009A6B10" w:rsidP="009A6B10">
            <w:pPr>
              <w:jc w:val="center"/>
            </w:pPr>
            <w:r w:rsidRPr="009A6B10">
              <w:t>99</w:t>
            </w:r>
          </w:p>
        </w:tc>
        <w:tc>
          <w:tcPr>
            <w:tcW w:w="567" w:type="pct"/>
            <w:tcBorders>
              <w:left w:val="single" w:sz="12" w:space="0" w:color="auto"/>
              <w:right w:val="single" w:sz="12" w:space="0" w:color="auto"/>
            </w:tcBorders>
          </w:tcPr>
          <w:p w:rsidR="009A6B10" w:rsidRPr="009A6B10" w:rsidRDefault="009A6B10" w:rsidP="009A6B10">
            <w:pPr>
              <w:jc w:val="center"/>
            </w:pPr>
            <w:r w:rsidRPr="009A6B10">
              <w:t>59</w:t>
            </w:r>
          </w:p>
        </w:tc>
        <w:tc>
          <w:tcPr>
            <w:tcW w:w="566" w:type="pct"/>
            <w:tcBorders>
              <w:left w:val="single" w:sz="12" w:space="0" w:color="auto"/>
              <w:right w:val="single" w:sz="12" w:space="0" w:color="auto"/>
            </w:tcBorders>
          </w:tcPr>
          <w:p w:rsidR="009A6B10" w:rsidRPr="009A6B10" w:rsidRDefault="009A6B10" w:rsidP="009A6B10">
            <w:pPr>
              <w:jc w:val="center"/>
            </w:pPr>
            <w:r w:rsidRPr="009A6B10">
              <w:t>63</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2</w:t>
            </w:r>
          </w:p>
        </w:tc>
        <w:tc>
          <w:tcPr>
            <w:tcW w:w="547" w:type="pct"/>
            <w:tcBorders>
              <w:left w:val="single" w:sz="12" w:space="0" w:color="auto"/>
              <w:right w:val="single" w:sz="12" w:space="0" w:color="auto"/>
            </w:tcBorders>
          </w:tcPr>
          <w:p w:rsidR="009A6B10" w:rsidRPr="009A6B10" w:rsidRDefault="009A6B10" w:rsidP="009A6B10">
            <w:pPr>
              <w:jc w:val="center"/>
            </w:pPr>
            <w:r w:rsidRPr="009A6B10">
              <w:t>4</w:t>
            </w:r>
          </w:p>
        </w:tc>
        <w:tc>
          <w:tcPr>
            <w:tcW w:w="548" w:type="pct"/>
            <w:tcBorders>
              <w:left w:val="single" w:sz="12" w:space="0" w:color="auto"/>
              <w:right w:val="single" w:sz="12" w:space="0" w:color="auto"/>
            </w:tcBorders>
          </w:tcPr>
          <w:p w:rsidR="009A6B10" w:rsidRPr="009A6B10" w:rsidRDefault="009A6B10" w:rsidP="009A6B10">
            <w:pPr>
              <w:jc w:val="center"/>
            </w:pPr>
            <w:r w:rsidRPr="009A6B10">
              <w:t>11</w:t>
            </w:r>
          </w:p>
        </w:tc>
        <w:tc>
          <w:tcPr>
            <w:tcW w:w="539" w:type="pct"/>
            <w:tcBorders>
              <w:left w:val="single" w:sz="12" w:space="0" w:color="auto"/>
              <w:right w:val="single" w:sz="12" w:space="0" w:color="auto"/>
            </w:tcBorders>
          </w:tcPr>
          <w:p w:rsidR="009A6B10" w:rsidRPr="009A6B10" w:rsidRDefault="009A6B10" w:rsidP="009A6B10">
            <w:pPr>
              <w:jc w:val="center"/>
            </w:pPr>
            <w:r w:rsidRPr="009A6B10">
              <w:t>1</w:t>
            </w:r>
          </w:p>
        </w:tc>
        <w:tc>
          <w:tcPr>
            <w:tcW w:w="567" w:type="pct"/>
            <w:tcBorders>
              <w:left w:val="single" w:sz="12" w:space="0" w:color="auto"/>
              <w:right w:val="single" w:sz="12" w:space="0" w:color="auto"/>
            </w:tcBorders>
          </w:tcPr>
          <w:p w:rsidR="009A6B10" w:rsidRPr="009A6B10" w:rsidRDefault="009A6B10" w:rsidP="009A6B10">
            <w:pPr>
              <w:jc w:val="center"/>
            </w:pPr>
            <w:r w:rsidRPr="009A6B10">
              <w:t>1</w:t>
            </w:r>
          </w:p>
        </w:tc>
        <w:tc>
          <w:tcPr>
            <w:tcW w:w="566" w:type="pct"/>
            <w:tcBorders>
              <w:left w:val="single" w:sz="12" w:space="0" w:color="auto"/>
              <w:right w:val="single" w:sz="12" w:space="0" w:color="auto"/>
            </w:tcBorders>
          </w:tcPr>
          <w:p w:rsidR="009A6B10" w:rsidRPr="009A6B10" w:rsidRDefault="009A6B10" w:rsidP="009A6B10">
            <w:pPr>
              <w:jc w:val="center"/>
            </w:pPr>
            <w:r w:rsidRPr="009A6B10">
              <w:t>4</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Keramické íly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26</w:t>
            </w:r>
          </w:p>
        </w:tc>
        <w:tc>
          <w:tcPr>
            <w:tcW w:w="547" w:type="pct"/>
            <w:tcBorders>
              <w:left w:val="single" w:sz="12" w:space="0" w:color="auto"/>
              <w:right w:val="single" w:sz="12" w:space="0" w:color="auto"/>
            </w:tcBorders>
          </w:tcPr>
          <w:p w:rsidR="009A6B10" w:rsidRPr="009A6B10" w:rsidRDefault="009A6B10" w:rsidP="009A6B10">
            <w:pPr>
              <w:jc w:val="center"/>
            </w:pPr>
            <w:r w:rsidRPr="009A6B10">
              <w:t>14</w:t>
            </w:r>
          </w:p>
        </w:tc>
        <w:tc>
          <w:tcPr>
            <w:tcW w:w="548" w:type="pct"/>
            <w:tcBorders>
              <w:left w:val="single" w:sz="12" w:space="0" w:color="auto"/>
              <w:right w:val="single" w:sz="12" w:space="0" w:color="auto"/>
            </w:tcBorders>
          </w:tcPr>
          <w:p w:rsidR="009A6B10" w:rsidRPr="009A6B10" w:rsidRDefault="009A6B10" w:rsidP="009A6B10">
            <w:pPr>
              <w:jc w:val="center"/>
            </w:pPr>
            <w:r w:rsidRPr="009A6B10">
              <w:t>14</w:t>
            </w:r>
          </w:p>
        </w:tc>
        <w:tc>
          <w:tcPr>
            <w:tcW w:w="539" w:type="pct"/>
            <w:tcBorders>
              <w:left w:val="single" w:sz="12" w:space="0" w:color="auto"/>
              <w:right w:val="single" w:sz="12" w:space="0" w:color="auto"/>
            </w:tcBorders>
          </w:tcPr>
          <w:p w:rsidR="009A6B10" w:rsidRPr="009A6B10" w:rsidRDefault="009A6B10" w:rsidP="009A6B10">
            <w:pPr>
              <w:jc w:val="center"/>
            </w:pPr>
            <w:r w:rsidRPr="009A6B10">
              <w:t>8</w:t>
            </w:r>
          </w:p>
        </w:tc>
        <w:tc>
          <w:tcPr>
            <w:tcW w:w="567" w:type="pct"/>
            <w:tcBorders>
              <w:left w:val="single" w:sz="12" w:space="0" w:color="auto"/>
              <w:right w:val="single" w:sz="12" w:space="0" w:color="auto"/>
            </w:tcBorders>
          </w:tcPr>
          <w:p w:rsidR="009A6B10" w:rsidRPr="009A6B10" w:rsidRDefault="009A6B10" w:rsidP="009A6B10">
            <w:pPr>
              <w:jc w:val="center"/>
            </w:pPr>
            <w:r w:rsidRPr="009A6B10">
              <w:t>8</w:t>
            </w:r>
          </w:p>
        </w:tc>
        <w:tc>
          <w:tcPr>
            <w:tcW w:w="566" w:type="pct"/>
            <w:tcBorders>
              <w:left w:val="single" w:sz="12" w:space="0" w:color="auto"/>
              <w:right w:val="single" w:sz="12" w:space="0" w:color="auto"/>
            </w:tcBorders>
          </w:tcPr>
          <w:p w:rsidR="009A6B10" w:rsidRPr="009A6B10" w:rsidRDefault="009A6B10" w:rsidP="009A6B10">
            <w:pPr>
              <w:jc w:val="center"/>
            </w:pPr>
            <w:r w:rsidRPr="009A6B10">
              <w:t>1</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4</w:t>
            </w:r>
          </w:p>
        </w:tc>
        <w:tc>
          <w:tcPr>
            <w:tcW w:w="547" w:type="pct"/>
            <w:tcBorders>
              <w:left w:val="single" w:sz="12" w:space="0" w:color="auto"/>
              <w:right w:val="single" w:sz="12" w:space="0" w:color="auto"/>
            </w:tcBorders>
          </w:tcPr>
          <w:p w:rsidR="009A6B10" w:rsidRPr="009A6B10" w:rsidRDefault="009A6B10" w:rsidP="009A6B10">
            <w:pPr>
              <w:jc w:val="center"/>
            </w:pPr>
            <w:r w:rsidRPr="009A6B10">
              <w:t>N</w:t>
            </w:r>
          </w:p>
        </w:tc>
        <w:tc>
          <w:tcPr>
            <w:tcW w:w="548" w:type="pct"/>
            <w:tcBorders>
              <w:left w:val="single" w:sz="12" w:space="0" w:color="auto"/>
              <w:right w:val="single" w:sz="12" w:space="0" w:color="auto"/>
            </w:tcBorders>
          </w:tcPr>
          <w:p w:rsidR="009A6B10" w:rsidRPr="009A6B10" w:rsidRDefault="009A6B10" w:rsidP="009A6B10">
            <w:pPr>
              <w:jc w:val="center"/>
            </w:pPr>
            <w:r w:rsidRPr="009A6B10">
              <w:t>N</w:t>
            </w:r>
          </w:p>
        </w:tc>
        <w:tc>
          <w:tcPr>
            <w:tcW w:w="539" w:type="pct"/>
            <w:tcBorders>
              <w:left w:val="single" w:sz="12" w:space="0" w:color="auto"/>
              <w:right w:val="single" w:sz="12" w:space="0" w:color="auto"/>
            </w:tcBorders>
          </w:tcPr>
          <w:p w:rsidR="009A6B10" w:rsidRPr="009A6B10" w:rsidRDefault="009A6B10" w:rsidP="009A6B10">
            <w:pPr>
              <w:jc w:val="center"/>
            </w:pPr>
            <w:r w:rsidRPr="009A6B10">
              <w:t>0</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Kremeň a</w:t>
            </w:r>
          </w:p>
          <w:p w:rsidR="009A6B10" w:rsidRPr="009A6B10" w:rsidRDefault="009A6B10" w:rsidP="009A6B10">
            <w:pPr>
              <w:jc w:val="center"/>
              <w:rPr>
                <w:b/>
                <w:bCs/>
              </w:rPr>
            </w:pPr>
            <w:r w:rsidRPr="009A6B10">
              <w:rPr>
                <w:b/>
                <w:bCs/>
              </w:rPr>
              <w:t>kremenec</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147</w:t>
            </w:r>
          </w:p>
        </w:tc>
        <w:tc>
          <w:tcPr>
            <w:tcW w:w="547" w:type="pct"/>
            <w:tcBorders>
              <w:left w:val="single" w:sz="12" w:space="0" w:color="auto"/>
              <w:right w:val="single" w:sz="12" w:space="0" w:color="auto"/>
            </w:tcBorders>
          </w:tcPr>
          <w:p w:rsidR="009A6B10" w:rsidRPr="009A6B10" w:rsidRDefault="009A6B10" w:rsidP="009A6B10">
            <w:pPr>
              <w:jc w:val="center"/>
            </w:pPr>
            <w:r w:rsidRPr="009A6B10">
              <w:t>72</w:t>
            </w:r>
          </w:p>
        </w:tc>
        <w:tc>
          <w:tcPr>
            <w:tcW w:w="548" w:type="pct"/>
            <w:tcBorders>
              <w:left w:val="single" w:sz="12" w:space="0" w:color="auto"/>
              <w:right w:val="single" w:sz="12" w:space="0" w:color="auto"/>
            </w:tcBorders>
          </w:tcPr>
          <w:p w:rsidR="009A6B10" w:rsidRPr="009A6B10" w:rsidRDefault="009A6B10" w:rsidP="009A6B10">
            <w:pPr>
              <w:jc w:val="center"/>
            </w:pPr>
            <w:r w:rsidRPr="009A6B10">
              <w:t>43</w:t>
            </w:r>
          </w:p>
        </w:tc>
        <w:tc>
          <w:tcPr>
            <w:tcW w:w="539" w:type="pct"/>
            <w:tcBorders>
              <w:left w:val="single" w:sz="12" w:space="0" w:color="auto"/>
              <w:right w:val="single" w:sz="12" w:space="0" w:color="auto"/>
            </w:tcBorders>
          </w:tcPr>
          <w:p w:rsidR="009A6B10" w:rsidRPr="009A6B10" w:rsidRDefault="009A6B10" w:rsidP="009A6B10">
            <w:pPr>
              <w:jc w:val="center"/>
            </w:pPr>
            <w:r w:rsidRPr="009A6B10">
              <w:t>105</w:t>
            </w:r>
          </w:p>
        </w:tc>
        <w:tc>
          <w:tcPr>
            <w:tcW w:w="567" w:type="pct"/>
            <w:tcBorders>
              <w:left w:val="single" w:sz="12" w:space="0" w:color="auto"/>
              <w:right w:val="single" w:sz="12" w:space="0" w:color="auto"/>
            </w:tcBorders>
          </w:tcPr>
          <w:p w:rsidR="009A6B10" w:rsidRPr="009A6B10" w:rsidRDefault="009A6B10" w:rsidP="009A6B10">
            <w:pPr>
              <w:jc w:val="center"/>
            </w:pPr>
            <w:r w:rsidRPr="009A6B10">
              <w:t>38</w:t>
            </w:r>
          </w:p>
        </w:tc>
        <w:tc>
          <w:tcPr>
            <w:tcW w:w="566" w:type="pct"/>
            <w:tcBorders>
              <w:left w:val="single" w:sz="12" w:space="0" w:color="auto"/>
              <w:right w:val="single" w:sz="12" w:space="0" w:color="auto"/>
            </w:tcBorders>
          </w:tcPr>
          <w:p w:rsidR="009A6B10" w:rsidRPr="009A6B10" w:rsidRDefault="009A6B10" w:rsidP="009A6B10">
            <w:pPr>
              <w:jc w:val="center"/>
            </w:pPr>
            <w:r w:rsidRPr="009A6B10">
              <w:t>66</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w:t>
            </w:r>
          </w:p>
        </w:tc>
        <w:tc>
          <w:tcPr>
            <w:tcW w:w="566" w:type="pct"/>
            <w:tcBorders>
              <w:left w:val="single" w:sz="12" w:space="0" w:color="auto"/>
              <w:right w:val="single" w:sz="12" w:space="0" w:color="auto"/>
            </w:tcBorders>
          </w:tcPr>
          <w:p w:rsidR="009A6B10" w:rsidRPr="009A6B10" w:rsidRDefault="009A6B10" w:rsidP="009A6B10">
            <w:pPr>
              <w:jc w:val="center"/>
            </w:pPr>
            <w:r w:rsidRPr="009A6B10">
              <w:t>-</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Magnezit a magnézia</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18</w:t>
            </w:r>
          </w:p>
        </w:tc>
        <w:tc>
          <w:tcPr>
            <w:tcW w:w="547" w:type="pct"/>
            <w:tcBorders>
              <w:left w:val="single" w:sz="12" w:space="0" w:color="auto"/>
              <w:right w:val="single" w:sz="12" w:space="0" w:color="auto"/>
            </w:tcBorders>
          </w:tcPr>
          <w:p w:rsidR="009A6B10" w:rsidRPr="009A6B10" w:rsidRDefault="009A6B10" w:rsidP="009A6B10">
            <w:pPr>
              <w:jc w:val="center"/>
            </w:pPr>
            <w:r w:rsidRPr="009A6B10">
              <w:t>31</w:t>
            </w:r>
          </w:p>
        </w:tc>
        <w:tc>
          <w:tcPr>
            <w:tcW w:w="548" w:type="pct"/>
            <w:tcBorders>
              <w:left w:val="single" w:sz="12" w:space="0" w:color="auto"/>
              <w:right w:val="single" w:sz="12" w:space="0" w:color="auto"/>
            </w:tcBorders>
          </w:tcPr>
          <w:p w:rsidR="009A6B10" w:rsidRPr="009A6B10" w:rsidRDefault="009A6B10" w:rsidP="009A6B10">
            <w:pPr>
              <w:jc w:val="center"/>
            </w:pPr>
            <w:r w:rsidRPr="009A6B10">
              <w:t>31</w:t>
            </w:r>
          </w:p>
        </w:tc>
        <w:tc>
          <w:tcPr>
            <w:tcW w:w="539" w:type="pct"/>
            <w:tcBorders>
              <w:left w:val="single" w:sz="12" w:space="0" w:color="auto"/>
              <w:right w:val="single" w:sz="12" w:space="0" w:color="auto"/>
            </w:tcBorders>
          </w:tcPr>
          <w:p w:rsidR="009A6B10" w:rsidRPr="009A6B10" w:rsidRDefault="009A6B10" w:rsidP="009A6B10">
            <w:pPr>
              <w:jc w:val="center"/>
            </w:pPr>
            <w:r w:rsidRPr="009A6B10">
              <w:t>34</w:t>
            </w:r>
          </w:p>
        </w:tc>
        <w:tc>
          <w:tcPr>
            <w:tcW w:w="567" w:type="pct"/>
            <w:tcBorders>
              <w:left w:val="single" w:sz="12" w:space="0" w:color="auto"/>
              <w:right w:val="single" w:sz="12" w:space="0" w:color="auto"/>
            </w:tcBorders>
          </w:tcPr>
          <w:p w:rsidR="009A6B10" w:rsidRPr="009A6B10" w:rsidRDefault="009A6B10" w:rsidP="009A6B10">
            <w:pPr>
              <w:jc w:val="center"/>
            </w:pPr>
            <w:r w:rsidRPr="009A6B10">
              <w:t>15</w:t>
            </w:r>
          </w:p>
        </w:tc>
        <w:tc>
          <w:tcPr>
            <w:tcW w:w="566" w:type="pct"/>
            <w:tcBorders>
              <w:left w:val="single" w:sz="12" w:space="0" w:color="auto"/>
              <w:right w:val="single" w:sz="12" w:space="0" w:color="auto"/>
            </w:tcBorders>
          </w:tcPr>
          <w:p w:rsidR="009A6B10" w:rsidRPr="009A6B10" w:rsidRDefault="009A6B10" w:rsidP="009A6B10">
            <w:pPr>
              <w:jc w:val="center"/>
            </w:pPr>
            <w:r w:rsidRPr="009A6B10">
              <w:t>28</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383</w:t>
            </w:r>
          </w:p>
        </w:tc>
        <w:tc>
          <w:tcPr>
            <w:tcW w:w="547" w:type="pct"/>
            <w:tcBorders>
              <w:left w:val="single" w:sz="12" w:space="0" w:color="auto"/>
              <w:right w:val="single" w:sz="12" w:space="0" w:color="auto"/>
            </w:tcBorders>
          </w:tcPr>
          <w:p w:rsidR="009A6B10" w:rsidRPr="009A6B10" w:rsidRDefault="009A6B10" w:rsidP="009A6B10">
            <w:pPr>
              <w:jc w:val="center"/>
            </w:pPr>
            <w:r w:rsidRPr="009A6B10">
              <w:t>400</w:t>
            </w:r>
          </w:p>
        </w:tc>
        <w:tc>
          <w:tcPr>
            <w:tcW w:w="548" w:type="pct"/>
            <w:tcBorders>
              <w:left w:val="single" w:sz="12" w:space="0" w:color="auto"/>
              <w:right w:val="single" w:sz="12" w:space="0" w:color="auto"/>
            </w:tcBorders>
          </w:tcPr>
          <w:p w:rsidR="009A6B10" w:rsidRPr="009A6B10" w:rsidRDefault="009A6B10" w:rsidP="009A6B10">
            <w:pPr>
              <w:jc w:val="center"/>
            </w:pPr>
            <w:r w:rsidRPr="009A6B10">
              <w:t>437</w:t>
            </w:r>
          </w:p>
        </w:tc>
        <w:tc>
          <w:tcPr>
            <w:tcW w:w="539" w:type="pct"/>
            <w:tcBorders>
              <w:left w:val="single" w:sz="12" w:space="0" w:color="auto"/>
              <w:right w:val="single" w:sz="12" w:space="0" w:color="auto"/>
            </w:tcBorders>
          </w:tcPr>
          <w:p w:rsidR="009A6B10" w:rsidRPr="009A6B10" w:rsidRDefault="009A6B10" w:rsidP="009A6B10">
            <w:pPr>
              <w:jc w:val="center"/>
            </w:pPr>
            <w:r w:rsidRPr="009A6B10">
              <w:t>403</w:t>
            </w:r>
          </w:p>
        </w:tc>
        <w:tc>
          <w:tcPr>
            <w:tcW w:w="567" w:type="pct"/>
            <w:tcBorders>
              <w:left w:val="single" w:sz="12" w:space="0" w:color="auto"/>
              <w:right w:val="single" w:sz="12" w:space="0" w:color="auto"/>
            </w:tcBorders>
          </w:tcPr>
          <w:p w:rsidR="009A6B10" w:rsidRPr="009A6B10" w:rsidRDefault="009A6B10" w:rsidP="009A6B10">
            <w:pPr>
              <w:jc w:val="center"/>
            </w:pPr>
            <w:r w:rsidRPr="009A6B10">
              <w:t>261</w:t>
            </w:r>
          </w:p>
        </w:tc>
        <w:tc>
          <w:tcPr>
            <w:tcW w:w="566" w:type="pct"/>
            <w:tcBorders>
              <w:left w:val="single" w:sz="12" w:space="0" w:color="auto"/>
              <w:right w:val="single" w:sz="12" w:space="0" w:color="auto"/>
            </w:tcBorders>
          </w:tcPr>
          <w:p w:rsidR="009A6B10" w:rsidRPr="009A6B10" w:rsidRDefault="009A6B10" w:rsidP="009A6B10">
            <w:pPr>
              <w:jc w:val="center"/>
            </w:pPr>
            <w:r w:rsidRPr="009A6B10">
              <w:t>333</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lastRenderedPageBreak/>
              <w:t>Mastenec</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0,2</w:t>
            </w:r>
          </w:p>
        </w:tc>
        <w:tc>
          <w:tcPr>
            <w:tcW w:w="547" w:type="pct"/>
            <w:tcBorders>
              <w:left w:val="single" w:sz="12" w:space="0" w:color="auto"/>
              <w:right w:val="single" w:sz="12" w:space="0" w:color="auto"/>
            </w:tcBorders>
          </w:tcPr>
          <w:p w:rsidR="009A6B10" w:rsidRPr="009A6B10" w:rsidRDefault="009A6B10" w:rsidP="009A6B10">
            <w:pPr>
              <w:jc w:val="center"/>
            </w:pPr>
            <w:r w:rsidRPr="009A6B10">
              <w:t>4,2</w:t>
            </w:r>
          </w:p>
        </w:tc>
        <w:tc>
          <w:tcPr>
            <w:tcW w:w="548" w:type="pct"/>
            <w:tcBorders>
              <w:left w:val="single" w:sz="12" w:space="0" w:color="auto"/>
              <w:right w:val="single" w:sz="12" w:space="0" w:color="auto"/>
            </w:tcBorders>
          </w:tcPr>
          <w:p w:rsidR="009A6B10" w:rsidRPr="009A6B10" w:rsidRDefault="009A6B10" w:rsidP="009A6B10">
            <w:pPr>
              <w:jc w:val="center"/>
            </w:pPr>
            <w:r w:rsidRPr="009A6B10">
              <w:t>1,3</w:t>
            </w:r>
          </w:p>
        </w:tc>
        <w:tc>
          <w:tcPr>
            <w:tcW w:w="539" w:type="pct"/>
            <w:tcBorders>
              <w:left w:val="single" w:sz="12" w:space="0" w:color="auto"/>
              <w:right w:val="single" w:sz="12" w:space="0" w:color="auto"/>
            </w:tcBorders>
          </w:tcPr>
          <w:p w:rsidR="009A6B10" w:rsidRPr="009A6B10" w:rsidRDefault="009A6B10" w:rsidP="009A6B10">
            <w:pPr>
              <w:jc w:val="center"/>
            </w:pPr>
            <w:r w:rsidRPr="009A6B10">
              <w:t>2,4</w:t>
            </w:r>
          </w:p>
        </w:tc>
        <w:tc>
          <w:tcPr>
            <w:tcW w:w="567" w:type="pct"/>
            <w:tcBorders>
              <w:left w:val="single" w:sz="12" w:space="0" w:color="auto"/>
              <w:right w:val="single" w:sz="12" w:space="0" w:color="auto"/>
            </w:tcBorders>
          </w:tcPr>
          <w:p w:rsidR="009A6B10" w:rsidRPr="009A6B10" w:rsidRDefault="009A6B10" w:rsidP="009A6B10">
            <w:pPr>
              <w:jc w:val="center"/>
            </w:pPr>
            <w:r w:rsidRPr="009A6B10">
              <w:t>1</w:t>
            </w:r>
          </w:p>
        </w:tc>
        <w:tc>
          <w:tcPr>
            <w:tcW w:w="566" w:type="pct"/>
            <w:tcBorders>
              <w:left w:val="single" w:sz="12" w:space="0" w:color="auto"/>
              <w:right w:val="single" w:sz="12" w:space="0" w:color="auto"/>
            </w:tcBorders>
          </w:tcPr>
          <w:p w:rsidR="009A6B10" w:rsidRPr="009A6B10" w:rsidRDefault="009A6B10" w:rsidP="009A6B10">
            <w:pPr>
              <w:jc w:val="center"/>
            </w:pPr>
            <w:r w:rsidRPr="009A6B10">
              <w:t>0,7</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w:t>
            </w:r>
          </w:p>
        </w:tc>
        <w:tc>
          <w:tcPr>
            <w:tcW w:w="547" w:type="pct"/>
            <w:tcBorders>
              <w:left w:val="single" w:sz="12" w:space="0" w:color="auto"/>
              <w:right w:val="single" w:sz="12" w:space="0" w:color="auto"/>
            </w:tcBorders>
          </w:tcPr>
          <w:p w:rsidR="009A6B10" w:rsidRPr="009A6B10" w:rsidRDefault="009A6B10" w:rsidP="009A6B10">
            <w:pPr>
              <w:jc w:val="center"/>
            </w:pPr>
            <w:r w:rsidRPr="009A6B10">
              <w:t>0</w:t>
            </w:r>
          </w:p>
        </w:tc>
        <w:tc>
          <w:tcPr>
            <w:tcW w:w="548" w:type="pct"/>
            <w:tcBorders>
              <w:left w:val="single" w:sz="12" w:space="0" w:color="auto"/>
              <w:right w:val="single" w:sz="12" w:space="0" w:color="auto"/>
            </w:tcBorders>
          </w:tcPr>
          <w:p w:rsidR="009A6B10" w:rsidRPr="009A6B10" w:rsidRDefault="009A6B10" w:rsidP="009A6B10">
            <w:pPr>
              <w:jc w:val="center"/>
            </w:pPr>
            <w:r w:rsidRPr="009A6B10">
              <w:t>0</w:t>
            </w:r>
          </w:p>
        </w:tc>
        <w:tc>
          <w:tcPr>
            <w:tcW w:w="539" w:type="pct"/>
            <w:tcBorders>
              <w:left w:val="single" w:sz="12" w:space="0" w:color="auto"/>
              <w:right w:val="single" w:sz="12" w:space="0" w:color="auto"/>
            </w:tcBorders>
          </w:tcPr>
          <w:p w:rsidR="009A6B10" w:rsidRPr="009A6B10" w:rsidRDefault="009A6B10" w:rsidP="009A6B10">
            <w:pPr>
              <w:jc w:val="center"/>
            </w:pPr>
            <w:r w:rsidRPr="009A6B10">
              <w:t>0</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754C28">
            <w:pPr>
              <w:keepNext/>
              <w:jc w:val="center"/>
              <w:outlineLvl w:val="0"/>
              <w:rPr>
                <w:rFonts w:eastAsia="Arial Unicode MS"/>
                <w:b/>
                <w:bCs/>
              </w:rPr>
            </w:pPr>
            <w:proofErr w:type="spellStart"/>
            <w:r w:rsidRPr="009A6B10">
              <w:rPr>
                <w:rFonts w:eastAsia="Arial Unicode MS"/>
                <w:b/>
                <w:bCs/>
              </w:rPr>
              <w:t>Perlit</w:t>
            </w:r>
            <w:proofErr w:type="spellEnd"/>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0,5</w:t>
            </w:r>
          </w:p>
        </w:tc>
        <w:tc>
          <w:tcPr>
            <w:tcW w:w="547" w:type="pct"/>
            <w:tcBorders>
              <w:left w:val="single" w:sz="12" w:space="0" w:color="auto"/>
              <w:right w:val="single" w:sz="12" w:space="0" w:color="auto"/>
            </w:tcBorders>
          </w:tcPr>
          <w:p w:rsidR="009A6B10" w:rsidRPr="009A6B10" w:rsidRDefault="009A6B10" w:rsidP="009A6B10">
            <w:pPr>
              <w:jc w:val="center"/>
            </w:pPr>
            <w:r w:rsidRPr="009A6B10">
              <w:t>0,5</w:t>
            </w:r>
          </w:p>
        </w:tc>
        <w:tc>
          <w:tcPr>
            <w:tcW w:w="548" w:type="pct"/>
            <w:tcBorders>
              <w:left w:val="single" w:sz="12" w:space="0" w:color="auto"/>
              <w:right w:val="single" w:sz="12" w:space="0" w:color="auto"/>
            </w:tcBorders>
          </w:tcPr>
          <w:p w:rsidR="009A6B10" w:rsidRPr="009A6B10" w:rsidRDefault="009A6B10" w:rsidP="009A6B10">
            <w:pPr>
              <w:jc w:val="center"/>
            </w:pPr>
            <w:r w:rsidRPr="009A6B10">
              <w:t>0,3</w:t>
            </w:r>
          </w:p>
        </w:tc>
        <w:tc>
          <w:tcPr>
            <w:tcW w:w="539" w:type="pct"/>
            <w:tcBorders>
              <w:left w:val="single" w:sz="12" w:space="0" w:color="auto"/>
              <w:right w:val="single" w:sz="12" w:space="0" w:color="auto"/>
            </w:tcBorders>
          </w:tcPr>
          <w:p w:rsidR="009A6B10" w:rsidRPr="009A6B10" w:rsidRDefault="009A6B10" w:rsidP="009A6B10">
            <w:pPr>
              <w:jc w:val="center"/>
            </w:pPr>
            <w:r w:rsidRPr="009A6B10">
              <w:t>0,3</w:t>
            </w:r>
          </w:p>
        </w:tc>
        <w:tc>
          <w:tcPr>
            <w:tcW w:w="567" w:type="pct"/>
            <w:tcBorders>
              <w:left w:val="single" w:sz="12" w:space="0" w:color="auto"/>
              <w:right w:val="single" w:sz="12" w:space="0" w:color="auto"/>
            </w:tcBorders>
          </w:tcPr>
          <w:p w:rsidR="009A6B10" w:rsidRPr="009A6B10" w:rsidRDefault="009A6B10" w:rsidP="009A6B10">
            <w:pPr>
              <w:jc w:val="center"/>
            </w:pPr>
            <w:r w:rsidRPr="009A6B10">
              <w:t>0,4</w:t>
            </w:r>
          </w:p>
        </w:tc>
        <w:tc>
          <w:tcPr>
            <w:tcW w:w="566" w:type="pct"/>
            <w:tcBorders>
              <w:left w:val="single" w:sz="12" w:space="0" w:color="auto"/>
              <w:right w:val="single" w:sz="12" w:space="0" w:color="auto"/>
            </w:tcBorders>
          </w:tcPr>
          <w:p w:rsidR="009A6B10" w:rsidRPr="009A6B10" w:rsidRDefault="009A6B10" w:rsidP="009A6B10">
            <w:pPr>
              <w:jc w:val="center"/>
            </w:pPr>
            <w:r w:rsidRPr="009A6B10">
              <w:t>1</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5</w:t>
            </w:r>
          </w:p>
        </w:tc>
        <w:tc>
          <w:tcPr>
            <w:tcW w:w="547" w:type="pct"/>
            <w:tcBorders>
              <w:left w:val="single" w:sz="12" w:space="0" w:color="auto"/>
              <w:right w:val="single" w:sz="12" w:space="0" w:color="auto"/>
            </w:tcBorders>
          </w:tcPr>
          <w:p w:rsidR="009A6B10" w:rsidRPr="009A6B10" w:rsidRDefault="009A6B10" w:rsidP="009A6B10">
            <w:pPr>
              <w:jc w:val="center"/>
            </w:pPr>
            <w:r w:rsidRPr="009A6B10">
              <w:t>7,3</w:t>
            </w:r>
          </w:p>
        </w:tc>
        <w:tc>
          <w:tcPr>
            <w:tcW w:w="548" w:type="pct"/>
            <w:tcBorders>
              <w:left w:val="single" w:sz="12" w:space="0" w:color="auto"/>
              <w:right w:val="single" w:sz="12" w:space="0" w:color="auto"/>
            </w:tcBorders>
          </w:tcPr>
          <w:p w:rsidR="009A6B10" w:rsidRPr="009A6B10" w:rsidRDefault="009A6B10" w:rsidP="009A6B10">
            <w:pPr>
              <w:jc w:val="center"/>
            </w:pPr>
            <w:r w:rsidRPr="009A6B10">
              <w:t>10</w:t>
            </w:r>
          </w:p>
        </w:tc>
        <w:tc>
          <w:tcPr>
            <w:tcW w:w="539" w:type="pct"/>
            <w:tcBorders>
              <w:left w:val="single" w:sz="12" w:space="0" w:color="auto"/>
              <w:right w:val="single" w:sz="12" w:space="0" w:color="auto"/>
            </w:tcBorders>
          </w:tcPr>
          <w:p w:rsidR="009A6B10" w:rsidRPr="009A6B10" w:rsidRDefault="009A6B10" w:rsidP="009A6B10">
            <w:pPr>
              <w:jc w:val="center"/>
            </w:pPr>
            <w:r w:rsidRPr="009A6B10">
              <w:t>N</w:t>
            </w:r>
          </w:p>
        </w:tc>
        <w:tc>
          <w:tcPr>
            <w:tcW w:w="567" w:type="pct"/>
            <w:tcBorders>
              <w:left w:val="single" w:sz="12" w:space="0" w:color="auto"/>
              <w:right w:val="single" w:sz="12" w:space="0" w:color="auto"/>
            </w:tcBorders>
          </w:tcPr>
          <w:p w:rsidR="009A6B10" w:rsidRPr="009A6B10" w:rsidRDefault="009A6B10" w:rsidP="009A6B10">
            <w:pPr>
              <w:jc w:val="center"/>
            </w:pPr>
            <w:r w:rsidRPr="009A6B10">
              <w:t>N</w:t>
            </w:r>
          </w:p>
        </w:tc>
        <w:tc>
          <w:tcPr>
            <w:tcW w:w="566" w:type="pct"/>
            <w:tcBorders>
              <w:left w:val="single" w:sz="12" w:space="0" w:color="auto"/>
              <w:right w:val="single" w:sz="12" w:space="0" w:color="auto"/>
            </w:tcBorders>
          </w:tcPr>
          <w:p w:rsidR="009A6B10" w:rsidRPr="009A6B10" w:rsidRDefault="009A6B10" w:rsidP="009A6B10">
            <w:pPr>
              <w:jc w:val="center"/>
            </w:pPr>
            <w:r w:rsidRPr="009A6B10">
              <w:t>2,2</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 xml:space="preserve">Sadrovec, </w:t>
            </w:r>
            <w:proofErr w:type="spellStart"/>
            <w:r w:rsidRPr="009A6B10">
              <w:rPr>
                <w:b/>
                <w:bCs/>
              </w:rPr>
              <w:t>anhydrit</w:t>
            </w:r>
            <w:proofErr w:type="spellEnd"/>
            <w:r w:rsidRPr="009A6B10">
              <w:rPr>
                <w:b/>
                <w:bCs/>
              </w:rPr>
              <w:t xml:space="preserve"> a sadra</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111</w:t>
            </w:r>
          </w:p>
        </w:tc>
        <w:tc>
          <w:tcPr>
            <w:tcW w:w="547" w:type="pct"/>
            <w:tcBorders>
              <w:left w:val="single" w:sz="12" w:space="0" w:color="auto"/>
              <w:right w:val="single" w:sz="12" w:space="0" w:color="auto"/>
            </w:tcBorders>
          </w:tcPr>
          <w:p w:rsidR="009A6B10" w:rsidRPr="009A6B10" w:rsidRDefault="009A6B10" w:rsidP="009A6B10">
            <w:pPr>
              <w:jc w:val="center"/>
            </w:pPr>
            <w:r w:rsidRPr="009A6B10">
              <w:t>110</w:t>
            </w:r>
          </w:p>
        </w:tc>
        <w:tc>
          <w:tcPr>
            <w:tcW w:w="548" w:type="pct"/>
            <w:tcBorders>
              <w:left w:val="single" w:sz="12" w:space="0" w:color="auto"/>
              <w:right w:val="single" w:sz="12" w:space="0" w:color="auto"/>
            </w:tcBorders>
          </w:tcPr>
          <w:p w:rsidR="009A6B10" w:rsidRPr="009A6B10" w:rsidRDefault="009A6B10" w:rsidP="009A6B10">
            <w:pPr>
              <w:jc w:val="center"/>
            </w:pPr>
            <w:r w:rsidRPr="009A6B10">
              <w:t>118</w:t>
            </w:r>
          </w:p>
        </w:tc>
        <w:tc>
          <w:tcPr>
            <w:tcW w:w="539" w:type="pct"/>
            <w:tcBorders>
              <w:left w:val="single" w:sz="12" w:space="0" w:color="auto"/>
              <w:right w:val="single" w:sz="12" w:space="0" w:color="auto"/>
            </w:tcBorders>
          </w:tcPr>
          <w:p w:rsidR="009A6B10" w:rsidRPr="009A6B10" w:rsidRDefault="009A6B10" w:rsidP="009A6B10">
            <w:pPr>
              <w:jc w:val="center"/>
            </w:pPr>
            <w:r w:rsidRPr="009A6B10">
              <w:t>155</w:t>
            </w:r>
          </w:p>
        </w:tc>
        <w:tc>
          <w:tcPr>
            <w:tcW w:w="567" w:type="pct"/>
            <w:tcBorders>
              <w:left w:val="single" w:sz="12" w:space="0" w:color="auto"/>
              <w:right w:val="single" w:sz="12" w:space="0" w:color="auto"/>
            </w:tcBorders>
          </w:tcPr>
          <w:p w:rsidR="009A6B10" w:rsidRPr="009A6B10" w:rsidRDefault="009A6B10" w:rsidP="009A6B10">
            <w:pPr>
              <w:jc w:val="center"/>
            </w:pPr>
            <w:r w:rsidRPr="009A6B10">
              <w:t>99</w:t>
            </w:r>
          </w:p>
        </w:tc>
        <w:tc>
          <w:tcPr>
            <w:tcW w:w="566" w:type="pct"/>
            <w:tcBorders>
              <w:left w:val="single" w:sz="12" w:space="0" w:color="auto"/>
              <w:right w:val="single" w:sz="12" w:space="0" w:color="auto"/>
            </w:tcBorders>
          </w:tcPr>
          <w:p w:rsidR="009A6B10" w:rsidRPr="009A6B10" w:rsidRDefault="009A6B10" w:rsidP="009A6B10">
            <w:pPr>
              <w:jc w:val="center"/>
            </w:pPr>
            <w:r w:rsidRPr="009A6B10">
              <w:t>91</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rPr>
                <w:b/>
                <w:bCs/>
              </w:rP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0</w:t>
            </w:r>
          </w:p>
        </w:tc>
        <w:tc>
          <w:tcPr>
            <w:tcW w:w="547" w:type="pct"/>
            <w:tcBorders>
              <w:left w:val="single" w:sz="12" w:space="0" w:color="auto"/>
              <w:right w:val="single" w:sz="12" w:space="0" w:color="auto"/>
            </w:tcBorders>
          </w:tcPr>
          <w:p w:rsidR="009A6B10" w:rsidRPr="009A6B10" w:rsidRDefault="009A6B10" w:rsidP="009A6B10">
            <w:pPr>
              <w:jc w:val="center"/>
            </w:pPr>
            <w:r w:rsidRPr="009A6B10">
              <w:t>0</w:t>
            </w:r>
          </w:p>
        </w:tc>
        <w:tc>
          <w:tcPr>
            <w:tcW w:w="548" w:type="pct"/>
            <w:tcBorders>
              <w:left w:val="single" w:sz="12" w:space="0" w:color="auto"/>
              <w:right w:val="single" w:sz="12" w:space="0" w:color="auto"/>
            </w:tcBorders>
          </w:tcPr>
          <w:p w:rsidR="009A6B10" w:rsidRPr="009A6B10" w:rsidRDefault="009A6B10" w:rsidP="009A6B10">
            <w:pPr>
              <w:jc w:val="center"/>
            </w:pPr>
            <w:r w:rsidRPr="009A6B10">
              <w:t>0</w:t>
            </w:r>
          </w:p>
        </w:tc>
        <w:tc>
          <w:tcPr>
            <w:tcW w:w="539" w:type="pct"/>
            <w:tcBorders>
              <w:left w:val="single" w:sz="12" w:space="0" w:color="auto"/>
              <w:right w:val="single" w:sz="12" w:space="0" w:color="auto"/>
            </w:tcBorders>
          </w:tcPr>
          <w:p w:rsidR="009A6B10" w:rsidRPr="009A6B10" w:rsidRDefault="009A6B10" w:rsidP="009A6B10">
            <w:pPr>
              <w:jc w:val="center"/>
            </w:pPr>
            <w:r w:rsidRPr="009A6B10">
              <w:t>0</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Sľuda</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3</w:t>
            </w:r>
          </w:p>
        </w:tc>
        <w:tc>
          <w:tcPr>
            <w:tcW w:w="547" w:type="pct"/>
            <w:tcBorders>
              <w:left w:val="single" w:sz="12" w:space="0" w:color="auto"/>
              <w:right w:val="single" w:sz="12" w:space="0" w:color="auto"/>
            </w:tcBorders>
          </w:tcPr>
          <w:p w:rsidR="009A6B10" w:rsidRPr="009A6B10" w:rsidRDefault="009A6B10" w:rsidP="009A6B10">
            <w:pPr>
              <w:jc w:val="center"/>
            </w:pPr>
            <w:r w:rsidRPr="009A6B10">
              <w:t>71</w:t>
            </w:r>
          </w:p>
        </w:tc>
        <w:tc>
          <w:tcPr>
            <w:tcW w:w="548" w:type="pct"/>
            <w:tcBorders>
              <w:left w:val="single" w:sz="12" w:space="0" w:color="auto"/>
              <w:right w:val="single" w:sz="12" w:space="0" w:color="auto"/>
            </w:tcBorders>
          </w:tcPr>
          <w:p w:rsidR="009A6B10" w:rsidRPr="009A6B10" w:rsidRDefault="009A6B10" w:rsidP="009A6B10">
            <w:pPr>
              <w:jc w:val="center"/>
            </w:pPr>
            <w:r w:rsidRPr="009A6B10">
              <w:t>124</w:t>
            </w:r>
          </w:p>
        </w:tc>
        <w:tc>
          <w:tcPr>
            <w:tcW w:w="539" w:type="pct"/>
            <w:tcBorders>
              <w:left w:val="single" w:sz="12" w:space="0" w:color="auto"/>
              <w:right w:val="single" w:sz="12" w:space="0" w:color="auto"/>
            </w:tcBorders>
          </w:tcPr>
          <w:p w:rsidR="009A6B10" w:rsidRPr="009A6B10" w:rsidRDefault="009A6B10" w:rsidP="009A6B10">
            <w:pPr>
              <w:jc w:val="center"/>
            </w:pPr>
            <w:r w:rsidRPr="009A6B10">
              <w:t>4</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8</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847185">
            <w:pPr>
              <w:keepNext/>
              <w:jc w:val="center"/>
              <w:outlineLvl w:val="0"/>
              <w:rPr>
                <w:rFonts w:eastAsia="Arial Unicode MS"/>
                <w:b/>
                <w:bCs/>
              </w:rPr>
            </w:pPr>
            <w:r w:rsidRPr="009A6B10">
              <w:rPr>
                <w:rFonts w:eastAsia="Arial Unicode MS"/>
                <w:b/>
                <w:bCs/>
              </w:rPr>
              <w:t>Vápenec</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9</w:t>
            </w:r>
          </w:p>
        </w:tc>
        <w:tc>
          <w:tcPr>
            <w:tcW w:w="547" w:type="pct"/>
            <w:tcBorders>
              <w:left w:val="single" w:sz="12" w:space="0" w:color="auto"/>
              <w:right w:val="single" w:sz="12" w:space="0" w:color="auto"/>
            </w:tcBorders>
          </w:tcPr>
          <w:p w:rsidR="009A6B10" w:rsidRPr="009A6B10" w:rsidRDefault="009A6B10" w:rsidP="009A6B10">
            <w:pPr>
              <w:jc w:val="center"/>
            </w:pPr>
            <w:r w:rsidRPr="009A6B10">
              <w:t>9</w:t>
            </w:r>
          </w:p>
        </w:tc>
        <w:tc>
          <w:tcPr>
            <w:tcW w:w="548" w:type="pct"/>
            <w:tcBorders>
              <w:left w:val="single" w:sz="12" w:space="0" w:color="auto"/>
              <w:right w:val="single" w:sz="12" w:space="0" w:color="auto"/>
            </w:tcBorders>
          </w:tcPr>
          <w:p w:rsidR="009A6B10" w:rsidRPr="009A6B10" w:rsidRDefault="009A6B10" w:rsidP="009A6B10">
            <w:pPr>
              <w:jc w:val="center"/>
            </w:pPr>
            <w:r w:rsidRPr="009A6B10">
              <w:t>11</w:t>
            </w:r>
          </w:p>
        </w:tc>
        <w:tc>
          <w:tcPr>
            <w:tcW w:w="539" w:type="pct"/>
            <w:tcBorders>
              <w:left w:val="single" w:sz="12" w:space="0" w:color="auto"/>
              <w:right w:val="single" w:sz="12" w:space="0" w:color="auto"/>
            </w:tcBorders>
          </w:tcPr>
          <w:p w:rsidR="009A6B10" w:rsidRPr="009A6B10" w:rsidRDefault="009A6B10" w:rsidP="009A6B10">
            <w:pPr>
              <w:jc w:val="center"/>
            </w:pPr>
            <w:r w:rsidRPr="009A6B10">
              <w:t>15</w:t>
            </w:r>
          </w:p>
        </w:tc>
        <w:tc>
          <w:tcPr>
            <w:tcW w:w="567" w:type="pct"/>
            <w:tcBorders>
              <w:left w:val="single" w:sz="12" w:space="0" w:color="auto"/>
              <w:right w:val="single" w:sz="12" w:space="0" w:color="auto"/>
            </w:tcBorders>
          </w:tcPr>
          <w:p w:rsidR="009A6B10" w:rsidRPr="009A6B10" w:rsidRDefault="009A6B10" w:rsidP="009A6B10">
            <w:pPr>
              <w:jc w:val="center"/>
            </w:pPr>
            <w:r w:rsidRPr="009A6B10">
              <w:t>15</w:t>
            </w:r>
          </w:p>
        </w:tc>
        <w:tc>
          <w:tcPr>
            <w:tcW w:w="566" w:type="pct"/>
            <w:tcBorders>
              <w:left w:val="single" w:sz="12" w:space="0" w:color="auto"/>
              <w:right w:val="single" w:sz="12" w:space="0" w:color="auto"/>
            </w:tcBorders>
          </w:tcPr>
          <w:p w:rsidR="009A6B10" w:rsidRPr="009A6B10" w:rsidRDefault="009A6B10" w:rsidP="009A6B10">
            <w:pPr>
              <w:jc w:val="center"/>
            </w:pPr>
            <w:r w:rsidRPr="009A6B10">
              <w:t>22</w:t>
            </w:r>
          </w:p>
        </w:tc>
      </w:tr>
      <w:tr w:rsidR="009A6B10" w:rsidRPr="009A6B10" w:rsidTr="009A6B10">
        <w:trPr>
          <w:cantSplit/>
          <w:trHeight w:val="214"/>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478</w:t>
            </w:r>
          </w:p>
        </w:tc>
        <w:tc>
          <w:tcPr>
            <w:tcW w:w="547" w:type="pct"/>
            <w:tcBorders>
              <w:left w:val="single" w:sz="12" w:space="0" w:color="auto"/>
              <w:right w:val="single" w:sz="12" w:space="0" w:color="auto"/>
            </w:tcBorders>
          </w:tcPr>
          <w:p w:rsidR="009A6B10" w:rsidRPr="009A6B10" w:rsidRDefault="009A6B10" w:rsidP="009A6B10">
            <w:pPr>
              <w:jc w:val="center"/>
            </w:pPr>
            <w:r w:rsidRPr="009A6B10">
              <w:t>606</w:t>
            </w:r>
          </w:p>
        </w:tc>
        <w:tc>
          <w:tcPr>
            <w:tcW w:w="548" w:type="pct"/>
            <w:tcBorders>
              <w:left w:val="single" w:sz="12" w:space="0" w:color="auto"/>
              <w:right w:val="single" w:sz="12" w:space="0" w:color="auto"/>
            </w:tcBorders>
          </w:tcPr>
          <w:p w:rsidR="009A6B10" w:rsidRPr="009A6B10" w:rsidRDefault="009A6B10" w:rsidP="009A6B10">
            <w:pPr>
              <w:jc w:val="center"/>
            </w:pPr>
            <w:r w:rsidRPr="009A6B10">
              <w:t>583</w:t>
            </w:r>
          </w:p>
        </w:tc>
        <w:tc>
          <w:tcPr>
            <w:tcW w:w="539" w:type="pct"/>
            <w:tcBorders>
              <w:left w:val="single" w:sz="12" w:space="0" w:color="auto"/>
              <w:right w:val="single" w:sz="12" w:space="0" w:color="auto"/>
            </w:tcBorders>
          </w:tcPr>
          <w:p w:rsidR="009A6B10" w:rsidRPr="009A6B10" w:rsidRDefault="009A6B10" w:rsidP="009A6B10">
            <w:pPr>
              <w:jc w:val="center"/>
            </w:pPr>
            <w:r w:rsidRPr="009A6B10">
              <w:t>539</w:t>
            </w:r>
          </w:p>
        </w:tc>
        <w:tc>
          <w:tcPr>
            <w:tcW w:w="567" w:type="pct"/>
            <w:tcBorders>
              <w:left w:val="single" w:sz="12" w:space="0" w:color="auto"/>
              <w:right w:val="single" w:sz="12" w:space="0" w:color="auto"/>
            </w:tcBorders>
          </w:tcPr>
          <w:p w:rsidR="009A6B10" w:rsidRPr="009A6B10" w:rsidRDefault="009A6B10" w:rsidP="009A6B10">
            <w:pPr>
              <w:jc w:val="center"/>
            </w:pPr>
            <w:r w:rsidRPr="009A6B10">
              <w:t>442</w:t>
            </w:r>
          </w:p>
        </w:tc>
        <w:tc>
          <w:tcPr>
            <w:tcW w:w="566" w:type="pct"/>
            <w:tcBorders>
              <w:left w:val="single" w:sz="12" w:space="0" w:color="auto"/>
              <w:right w:val="single" w:sz="12" w:space="0" w:color="auto"/>
            </w:tcBorders>
          </w:tcPr>
          <w:p w:rsidR="009A6B10" w:rsidRPr="009A6B10" w:rsidRDefault="009A6B10" w:rsidP="009A6B10">
            <w:pPr>
              <w:jc w:val="center"/>
            </w:pPr>
            <w:r w:rsidRPr="009A6B10">
              <w:t>518</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Žiaruvzdorné íly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13</w:t>
            </w:r>
          </w:p>
        </w:tc>
        <w:tc>
          <w:tcPr>
            <w:tcW w:w="547" w:type="pct"/>
            <w:tcBorders>
              <w:left w:val="single" w:sz="12" w:space="0" w:color="auto"/>
              <w:right w:val="single" w:sz="12" w:space="0" w:color="auto"/>
            </w:tcBorders>
          </w:tcPr>
          <w:p w:rsidR="009A6B10" w:rsidRPr="009A6B10" w:rsidRDefault="009A6B10" w:rsidP="009A6B10">
            <w:pPr>
              <w:jc w:val="center"/>
            </w:pPr>
            <w:r w:rsidRPr="009A6B10">
              <w:t>8</w:t>
            </w:r>
          </w:p>
        </w:tc>
        <w:tc>
          <w:tcPr>
            <w:tcW w:w="548" w:type="pct"/>
            <w:tcBorders>
              <w:left w:val="single" w:sz="12" w:space="0" w:color="auto"/>
              <w:right w:val="single" w:sz="12" w:space="0" w:color="auto"/>
            </w:tcBorders>
          </w:tcPr>
          <w:p w:rsidR="009A6B10" w:rsidRPr="009A6B10" w:rsidRDefault="009A6B10" w:rsidP="009A6B10">
            <w:pPr>
              <w:jc w:val="center"/>
            </w:pPr>
            <w:r w:rsidRPr="009A6B10">
              <w:t>31</w:t>
            </w:r>
          </w:p>
        </w:tc>
        <w:tc>
          <w:tcPr>
            <w:tcW w:w="539" w:type="pct"/>
            <w:tcBorders>
              <w:left w:val="single" w:sz="12" w:space="0" w:color="auto"/>
              <w:right w:val="single" w:sz="12" w:space="0" w:color="auto"/>
            </w:tcBorders>
          </w:tcPr>
          <w:p w:rsidR="009A6B10" w:rsidRPr="009A6B10" w:rsidRDefault="009A6B10" w:rsidP="009A6B10">
            <w:pPr>
              <w:jc w:val="center"/>
            </w:pPr>
            <w:r w:rsidRPr="009A6B10">
              <w:t>3</w:t>
            </w:r>
          </w:p>
        </w:tc>
        <w:tc>
          <w:tcPr>
            <w:tcW w:w="567" w:type="pct"/>
            <w:tcBorders>
              <w:left w:val="single" w:sz="12" w:space="0" w:color="auto"/>
              <w:right w:val="single" w:sz="12" w:space="0" w:color="auto"/>
            </w:tcBorders>
          </w:tcPr>
          <w:p w:rsidR="009A6B10" w:rsidRPr="009A6B10" w:rsidRDefault="009A6B10" w:rsidP="009A6B10">
            <w:pPr>
              <w:jc w:val="center"/>
            </w:pPr>
            <w:r w:rsidRPr="009A6B10">
              <w:t>7</w:t>
            </w:r>
          </w:p>
        </w:tc>
        <w:tc>
          <w:tcPr>
            <w:tcW w:w="566" w:type="pct"/>
            <w:tcBorders>
              <w:left w:val="single" w:sz="12" w:space="0" w:color="auto"/>
              <w:right w:val="single" w:sz="12" w:space="0" w:color="auto"/>
            </w:tcBorders>
          </w:tcPr>
          <w:p w:rsidR="009A6B10" w:rsidRPr="009A6B10" w:rsidRDefault="009A6B10" w:rsidP="009A6B10">
            <w:pPr>
              <w:jc w:val="center"/>
            </w:pPr>
            <w:r w:rsidRPr="009A6B10">
              <w:t>1</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N</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0</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Stavebný kameň</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43,6</w:t>
            </w:r>
          </w:p>
        </w:tc>
        <w:tc>
          <w:tcPr>
            <w:tcW w:w="547" w:type="pct"/>
            <w:tcBorders>
              <w:left w:val="single" w:sz="12" w:space="0" w:color="auto"/>
              <w:right w:val="single" w:sz="12" w:space="0" w:color="auto"/>
            </w:tcBorders>
          </w:tcPr>
          <w:p w:rsidR="009A6B10" w:rsidRPr="009A6B10" w:rsidRDefault="009A6B10" w:rsidP="009A6B10">
            <w:pPr>
              <w:jc w:val="center"/>
            </w:pPr>
            <w:r w:rsidRPr="009A6B10">
              <w:t>39,2</w:t>
            </w:r>
          </w:p>
        </w:tc>
        <w:tc>
          <w:tcPr>
            <w:tcW w:w="548" w:type="pct"/>
            <w:tcBorders>
              <w:left w:val="single" w:sz="12" w:space="0" w:color="auto"/>
              <w:right w:val="single" w:sz="12" w:space="0" w:color="auto"/>
            </w:tcBorders>
          </w:tcPr>
          <w:p w:rsidR="009A6B10" w:rsidRPr="009A6B10" w:rsidRDefault="009A6B10" w:rsidP="009A6B10">
            <w:pPr>
              <w:jc w:val="center"/>
            </w:pPr>
            <w:r w:rsidRPr="009A6B10">
              <w:t>21,6</w:t>
            </w:r>
          </w:p>
        </w:tc>
        <w:tc>
          <w:tcPr>
            <w:tcW w:w="539" w:type="pct"/>
            <w:tcBorders>
              <w:left w:val="single" w:sz="12" w:space="0" w:color="auto"/>
              <w:right w:val="single" w:sz="12" w:space="0" w:color="auto"/>
            </w:tcBorders>
          </w:tcPr>
          <w:p w:rsidR="009A6B10" w:rsidRPr="009A6B10" w:rsidRDefault="009A6B10" w:rsidP="009A6B10">
            <w:pPr>
              <w:jc w:val="center"/>
            </w:pPr>
            <w:r w:rsidRPr="009A6B10">
              <w:t>55,8</w:t>
            </w:r>
          </w:p>
        </w:tc>
        <w:tc>
          <w:tcPr>
            <w:tcW w:w="567" w:type="pct"/>
            <w:tcBorders>
              <w:left w:val="single" w:sz="12" w:space="0" w:color="auto"/>
              <w:right w:val="single" w:sz="12" w:space="0" w:color="auto"/>
            </w:tcBorders>
          </w:tcPr>
          <w:p w:rsidR="009A6B10" w:rsidRPr="009A6B10" w:rsidRDefault="009A6B10" w:rsidP="009A6B10">
            <w:pPr>
              <w:jc w:val="center"/>
            </w:pPr>
            <w:r w:rsidRPr="009A6B10">
              <w:t>20,3</w:t>
            </w:r>
          </w:p>
        </w:tc>
        <w:tc>
          <w:tcPr>
            <w:tcW w:w="566" w:type="pct"/>
            <w:tcBorders>
              <w:left w:val="single" w:sz="12" w:space="0" w:color="auto"/>
              <w:right w:val="single" w:sz="12" w:space="0" w:color="auto"/>
            </w:tcBorders>
          </w:tcPr>
          <w:p w:rsidR="009A6B10" w:rsidRPr="009A6B10" w:rsidRDefault="009A6B10" w:rsidP="009A6B10">
            <w:pPr>
              <w:jc w:val="center"/>
            </w:pPr>
            <w:r w:rsidRPr="009A6B10">
              <w:t>26</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12,7</w:t>
            </w:r>
          </w:p>
        </w:tc>
        <w:tc>
          <w:tcPr>
            <w:tcW w:w="547" w:type="pct"/>
            <w:tcBorders>
              <w:left w:val="single" w:sz="12" w:space="0" w:color="auto"/>
              <w:right w:val="single" w:sz="12" w:space="0" w:color="auto"/>
            </w:tcBorders>
          </w:tcPr>
          <w:p w:rsidR="009A6B10" w:rsidRPr="009A6B10" w:rsidRDefault="009A6B10" w:rsidP="009A6B10">
            <w:pPr>
              <w:jc w:val="center"/>
            </w:pPr>
            <w:r w:rsidRPr="009A6B10">
              <w:t>N</w:t>
            </w:r>
          </w:p>
        </w:tc>
        <w:tc>
          <w:tcPr>
            <w:tcW w:w="548" w:type="pct"/>
            <w:tcBorders>
              <w:left w:val="single" w:sz="12" w:space="0" w:color="auto"/>
              <w:right w:val="single" w:sz="12" w:space="0" w:color="auto"/>
            </w:tcBorders>
          </w:tcPr>
          <w:p w:rsidR="009A6B10" w:rsidRPr="009A6B10" w:rsidRDefault="009A6B10" w:rsidP="009A6B10">
            <w:pPr>
              <w:jc w:val="center"/>
            </w:pPr>
            <w:r w:rsidRPr="009A6B10">
              <w:t>N</w:t>
            </w:r>
          </w:p>
        </w:tc>
        <w:tc>
          <w:tcPr>
            <w:tcW w:w="539" w:type="pct"/>
            <w:tcBorders>
              <w:left w:val="single" w:sz="12" w:space="0" w:color="auto"/>
              <w:right w:val="single" w:sz="12" w:space="0" w:color="auto"/>
            </w:tcBorders>
          </w:tcPr>
          <w:p w:rsidR="009A6B10" w:rsidRPr="009A6B10" w:rsidRDefault="009A6B10" w:rsidP="009A6B10">
            <w:pPr>
              <w:jc w:val="center"/>
            </w:pPr>
            <w:r w:rsidRPr="009A6B10">
              <w:t>N</w:t>
            </w:r>
          </w:p>
        </w:tc>
        <w:tc>
          <w:tcPr>
            <w:tcW w:w="567" w:type="pct"/>
            <w:tcBorders>
              <w:left w:val="single" w:sz="12" w:space="0" w:color="auto"/>
              <w:right w:val="single" w:sz="12" w:space="0" w:color="auto"/>
            </w:tcBorders>
          </w:tcPr>
          <w:p w:rsidR="009A6B10" w:rsidRPr="009A6B10" w:rsidRDefault="009A6B10" w:rsidP="009A6B10">
            <w:pPr>
              <w:jc w:val="center"/>
            </w:pPr>
            <w:r w:rsidRPr="009A6B10">
              <w:t>362,8</w:t>
            </w:r>
          </w:p>
        </w:tc>
        <w:tc>
          <w:tcPr>
            <w:tcW w:w="566" w:type="pct"/>
            <w:tcBorders>
              <w:left w:val="single" w:sz="12" w:space="0" w:color="auto"/>
              <w:right w:val="single" w:sz="12" w:space="0" w:color="auto"/>
            </w:tcBorders>
          </w:tcPr>
          <w:p w:rsidR="009A6B10" w:rsidRPr="009A6B10" w:rsidRDefault="009A6B10" w:rsidP="009A6B10">
            <w:pPr>
              <w:jc w:val="center"/>
            </w:pPr>
            <w:r w:rsidRPr="009A6B10">
              <w:t>182</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Štrkopiesky,</w:t>
            </w:r>
          </w:p>
          <w:p w:rsidR="009A6B10" w:rsidRPr="009A6B10" w:rsidRDefault="009A6B10" w:rsidP="009A6B10">
            <w:pPr>
              <w:jc w:val="center"/>
              <w:rPr>
                <w:b/>
                <w:bCs/>
              </w:rPr>
            </w:pPr>
            <w:r w:rsidRPr="009A6B10">
              <w:rPr>
                <w:b/>
                <w:bCs/>
              </w:rPr>
              <w:t>piesky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401</w:t>
            </w:r>
          </w:p>
        </w:tc>
        <w:tc>
          <w:tcPr>
            <w:tcW w:w="547" w:type="pct"/>
            <w:tcBorders>
              <w:left w:val="single" w:sz="12" w:space="0" w:color="auto"/>
              <w:right w:val="single" w:sz="12" w:space="0" w:color="auto"/>
            </w:tcBorders>
          </w:tcPr>
          <w:p w:rsidR="009A6B10" w:rsidRPr="009A6B10" w:rsidRDefault="009A6B10" w:rsidP="009A6B10">
            <w:pPr>
              <w:jc w:val="center"/>
            </w:pPr>
            <w:r w:rsidRPr="009A6B10">
              <w:t>626</w:t>
            </w:r>
          </w:p>
        </w:tc>
        <w:tc>
          <w:tcPr>
            <w:tcW w:w="548" w:type="pct"/>
            <w:tcBorders>
              <w:left w:val="single" w:sz="12" w:space="0" w:color="auto"/>
              <w:right w:val="single" w:sz="12" w:space="0" w:color="auto"/>
            </w:tcBorders>
          </w:tcPr>
          <w:p w:rsidR="009A6B10" w:rsidRPr="009A6B10" w:rsidRDefault="009A6B10" w:rsidP="009A6B10">
            <w:pPr>
              <w:jc w:val="center"/>
            </w:pPr>
            <w:r w:rsidRPr="009A6B10">
              <w:t>602</w:t>
            </w:r>
          </w:p>
        </w:tc>
        <w:tc>
          <w:tcPr>
            <w:tcW w:w="539" w:type="pct"/>
            <w:tcBorders>
              <w:left w:val="single" w:sz="12" w:space="0" w:color="auto"/>
              <w:right w:val="single" w:sz="12" w:space="0" w:color="auto"/>
            </w:tcBorders>
          </w:tcPr>
          <w:p w:rsidR="009A6B10" w:rsidRPr="009A6B10" w:rsidRDefault="009A6B10" w:rsidP="009A6B10">
            <w:pPr>
              <w:jc w:val="center"/>
            </w:pPr>
            <w:r w:rsidRPr="009A6B10">
              <w:t>693</w:t>
            </w:r>
          </w:p>
        </w:tc>
        <w:tc>
          <w:tcPr>
            <w:tcW w:w="567" w:type="pct"/>
            <w:tcBorders>
              <w:left w:val="single" w:sz="12" w:space="0" w:color="auto"/>
              <w:right w:val="single" w:sz="12" w:space="0" w:color="auto"/>
            </w:tcBorders>
          </w:tcPr>
          <w:p w:rsidR="009A6B10" w:rsidRPr="009A6B10" w:rsidRDefault="009A6B10" w:rsidP="009A6B10">
            <w:pPr>
              <w:jc w:val="center"/>
            </w:pPr>
            <w:r w:rsidRPr="009A6B10">
              <w:t>659</w:t>
            </w:r>
          </w:p>
        </w:tc>
        <w:tc>
          <w:tcPr>
            <w:tcW w:w="566" w:type="pct"/>
            <w:tcBorders>
              <w:left w:val="single" w:sz="12" w:space="0" w:color="auto"/>
              <w:right w:val="single" w:sz="12" w:space="0" w:color="auto"/>
            </w:tcBorders>
          </w:tcPr>
          <w:p w:rsidR="009A6B10" w:rsidRPr="009A6B10" w:rsidRDefault="009A6B10" w:rsidP="009A6B10">
            <w:pPr>
              <w:jc w:val="center"/>
            </w:pPr>
            <w:r w:rsidRPr="009A6B10">
              <w:t>626</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w:t>
            </w:r>
          </w:p>
        </w:tc>
        <w:tc>
          <w:tcPr>
            <w:tcW w:w="547" w:type="pct"/>
            <w:tcBorders>
              <w:left w:val="single" w:sz="12" w:space="0" w:color="auto"/>
              <w:right w:val="single" w:sz="12" w:space="0" w:color="auto"/>
            </w:tcBorders>
          </w:tcPr>
          <w:p w:rsidR="009A6B10" w:rsidRPr="009A6B10" w:rsidRDefault="009A6B10" w:rsidP="009A6B10">
            <w:pPr>
              <w:jc w:val="center"/>
            </w:pPr>
            <w:r w:rsidRPr="009A6B10">
              <w:t>6</w:t>
            </w:r>
          </w:p>
        </w:tc>
        <w:tc>
          <w:tcPr>
            <w:tcW w:w="548" w:type="pct"/>
            <w:tcBorders>
              <w:left w:val="single" w:sz="12" w:space="0" w:color="auto"/>
              <w:right w:val="single" w:sz="12" w:space="0" w:color="auto"/>
            </w:tcBorders>
          </w:tcPr>
          <w:p w:rsidR="009A6B10" w:rsidRPr="009A6B10" w:rsidRDefault="009A6B10" w:rsidP="009A6B10">
            <w:pPr>
              <w:jc w:val="center"/>
            </w:pPr>
            <w:r w:rsidRPr="009A6B10">
              <w:t>22</w:t>
            </w:r>
          </w:p>
        </w:tc>
        <w:tc>
          <w:tcPr>
            <w:tcW w:w="539" w:type="pct"/>
            <w:tcBorders>
              <w:left w:val="single" w:sz="12" w:space="0" w:color="auto"/>
              <w:right w:val="single" w:sz="12" w:space="0" w:color="auto"/>
            </w:tcBorders>
          </w:tcPr>
          <w:p w:rsidR="009A6B10" w:rsidRPr="009A6B10" w:rsidRDefault="009A6B10" w:rsidP="009A6B10">
            <w:pPr>
              <w:jc w:val="center"/>
            </w:pPr>
            <w:r w:rsidRPr="009A6B10">
              <w:t>44</w:t>
            </w:r>
          </w:p>
        </w:tc>
        <w:tc>
          <w:tcPr>
            <w:tcW w:w="567" w:type="pct"/>
            <w:tcBorders>
              <w:left w:val="single" w:sz="12" w:space="0" w:color="auto"/>
              <w:right w:val="single" w:sz="12" w:space="0" w:color="auto"/>
            </w:tcBorders>
          </w:tcPr>
          <w:p w:rsidR="009A6B10" w:rsidRPr="009A6B10" w:rsidRDefault="009A6B10" w:rsidP="009A6B10">
            <w:pPr>
              <w:jc w:val="center"/>
            </w:pPr>
            <w:r w:rsidRPr="009A6B10">
              <w:t>47</w:t>
            </w:r>
          </w:p>
        </w:tc>
        <w:tc>
          <w:tcPr>
            <w:tcW w:w="566" w:type="pct"/>
            <w:tcBorders>
              <w:left w:val="single" w:sz="12" w:space="0" w:color="auto"/>
              <w:right w:val="single" w:sz="12" w:space="0" w:color="auto"/>
            </w:tcBorders>
          </w:tcPr>
          <w:p w:rsidR="009A6B10" w:rsidRPr="009A6B10" w:rsidRDefault="009A6B10" w:rsidP="009A6B10">
            <w:pPr>
              <w:jc w:val="center"/>
            </w:pPr>
            <w:r w:rsidRPr="009A6B10">
              <w:t>112</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C94238">
            <w:pPr>
              <w:keepNext/>
              <w:jc w:val="center"/>
              <w:outlineLvl w:val="0"/>
              <w:rPr>
                <w:rFonts w:eastAsia="Arial Unicode MS"/>
                <w:b/>
                <w:bCs/>
              </w:rPr>
            </w:pPr>
            <w:r w:rsidRPr="009A6B10">
              <w:rPr>
                <w:rFonts w:eastAsia="Arial Unicode MS"/>
                <w:b/>
                <w:bCs/>
              </w:rPr>
              <w:t xml:space="preserve">Živec, </w:t>
            </w:r>
            <w:proofErr w:type="spellStart"/>
            <w:r w:rsidRPr="009A6B10">
              <w:rPr>
                <w:rFonts w:eastAsia="Arial Unicode MS"/>
                <w:b/>
                <w:bCs/>
              </w:rPr>
              <w:t>nefelín</w:t>
            </w:r>
            <w:proofErr w:type="spellEnd"/>
            <w:r w:rsidRPr="009A6B10">
              <w:rPr>
                <w:rFonts w:eastAsia="Arial Unicode MS"/>
                <w:b/>
                <w:bCs/>
              </w:rPr>
              <w:t xml:space="preserve"> a </w:t>
            </w:r>
            <w:proofErr w:type="spellStart"/>
            <w:r w:rsidRPr="009A6B10">
              <w:rPr>
                <w:rFonts w:eastAsia="Arial Unicode MS"/>
                <w:b/>
                <w:bCs/>
              </w:rPr>
              <w:t>nefelinický</w:t>
            </w:r>
            <w:proofErr w:type="spellEnd"/>
            <w:r w:rsidRPr="009A6B10">
              <w:rPr>
                <w:rFonts w:eastAsia="Arial Unicode MS"/>
                <w:b/>
                <w:bCs/>
              </w:rPr>
              <w:t xml:space="preserve"> syenit</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37</w:t>
            </w:r>
          </w:p>
        </w:tc>
        <w:tc>
          <w:tcPr>
            <w:tcW w:w="547" w:type="pct"/>
            <w:tcBorders>
              <w:left w:val="single" w:sz="12" w:space="0" w:color="auto"/>
              <w:right w:val="single" w:sz="12" w:space="0" w:color="auto"/>
            </w:tcBorders>
          </w:tcPr>
          <w:p w:rsidR="009A6B10" w:rsidRPr="009A6B10" w:rsidRDefault="009A6B10" w:rsidP="009A6B10">
            <w:pPr>
              <w:jc w:val="center"/>
            </w:pPr>
            <w:r w:rsidRPr="009A6B10">
              <w:t>31</w:t>
            </w:r>
          </w:p>
        </w:tc>
        <w:tc>
          <w:tcPr>
            <w:tcW w:w="548" w:type="pct"/>
            <w:tcBorders>
              <w:left w:val="single" w:sz="12" w:space="0" w:color="auto"/>
              <w:right w:val="single" w:sz="12" w:space="0" w:color="auto"/>
            </w:tcBorders>
          </w:tcPr>
          <w:p w:rsidR="009A6B10" w:rsidRPr="009A6B10" w:rsidRDefault="009A6B10" w:rsidP="009A6B10">
            <w:pPr>
              <w:jc w:val="center"/>
            </w:pPr>
            <w:r w:rsidRPr="009A6B10">
              <w:t>28</w:t>
            </w:r>
          </w:p>
        </w:tc>
        <w:tc>
          <w:tcPr>
            <w:tcW w:w="539" w:type="pct"/>
            <w:tcBorders>
              <w:left w:val="single" w:sz="12" w:space="0" w:color="auto"/>
              <w:right w:val="single" w:sz="12" w:space="0" w:color="auto"/>
            </w:tcBorders>
          </w:tcPr>
          <w:p w:rsidR="009A6B10" w:rsidRPr="009A6B10" w:rsidRDefault="009A6B10" w:rsidP="009A6B10">
            <w:pPr>
              <w:jc w:val="center"/>
            </w:pPr>
            <w:r w:rsidRPr="009A6B10">
              <w:t>25</w:t>
            </w:r>
          </w:p>
        </w:tc>
        <w:tc>
          <w:tcPr>
            <w:tcW w:w="567" w:type="pct"/>
            <w:tcBorders>
              <w:left w:val="single" w:sz="12" w:space="0" w:color="auto"/>
              <w:right w:val="single" w:sz="12" w:space="0" w:color="auto"/>
            </w:tcBorders>
          </w:tcPr>
          <w:p w:rsidR="009A6B10" w:rsidRPr="009A6B10" w:rsidRDefault="009A6B10" w:rsidP="009A6B10">
            <w:pPr>
              <w:jc w:val="center"/>
            </w:pPr>
            <w:r w:rsidRPr="009A6B10">
              <w:t>16</w:t>
            </w:r>
          </w:p>
        </w:tc>
        <w:tc>
          <w:tcPr>
            <w:tcW w:w="566" w:type="pct"/>
            <w:tcBorders>
              <w:left w:val="single" w:sz="12" w:space="0" w:color="auto"/>
              <w:right w:val="single" w:sz="12" w:space="0" w:color="auto"/>
            </w:tcBorders>
          </w:tcPr>
          <w:p w:rsidR="009A6B10" w:rsidRPr="009A6B10" w:rsidRDefault="009A6B10" w:rsidP="009A6B10">
            <w:pPr>
              <w:jc w:val="center"/>
            </w:pPr>
            <w:r w:rsidRPr="009A6B10">
              <w:t>6</w:t>
            </w:r>
          </w:p>
        </w:tc>
      </w:tr>
      <w:tr w:rsidR="009A6B10" w:rsidRPr="009A6B10" w:rsidTr="009A6B10">
        <w:trPr>
          <w:cantSplit/>
        </w:trPr>
        <w:tc>
          <w:tcPr>
            <w:tcW w:w="1022" w:type="pct"/>
            <w:vMerge/>
            <w:tcBorders>
              <w:left w:val="single" w:sz="12" w:space="0" w:color="auto"/>
            </w:tcBorders>
            <w:vAlign w:val="center"/>
          </w:tcPr>
          <w:p w:rsidR="009A6B10" w:rsidRPr="009A6B10" w:rsidRDefault="009A6B10" w:rsidP="009A6B10">
            <w:pPr>
              <w:jc w:val="center"/>
            </w:pPr>
          </w:p>
        </w:tc>
        <w:tc>
          <w:tcPr>
            <w:tcW w:w="379" w:type="pct"/>
            <w:tcBorders>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right w:val="single" w:sz="12" w:space="0" w:color="auto"/>
            </w:tcBorders>
          </w:tcPr>
          <w:p w:rsidR="009A6B10" w:rsidRPr="009A6B10" w:rsidRDefault="009A6B10" w:rsidP="009A6B10">
            <w:pPr>
              <w:jc w:val="center"/>
              <w:rPr>
                <w:b/>
                <w:bCs/>
              </w:rPr>
            </w:pPr>
            <w:r w:rsidRPr="009A6B10">
              <w:rPr>
                <w:b/>
                <w:bCs/>
              </w:rPr>
              <w:t>t</w:t>
            </w:r>
          </w:p>
        </w:tc>
        <w:tc>
          <w:tcPr>
            <w:tcW w:w="521" w:type="pct"/>
            <w:tcBorders>
              <w:left w:val="single" w:sz="12" w:space="0" w:color="auto"/>
              <w:right w:val="single" w:sz="12" w:space="0" w:color="auto"/>
            </w:tcBorders>
          </w:tcPr>
          <w:p w:rsidR="009A6B10" w:rsidRPr="009A6B10" w:rsidRDefault="009A6B10" w:rsidP="009A6B10">
            <w:pPr>
              <w:jc w:val="center"/>
            </w:pPr>
            <w:r w:rsidRPr="009A6B10">
              <w:t>-</w:t>
            </w:r>
          </w:p>
        </w:tc>
        <w:tc>
          <w:tcPr>
            <w:tcW w:w="547" w:type="pct"/>
            <w:tcBorders>
              <w:left w:val="single" w:sz="12" w:space="0" w:color="auto"/>
              <w:right w:val="single" w:sz="12" w:space="0" w:color="auto"/>
            </w:tcBorders>
          </w:tcPr>
          <w:p w:rsidR="009A6B10" w:rsidRPr="009A6B10" w:rsidRDefault="009A6B10" w:rsidP="009A6B10">
            <w:pPr>
              <w:jc w:val="center"/>
            </w:pPr>
            <w:r w:rsidRPr="009A6B10">
              <w:t>-</w:t>
            </w:r>
          </w:p>
        </w:tc>
        <w:tc>
          <w:tcPr>
            <w:tcW w:w="548" w:type="pct"/>
            <w:tcBorders>
              <w:left w:val="single" w:sz="12" w:space="0" w:color="auto"/>
              <w:right w:val="single" w:sz="12" w:space="0" w:color="auto"/>
            </w:tcBorders>
          </w:tcPr>
          <w:p w:rsidR="009A6B10" w:rsidRPr="009A6B10" w:rsidRDefault="009A6B10" w:rsidP="009A6B10">
            <w:pPr>
              <w:jc w:val="center"/>
            </w:pPr>
            <w:r w:rsidRPr="009A6B10">
              <w:t>-</w:t>
            </w:r>
          </w:p>
        </w:tc>
        <w:tc>
          <w:tcPr>
            <w:tcW w:w="539" w:type="pct"/>
            <w:tcBorders>
              <w:left w:val="single" w:sz="12" w:space="0" w:color="auto"/>
              <w:right w:val="single" w:sz="12" w:space="0" w:color="auto"/>
            </w:tcBorders>
          </w:tcPr>
          <w:p w:rsidR="009A6B10" w:rsidRPr="009A6B10" w:rsidRDefault="009A6B10" w:rsidP="009A6B10">
            <w:pPr>
              <w:jc w:val="center"/>
            </w:pPr>
            <w:r w:rsidRPr="009A6B10">
              <w:t>-</w:t>
            </w:r>
          </w:p>
        </w:tc>
        <w:tc>
          <w:tcPr>
            <w:tcW w:w="567" w:type="pct"/>
            <w:tcBorders>
              <w:left w:val="single" w:sz="12" w:space="0" w:color="auto"/>
              <w:right w:val="single" w:sz="12" w:space="0" w:color="auto"/>
            </w:tcBorders>
          </w:tcPr>
          <w:p w:rsidR="009A6B10" w:rsidRPr="009A6B10" w:rsidRDefault="009A6B10" w:rsidP="009A6B10">
            <w:pPr>
              <w:jc w:val="center"/>
            </w:pPr>
            <w:r w:rsidRPr="009A6B10">
              <w:t>-</w:t>
            </w:r>
          </w:p>
        </w:tc>
        <w:tc>
          <w:tcPr>
            <w:tcW w:w="566" w:type="pct"/>
            <w:tcBorders>
              <w:left w:val="single" w:sz="12" w:space="0" w:color="auto"/>
              <w:right w:val="single" w:sz="12" w:space="0" w:color="auto"/>
            </w:tcBorders>
          </w:tcPr>
          <w:p w:rsidR="009A6B10" w:rsidRPr="009A6B10" w:rsidRDefault="009A6B10" w:rsidP="009A6B10">
            <w:pPr>
              <w:jc w:val="center"/>
            </w:pPr>
            <w:r w:rsidRPr="009A6B10">
              <w:t>0</w:t>
            </w:r>
          </w:p>
        </w:tc>
      </w:tr>
      <w:tr w:rsidR="009A6B10" w:rsidRPr="009A6B10" w:rsidTr="009A6B10">
        <w:trPr>
          <w:cantSplit/>
        </w:trPr>
        <w:tc>
          <w:tcPr>
            <w:tcW w:w="1022" w:type="pct"/>
            <w:vMerge w:val="restart"/>
            <w:tcBorders>
              <w:left w:val="single" w:sz="12" w:space="0" w:color="auto"/>
            </w:tcBorders>
            <w:vAlign w:val="center"/>
          </w:tcPr>
          <w:p w:rsidR="009A6B10" w:rsidRPr="009A6B10" w:rsidRDefault="009A6B10" w:rsidP="009A6B10">
            <w:pPr>
              <w:jc w:val="center"/>
              <w:rPr>
                <w:b/>
                <w:bCs/>
              </w:rPr>
            </w:pPr>
            <w:r w:rsidRPr="009A6B10">
              <w:rPr>
                <w:b/>
                <w:bCs/>
              </w:rPr>
              <w:t>Kremenné piesky</w:t>
            </w:r>
          </w:p>
        </w:tc>
        <w:tc>
          <w:tcPr>
            <w:tcW w:w="379" w:type="pct"/>
            <w:tcBorders>
              <w:right w:val="single" w:sz="12" w:space="0" w:color="auto"/>
            </w:tcBorders>
          </w:tcPr>
          <w:p w:rsidR="009A6B10" w:rsidRPr="009A6B10" w:rsidRDefault="009A6B10" w:rsidP="009A6B10">
            <w:pPr>
              <w:jc w:val="center"/>
              <w:rPr>
                <w:b/>
                <w:bCs/>
              </w:rPr>
            </w:pPr>
            <w:r w:rsidRPr="009A6B10">
              <w:rPr>
                <w:b/>
                <w:bCs/>
              </w:rPr>
              <w:t>dovoz</w:t>
            </w:r>
          </w:p>
        </w:tc>
        <w:tc>
          <w:tcPr>
            <w:tcW w:w="311" w:type="pct"/>
            <w:tcBorders>
              <w:left w:val="single" w:sz="12" w:space="0" w:color="auto"/>
              <w:right w:val="single" w:sz="12" w:space="0" w:color="auto"/>
            </w:tcBorders>
          </w:tcPr>
          <w:p w:rsidR="009A6B10" w:rsidRPr="009A6B10" w:rsidRDefault="009A6B10" w:rsidP="009A6B10">
            <w:pPr>
              <w:jc w:val="center"/>
              <w:rPr>
                <w:b/>
                <w:bCs/>
              </w:rPr>
            </w:pPr>
            <w:proofErr w:type="spellStart"/>
            <w:r w:rsidRPr="009A6B10">
              <w:rPr>
                <w:b/>
                <w:bCs/>
              </w:rPr>
              <w:t>kt</w:t>
            </w:r>
            <w:proofErr w:type="spellEnd"/>
          </w:p>
        </w:tc>
        <w:tc>
          <w:tcPr>
            <w:tcW w:w="521" w:type="pct"/>
            <w:tcBorders>
              <w:left w:val="single" w:sz="12" w:space="0" w:color="auto"/>
              <w:right w:val="single" w:sz="12" w:space="0" w:color="auto"/>
            </w:tcBorders>
          </w:tcPr>
          <w:p w:rsidR="009A6B10" w:rsidRPr="009A6B10" w:rsidRDefault="009A6B10" w:rsidP="009A6B10">
            <w:pPr>
              <w:jc w:val="center"/>
            </w:pPr>
            <w:r w:rsidRPr="009A6B10">
              <w:t>155</w:t>
            </w:r>
          </w:p>
        </w:tc>
        <w:tc>
          <w:tcPr>
            <w:tcW w:w="547" w:type="pct"/>
            <w:tcBorders>
              <w:left w:val="single" w:sz="12" w:space="0" w:color="auto"/>
              <w:right w:val="single" w:sz="12" w:space="0" w:color="auto"/>
            </w:tcBorders>
          </w:tcPr>
          <w:p w:rsidR="009A6B10" w:rsidRPr="009A6B10" w:rsidRDefault="009A6B10" w:rsidP="009A6B10">
            <w:pPr>
              <w:jc w:val="center"/>
            </w:pPr>
            <w:r w:rsidRPr="009A6B10">
              <w:t>230</w:t>
            </w:r>
          </w:p>
        </w:tc>
        <w:tc>
          <w:tcPr>
            <w:tcW w:w="548" w:type="pct"/>
            <w:tcBorders>
              <w:left w:val="single" w:sz="12" w:space="0" w:color="auto"/>
              <w:right w:val="single" w:sz="12" w:space="0" w:color="auto"/>
            </w:tcBorders>
          </w:tcPr>
          <w:p w:rsidR="009A6B10" w:rsidRPr="009A6B10" w:rsidRDefault="009A6B10" w:rsidP="009A6B10">
            <w:pPr>
              <w:jc w:val="center"/>
            </w:pPr>
            <w:r w:rsidRPr="009A6B10">
              <w:t>289</w:t>
            </w:r>
          </w:p>
        </w:tc>
        <w:tc>
          <w:tcPr>
            <w:tcW w:w="539" w:type="pct"/>
            <w:tcBorders>
              <w:left w:val="single" w:sz="12" w:space="0" w:color="auto"/>
              <w:right w:val="single" w:sz="12" w:space="0" w:color="auto"/>
            </w:tcBorders>
          </w:tcPr>
          <w:p w:rsidR="009A6B10" w:rsidRPr="009A6B10" w:rsidRDefault="009A6B10" w:rsidP="009A6B10">
            <w:pPr>
              <w:jc w:val="center"/>
            </w:pPr>
            <w:r w:rsidRPr="009A6B10">
              <w:t>142</w:t>
            </w:r>
          </w:p>
        </w:tc>
        <w:tc>
          <w:tcPr>
            <w:tcW w:w="567" w:type="pct"/>
            <w:tcBorders>
              <w:left w:val="single" w:sz="12" w:space="0" w:color="auto"/>
              <w:right w:val="single" w:sz="12" w:space="0" w:color="auto"/>
            </w:tcBorders>
          </w:tcPr>
          <w:p w:rsidR="009A6B10" w:rsidRPr="009A6B10" w:rsidRDefault="009A6B10" w:rsidP="009A6B10">
            <w:pPr>
              <w:jc w:val="center"/>
            </w:pPr>
            <w:r w:rsidRPr="009A6B10">
              <w:t>104</w:t>
            </w:r>
          </w:p>
        </w:tc>
        <w:tc>
          <w:tcPr>
            <w:tcW w:w="566" w:type="pct"/>
            <w:tcBorders>
              <w:left w:val="single" w:sz="12" w:space="0" w:color="auto"/>
              <w:right w:val="single" w:sz="12" w:space="0" w:color="auto"/>
            </w:tcBorders>
          </w:tcPr>
          <w:p w:rsidR="009A6B10" w:rsidRPr="009A6B10" w:rsidRDefault="009A6B10" w:rsidP="009A6B10">
            <w:pPr>
              <w:jc w:val="center"/>
            </w:pPr>
            <w:r w:rsidRPr="009A6B10">
              <w:t>109</w:t>
            </w:r>
          </w:p>
        </w:tc>
      </w:tr>
      <w:tr w:rsidR="009A6B10" w:rsidRPr="009A6B10" w:rsidTr="009A6B10">
        <w:trPr>
          <w:cantSplit/>
        </w:trPr>
        <w:tc>
          <w:tcPr>
            <w:tcW w:w="1022" w:type="pct"/>
            <w:vMerge/>
            <w:tcBorders>
              <w:left w:val="single" w:sz="12" w:space="0" w:color="auto"/>
              <w:bottom w:val="single" w:sz="12" w:space="0" w:color="auto"/>
            </w:tcBorders>
          </w:tcPr>
          <w:p w:rsidR="009A6B10" w:rsidRPr="009A6B10" w:rsidRDefault="009A6B10" w:rsidP="009A6B10">
            <w:pPr>
              <w:jc w:val="center"/>
            </w:pPr>
          </w:p>
        </w:tc>
        <w:tc>
          <w:tcPr>
            <w:tcW w:w="379" w:type="pct"/>
            <w:tcBorders>
              <w:bottom w:val="single" w:sz="12" w:space="0" w:color="auto"/>
              <w:right w:val="single" w:sz="12" w:space="0" w:color="auto"/>
            </w:tcBorders>
          </w:tcPr>
          <w:p w:rsidR="009A6B10" w:rsidRPr="009A6B10" w:rsidRDefault="009A6B10" w:rsidP="009A6B10">
            <w:pPr>
              <w:jc w:val="center"/>
              <w:rPr>
                <w:b/>
                <w:bCs/>
              </w:rPr>
            </w:pPr>
            <w:r w:rsidRPr="009A6B10">
              <w:rPr>
                <w:b/>
                <w:bCs/>
              </w:rPr>
              <w:t>vývoz</w:t>
            </w:r>
          </w:p>
        </w:tc>
        <w:tc>
          <w:tcPr>
            <w:tcW w:w="311" w:type="pct"/>
            <w:tcBorders>
              <w:left w:val="single" w:sz="12" w:space="0" w:color="auto"/>
              <w:bottom w:val="single" w:sz="12" w:space="0" w:color="auto"/>
              <w:right w:val="single" w:sz="12" w:space="0" w:color="auto"/>
            </w:tcBorders>
          </w:tcPr>
          <w:p w:rsidR="009A6B10" w:rsidRPr="009A6B10" w:rsidRDefault="009A6B10" w:rsidP="009A6B10">
            <w:pPr>
              <w:jc w:val="center"/>
            </w:pPr>
            <w:proofErr w:type="spellStart"/>
            <w:r w:rsidRPr="009A6B10">
              <w:rPr>
                <w:b/>
                <w:bCs/>
              </w:rPr>
              <w:t>kt</w:t>
            </w:r>
            <w:proofErr w:type="spellEnd"/>
          </w:p>
        </w:tc>
        <w:tc>
          <w:tcPr>
            <w:tcW w:w="521"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170</w:t>
            </w:r>
          </w:p>
        </w:tc>
        <w:tc>
          <w:tcPr>
            <w:tcW w:w="547"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176</w:t>
            </w:r>
          </w:p>
        </w:tc>
        <w:tc>
          <w:tcPr>
            <w:tcW w:w="548"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161</w:t>
            </w:r>
          </w:p>
        </w:tc>
        <w:tc>
          <w:tcPr>
            <w:tcW w:w="539"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159</w:t>
            </w:r>
          </w:p>
        </w:tc>
        <w:tc>
          <w:tcPr>
            <w:tcW w:w="567"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144</w:t>
            </w:r>
          </w:p>
        </w:tc>
        <w:tc>
          <w:tcPr>
            <w:tcW w:w="567" w:type="pct"/>
            <w:tcBorders>
              <w:left w:val="single" w:sz="12" w:space="0" w:color="auto"/>
              <w:bottom w:val="single" w:sz="12" w:space="0" w:color="auto"/>
              <w:right w:val="single" w:sz="12" w:space="0" w:color="auto"/>
            </w:tcBorders>
          </w:tcPr>
          <w:p w:rsidR="009A6B10" w:rsidRPr="009A6B10" w:rsidRDefault="009A6B10" w:rsidP="009A6B10">
            <w:pPr>
              <w:jc w:val="center"/>
            </w:pPr>
            <w:r w:rsidRPr="009A6B10">
              <w:t>86</w:t>
            </w:r>
          </w:p>
        </w:tc>
      </w:tr>
    </w:tbl>
    <w:p w:rsidR="009A6B10" w:rsidRPr="009A6B10" w:rsidRDefault="009A6B10" w:rsidP="009A6B10">
      <w:pPr>
        <w:rPr>
          <w:sz w:val="28"/>
          <w:szCs w:val="28"/>
        </w:rPr>
      </w:pPr>
    </w:p>
    <w:p w:rsidR="009A6B10" w:rsidRPr="009A6B10" w:rsidRDefault="009A6B10" w:rsidP="009A6B10">
      <w:pPr>
        <w:rPr>
          <w:sz w:val="28"/>
          <w:szCs w:val="28"/>
        </w:rPr>
      </w:pPr>
    </w:p>
    <w:p w:rsidR="009A6B10" w:rsidRPr="009A6B10" w:rsidRDefault="009A6B10" w:rsidP="009A6B10">
      <w:pPr>
        <w:rPr>
          <w:sz w:val="28"/>
          <w:szCs w:val="28"/>
          <w:u w:val="single"/>
        </w:rPr>
      </w:pPr>
      <w:r w:rsidRPr="009A6B10">
        <w:rPr>
          <w:sz w:val="28"/>
          <w:szCs w:val="28"/>
          <w:u w:val="single"/>
        </w:rPr>
        <w:t>2.8 Regionálna politika</w:t>
      </w:r>
    </w:p>
    <w:p w:rsidR="009A6B10" w:rsidRPr="009A6B10" w:rsidRDefault="009A6B10" w:rsidP="009A6B10">
      <w:pPr>
        <w:rPr>
          <w:sz w:val="28"/>
          <w:szCs w:val="28"/>
          <w:u w:val="single"/>
        </w:rPr>
      </w:pPr>
    </w:p>
    <w:p w:rsidR="009A6B10" w:rsidRPr="009A6B10" w:rsidRDefault="009A6B10" w:rsidP="009A6B10">
      <w:pPr>
        <w:jc w:val="both"/>
      </w:pPr>
    </w:p>
    <w:p w:rsidR="009A6B10" w:rsidRPr="009A6B10" w:rsidRDefault="009A6B10" w:rsidP="009A6B10">
      <w:pPr>
        <w:jc w:val="both"/>
      </w:pPr>
      <w:r w:rsidRPr="009A6B10">
        <w:t>V tabuľke nižšie sú vyčíslené hodnoty celkových prepravných výkonov v osobnej doprave ako aj výkonov jednotlivých druhov osobných dopráv za obdobie od roku 2000 do roku 2011 v SR, ako aj výkony individuálnej automobilovej dopravy ako významnej zložky osobnej dopravy.</w:t>
      </w:r>
    </w:p>
    <w:p w:rsidR="00551BE6" w:rsidRPr="00CF7216" w:rsidRDefault="00551BE6" w:rsidP="00551BE6">
      <w:pPr>
        <w:jc w:val="both"/>
      </w:pPr>
      <w:bookmarkStart w:id="9" w:name="_Toc362857021"/>
    </w:p>
    <w:bookmarkEnd w:id="9"/>
    <w:p w:rsidR="00551BE6" w:rsidRDefault="00551BE6" w:rsidP="00551BE6">
      <w:pPr>
        <w:jc w:val="both"/>
      </w:pPr>
    </w:p>
    <w:p w:rsidR="00551BE6" w:rsidRPr="00985A35" w:rsidRDefault="00551BE6" w:rsidP="00551BE6">
      <w:pPr>
        <w:jc w:val="both"/>
      </w:pPr>
      <w:r>
        <w:rPr>
          <w:noProof/>
        </w:rPr>
        <w:drawing>
          <wp:inline distT="0" distB="0" distL="0" distR="0" wp14:anchorId="2C5AAB74" wp14:editId="2D7053B7">
            <wp:extent cx="5762625" cy="224790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551BE6" w:rsidRPr="00CF7216" w:rsidRDefault="00551BE6" w:rsidP="00551BE6">
      <w:pPr>
        <w:jc w:val="both"/>
      </w:pPr>
    </w:p>
    <w:p w:rsidR="009A6B10" w:rsidRPr="009A6B10" w:rsidRDefault="009A6B10" w:rsidP="009A6B10">
      <w:pPr>
        <w:jc w:val="both"/>
      </w:pPr>
      <w:r w:rsidRPr="009A6B10">
        <w:t>Z uvedenej tabuľky je zrejmé, že dopravné výkony</w:t>
      </w:r>
      <w:r w:rsidR="00F17DAF">
        <w:t xml:space="preserve"> osobnej dopravy možno v priemer</w:t>
      </w:r>
      <w:r w:rsidRPr="009A6B10">
        <w:t xml:space="preserve">e posledných viac ako </w:t>
      </w:r>
      <w:r w:rsidR="009C2543">
        <w:t>piatich</w:t>
      </w:r>
      <w:r w:rsidRPr="009A6B10">
        <w:t xml:space="preserve"> rokov považovať za konštantné. Dôležitým trendom je zmena rozloženia výkonu medzi jednotlivými dopranými módmi smerom od verejnej k individuálnej doprave.</w:t>
      </w:r>
    </w:p>
    <w:p w:rsidR="009A6B10" w:rsidRPr="009A6B10" w:rsidRDefault="009A6B10" w:rsidP="009A6B10">
      <w:pPr>
        <w:jc w:val="both"/>
      </w:pPr>
    </w:p>
    <w:p w:rsidR="009A6B10" w:rsidRPr="009A6B10" w:rsidRDefault="009A6B10" w:rsidP="009A6B10">
      <w:pPr>
        <w:jc w:val="both"/>
      </w:pPr>
      <w:r w:rsidRPr="009A6B10">
        <w:t>Vývoj prepravných výkonov, charakterizovaný počtom prepravených osôb v cestnej verejnej osobnej doprave, má klesajúci trend. Súvisí to s odlivom cestujúcich na iný druh verejnej osobnej prepravy, ako aj s väčším využívaním individuálnej automobilovej prepravy v dôsledku zvyšovania úrovne cestnej siete a so zvyšovaním životnej úrovne a úrovne automobilizácie, ale aj so zaostávaním kvality a rozvoja verejnej osobnej dopravy. Od roku 2000 do roku 2011 zaznamenala cestná vnútrozemská verejná osobná doprava (podľa dostupných údajo</w:t>
      </w:r>
      <w:r w:rsidR="008A560C">
        <w:t>v MDVRR SR) pokles o 50,3</w:t>
      </w:r>
      <w:r w:rsidRPr="009A6B10">
        <w:t>%.</w:t>
      </w:r>
    </w:p>
    <w:p w:rsidR="009A6B10" w:rsidRPr="009A6B10" w:rsidRDefault="009A6B10" w:rsidP="009A6B10">
      <w:r w:rsidRPr="009A6B10">
        <w:tab/>
      </w:r>
    </w:p>
    <w:p w:rsidR="009A6B10" w:rsidRPr="009A6B10" w:rsidRDefault="009A6B10" w:rsidP="009A6B10">
      <w:bookmarkStart w:id="10" w:name="_Toc357436366"/>
      <w:bookmarkStart w:id="11" w:name="_Toc357946448"/>
      <w:bookmarkStart w:id="12" w:name="_Toc369686958"/>
      <w:bookmarkStart w:id="13" w:name="_Toc369702404"/>
      <w:bookmarkStart w:id="14" w:name="_Toc369703746"/>
      <w:bookmarkStart w:id="15" w:name="_Toc369703773"/>
      <w:bookmarkStart w:id="16" w:name="_Toc369703794"/>
      <w:bookmarkStart w:id="17" w:name="_Toc370228048"/>
      <w:r w:rsidRPr="009A6B10">
        <w:t>Výkony v nákladnej doprav</w:t>
      </w:r>
      <w:bookmarkEnd w:id="10"/>
      <w:bookmarkEnd w:id="11"/>
      <w:r w:rsidRPr="009A6B10">
        <w:t>e</w:t>
      </w:r>
      <w:bookmarkEnd w:id="12"/>
      <w:bookmarkEnd w:id="13"/>
      <w:bookmarkEnd w:id="14"/>
      <w:bookmarkEnd w:id="15"/>
      <w:bookmarkEnd w:id="16"/>
      <w:bookmarkEnd w:id="17"/>
    </w:p>
    <w:p w:rsidR="009A6B10" w:rsidRPr="009A6B10" w:rsidRDefault="009A6B10" w:rsidP="009A6B10"/>
    <w:p w:rsidR="009A6B10" w:rsidRPr="009A6B10" w:rsidRDefault="009A6B10" w:rsidP="009A6B10">
      <w:pPr>
        <w:jc w:val="both"/>
      </w:pPr>
      <w:r w:rsidRPr="009A6B10">
        <w:t>Vývoj výkonov cestnej nákladnej dopravy má do roku 2008 rastúci trend, až na dva mierne poklesy v rokoch 2001 a 2006, ale tie zrejme nesúvisia s  významným vonkajším vplyvom a sú pravdepodobne dôsledkom deľby prepravnej práce medzi všetkými druhmi nákladnej dopravy. V tomto období sú zaznamenané aj dva strmšie rasty krivky výkonov, a to v roku 2005, čo bolo spôsobené otvorením zahraničných trhov po vstupe Slovenskej republiky do EÚ, a v roku 2007, čo je dôsledok spustenia výroby dvoch veľkých automobiliek PSA a KIA. V rokoch 2009 a 2010 mal vývoj výkonov klesajúci charakter hlavne vplyvom svetovej hospodárskej krízy a v roku 2010 sa prejavujú aj dôsledky zavedenia mýta. V roku 2011 však môžeme opäť sledovať rastúci trend vo vývoji výkonov cestnej nákladnej dopravy.</w:t>
      </w:r>
    </w:p>
    <w:p w:rsidR="009A6B10" w:rsidRPr="009A6B10" w:rsidRDefault="009A6B10" w:rsidP="009A6B10">
      <w:pPr>
        <w:jc w:val="both"/>
      </w:pPr>
      <w:bookmarkStart w:id="18" w:name="_Toc362857028"/>
    </w:p>
    <w:bookmarkEnd w:id="18"/>
    <w:p w:rsidR="009A6B10" w:rsidRPr="009A6B10" w:rsidRDefault="009A6B10" w:rsidP="009A6B10">
      <w:pPr>
        <w:jc w:val="both"/>
      </w:pPr>
      <w:r w:rsidRPr="009A6B10">
        <w:t>Vývoj výkonov železničnej nákladnej dopravy mal v období rokov 2000 – 2008 prakticky vyrovnaný priebeh a pohyboval sa v rozmedzí 48 mil. – 54 mil. ton prepraveného tovaru ročne. Na tento vývoj vplývala hlavne stabilná ekonomická situácia v krajine a dostatok prepravného materiálu a výrobkov, hlavne čo sa týka firiem so železničnými vlečkami (automobilky, elektrárne, železiarne atď.). V roku 2009 vplyvom svetovej hospodárskej krízy klesla výroba v spomínaných odvetviach, čo sa prejavilo aj na výkonoch železničnej nákladn</w:t>
      </w:r>
      <w:r w:rsidR="008A560C">
        <w:t>ej dopravy poklesom o takmer 30</w:t>
      </w:r>
      <w:r w:rsidRPr="009A6B10">
        <w:t>% (v porovnaní s hodnotou roka 2000). V roku 2010 po prekonaní svetovej hospodárskej krízy sa výkony aj vplyvom naštartovania priemyslu a výrob</w:t>
      </w:r>
      <w:r w:rsidR="008A560C">
        <w:t>y opäť zdvihli o 18</w:t>
      </w:r>
      <w:r w:rsidRPr="009A6B10">
        <w:t>% a v roku 2011 potom zostali na skoro rovnakej úrovni.</w:t>
      </w:r>
    </w:p>
    <w:p w:rsidR="009A6B10" w:rsidRPr="009A6B10" w:rsidRDefault="009A6B10" w:rsidP="009A6B10">
      <w:pPr>
        <w:jc w:val="both"/>
      </w:pPr>
    </w:p>
    <w:p w:rsidR="009A6B10" w:rsidRPr="009A6B10" w:rsidRDefault="009A6B10" w:rsidP="009A6B10">
      <w:pPr>
        <w:jc w:val="both"/>
      </w:pPr>
      <w:r w:rsidRPr="009A6B10">
        <w:t>Medzinárodná železničná nákladná doprava prevláda nad vnútroštátnou železničnou nákladnou dopravou. Aj na vývoji výkonov týchto druhov dopráv je vidieť, že medzinárodná železničná nákladná doprava tvorí nosnú časť celkovej železničnej nákladnej dopravy a vývoj jej výkonov je rovnaký ako vývoj celkových výkonov železničnej nákladnej dopravy. Vývoj výkonov vnútroštátnej nákladnej dopravy zaznamenáva každoročný pokles, čo svedčí o klesajúcej atraktivite tohto druhu nákladnej dopravy pre potreby vnútroštátnych prepráv, ktorých väčšina je realizovaná cestnou nákladnou dopravou.</w:t>
      </w:r>
    </w:p>
    <w:p w:rsidR="009A6B10" w:rsidRPr="009A6B10" w:rsidRDefault="009A6B10" w:rsidP="009A6B10">
      <w:pPr>
        <w:jc w:val="both"/>
      </w:pPr>
    </w:p>
    <w:p w:rsidR="009A6B10" w:rsidRPr="009A6B10" w:rsidRDefault="009A6B10" w:rsidP="009A6B10">
      <w:pPr>
        <w:jc w:val="both"/>
      </w:pPr>
      <w:r w:rsidRPr="009A6B10">
        <w:t xml:space="preserve">Rovnako ako v ostatných štátoch EÚ aj v SR dochádza v posledných rokoch k výraznému rastu kombinovanej dopravy. Ide najmä o dopravu so zdrojom alebo cieľom na Slovensku a v zámorí. </w:t>
      </w:r>
      <w:bookmarkStart w:id="19" w:name="_Toc357946065"/>
      <w:bookmarkStart w:id="20" w:name="_Toc357946118"/>
      <w:bookmarkEnd w:id="19"/>
      <w:bookmarkEnd w:id="20"/>
      <w:r w:rsidRPr="009A6B10">
        <w:t>Kapacita súčasných terminálov kombinovanej dopravy, orientovaných na zámorskú kombinovanú dopravu chápanú ako vnútrozemská prístav</w:t>
      </w:r>
      <w:r w:rsidR="00A85E97">
        <w:t>ná služba, je využitá na cca 70</w:t>
      </w:r>
      <w:r w:rsidRPr="009A6B10">
        <w:t>%. S výnimkou terminálu v Dunajskej Strede, a vzhľadom na ich priestorové obmedzenia už nie je možné výraznejšie zvýšiť kapacitu v ostatných prekladiskách.</w:t>
      </w:r>
    </w:p>
    <w:p w:rsidR="009A6B10" w:rsidRPr="009A6B10" w:rsidRDefault="009A6B10" w:rsidP="009A6B10">
      <w:pPr>
        <w:jc w:val="both"/>
      </w:pPr>
    </w:p>
    <w:p w:rsidR="009A6B10" w:rsidRPr="009A6B10" w:rsidRDefault="009A6B10" w:rsidP="009A6B10">
      <w:pPr>
        <w:rPr>
          <w:sz w:val="28"/>
          <w:szCs w:val="28"/>
          <w:u w:val="single"/>
        </w:rPr>
      </w:pPr>
      <w:r w:rsidRPr="009A6B10">
        <w:rPr>
          <w:sz w:val="28"/>
          <w:szCs w:val="28"/>
          <w:u w:val="single"/>
        </w:rPr>
        <w:t>Cestovný ruch</w:t>
      </w:r>
    </w:p>
    <w:p w:rsidR="009A6B10" w:rsidRPr="009A6B10" w:rsidRDefault="009A6B10" w:rsidP="009A6B10">
      <w:pPr>
        <w:rPr>
          <w:sz w:val="28"/>
          <w:szCs w:val="28"/>
          <w:u w:val="single"/>
        </w:rPr>
      </w:pPr>
    </w:p>
    <w:p w:rsidR="009A6B10" w:rsidRPr="009A6B10" w:rsidRDefault="009A6B10" w:rsidP="009A6B10">
      <w:pPr>
        <w:jc w:val="both"/>
      </w:pPr>
      <w:r w:rsidRPr="009A6B10">
        <w:t xml:space="preserve">Vývoj počtu návštevníkov v ubytovacích zariadeniach cestovného ruchu na Slovensku od roku 1998 mal stúpajúcu tendenciu, s výnimkou rokov 2003 a 2004, kedy </w:t>
      </w:r>
      <w:r w:rsidR="00A85E97">
        <w:t xml:space="preserve">sa zaznamenal </w:t>
      </w:r>
      <w:r w:rsidR="00A85E97">
        <w:lastRenderedPageBreak/>
        <w:t>mierny pokles (-2% a -4</w:t>
      </w:r>
      <w:r w:rsidRPr="009A6B10">
        <w:t>%) až po rok 2009, v ktorom sa naplno prejavila globálna finančná kríza. Rok 2009 z hľadiska počtu turistov možno tak považovať za rok veľkého poklesu.</w:t>
      </w:r>
    </w:p>
    <w:p w:rsidR="009A6B10" w:rsidRPr="009A6B10" w:rsidRDefault="009A6B10" w:rsidP="009A6B10">
      <w:pPr>
        <w:autoSpaceDE w:val="0"/>
        <w:autoSpaceDN w:val="0"/>
        <w:adjustRightInd w:val="0"/>
        <w:jc w:val="both"/>
      </w:pPr>
      <w:r w:rsidRPr="009A6B10">
        <w:t>Rok 2012 priniesol už zaujímavejší rast počtu návštevníkov v ubytovacích zariadeniach cestovného ruchu o 5,7 %, Turisti na Slovensku strávili rovnaký čas, ako v roku 2011, keďže priemerný počet prenocovaní zostal na úrovni 2,9. Konkrétne informácie poskytuje nasledovný graf.</w:t>
      </w:r>
    </w:p>
    <w:p w:rsidR="009A6B10" w:rsidRPr="009A6B10" w:rsidRDefault="009A6B10" w:rsidP="009A6B10">
      <w:pPr>
        <w:jc w:val="both"/>
        <w:rPr>
          <w:sz w:val="28"/>
          <w:szCs w:val="28"/>
          <w:u w:val="single"/>
        </w:rPr>
      </w:pPr>
    </w:p>
    <w:p w:rsidR="009A6B10" w:rsidRPr="009A6B10" w:rsidRDefault="00CB5F71" w:rsidP="009A6B10">
      <w:pPr>
        <w:autoSpaceDE w:val="0"/>
        <w:autoSpaceDN w:val="0"/>
        <w:adjustRightInd w:val="0"/>
      </w:pPr>
      <w:r>
        <w:rPr>
          <w:noProof/>
        </w:rPr>
        <w:pict>
          <v:shape id="_x0000_i1057" type="#_x0000_t75" style="width:447.75pt;height:217.5pt;visibility:visible">
            <v:imagedata r:id="rId51" o:title=""/>
          </v:shape>
        </w:pict>
      </w:r>
    </w:p>
    <w:p w:rsidR="009A6B10" w:rsidRPr="009A6B10" w:rsidRDefault="009A6B10" w:rsidP="009A6B10">
      <w:pPr>
        <w:autoSpaceDE w:val="0"/>
        <w:autoSpaceDN w:val="0"/>
        <w:adjustRightInd w:val="0"/>
      </w:pPr>
    </w:p>
    <w:p w:rsidR="009A6B10" w:rsidRPr="009A6B10" w:rsidRDefault="009A6B10" w:rsidP="009A6B10">
      <w:pPr>
        <w:autoSpaceDE w:val="0"/>
        <w:autoSpaceDN w:val="0"/>
        <w:adjustRightInd w:val="0"/>
      </w:pPr>
    </w:p>
    <w:p w:rsidR="009A6B10" w:rsidRPr="009A6B10" w:rsidRDefault="009A6B10" w:rsidP="009A6B10">
      <w:pPr>
        <w:autoSpaceDE w:val="0"/>
        <w:autoSpaceDN w:val="0"/>
        <w:adjustRightInd w:val="0"/>
      </w:pPr>
      <w:r w:rsidRPr="009A6B10">
        <w:t>Pozitívny trend v raste počtu zahraničných turistov sa prejavil aj na devízových príjmoch z aktívneho zahraničného cestovného ruchu. Vývoj platobnej bilancie cestovného ruchu SR v rokoch 1999-2012 zobrazuje nasledovný graf.</w:t>
      </w:r>
    </w:p>
    <w:p w:rsidR="009A6B10" w:rsidRPr="009A6B10" w:rsidRDefault="009A6B10" w:rsidP="009A6B10">
      <w:pPr>
        <w:autoSpaceDE w:val="0"/>
        <w:autoSpaceDN w:val="0"/>
        <w:adjustRightInd w:val="0"/>
      </w:pPr>
    </w:p>
    <w:p w:rsidR="009A6B10" w:rsidRPr="009A6B10" w:rsidRDefault="00CB5F71" w:rsidP="009A6B10">
      <w:pPr>
        <w:autoSpaceDE w:val="0"/>
        <w:autoSpaceDN w:val="0"/>
        <w:adjustRightInd w:val="0"/>
      </w:pPr>
      <w:r>
        <w:rPr>
          <w:noProof/>
        </w:rPr>
        <w:pict>
          <v:shape id="_x0000_i1058" type="#_x0000_t75" style="width:441pt;height:225.75pt;visibility:visible">
            <v:imagedata r:id="rId52" o:title=""/>
          </v:shape>
        </w:pict>
      </w:r>
    </w:p>
    <w:p w:rsidR="009A6B10" w:rsidRPr="009A6B10" w:rsidRDefault="009A6B10" w:rsidP="009A6B10">
      <w:pPr>
        <w:autoSpaceDE w:val="0"/>
        <w:autoSpaceDN w:val="0"/>
        <w:adjustRightInd w:val="0"/>
        <w:rPr>
          <w:sz w:val="20"/>
          <w:szCs w:val="20"/>
        </w:rPr>
      </w:pPr>
      <w:r w:rsidRPr="009A6B10">
        <w:rPr>
          <w:sz w:val="20"/>
          <w:szCs w:val="20"/>
        </w:rPr>
        <w:t>Zdroj: ŠÚ SR</w:t>
      </w:r>
    </w:p>
    <w:p w:rsidR="009A6B10" w:rsidRPr="009A6B10" w:rsidRDefault="009A6B10" w:rsidP="009A6B10">
      <w:pPr>
        <w:autoSpaceDE w:val="0"/>
        <w:autoSpaceDN w:val="0"/>
        <w:adjustRightInd w:val="0"/>
        <w:rPr>
          <w:sz w:val="20"/>
          <w:szCs w:val="20"/>
        </w:rPr>
      </w:pPr>
      <w:r w:rsidRPr="009A6B10">
        <w:rPr>
          <w:sz w:val="20"/>
          <w:szCs w:val="20"/>
        </w:rPr>
        <w:t>Vysvetlivky:</w:t>
      </w:r>
    </w:p>
    <w:p w:rsidR="009A6B10" w:rsidRPr="009A6B10" w:rsidRDefault="009A6B10" w:rsidP="009A6B10">
      <w:pPr>
        <w:autoSpaceDE w:val="0"/>
        <w:autoSpaceDN w:val="0"/>
        <w:adjustRightInd w:val="0"/>
        <w:rPr>
          <w:sz w:val="20"/>
          <w:szCs w:val="20"/>
        </w:rPr>
      </w:pPr>
      <w:r w:rsidRPr="009A6B10">
        <w:rPr>
          <w:sz w:val="20"/>
          <w:szCs w:val="20"/>
        </w:rPr>
        <w:t>AZCR = aktívny zahraničný cestovný ruch</w:t>
      </w:r>
    </w:p>
    <w:p w:rsidR="009A6B10" w:rsidRPr="009A6B10" w:rsidRDefault="009A6B10" w:rsidP="009A6B10">
      <w:pPr>
        <w:autoSpaceDE w:val="0"/>
        <w:autoSpaceDN w:val="0"/>
        <w:adjustRightInd w:val="0"/>
      </w:pPr>
      <w:r w:rsidRPr="009A6B10">
        <w:rPr>
          <w:sz w:val="20"/>
          <w:szCs w:val="20"/>
        </w:rPr>
        <w:t>PZCR = pasívny zahraničný cestovný ruchu</w:t>
      </w:r>
    </w:p>
    <w:p w:rsidR="009A6B10" w:rsidRPr="009A6B10" w:rsidRDefault="009A6B10" w:rsidP="009A6B10">
      <w:pPr>
        <w:autoSpaceDE w:val="0"/>
        <w:autoSpaceDN w:val="0"/>
        <w:adjustRightInd w:val="0"/>
        <w:rPr>
          <w:bCs/>
        </w:rPr>
      </w:pPr>
    </w:p>
    <w:p w:rsidR="009A6B10" w:rsidRPr="009A6B10" w:rsidRDefault="009A6B10" w:rsidP="009A6B10">
      <w:pPr>
        <w:autoSpaceDE w:val="0"/>
        <w:autoSpaceDN w:val="0"/>
        <w:adjustRightInd w:val="0"/>
      </w:pPr>
      <w:r w:rsidRPr="009A6B10">
        <w:rPr>
          <w:bCs/>
        </w:rPr>
        <w:lastRenderedPageBreak/>
        <w:t>Podiel cestovného r</w:t>
      </w:r>
      <w:r w:rsidR="00A85E97">
        <w:rPr>
          <w:bCs/>
        </w:rPr>
        <w:t>uchu na HDP bol v roku 2012 2,5</w:t>
      </w:r>
      <w:r w:rsidRPr="009A6B10">
        <w:rPr>
          <w:bCs/>
        </w:rPr>
        <w:t>%, podobne ako v roku 2011</w:t>
      </w:r>
      <w:r w:rsidRPr="009A6B10">
        <w:t xml:space="preserve">. </w:t>
      </w:r>
      <w:r w:rsidRPr="009A6B10">
        <w:rPr>
          <w:bCs/>
        </w:rPr>
        <w:t>V štátoch EÚ v</w:t>
      </w:r>
      <w:r w:rsidR="00A85E97">
        <w:rPr>
          <w:bCs/>
        </w:rPr>
        <w:t>ytvára cestovný ruch viac ako 5</w:t>
      </w:r>
      <w:r w:rsidRPr="009A6B10">
        <w:rPr>
          <w:bCs/>
        </w:rPr>
        <w:t>% HDP, čo znamená, že Slovensko je výrazne pod touto hodnotou</w:t>
      </w:r>
      <w:r w:rsidRPr="009A6B10">
        <w:t>.</w:t>
      </w:r>
    </w:p>
    <w:p w:rsidR="009A6B10" w:rsidRPr="00B81065" w:rsidRDefault="009A6B10" w:rsidP="00B81065">
      <w:pPr>
        <w:autoSpaceDE w:val="0"/>
        <w:autoSpaceDN w:val="0"/>
        <w:adjustRightInd w:val="0"/>
      </w:pPr>
      <w:r w:rsidRPr="009A6B10">
        <w:t xml:space="preserve">Podľa zisťovania Štatistického úradu SR o dovolenkových pobytoch a služobných cestách </w:t>
      </w:r>
      <w:r w:rsidRPr="009A6B10">
        <w:rPr>
          <w:bCs/>
        </w:rPr>
        <w:t>v roku 2012 občania Slovensk</w:t>
      </w:r>
      <w:r w:rsidR="00A85E97">
        <w:rPr>
          <w:bCs/>
        </w:rPr>
        <w:t>ej republiky uskutočnili o 19,6</w:t>
      </w:r>
      <w:r w:rsidRPr="009A6B10">
        <w:rPr>
          <w:bCs/>
        </w:rPr>
        <w:t>% menej dovolenkových pobytov, než v roku 2011</w:t>
      </w:r>
      <w:r w:rsidRPr="009A6B10">
        <w:t>. Prevažná väčšina dovolenkových pobytov sa uskutočnila v SR.</w:t>
      </w:r>
    </w:p>
    <w:p w:rsidR="005259DF" w:rsidRPr="009A6B10" w:rsidRDefault="005259DF" w:rsidP="009A6B10">
      <w:pPr>
        <w:jc w:val="both"/>
        <w:rPr>
          <w:sz w:val="28"/>
          <w:szCs w:val="28"/>
          <w:u w:val="single"/>
        </w:rPr>
      </w:pPr>
    </w:p>
    <w:p w:rsidR="009A6B10" w:rsidRPr="009A6B10" w:rsidRDefault="009A6B10" w:rsidP="009A6B10">
      <w:pPr>
        <w:jc w:val="both"/>
        <w:rPr>
          <w:sz w:val="28"/>
          <w:szCs w:val="28"/>
          <w:u w:val="single"/>
        </w:rPr>
      </w:pPr>
      <w:r w:rsidRPr="009A6B10">
        <w:rPr>
          <w:sz w:val="28"/>
          <w:szCs w:val="28"/>
          <w:u w:val="single"/>
        </w:rPr>
        <w:t>2.9 Environmentálna politika</w:t>
      </w:r>
    </w:p>
    <w:p w:rsidR="009A6B10" w:rsidRPr="009A6B10" w:rsidRDefault="009A6B10" w:rsidP="009A6B10">
      <w:pPr>
        <w:jc w:val="both"/>
        <w:rPr>
          <w:sz w:val="28"/>
          <w:szCs w:val="28"/>
          <w:u w:val="single"/>
        </w:rPr>
      </w:pPr>
    </w:p>
    <w:p w:rsidR="009A6B10" w:rsidRPr="009A6B10" w:rsidRDefault="009A6B10" w:rsidP="009A6B10">
      <w:pPr>
        <w:jc w:val="both"/>
        <w:rPr>
          <w:bCs/>
          <w:i/>
          <w:u w:val="single"/>
        </w:rPr>
      </w:pPr>
      <w:r w:rsidRPr="009A6B10">
        <w:t xml:space="preserve">V súlade s environmentálnou situáciou v SR, strategickými/koncepčnými dokumentmi a predpismi EÚ a SR, uvedeným smerovaním a zásadami koncepcie štátnej environmentálnej politiky a jej </w:t>
      </w:r>
      <w:r w:rsidRPr="009A6B10">
        <w:rPr>
          <w:bCs/>
          <w:i/>
          <w:iCs/>
          <w:color w:val="000000"/>
          <w:u w:val="single"/>
        </w:rPr>
        <w:t>globálnym koncepčným cieľom</w:t>
      </w:r>
      <w:r w:rsidRPr="009A6B10">
        <w:rPr>
          <w:b/>
          <w:bCs/>
          <w:iCs/>
          <w:color w:val="000000"/>
        </w:rPr>
        <w:t xml:space="preserve">, </w:t>
      </w:r>
      <w:r w:rsidRPr="009A6B10">
        <w:rPr>
          <w:bCs/>
          <w:iCs/>
          <w:color w:val="000000"/>
        </w:rPr>
        <w:t>ktorým je</w:t>
      </w:r>
      <w:r w:rsidRPr="009A6B10">
        <w:rPr>
          <w:b/>
          <w:bCs/>
          <w:iCs/>
          <w:color w:val="000000"/>
        </w:rPr>
        <w:t xml:space="preserve"> </w:t>
      </w:r>
      <w:r w:rsidRPr="009A6B10">
        <w:rPr>
          <w:bCs/>
          <w:iCs/>
          <w:color w:val="000000"/>
        </w:rPr>
        <w:t>zveľaďovanie životného prostredia, ochrana jeho zložiek a prírody, ekologizácia a tvorba environmentálne bezpečnej, vhodnej a využiteľnej krajiny, racionálne využívanie zdrojov a celkove posilnenie a prepojenie environmentálneho piliera trvalo udržateľného rozvoja s jeho ekonomickým pilierom a sociálnym pilierom s podporou dobudovania a skvalitnenia environmentálnej infraštruktúry,</w:t>
      </w:r>
      <w:r w:rsidRPr="009A6B10">
        <w:rPr>
          <w:b/>
          <w:bCs/>
          <w:iCs/>
          <w:color w:val="000000"/>
        </w:rPr>
        <w:t xml:space="preserve"> </w:t>
      </w:r>
      <w:r w:rsidRPr="009A6B10">
        <w:t xml:space="preserve">sa na </w:t>
      </w:r>
      <w:r w:rsidRPr="009A6B10">
        <w:rPr>
          <w:bCs/>
        </w:rPr>
        <w:t>obdobie rokov 2014 až 2020</w:t>
      </w:r>
      <w:r w:rsidRPr="009A6B10">
        <w:t xml:space="preserve"> určuje </w:t>
      </w:r>
      <w:r w:rsidRPr="009A6B10">
        <w:rPr>
          <w:i/>
          <w:u w:val="single"/>
        </w:rPr>
        <w:t xml:space="preserve">sedem odvetvových </w:t>
      </w:r>
      <w:r w:rsidRPr="009A6B10">
        <w:rPr>
          <w:bCs/>
          <w:i/>
          <w:u w:val="single"/>
        </w:rPr>
        <w:t>priorít starostlivosti o životné prostredie SR:</w:t>
      </w:r>
    </w:p>
    <w:p w:rsidR="009A6B10" w:rsidRPr="009A6B10" w:rsidRDefault="009A6B10" w:rsidP="00D1230F">
      <w:pPr>
        <w:numPr>
          <w:ilvl w:val="0"/>
          <w:numId w:val="31"/>
        </w:numPr>
        <w:contextualSpacing/>
        <w:jc w:val="both"/>
        <w:rPr>
          <w:lang w:eastAsia="en-US"/>
        </w:rPr>
      </w:pPr>
      <w:r w:rsidRPr="009A6B10">
        <w:rPr>
          <w:lang w:eastAsia="en-US"/>
        </w:rPr>
        <w:t>ochrana a racionálne využívanie vôd a integrovaný environmentálny manažment povodí,</w:t>
      </w:r>
    </w:p>
    <w:p w:rsidR="009A6B10" w:rsidRPr="009A6B10" w:rsidRDefault="009A6B10" w:rsidP="00D1230F">
      <w:pPr>
        <w:numPr>
          <w:ilvl w:val="0"/>
          <w:numId w:val="31"/>
        </w:numPr>
        <w:contextualSpacing/>
        <w:jc w:val="both"/>
        <w:rPr>
          <w:lang w:eastAsia="en-US"/>
        </w:rPr>
      </w:pPr>
      <w:r w:rsidRPr="009A6B10">
        <w:rPr>
          <w:lang w:eastAsia="en-US"/>
        </w:rPr>
        <w:t>adaptácia na nepriaznivé dôsledky zmeny klímy a protipovodňová ochrana, </w:t>
      </w:r>
    </w:p>
    <w:p w:rsidR="009A6B10" w:rsidRPr="009A6B10" w:rsidRDefault="009A6B10" w:rsidP="00D1230F">
      <w:pPr>
        <w:numPr>
          <w:ilvl w:val="0"/>
          <w:numId w:val="31"/>
        </w:numPr>
        <w:contextualSpacing/>
        <w:jc w:val="both"/>
        <w:rPr>
          <w:lang w:eastAsia="en-US"/>
        </w:rPr>
      </w:pPr>
      <w:r w:rsidRPr="009A6B10">
        <w:rPr>
          <w:lang w:eastAsia="en-US"/>
        </w:rPr>
        <w:t xml:space="preserve">ochrana ovzdušia a ozónovej vrstvy, zavádzanie </w:t>
      </w:r>
      <w:proofErr w:type="spellStart"/>
      <w:r w:rsidRPr="009A6B10">
        <w:rPr>
          <w:lang w:eastAsia="en-US"/>
        </w:rPr>
        <w:t>nízkouhlíkových</w:t>
      </w:r>
      <w:proofErr w:type="spellEnd"/>
      <w:r w:rsidRPr="009A6B10">
        <w:rPr>
          <w:lang w:eastAsia="en-US"/>
        </w:rPr>
        <w:t xml:space="preserve"> a environmentálne vhodných technológií,</w:t>
      </w:r>
    </w:p>
    <w:p w:rsidR="009A6B10" w:rsidRPr="009A6B10" w:rsidRDefault="009A6B10" w:rsidP="00D1230F">
      <w:pPr>
        <w:numPr>
          <w:ilvl w:val="0"/>
          <w:numId w:val="31"/>
        </w:numPr>
        <w:contextualSpacing/>
        <w:jc w:val="both"/>
        <w:rPr>
          <w:lang w:eastAsia="en-US"/>
        </w:rPr>
      </w:pPr>
      <w:r w:rsidRPr="009A6B10">
        <w:rPr>
          <w:lang w:eastAsia="en-US"/>
        </w:rPr>
        <w:t>minimalizácia, zhodnocovanie a zneškodňovanie odpadov, efektívne využívanie zdrojov a rozvoj zelenej ekonomiky, </w:t>
      </w:r>
    </w:p>
    <w:p w:rsidR="009A6B10" w:rsidRPr="009A6B10" w:rsidRDefault="009A6B10" w:rsidP="00D1230F">
      <w:pPr>
        <w:numPr>
          <w:ilvl w:val="0"/>
          <w:numId w:val="31"/>
        </w:numPr>
        <w:contextualSpacing/>
        <w:jc w:val="both"/>
        <w:rPr>
          <w:lang w:eastAsia="en-US"/>
        </w:rPr>
      </w:pPr>
      <w:r w:rsidRPr="009A6B10">
        <w:rPr>
          <w:lang w:eastAsia="en-US"/>
        </w:rPr>
        <w:t>starostlivosť o biologickú diverzitu, prírodné dedičstvo a o krajinu,</w:t>
      </w:r>
    </w:p>
    <w:p w:rsidR="009A6B10" w:rsidRPr="009A6B10" w:rsidRDefault="009A6B10" w:rsidP="00D1230F">
      <w:pPr>
        <w:numPr>
          <w:ilvl w:val="0"/>
          <w:numId w:val="31"/>
        </w:numPr>
        <w:contextualSpacing/>
        <w:jc w:val="both"/>
        <w:rPr>
          <w:lang w:eastAsia="en-US"/>
        </w:rPr>
      </w:pPr>
      <w:r w:rsidRPr="009A6B10">
        <w:rPr>
          <w:lang w:eastAsia="en-US"/>
        </w:rPr>
        <w:t>ochrana a racionálne využívanie horninového prostredia, odstraňovanie osobitných environmentálnych rizík a environmentálnych záťaží</w:t>
      </w:r>
    </w:p>
    <w:p w:rsidR="009A6B10" w:rsidRPr="009A6B10" w:rsidRDefault="009A6B10" w:rsidP="009A6B10">
      <w:pPr>
        <w:jc w:val="both"/>
        <w:rPr>
          <w:sz w:val="28"/>
          <w:szCs w:val="28"/>
          <w:u w:val="single"/>
        </w:rPr>
      </w:pPr>
    </w:p>
    <w:p w:rsidR="009A6B10" w:rsidRPr="009A6B10" w:rsidRDefault="009A6B10" w:rsidP="009A6B10">
      <w:pPr>
        <w:ind w:left="567" w:hanging="567"/>
        <w:jc w:val="both"/>
      </w:pPr>
      <w:r w:rsidRPr="009A6B10">
        <w:t xml:space="preserve">Európske nariadenia, ktoré majú vplyv na konkurencieschopnosť a trvalo udržateľný rozvoj: </w:t>
      </w:r>
    </w:p>
    <w:p w:rsidR="009A6B10" w:rsidRPr="009A6B10" w:rsidRDefault="009A6B10" w:rsidP="009A6B10">
      <w:pPr>
        <w:jc w:val="both"/>
      </w:pPr>
    </w:p>
    <w:p w:rsidR="009A6B10" w:rsidRPr="009A6B10" w:rsidRDefault="009A6B10" w:rsidP="00D1230F">
      <w:pPr>
        <w:numPr>
          <w:ilvl w:val="0"/>
          <w:numId w:val="30"/>
        </w:numPr>
        <w:ind w:left="0" w:firstLine="0"/>
        <w:contextualSpacing/>
        <w:jc w:val="both"/>
        <w:rPr>
          <w:color w:val="000000"/>
        </w:rPr>
      </w:pPr>
      <w:r w:rsidRPr="009A6B10">
        <w:rPr>
          <w:color w:val="000000"/>
        </w:rPr>
        <w:t xml:space="preserve">Smernica Európskeho parlamentu a Rady č. </w:t>
      </w:r>
      <w:r w:rsidRPr="009A6B10">
        <w:rPr>
          <w:bCs/>
          <w:color w:val="000000"/>
        </w:rPr>
        <w:t>2003/87/ES</w:t>
      </w:r>
      <w:r w:rsidRPr="009A6B10">
        <w:rPr>
          <w:color w:val="000000"/>
        </w:rPr>
        <w:t>, ktorou sa ustanovuje systém obchodovania s emisnými kvótami skleníkových plynov v Spoločenstve a ktorou sa mení a dopĺňa smernica Rady 96/61/ES</w:t>
      </w:r>
    </w:p>
    <w:p w:rsidR="009A6B10" w:rsidRPr="009A6B10" w:rsidRDefault="009A6B10" w:rsidP="00D1230F">
      <w:pPr>
        <w:numPr>
          <w:ilvl w:val="0"/>
          <w:numId w:val="28"/>
        </w:numPr>
        <w:shd w:val="clear" w:color="auto" w:fill="FFFFFF"/>
        <w:spacing w:after="100" w:afterAutospacing="1"/>
        <w:ind w:left="0" w:firstLine="0"/>
        <w:jc w:val="both"/>
        <w:rPr>
          <w:color w:val="000000"/>
        </w:rPr>
      </w:pPr>
      <w:r w:rsidRPr="009A6B10">
        <w:rPr>
          <w:color w:val="000000"/>
        </w:rPr>
        <w:t xml:space="preserve">Rozhodnutie Komisie č. </w:t>
      </w:r>
      <w:r w:rsidRPr="009A6B10">
        <w:rPr>
          <w:bCs/>
          <w:color w:val="000000"/>
        </w:rPr>
        <w:t>2006/194/ES</w:t>
      </w:r>
      <w:r w:rsidRPr="009A6B10">
        <w:rPr>
          <w:color w:val="000000"/>
        </w:rPr>
        <w:t>, ktorým sa zavádza dotazník vyplývajúci zo smernice Rady 96/61/ ES o integrovanej prevencii a kontrole znečisťovania</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Nariadenie Európskeho parlamentu a Rady (ES) č </w:t>
      </w:r>
      <w:r w:rsidRPr="009A6B10">
        <w:rPr>
          <w:bCs/>
          <w:color w:val="000000"/>
        </w:rPr>
        <w:t>166/2006</w:t>
      </w:r>
      <w:r w:rsidRPr="009A6B10">
        <w:rPr>
          <w:color w:val="000000"/>
        </w:rPr>
        <w:t xml:space="preserve"> o zriadení Európskeho registra uvoľňovania a prenosov znečisťujúcich látok, ktorým sa menia a dopĺňajú smernice Rady 91/689/EHS a 96/61/ES</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Európskeho parlamentu a Rady </w:t>
      </w:r>
      <w:r w:rsidRPr="009A6B10">
        <w:rPr>
          <w:bCs/>
          <w:color w:val="000000"/>
        </w:rPr>
        <w:t>2008/1/ES</w:t>
      </w:r>
      <w:r w:rsidRPr="009A6B10">
        <w:rPr>
          <w:color w:val="000000"/>
        </w:rPr>
        <w:t xml:space="preserve"> o integrovanej prevencii a kontrole znečisťovania životného prostredia (kodifikované znenie)</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 Rozhodnutie komisie </w:t>
      </w:r>
      <w:r w:rsidRPr="009A6B10">
        <w:rPr>
          <w:bCs/>
          <w:color w:val="000000"/>
        </w:rPr>
        <w:t>2000/479/EC</w:t>
      </w:r>
      <w:r w:rsidRPr="009A6B10">
        <w:rPr>
          <w:color w:val="000000"/>
        </w:rPr>
        <w:t xml:space="preserve"> o zavedení Európskeho registra emisií znečisťujúcich látok (EPER) podľa článku 15 smernice rady 96/61/ES týkajúcej sa integrovanej prevencie a kontroly znečisťovania (IPPC)</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Rozhodnutie komisie </w:t>
      </w:r>
      <w:r w:rsidRPr="009A6B10">
        <w:rPr>
          <w:bCs/>
          <w:color w:val="000000"/>
        </w:rPr>
        <w:t>2003/241/EC</w:t>
      </w:r>
      <w:r w:rsidRPr="009A6B10">
        <w:rPr>
          <w:color w:val="000000"/>
        </w:rPr>
        <w:t xml:space="preserve"> pozmeňujúce Rozhodnutie komisie 1999/391/EC z 31. mája 1999 týkajúce sa dotazníka vo vzťahu k Smernici Rady 96/61/EC týkajúcej sa integrovanej prevencie a kontroly znečisťovania (IPKZ) (implementácia Smernice Rady 91/692/EEC)</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Európskeho parlamentu a rady č. </w:t>
      </w:r>
      <w:r w:rsidRPr="009A6B10">
        <w:rPr>
          <w:bCs/>
          <w:color w:val="000000"/>
        </w:rPr>
        <w:t>2010/75/EU</w:t>
      </w:r>
      <w:r w:rsidRPr="009A6B10">
        <w:rPr>
          <w:color w:val="000000"/>
        </w:rPr>
        <w:t xml:space="preserve"> o priemyselných emisiách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lastRenderedPageBreak/>
        <w:t>smernicu Európskeho parlamentu a Rady 2009/29/ES z 23. apríla 2009, ktorou sa mení a dopĺňa smernica 2003/87/ES s cieľom zlepšiť a rozšíriť schému Spoločenstva na obchodovanie s emisnými kvótami skleníkových plynov,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smernicu Európskeho parlamentu a Rady 2009/30/ES z 23. apríla 2009, ktorou sa mení a dopĺňa smernica 98/70/ES, pokiaľ ide o kvalitu automobilového benzínu, motorovej nafty a plynového oleja a zavedenie mechanizmu na monitorovanie a zníženie emisií skleníkových plynov, a ktorou sa mení a dopĺňa smernica Rady 1999/32/ES, pokiaľ ide o kvalitu paliva využívaného v plavidlách vnútrozemskej vodnej dopravy, a zrušuje smernica 93/12/EHS;</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smernicu Európskeho parlamentu a Rady 2009/31/ES z 23. apríla 2009 o geologickom ukladaní oxidu uhličitého a o zmene a doplnení smernice Rady 85/337/EHS, smerníc Európskeho parlamentu a Rady 2000/60/ES, 2001/80/ES, 2004/35/ES, 2006/12/ES, 2008/1/ES a nariadenia (ES) č. 1013/2006;</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rozhodnutie Európskeho parlamentu a Rady č. 406/2009/ES z 23. apríla 2009 o úsilí členských štátov znížiť emisie skleníkových plynov s cieľom splniť záväzky Spoločenstva týkajúce sa zníženia emisií skleníkových plynov do roku 2020, </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(ES) č. 443/2009 z 23. apríla 2009, ktorým sa stanovujú výkonové emisné normy nových osobných automobilov ako súčasť integrovaného prístupu Spoločenstva na zníženie emisií CO2 z ľahkých úžitkových vozidiel.</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t>Nariadenie Európskeho parlamentu a Rady (EÚ) č. 510/2011 z  11. mája 2011 , ktorým sa stanovujú emisné normy pre nové ľahké úžitkové vozidlá ako súčasť integrovaného prístupu Únie na zníženie emisií CO 2 z ľahkých vozidiel</w:t>
      </w:r>
    </w:p>
    <w:p w:rsidR="009A6B10" w:rsidRPr="009A6B10" w:rsidRDefault="009A6B10" w:rsidP="00D1230F">
      <w:pPr>
        <w:numPr>
          <w:ilvl w:val="0"/>
          <w:numId w:val="28"/>
        </w:numPr>
        <w:shd w:val="clear" w:color="auto" w:fill="FFFFFF"/>
        <w:spacing w:before="100" w:beforeAutospacing="1" w:after="100" w:afterAutospacing="1"/>
        <w:ind w:left="0" w:firstLine="0"/>
        <w:jc w:val="both"/>
      </w:pPr>
      <w:r w:rsidRPr="009A6B10">
        <w:t>Nariadenie Európskeho parlamentu a Rady (ES) č. 1655/2000 zo 17. júla 2000 o finančnom nástroji pre životné prostredie (LIFE)</w:t>
      </w:r>
    </w:p>
    <w:p w:rsidR="009A6B10" w:rsidRPr="009A6B10" w:rsidRDefault="009A6B10" w:rsidP="00D1230F">
      <w:pPr>
        <w:numPr>
          <w:ilvl w:val="0"/>
          <w:numId w:val="28"/>
        </w:numPr>
        <w:shd w:val="clear" w:color="auto" w:fill="FFFFFF"/>
        <w:spacing w:before="100" w:beforeAutospacing="1" w:after="100" w:afterAutospacing="1"/>
        <w:ind w:left="0" w:firstLine="0"/>
        <w:jc w:val="both"/>
      </w:pPr>
      <w:r w:rsidRPr="009A6B10">
        <w:t>Nariadenie Európskeho Parlamentu a  Rady (ES) č. 1221/2009 z 25. novembra 2009 o dobrovoľnej účasti organizácií v schéme Spoločenstva pre environmentálne manažérstvo a audit (EMAS), ktorým sa zrušuje nariadenie (ES) č. 761/2001 a rozhodnutia Komisie 2001/681/ES a 2006/193/ES</w:t>
      </w:r>
    </w:p>
    <w:p w:rsidR="009A6B10" w:rsidRPr="009A6B10" w:rsidRDefault="009A6B10" w:rsidP="00D1230F">
      <w:pPr>
        <w:numPr>
          <w:ilvl w:val="0"/>
          <w:numId w:val="28"/>
        </w:numPr>
        <w:shd w:val="clear" w:color="auto" w:fill="FFFFFF"/>
        <w:spacing w:before="100" w:beforeAutospacing="1" w:after="100" w:afterAutospacing="1"/>
        <w:ind w:left="0" w:firstLine="0"/>
        <w:jc w:val="both"/>
      </w:pPr>
      <w:r w:rsidRPr="009A6B10">
        <w:t>Nariadenie Európskeho parlamentu a Rady (ES) č. 66/2010 z 25. novembra 2009 o environmentálnej značke EÚ</w:t>
      </w:r>
    </w:p>
    <w:p w:rsidR="009A6B10" w:rsidRPr="009A6B10" w:rsidRDefault="009A6B10" w:rsidP="00D1230F">
      <w:pPr>
        <w:numPr>
          <w:ilvl w:val="0"/>
          <w:numId w:val="28"/>
        </w:numPr>
        <w:shd w:val="clear" w:color="auto" w:fill="FFFFFF"/>
        <w:spacing w:before="100" w:beforeAutospacing="1" w:after="100" w:afterAutospacing="1"/>
        <w:ind w:left="0" w:firstLine="0"/>
        <w:jc w:val="both"/>
      </w:pPr>
      <w:r w:rsidRPr="009A6B10">
        <w:t>Smernica Európskeho parlamentu a Rady 2003/4/ES z 28. januára 2003 o prístupe verejnosti k informáciám o životnom prostredí, ktorou sa zrušuje smernica Rady 1990/313/EHS</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2037/2000/ES Nariadenie Európskeho Parlamentu A Rady z 29. júna 2000 o látkach, ktoré narúšajú ozónovú vrstvu</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2038/2000/ES Nariadenie (ES) z 28. Septembra 2000, ktoré mení a dopĺňa nariadenie (ES) 2037/2000 o látkach, ktoré poškodzujú ozónovú vrstvu vzhľadom na inhalátory a pumpy</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2039/2000 Nariadenie Európskeho parlamentu a rady z 28. septembra 2000, ktoré mení a dopĺňa nariadenie (ES) č. 2037/2000 o látkach, ktoré poškodzujú ozónovú vrstvu</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 xml:space="preserve">Nariadenie Európskeho parlamentu a Rady (ES) č. 1804/2003 z 22. septembra 2003, ktorým sa mení a dopĺňa nariadenie (ES) č. 2037/2000, pokiaľ ide o kontrolu </w:t>
      </w:r>
      <w:proofErr w:type="spellStart"/>
      <w:r w:rsidRPr="009A6B10">
        <w:rPr>
          <w:color w:val="000000"/>
        </w:rPr>
        <w:t>halónov</w:t>
      </w:r>
      <w:proofErr w:type="spellEnd"/>
      <w:r w:rsidRPr="009A6B10">
        <w:rPr>
          <w:color w:val="000000"/>
        </w:rPr>
        <w:t xml:space="preserve"> vyvážaných na kritické použitie, vývoz výrobkov a zariadení obsahujúcich </w:t>
      </w:r>
      <w:proofErr w:type="spellStart"/>
      <w:r w:rsidRPr="009A6B10">
        <w:rPr>
          <w:color w:val="000000"/>
        </w:rPr>
        <w:t>chlórfluorované</w:t>
      </w:r>
      <w:proofErr w:type="spellEnd"/>
      <w:r w:rsidRPr="009A6B10">
        <w:rPr>
          <w:color w:val="000000"/>
        </w:rPr>
        <w:t xml:space="preserve"> uhľovodíky a kontrolu </w:t>
      </w:r>
      <w:proofErr w:type="spellStart"/>
      <w:r w:rsidRPr="009A6B10">
        <w:rPr>
          <w:color w:val="000000"/>
        </w:rPr>
        <w:t>brómchlórmetánu</w:t>
      </w:r>
      <w:proofErr w:type="spellEnd"/>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 xml:space="preserve">Nariadenie Európskeho parlamentu a Rady (ES) č. 850/2004/ES z 29. apríla 2004 o </w:t>
      </w:r>
      <w:proofErr w:type="spellStart"/>
      <w:r w:rsidRPr="009A6B10">
        <w:rPr>
          <w:color w:val="000000"/>
        </w:rPr>
        <w:t>perzistentných</w:t>
      </w:r>
      <w:proofErr w:type="spellEnd"/>
      <w:r w:rsidRPr="009A6B10">
        <w:rPr>
          <w:color w:val="000000"/>
        </w:rPr>
        <w:t xml:space="preserve"> organických znečisťujúcich látkach, ktorým sa mení a dopĺňa smernica 1979/117/EHS</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 xml:space="preserve">Nariadenie Európskeho parlamentu a Rady (ES) č. 842/2006 zo 17. mája 2006 o určitých </w:t>
      </w:r>
      <w:proofErr w:type="spellStart"/>
      <w:r w:rsidRPr="009A6B10">
        <w:rPr>
          <w:color w:val="000000"/>
        </w:rPr>
        <w:t>fluórovaných</w:t>
      </w:r>
      <w:proofErr w:type="spellEnd"/>
      <w:r w:rsidRPr="009A6B10">
        <w:rPr>
          <w:color w:val="000000"/>
        </w:rPr>
        <w:t xml:space="preserve"> skleníkových plynoch </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lastRenderedPageBreak/>
        <w:t xml:space="preserve">Smernica Európskeho parlamentu a Rady 2009/126/ES z  21. októbra 2009 o II. stupni </w:t>
      </w:r>
      <w:proofErr w:type="spellStart"/>
      <w:r w:rsidRPr="009A6B10">
        <w:t>rekuperácie</w:t>
      </w:r>
      <w:proofErr w:type="spellEnd"/>
      <w:r w:rsidRPr="009A6B10">
        <w:t xml:space="preserve"> benzínových pár pri čerpaní pohonných látok do motorových vozidiel na čerpacích staniciach</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t>Smernica Európskeho parlamentu a Rady 2008/50/ES z  21. mája 2008 o kvalite okolitého ovzdušia a čistejšom ovzduší v Európe</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Rady 1993/12/EHS z 23. marca 1993 o obsahu síry v niektorých kvapalných palivách</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Európskeho parlamentu a Rady 1994/63/ES z 20. decembra 1994 o obmedzení emisií prchavých organických zlúčenín (POZ), ktoré vznikajú pri skladovaní benzínu a jeho distribúcii z distribučných skladov do čerpacích staníc</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Rady 1994/67/ES zo 16. decembra 1994 o spaľovaní nebezpečného odpadu</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rady 1996/62/ES z 27. septembra 1996 o posudzovaní a riadení kvality voľného ovzdušia</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Európskeho parlamentu a Rady 1998/70/ES z 13. októbra 1998 týkajúca sa kvality benzínu a naftových palív, a ktorou sa mení a dopĺňa smernicu Rady 1993/12/ES</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Rady 1999/13/ES z 11. marca 1999 o obmedzení emisií prchavých organických zlúčenín unikajúcich pri používaní organických rozpúšťadiel pri určitých činnostiach a v určitých zariadeniach</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Rady 1999/32/ES zo 26. apríla 1999 o znížení obsahu síry v niektorých kvapalných palivách, ktorou sa mení a dopĺňa smernica 1993/12/EHS</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2000/76/ES Európskeho parlamentu a Rady zo 4. decembra 2000 o spaľovaní odpadov</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2001/80/ES Európskeho parlamentu a Rady z 23. októbra 2001 o obmedzení emisií určitých znečisťujúcich látok do ovzdušia z veľkých spaľovacích zariadení</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2001/81/ES Európskeho parlamentu a rady z 23. októbra 2001 o národných emisných stropoch pre určité látky znečisťujúce ovzdušie</w:t>
      </w:r>
    </w:p>
    <w:p w:rsidR="009A6B10" w:rsidRPr="009A6B10" w:rsidRDefault="009A6B10" w:rsidP="00D1230F">
      <w:pPr>
        <w:numPr>
          <w:ilvl w:val="0"/>
          <w:numId w:val="29"/>
        </w:numPr>
        <w:shd w:val="clear" w:color="auto" w:fill="FFFFFF"/>
        <w:spacing w:before="100" w:beforeAutospacing="1" w:after="100" w:afterAutospacing="1"/>
        <w:ind w:left="0" w:firstLine="0"/>
        <w:jc w:val="both"/>
        <w:rPr>
          <w:color w:val="000000"/>
        </w:rPr>
      </w:pPr>
      <w:r w:rsidRPr="009A6B10">
        <w:rPr>
          <w:color w:val="000000"/>
        </w:rPr>
        <w:t>Smernica Európskeho parlamentu a Rady 2003/17/ES z 3. marca 2003, ktorou sa mení a dopĺňa smernica 1998/70/ES týkajúca sa kvality benzínu a naftových palív (Text s významom pre EHP)</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Európskeho parlamentu a Rady 2004/42/ES z 21. apríla 2004 o obmedzení emisií prchavých organických zlúčenín unikajúcich pri používaní organických rozpúšťadiel v určitých farbách a lakoch a vo výrobkoch na povrchovú úpravu vozidiel a o zmene a doplnení smernice 1999/13/ES </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2000/60/ES Európskeho parlamentu a Rady z 23. októbra 2000 ustanovujúca rámec pôsobnosti spoločenstva v oblasti vodnej politiky;</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91/271/EHS z 21. mája 1991 o čistení mestských odpadových vôd v znení smernice Komisie 98/15/ES z 27. februára 1998;</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91/676/EHS z 12. decembra 1991 o ochrane vôd pred znečistením dusičnanmi z poľnohospodárskych zdrojov v znení nariadenia Európskeho parlamentu a Rady (ES) č. 1882/2003 z 29. septembra 2003;</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98/83/EHS z 3. novembra 1998 o kvalite vody určenej pre ľudskú spotrebu (pitná voda) v znení nariadenia Európskeho parlamentu a Rady (ES) č. 1882/2003 z 29. septembra 2003;</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2006/118/ES z 12. decembra 2006 o ochrane podzemných vôd pred znečistením a zhoršením kvality;</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2006/7/ES z 15. februára 2006 o riadení kvality vody určenej na kúpanie;</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2006/44/ES zo 6. septembra 2006 o kvalite sladkých povrchových vôd vyžadujúcich ochranu alebo zlepšenie kvality na účely podpory života rýb;</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lastRenderedPageBreak/>
        <w:t>Smernica Európskeho parlamentu a Rady 2007/60/ES z 23. októbra 2007 o hodnotení a manažmente povodňových rizík;</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2008/105/ES zo 16. decembra 2008 o environmentálnych normách kvality v oblasti vodnej politiky;</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Komisie 2009/90/ES z 31. júla 2009, ktorou sa v súlade so smernicou Európskeho parlamentu a Rady 2000/60/ES ustanovujú technické špecifikácie pre chemickú analýzu a sledovanie stavu vôd.</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Európskeho parlamentu a rady 1013/2006 zo 14. júna 2006 o preprave odpadu</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Rady (ES) č. 1420/1999 z 29. apríla 1999 ustanovujúce spoločné pravidlá a postupy, ktoré sa vzťahujú na zásielky určitých druhov odpadov do určitých nečlenských krajín OECD</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Európskeho parlamentu a Rady (ES) č. 2150/2002 z 25. novembra 2002 o štatistike o odpadoch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Komisie (ES) č. 574/2004 z 23. februára 2004,ktorým sa menia a dopĺňajú prílohy I a III nariadenia Európskeho parlamentu a Rady (ES) č. 2150/2002 o štatistike o odpadoch(Text s významom pre EHP)</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o odpadoch 2008/98/ES Európskeho parlamentu a Rady z 19. novembra 2008 o odpadoch a o zrušení určitých smerníc.</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1975/442/EHS z 15. júla 1975 o odpadoch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Rady 1978/176/EHS z 20. februára 1978 o odpadoch z priemyselnej výroby a spracovania oxidu </w:t>
      </w:r>
      <w:proofErr w:type="spellStart"/>
      <w:r w:rsidRPr="009A6B10">
        <w:rPr>
          <w:color w:val="000000"/>
        </w:rPr>
        <w:t>titaničitého</w:t>
      </w:r>
      <w:proofErr w:type="spellEnd"/>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Rady 1982/883/EHS z 3. decembra 1982 o postupoch pre dozor a monitorovanie životného prostredia zasiahnutého odpadom z výroby oxidu </w:t>
      </w:r>
      <w:proofErr w:type="spellStart"/>
      <w:r w:rsidRPr="009A6B10">
        <w:rPr>
          <w:color w:val="000000"/>
        </w:rPr>
        <w:t>titaničitého</w:t>
      </w:r>
      <w:proofErr w:type="spellEnd"/>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Rady 1983/29/EHS z 24. januára 1983, ktorou sa mení a dopĺňa smernica 1978/176/EHS o odpade z priemyselnej výroby a spracovania oxidu </w:t>
      </w:r>
      <w:proofErr w:type="spellStart"/>
      <w:r w:rsidRPr="009A6B10">
        <w:rPr>
          <w:color w:val="000000"/>
        </w:rPr>
        <w:t>titaničitého</w:t>
      </w:r>
      <w:proofErr w:type="spellEnd"/>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1989/369/EHS z 8. júna 1989 o prevencii znečistenia ovzdušia z nových spaľovní komunálnych odpadov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1989/429/EHS z 21. júna 1989 o znížení znečistenia ovzdušia z existujúcich spaľovní komunálneho odpadu</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1991/156/EHS z 18. marca 1991, ktorou sa mení a dopĺňa smernica č. 1975/442/EHS o odpadoch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Rady 1992/112/EHS z 15. decembra 1992 o postupoch harmonizácie programov postupného znižovania a konečného odstránenia znečisťovania spôsobovaného odpadom z výroby oxidu </w:t>
      </w:r>
      <w:proofErr w:type="spellStart"/>
      <w:r w:rsidRPr="009A6B10">
        <w:rPr>
          <w:color w:val="000000"/>
        </w:rPr>
        <w:t>titaničitého</w:t>
      </w:r>
      <w:proofErr w:type="spellEnd"/>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1994/62/ES z 20. decembra 1994 o obaloch a odpadoch z obalov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1994/67/ES zo 16. decembra 1994 o spaľovaní nebezpečného odpadu</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Rady 1996/59/ES zo 16. septembra 1996 o zneškodnení </w:t>
      </w:r>
      <w:proofErr w:type="spellStart"/>
      <w:r w:rsidRPr="009A6B10">
        <w:rPr>
          <w:color w:val="000000"/>
        </w:rPr>
        <w:t>polychlórovaných</w:t>
      </w:r>
      <w:proofErr w:type="spellEnd"/>
      <w:r w:rsidRPr="009A6B10">
        <w:rPr>
          <w:color w:val="000000"/>
        </w:rPr>
        <w:t xml:space="preserve"> </w:t>
      </w:r>
      <w:proofErr w:type="spellStart"/>
      <w:r w:rsidRPr="009A6B10">
        <w:rPr>
          <w:color w:val="000000"/>
        </w:rPr>
        <w:t>bifenylov</w:t>
      </w:r>
      <w:proofErr w:type="spellEnd"/>
      <w:r w:rsidRPr="009A6B10">
        <w:rPr>
          <w:color w:val="000000"/>
        </w:rPr>
        <w:t xml:space="preserve"> a </w:t>
      </w:r>
      <w:proofErr w:type="spellStart"/>
      <w:r w:rsidRPr="009A6B10">
        <w:rPr>
          <w:color w:val="000000"/>
        </w:rPr>
        <w:t>polychlórovaných</w:t>
      </w:r>
      <w:proofErr w:type="spellEnd"/>
      <w:r w:rsidRPr="009A6B10">
        <w:rPr>
          <w:color w:val="000000"/>
        </w:rPr>
        <w:t xml:space="preserve"> </w:t>
      </w:r>
      <w:proofErr w:type="spellStart"/>
      <w:r w:rsidRPr="009A6B10">
        <w:rPr>
          <w:color w:val="000000"/>
        </w:rPr>
        <w:t>terfenylov</w:t>
      </w:r>
      <w:proofErr w:type="spellEnd"/>
      <w:r w:rsidRPr="009A6B10">
        <w:rPr>
          <w:color w:val="000000"/>
        </w:rPr>
        <w:t xml:space="preserve"> (PCB/PCT)</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Smernicou Európskeho parlamentu a Rady 2006/66/ES zo 6. septembra 2006 o batériách a akumulátoroch a použitých batériách a akumulátoroch </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1999/31/ES z 26. apríla 1999 o skládkach odpadov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2000/53/ES z 18. septembra 2000 o starých vozidlách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2000/76/ES zo 4. decembra 2000 o spaľovaní odpadov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2002/95/ES z 27. januára 2003 o obmedzení používania určitých nebezpečných látok v elektrických a elektronických zariadeniach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2002/96/ES z 27. januára 2003 o odpade z elektrických a elektronických zariadení (OEEZ)</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lastRenderedPageBreak/>
        <w:t>Smernica Európskeho parlamentu a Rady 2003/108/ES z 8. decembra 2003, ktorou sa mení a dopĺňa smernica 2002/96/ES o odpade z elektrických a elektronických zariadení (OEEZ)</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2006/21/ES z 15. marca 2006 o nakladaní s odpadom z ťažobného priemyslu, ktorou sa mení a dopĺňa smernica 2004/35/ES</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č. 2001/42/ES z 27. júna 2001 o posudzovaní účinkov určitých plánov a programov týkajúcich sa životného prostredia</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č. 2004/35/ES z 21. apríla 2004 o environmentálnej zodpovednosti pri prevencii a odstraňovaní environmentálnych škôd</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Rady (EHC) č.793/1993 z 23. marca 1993 o vyhodnocovaní a kontrole rizík existujúcich látok</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Európskeho parlamentu a Rady (ES) č. 1980/2000 zo 17. júla 2000 o revidovanej metóde spoločenstva pri udeľovaní environmentálnej značky</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Komisie (ES) č. 2364/2000 z 25. októbra 2000 týkajúci sa štvrtého zoznamu prioritných látok plánovaného podľa nariadenia Rady (EHS) č. 793/1993. (text s významom pre EHP)</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Komisie (ES) č. 2592/2000 z 28. decembra 2001, ktorým sa výrobcom alebo dovozcom určitých prioritných látok ukladajú ďalšie povinnosti týkajúce sa poskytovania informácií a testovania v súlade s nariadením Rady (EHS) č. 793/1993 o vyhodnotení a kontrole rizík, ktoré spôsobujú existujúce látky</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Komisie (ES) č. 1217/2000 zo 5. júla 2002 vyžadujúci od dovozcov alebo výrobcov určitých látok uvedených v zozname EINECS, aby poskytovali určité informácie a vykonávali určité testy podľa nariadenia Rady (EHS) č. 793/1993</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Komisie (ES) č. 2592/2001z 28. decembra 2001, ktorým sa výrobcom alebo dovozcom určitých prioritných látok ukladajú ďalšie povinnosti týkajúce sa poskytovania informácií a testovania v súlade s nariadením Rady (EHS) č. 793/1993 o vyhodnotení a kontrole rizík, ktoré spôsobujú existujúce látky</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Európskeho parlamentu a Rady (ES) č. 1946/2003 z 15. júla 2003 o cezhraničnom pohybe geneticky modifikovaných organizmov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Európskeho parlamentu a Rady (ES) č. 1829/2003 z 22. septembra 2003 o geneticky modifikovaných potravinách a krmivách</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Nariadenie Európskeho parlamentu a Rady (ES) č. 1830/2003 z 22. septembra 2003 o sledovateľnosti a označovaní geneticky modifikovaných organizmov a sledovateľnosti potravín a krmív vyrobených z geneticky modifikovaných organizmov a ktorým sa mení a dopĺňa smernica 2001/18/ES</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č. 1990/219/EHS z 23. apríla 1990 o obmedzenom použití geneticky modifikovaných mikroorganizmov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č.1996/ 82/ES z 9. decembra 1996 o kontrole nebezpečenstiev veľkých havárií s prítomnosťou nebezpečných látok</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Rady č. 1998/81/ES z 26. októbra 1998, ktorou sa mení a dopĺňa smernica 90/219/EHS o obmedzenom použití geneticky modifikovaných mikroorganizmov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č. 1999/45/ES z 31. mája 1999 o aproximácii zákonov, iných právnych predpisov a správnych opatrení členských štátov o klasifikácii, balení a označovaní nebezpečných prípravkov</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EP a Rady 2012/18/EÚ zo 4. júla 2012 o kontrole nebezpečenstiev závažných havárií s prítomnosťou nebezpečných látok, ktorou sa mení a dopĺňa a následne zrušuje smernica Rady 96/82/ES</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 xml:space="preserve">Smernica Komisie č. 2001/60/ES zo 7. augusta 2001,ktorou sa prispôsobuje technickému pokroku smernica Európskeho parlamentu a Rady 1999/45/ES o aproximácii zákonov, iných právnych predpisov a správnych opatrení členských štátov týkajúcich sa </w:t>
      </w:r>
      <w:r w:rsidRPr="009A6B10">
        <w:rPr>
          <w:color w:val="000000"/>
        </w:rPr>
        <w:lastRenderedPageBreak/>
        <w:t>klasifikácie, balenia a označovania nebezpečných prípravkov (Text s významom pre Európsky hospodársky priestor)</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č. 2001/18/ES z 12 marca 2001 o zámernom uvoľnení geneticky modifikovaných organizmov do životného prostredia a o zrušení smernice Rady 1990/220/EHS</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č. 2003/105/ES, ktorou sa mení a dopĺňa smernica Rady 1996/82/ES o kontrole nebezpečenstiev veľkých havárií s prítomnosťou nebezpečných látok</w:t>
      </w:r>
    </w:p>
    <w:p w:rsidR="009A6B10" w:rsidRPr="009A6B10" w:rsidRDefault="009A6B10" w:rsidP="00D1230F">
      <w:pPr>
        <w:numPr>
          <w:ilvl w:val="0"/>
          <w:numId w:val="28"/>
        </w:numPr>
        <w:shd w:val="clear" w:color="auto" w:fill="FFFFFF"/>
        <w:spacing w:before="100" w:beforeAutospacing="1" w:after="100" w:afterAutospacing="1"/>
        <w:ind w:left="0" w:firstLine="0"/>
        <w:jc w:val="both"/>
        <w:rPr>
          <w:color w:val="000000"/>
        </w:rPr>
      </w:pPr>
      <w:r w:rsidRPr="009A6B10">
        <w:rPr>
          <w:color w:val="000000"/>
        </w:rPr>
        <w:t>Smernica Európskeho parlamentu a Rady č. 2003/35/ES, ktorou sa zabezpečuje účasť verejnosti pri navrhovaní určitých plánov a programov týkajúcich sa životného prostredia a ktorou sa menia a dopĺňajú s ohľadom na účasť verejnosti a prístup k spravodlivosti smernice Rady 85/337/EHS a 96/61/ES</w:t>
      </w:r>
    </w:p>
    <w:p w:rsidR="009A6B10" w:rsidRPr="009A6B10" w:rsidRDefault="009A6B10" w:rsidP="009A6B10">
      <w:pPr>
        <w:jc w:val="both"/>
        <w:rPr>
          <w:sz w:val="28"/>
          <w:szCs w:val="28"/>
          <w:u w:val="single"/>
        </w:rPr>
      </w:pPr>
      <w:r w:rsidRPr="009A6B10">
        <w:rPr>
          <w:sz w:val="28"/>
          <w:szCs w:val="28"/>
          <w:u w:val="single"/>
        </w:rPr>
        <w:t>2.10 Pôdohospodárska politika</w:t>
      </w:r>
    </w:p>
    <w:p w:rsidR="009A6B10" w:rsidRPr="009A6B10" w:rsidRDefault="009A6B10" w:rsidP="009A6B10">
      <w:pPr>
        <w:spacing w:before="240" w:after="60"/>
        <w:ind w:firstLine="425"/>
        <w:jc w:val="both"/>
        <w:rPr>
          <w:b/>
          <w:color w:val="000000"/>
        </w:rPr>
      </w:pPr>
      <w:r w:rsidRPr="009A6B10">
        <w:rPr>
          <w:b/>
          <w:color w:val="000000"/>
        </w:rPr>
        <w:t>Postavenie pôdohospodárstva</w:t>
      </w:r>
      <w:r w:rsidRPr="009A6B10">
        <w:rPr>
          <w:vertAlign w:val="superscript"/>
        </w:rPr>
        <w:footnoteReference w:id="23"/>
      </w:r>
      <w:r w:rsidRPr="009A6B10">
        <w:rPr>
          <w:b/>
          <w:color w:val="000000"/>
          <w:vertAlign w:val="superscript"/>
        </w:rPr>
        <w:t xml:space="preserve"> </w:t>
      </w:r>
      <w:r w:rsidRPr="009A6B10">
        <w:rPr>
          <w:b/>
          <w:color w:val="000000"/>
        </w:rPr>
        <w:t>a potravinárstva</w:t>
      </w:r>
      <w:r w:rsidRPr="009A6B10">
        <w:rPr>
          <w:vertAlign w:val="superscript"/>
        </w:rPr>
        <w:footnoteReference w:id="24"/>
      </w:r>
      <w:r w:rsidRPr="009A6B10">
        <w:rPr>
          <w:b/>
          <w:color w:val="000000"/>
          <w:vertAlign w:val="superscript"/>
        </w:rPr>
        <w:t xml:space="preserve"> </w:t>
      </w:r>
      <w:r w:rsidRPr="009A6B10">
        <w:rPr>
          <w:b/>
          <w:color w:val="000000"/>
        </w:rPr>
        <w:t xml:space="preserve">v SR </w:t>
      </w:r>
    </w:p>
    <w:p w:rsidR="00B81065" w:rsidRPr="009A6B10" w:rsidRDefault="009A6B10" w:rsidP="00B81065">
      <w:pPr>
        <w:spacing w:before="60" w:after="60"/>
        <w:ind w:firstLine="426"/>
        <w:jc w:val="both"/>
      </w:pPr>
      <w:r w:rsidRPr="009A6B10">
        <w:t xml:space="preserve">Podiel pôdohospodárstva a potravinárstva na makroekonomických ukazovateľoch hospodárstva SR mal vo väčšine ukazovateľov klesajúci trend s náznakom stabilizácie v rokoch 2011 a 2012. Daný vývoj bol dôsledkom stagnácie </w:t>
      </w:r>
      <w:proofErr w:type="spellStart"/>
      <w:r w:rsidRPr="009A6B10">
        <w:t>agropotravinárstva</w:t>
      </w:r>
      <w:proofErr w:type="spellEnd"/>
      <w:r w:rsidRPr="009A6B10">
        <w:t xml:space="preserve"> v ekonomike SR a pokračovaním útlmu poľnohospodárskej a potravinárskej výroby s nepriaznivým dosahom na celkový ekonomický a sociálny prínos týchto odvetví.</w:t>
      </w:r>
    </w:p>
    <w:p w:rsidR="00B81065" w:rsidRPr="00B81065" w:rsidRDefault="009A6B10" w:rsidP="00B81065">
      <w:pPr>
        <w:keepNext/>
        <w:tabs>
          <w:tab w:val="left" w:pos="851"/>
        </w:tabs>
        <w:jc w:val="both"/>
        <w:rPr>
          <w:b/>
          <w:color w:val="000000"/>
        </w:rPr>
      </w:pPr>
      <w:r w:rsidRPr="009A6B10">
        <w:rPr>
          <w:b/>
          <w:color w:val="000000"/>
        </w:rPr>
        <w:t>Vývoj hlavných ukazovateľov pôdohospodárstva a potravinárstva v rokoch 2008-2012</w:t>
      </w:r>
    </w:p>
    <w:p w:rsidR="009A6B10" w:rsidRPr="009A6B10" w:rsidRDefault="00CB5F71" w:rsidP="00B81065">
      <w:pPr>
        <w:keepNext/>
        <w:spacing w:before="60" w:after="60"/>
        <w:ind w:firstLine="426"/>
        <w:jc w:val="center"/>
        <w:rPr>
          <w:color w:val="000000"/>
        </w:rPr>
      </w:pPr>
      <w:r>
        <w:rPr>
          <w:noProof/>
        </w:rPr>
        <w:pict>
          <v:shape id="_x0000_i1059" type="#_x0000_t75" style="width:330pt;height:239.25pt;visibility:visible">
            <v:imagedata r:id="rId53" o:title="" cropbottom="4220f" cropright="4085f"/>
          </v:shape>
        </w:pict>
      </w:r>
    </w:p>
    <w:p w:rsidR="009A6B10" w:rsidRPr="009A6B10" w:rsidRDefault="009A6B10" w:rsidP="009A6B10">
      <w:pPr>
        <w:keepNext/>
        <w:jc w:val="both"/>
        <w:rPr>
          <w:color w:val="000000"/>
          <w:sz w:val="20"/>
          <w:szCs w:val="20"/>
        </w:rPr>
      </w:pPr>
      <w:r w:rsidRPr="009A6B10">
        <w:rPr>
          <w:color w:val="000000"/>
          <w:sz w:val="20"/>
          <w:szCs w:val="20"/>
        </w:rPr>
        <w:t>Prameň: prepočty VÚEPP s použitím prameňov:</w:t>
      </w:r>
    </w:p>
    <w:p w:rsidR="009A6B10" w:rsidRPr="009A6B10" w:rsidRDefault="009A6B10" w:rsidP="009A6B10">
      <w:pPr>
        <w:keepNext/>
        <w:tabs>
          <w:tab w:val="left" w:pos="709"/>
          <w:tab w:val="center" w:pos="4536"/>
          <w:tab w:val="right" w:pos="9072"/>
        </w:tabs>
        <w:rPr>
          <w:rFonts w:cs="Calibri"/>
          <w:color w:val="000000"/>
          <w:sz w:val="20"/>
          <w:szCs w:val="20"/>
        </w:rPr>
      </w:pPr>
      <w:r w:rsidRPr="009A6B10">
        <w:rPr>
          <w:rFonts w:cs="Calibri"/>
          <w:color w:val="000000"/>
          <w:sz w:val="20"/>
          <w:szCs w:val="20"/>
          <w:vertAlign w:val="superscript"/>
        </w:rPr>
        <w:t>1)</w:t>
      </w:r>
      <w:r w:rsidRPr="009A6B10">
        <w:rPr>
          <w:rFonts w:cs="Calibri"/>
          <w:color w:val="000000"/>
          <w:sz w:val="20"/>
          <w:szCs w:val="20"/>
        </w:rPr>
        <w:t xml:space="preserve"> vypočítané z vyžiadaných údajov zo ŠÚ SR a databázy </w:t>
      </w:r>
      <w:proofErr w:type="spellStart"/>
      <w:r w:rsidRPr="009A6B10">
        <w:rPr>
          <w:rFonts w:cs="Calibri"/>
          <w:color w:val="000000"/>
          <w:sz w:val="20"/>
          <w:szCs w:val="20"/>
        </w:rPr>
        <w:t>Slovstat-ŠÚ</w:t>
      </w:r>
      <w:proofErr w:type="spellEnd"/>
      <w:r w:rsidRPr="009A6B10">
        <w:rPr>
          <w:rFonts w:cs="Calibri"/>
          <w:color w:val="000000"/>
          <w:sz w:val="20"/>
          <w:szCs w:val="20"/>
        </w:rPr>
        <w:t xml:space="preserve"> SR; členenie podľa štatistickej klasifikácie ESNU95,SK NACE Rev. 2</w:t>
      </w:r>
    </w:p>
    <w:p w:rsidR="009A6B10" w:rsidRPr="009A6B10" w:rsidRDefault="009A6B10" w:rsidP="009A6B10">
      <w:pPr>
        <w:keepNext/>
        <w:tabs>
          <w:tab w:val="left" w:pos="709"/>
          <w:tab w:val="center" w:pos="4536"/>
          <w:tab w:val="right" w:pos="9072"/>
        </w:tabs>
        <w:rPr>
          <w:rFonts w:cs="Calibri"/>
          <w:sz w:val="20"/>
          <w:szCs w:val="20"/>
        </w:rPr>
      </w:pPr>
      <w:r w:rsidRPr="009A6B10">
        <w:rPr>
          <w:rFonts w:cs="Calibri"/>
          <w:sz w:val="20"/>
          <w:szCs w:val="20"/>
          <w:vertAlign w:val="superscript"/>
        </w:rPr>
        <w:t>2)</w:t>
      </w:r>
      <w:r w:rsidRPr="009A6B10">
        <w:rPr>
          <w:rFonts w:cs="Calibri"/>
          <w:sz w:val="20"/>
          <w:szCs w:val="20"/>
        </w:rPr>
        <w:t xml:space="preserve"> ŠÚ SR</w:t>
      </w:r>
    </w:p>
    <w:p w:rsidR="009A6B10" w:rsidRPr="009A6B10" w:rsidRDefault="009A6B10" w:rsidP="009A6B10">
      <w:pPr>
        <w:keepNext/>
        <w:tabs>
          <w:tab w:val="left" w:pos="709"/>
          <w:tab w:val="center" w:pos="4536"/>
          <w:tab w:val="right" w:pos="9072"/>
        </w:tabs>
        <w:rPr>
          <w:rFonts w:cs="Calibri"/>
          <w:color w:val="000000"/>
          <w:sz w:val="20"/>
          <w:szCs w:val="20"/>
        </w:rPr>
      </w:pPr>
      <w:r w:rsidRPr="009A6B10">
        <w:rPr>
          <w:rFonts w:cs="Calibri"/>
          <w:color w:val="000000"/>
          <w:sz w:val="20"/>
          <w:szCs w:val="20"/>
        </w:rPr>
        <w:t xml:space="preserve">* pomer priemernej mzdy odvetvia k priemernej mzde v národnej ekonomike </w:t>
      </w:r>
      <w:r w:rsidRPr="009A6B10">
        <w:rPr>
          <w:color w:val="000000"/>
          <w:sz w:val="20"/>
          <w:szCs w:val="20"/>
        </w:rPr>
        <w:t>s. c. (v tejto tabuľke aj k nej prislúchajúcej časti textu) = stále ceny vypočítané reťazením objemov k referenčnému roku 2005</w:t>
      </w:r>
    </w:p>
    <w:p w:rsidR="009A6B10" w:rsidRPr="009A6B10" w:rsidRDefault="009A6B10" w:rsidP="009A6B10">
      <w:pPr>
        <w:jc w:val="both"/>
      </w:pPr>
    </w:p>
    <w:p w:rsidR="009A6B10" w:rsidRPr="009A6B10" w:rsidRDefault="009A6B10" w:rsidP="009A6B10">
      <w:pPr>
        <w:ind w:firstLine="426"/>
        <w:jc w:val="both"/>
      </w:pPr>
      <w:r w:rsidRPr="009A6B10">
        <w:rPr>
          <w:b/>
          <w:color w:val="000000"/>
        </w:rPr>
        <w:lastRenderedPageBreak/>
        <w:t>Výsledky hospodárenia v potravinárskom priemysle</w:t>
      </w:r>
      <w:r w:rsidRPr="009A6B10">
        <w:rPr>
          <w:color w:val="000000"/>
        </w:rPr>
        <w:t xml:space="preserve"> dosahovali v priebehu rokov 2008 až 2012 kladné výsledky hospodárenia pred zdanením, s najvyšším výsledkom hospodárenia v roku 2009, kedy bol zaznamenaný zisk vo výške 154,3 mil. €. </w:t>
      </w:r>
      <w:r w:rsidRPr="009A6B10">
        <w:t>V roku 2010</w:t>
      </w:r>
      <w:r w:rsidRPr="009A6B10">
        <w:rPr>
          <w:b/>
        </w:rPr>
        <w:t xml:space="preserve"> </w:t>
      </w:r>
      <w:r w:rsidRPr="009A6B10">
        <w:t xml:space="preserve">výsledok hospodárenia dosiahol najnižšiu hodnotu 25, 8 mil. €. V rokoch 2011 a 2012 došlo k oživeniu ekonomickej výkonnosti potravinárskeho priemyslu, kedy bol dosiahnutý výsledok hospodárenia pred zdanením vo výške 40,7  a 74,3 mil. €. </w:t>
      </w:r>
    </w:p>
    <w:p w:rsidR="009A6B10" w:rsidRPr="009A6B10" w:rsidRDefault="009A6B10" w:rsidP="009A6B10">
      <w:pPr>
        <w:ind w:firstLine="426"/>
        <w:jc w:val="both"/>
      </w:pPr>
    </w:p>
    <w:p w:rsidR="009A6B10" w:rsidRPr="009A6B10" w:rsidRDefault="00CB5F71" w:rsidP="009A6B10">
      <w:pPr>
        <w:keepNext/>
        <w:ind w:firstLine="708"/>
      </w:pPr>
      <w:r>
        <w:rPr>
          <w:noProof/>
        </w:rPr>
        <w:pict>
          <v:shape id="_x0000_i1060" type="#_x0000_t75" style="width:343.5pt;height:188.25pt;visibility:visible">
            <v:imagedata r:id="rId54" o:title=""/>
          </v:shape>
        </w:pict>
      </w:r>
    </w:p>
    <w:p w:rsidR="009A6B10" w:rsidRPr="009A6B10" w:rsidRDefault="009A6B10" w:rsidP="009A6B10">
      <w:pPr>
        <w:keepNext/>
        <w:ind w:firstLine="708"/>
        <w:jc w:val="both"/>
        <w:rPr>
          <w:color w:val="000000"/>
          <w:sz w:val="20"/>
          <w:szCs w:val="20"/>
        </w:rPr>
      </w:pPr>
      <w:r w:rsidRPr="009A6B10">
        <w:rPr>
          <w:color w:val="000000"/>
          <w:sz w:val="20"/>
          <w:szCs w:val="20"/>
        </w:rPr>
        <w:t xml:space="preserve">Prameň: ŠÚ SR </w:t>
      </w:r>
    </w:p>
    <w:p w:rsidR="009A6B10" w:rsidRPr="009A6B10" w:rsidRDefault="009A6B10" w:rsidP="009A6B10">
      <w:pPr>
        <w:ind w:firstLine="426"/>
        <w:jc w:val="both"/>
      </w:pPr>
    </w:p>
    <w:p w:rsidR="009A6B10" w:rsidRPr="009A6B10" w:rsidRDefault="009A6B10" w:rsidP="009A6B10">
      <w:pPr>
        <w:ind w:firstLine="426"/>
        <w:jc w:val="both"/>
      </w:pPr>
      <w:r w:rsidRPr="009A6B10">
        <w:t xml:space="preserve">Napriek istým náznakom oživenia výroby výrobkov potravinárskeho priemyslu v roku 2012 evidentne prevládajú tendencie dlhodobého poklesu.   </w:t>
      </w:r>
    </w:p>
    <w:p w:rsidR="009A6B10" w:rsidRPr="009A6B10" w:rsidRDefault="009A6B10" w:rsidP="009A6B10">
      <w:pPr>
        <w:keepNext/>
        <w:spacing w:before="240"/>
        <w:jc w:val="both"/>
      </w:pPr>
      <w:r w:rsidRPr="009A6B10">
        <w:rPr>
          <w:b/>
        </w:rPr>
        <w:t>Vývoj výroby potravinárskeho priemyslu</w:t>
      </w:r>
      <w:r w:rsidRPr="009A6B10">
        <w:rPr>
          <w:b/>
        </w:rPr>
        <w:tab/>
      </w:r>
      <w:r w:rsidRPr="009A6B10">
        <w:rPr>
          <w:b/>
        </w:rPr>
        <w:tab/>
      </w:r>
      <w:r w:rsidRPr="009A6B10">
        <w:rPr>
          <w:b/>
        </w:rPr>
        <w:tab/>
      </w:r>
      <w:r w:rsidRPr="009A6B10">
        <w:rPr>
          <w:b/>
        </w:rPr>
        <w:tab/>
      </w:r>
      <w:r w:rsidRPr="009A6B10">
        <w:rPr>
          <w:b/>
        </w:rPr>
        <w:tab/>
      </w:r>
      <w:r w:rsidRPr="009A6B10">
        <w:t xml:space="preserve"> </w:t>
      </w:r>
    </w:p>
    <w:tbl>
      <w:tblPr>
        <w:tblW w:w="8964" w:type="dxa"/>
        <w:tblInd w:w="55" w:type="dxa"/>
        <w:tblCellMar>
          <w:left w:w="70" w:type="dxa"/>
          <w:right w:w="70" w:type="dxa"/>
        </w:tblCellMar>
        <w:tblLook w:val="00A0" w:firstRow="1" w:lastRow="0" w:firstColumn="1" w:lastColumn="0" w:noHBand="0" w:noVBand="0"/>
      </w:tblPr>
      <w:tblGrid>
        <w:gridCol w:w="2480"/>
        <w:gridCol w:w="967"/>
        <w:gridCol w:w="760"/>
        <w:gridCol w:w="760"/>
        <w:gridCol w:w="760"/>
        <w:gridCol w:w="760"/>
        <w:gridCol w:w="760"/>
        <w:gridCol w:w="927"/>
        <w:gridCol w:w="927"/>
      </w:tblGrid>
      <w:tr w:rsidR="009A6B10" w:rsidRPr="009A6B10" w:rsidTr="009A6B10">
        <w:trPr>
          <w:trHeight w:val="300"/>
        </w:trPr>
        <w:tc>
          <w:tcPr>
            <w:tcW w:w="2480" w:type="dxa"/>
            <w:vMerge w:val="restart"/>
            <w:tcBorders>
              <w:top w:val="single" w:sz="8" w:space="0" w:color="auto"/>
              <w:left w:val="single" w:sz="8" w:space="0" w:color="auto"/>
              <w:bottom w:val="double" w:sz="6" w:space="0" w:color="000000"/>
              <w:right w:val="double" w:sz="6" w:space="0" w:color="auto"/>
            </w:tcBorders>
            <w:noWrap/>
            <w:vAlign w:val="center"/>
          </w:tcPr>
          <w:p w:rsidR="009A6B10" w:rsidRPr="009A6B10" w:rsidRDefault="009A6B10" w:rsidP="009A6B10">
            <w:pPr>
              <w:keepNext/>
            </w:pPr>
            <w:r w:rsidRPr="009A6B10">
              <w:t>Druh výroby</w:t>
            </w:r>
          </w:p>
        </w:tc>
        <w:tc>
          <w:tcPr>
            <w:tcW w:w="960" w:type="dxa"/>
            <w:tcBorders>
              <w:top w:val="single" w:sz="8" w:space="0" w:color="auto"/>
              <w:left w:val="nil"/>
              <w:bottom w:val="nil"/>
              <w:right w:val="single" w:sz="4" w:space="0" w:color="auto"/>
            </w:tcBorders>
            <w:noWrap/>
            <w:vAlign w:val="bottom"/>
          </w:tcPr>
          <w:p w:rsidR="009A6B10" w:rsidRPr="009A6B10" w:rsidRDefault="009A6B10" w:rsidP="009A6B10">
            <w:pPr>
              <w:keepNext/>
              <w:jc w:val="center"/>
            </w:pPr>
            <w:r w:rsidRPr="009A6B10">
              <w:t>Merná</w:t>
            </w:r>
          </w:p>
        </w:tc>
        <w:tc>
          <w:tcPr>
            <w:tcW w:w="3800" w:type="dxa"/>
            <w:gridSpan w:val="5"/>
            <w:tcBorders>
              <w:top w:val="single" w:sz="8" w:space="0" w:color="auto"/>
              <w:left w:val="nil"/>
              <w:bottom w:val="single" w:sz="4" w:space="0" w:color="auto"/>
              <w:right w:val="single" w:sz="4" w:space="0" w:color="000000"/>
            </w:tcBorders>
            <w:noWrap/>
            <w:vAlign w:val="bottom"/>
          </w:tcPr>
          <w:p w:rsidR="009A6B10" w:rsidRPr="009A6B10" w:rsidRDefault="009A6B10" w:rsidP="009A6B10">
            <w:pPr>
              <w:keepNext/>
              <w:jc w:val="center"/>
            </w:pPr>
            <w:r w:rsidRPr="009A6B10">
              <w:t>Skutočnosť</w:t>
            </w:r>
          </w:p>
        </w:tc>
        <w:tc>
          <w:tcPr>
            <w:tcW w:w="862" w:type="dxa"/>
            <w:tcBorders>
              <w:top w:val="single" w:sz="8" w:space="0" w:color="auto"/>
              <w:left w:val="nil"/>
              <w:bottom w:val="nil"/>
              <w:right w:val="nil"/>
            </w:tcBorders>
            <w:noWrap/>
            <w:vAlign w:val="bottom"/>
          </w:tcPr>
          <w:p w:rsidR="009A6B10" w:rsidRPr="009A6B10" w:rsidRDefault="009A6B10" w:rsidP="009A6B10">
            <w:pPr>
              <w:keepNext/>
              <w:jc w:val="center"/>
            </w:pPr>
            <w:r w:rsidRPr="009A6B10">
              <w:t>Index</w:t>
            </w:r>
          </w:p>
        </w:tc>
        <w:tc>
          <w:tcPr>
            <w:tcW w:w="862" w:type="dxa"/>
            <w:tcBorders>
              <w:top w:val="single" w:sz="8" w:space="0" w:color="auto"/>
              <w:left w:val="single" w:sz="4" w:space="0" w:color="auto"/>
              <w:bottom w:val="nil"/>
              <w:right w:val="single" w:sz="8" w:space="0" w:color="auto"/>
            </w:tcBorders>
            <w:noWrap/>
            <w:vAlign w:val="bottom"/>
          </w:tcPr>
          <w:p w:rsidR="009A6B10" w:rsidRPr="009A6B10" w:rsidRDefault="009A6B10" w:rsidP="009A6B10">
            <w:pPr>
              <w:keepNext/>
              <w:jc w:val="center"/>
            </w:pPr>
            <w:r w:rsidRPr="009A6B10">
              <w:t>Index</w:t>
            </w:r>
          </w:p>
        </w:tc>
      </w:tr>
      <w:tr w:rsidR="009A6B10" w:rsidRPr="009A6B10" w:rsidTr="009A6B10">
        <w:trPr>
          <w:trHeight w:val="315"/>
        </w:trPr>
        <w:tc>
          <w:tcPr>
            <w:tcW w:w="2480" w:type="dxa"/>
            <w:vMerge/>
            <w:tcBorders>
              <w:top w:val="single" w:sz="8" w:space="0" w:color="auto"/>
              <w:left w:val="single" w:sz="8" w:space="0" w:color="auto"/>
              <w:bottom w:val="double" w:sz="6" w:space="0" w:color="000000"/>
              <w:right w:val="double" w:sz="6" w:space="0" w:color="auto"/>
            </w:tcBorders>
            <w:vAlign w:val="center"/>
          </w:tcPr>
          <w:p w:rsidR="009A6B10" w:rsidRPr="009A6B10" w:rsidRDefault="009A6B10" w:rsidP="009A6B10">
            <w:pPr>
              <w:keepNext/>
            </w:pPr>
          </w:p>
        </w:tc>
        <w:tc>
          <w:tcPr>
            <w:tcW w:w="960" w:type="dxa"/>
            <w:tcBorders>
              <w:top w:val="nil"/>
              <w:left w:val="nil"/>
              <w:bottom w:val="double" w:sz="6" w:space="0" w:color="auto"/>
              <w:right w:val="single" w:sz="4" w:space="0" w:color="auto"/>
            </w:tcBorders>
            <w:noWrap/>
            <w:vAlign w:val="bottom"/>
          </w:tcPr>
          <w:p w:rsidR="009A6B10" w:rsidRPr="009A6B10" w:rsidRDefault="009A6B10" w:rsidP="009A6B10">
            <w:pPr>
              <w:keepNext/>
              <w:jc w:val="center"/>
            </w:pPr>
            <w:r w:rsidRPr="009A6B10">
              <w:t>jednotka</w:t>
            </w:r>
          </w:p>
        </w:tc>
        <w:tc>
          <w:tcPr>
            <w:tcW w:w="760" w:type="dxa"/>
            <w:tcBorders>
              <w:top w:val="nil"/>
              <w:left w:val="nil"/>
              <w:bottom w:val="double" w:sz="6" w:space="0" w:color="auto"/>
              <w:right w:val="single" w:sz="4" w:space="0" w:color="auto"/>
            </w:tcBorders>
            <w:noWrap/>
            <w:vAlign w:val="bottom"/>
          </w:tcPr>
          <w:p w:rsidR="009A6B10" w:rsidRPr="009A6B10" w:rsidRDefault="009A6B10" w:rsidP="009A6B10">
            <w:pPr>
              <w:keepNext/>
              <w:jc w:val="center"/>
            </w:pPr>
            <w:r w:rsidRPr="009A6B10">
              <w:t>2008</w:t>
            </w:r>
          </w:p>
        </w:tc>
        <w:tc>
          <w:tcPr>
            <w:tcW w:w="760" w:type="dxa"/>
            <w:tcBorders>
              <w:top w:val="nil"/>
              <w:left w:val="nil"/>
              <w:bottom w:val="double" w:sz="6" w:space="0" w:color="auto"/>
              <w:right w:val="single" w:sz="4" w:space="0" w:color="auto"/>
            </w:tcBorders>
            <w:noWrap/>
            <w:vAlign w:val="bottom"/>
          </w:tcPr>
          <w:p w:rsidR="009A6B10" w:rsidRPr="009A6B10" w:rsidRDefault="009A6B10" w:rsidP="009A6B10">
            <w:pPr>
              <w:keepNext/>
              <w:jc w:val="center"/>
            </w:pPr>
            <w:r w:rsidRPr="009A6B10">
              <w:t>2009</w:t>
            </w:r>
          </w:p>
        </w:tc>
        <w:tc>
          <w:tcPr>
            <w:tcW w:w="760" w:type="dxa"/>
            <w:tcBorders>
              <w:top w:val="nil"/>
              <w:left w:val="nil"/>
              <w:bottom w:val="double" w:sz="6" w:space="0" w:color="auto"/>
              <w:right w:val="single" w:sz="4" w:space="0" w:color="auto"/>
            </w:tcBorders>
            <w:noWrap/>
            <w:vAlign w:val="bottom"/>
          </w:tcPr>
          <w:p w:rsidR="009A6B10" w:rsidRPr="009A6B10" w:rsidRDefault="009A6B10" w:rsidP="009A6B10">
            <w:pPr>
              <w:keepNext/>
              <w:jc w:val="center"/>
            </w:pPr>
            <w:r w:rsidRPr="009A6B10">
              <w:t>2010</w:t>
            </w:r>
          </w:p>
        </w:tc>
        <w:tc>
          <w:tcPr>
            <w:tcW w:w="760" w:type="dxa"/>
            <w:tcBorders>
              <w:top w:val="nil"/>
              <w:left w:val="nil"/>
              <w:bottom w:val="double" w:sz="6" w:space="0" w:color="auto"/>
              <w:right w:val="single" w:sz="4" w:space="0" w:color="auto"/>
            </w:tcBorders>
            <w:noWrap/>
            <w:vAlign w:val="bottom"/>
          </w:tcPr>
          <w:p w:rsidR="009A6B10" w:rsidRPr="009A6B10" w:rsidRDefault="009A6B10" w:rsidP="009A6B10">
            <w:pPr>
              <w:keepNext/>
              <w:jc w:val="center"/>
            </w:pPr>
            <w:r w:rsidRPr="009A6B10">
              <w:t>2011</w:t>
            </w:r>
          </w:p>
        </w:tc>
        <w:tc>
          <w:tcPr>
            <w:tcW w:w="760" w:type="dxa"/>
            <w:tcBorders>
              <w:top w:val="nil"/>
              <w:left w:val="nil"/>
              <w:bottom w:val="double" w:sz="6" w:space="0" w:color="auto"/>
              <w:right w:val="single" w:sz="4" w:space="0" w:color="auto"/>
            </w:tcBorders>
            <w:noWrap/>
            <w:vAlign w:val="bottom"/>
          </w:tcPr>
          <w:p w:rsidR="009A6B10" w:rsidRPr="009A6B10" w:rsidRDefault="009A6B10" w:rsidP="009A6B10">
            <w:pPr>
              <w:keepNext/>
              <w:jc w:val="center"/>
            </w:pPr>
            <w:r w:rsidRPr="009A6B10">
              <w:t>2012</w:t>
            </w:r>
          </w:p>
        </w:tc>
        <w:tc>
          <w:tcPr>
            <w:tcW w:w="862" w:type="dxa"/>
            <w:tcBorders>
              <w:top w:val="single" w:sz="4" w:space="0" w:color="auto"/>
              <w:left w:val="nil"/>
              <w:bottom w:val="double" w:sz="6" w:space="0" w:color="auto"/>
              <w:right w:val="nil"/>
            </w:tcBorders>
            <w:noWrap/>
            <w:vAlign w:val="bottom"/>
          </w:tcPr>
          <w:p w:rsidR="009A6B10" w:rsidRPr="009A6B10" w:rsidRDefault="009A6B10" w:rsidP="009A6B10">
            <w:pPr>
              <w:keepNext/>
              <w:jc w:val="center"/>
            </w:pPr>
            <w:r w:rsidRPr="009A6B10">
              <w:t>2012/08</w:t>
            </w:r>
          </w:p>
        </w:tc>
        <w:tc>
          <w:tcPr>
            <w:tcW w:w="862" w:type="dxa"/>
            <w:tcBorders>
              <w:top w:val="single" w:sz="4" w:space="0" w:color="auto"/>
              <w:left w:val="single" w:sz="4" w:space="0" w:color="auto"/>
              <w:bottom w:val="double" w:sz="6" w:space="0" w:color="auto"/>
              <w:right w:val="single" w:sz="8" w:space="0" w:color="auto"/>
            </w:tcBorders>
            <w:noWrap/>
            <w:vAlign w:val="bottom"/>
          </w:tcPr>
          <w:p w:rsidR="009A6B10" w:rsidRPr="009A6B10" w:rsidRDefault="009A6B10" w:rsidP="009A6B10">
            <w:pPr>
              <w:keepNext/>
              <w:jc w:val="center"/>
            </w:pPr>
            <w:r w:rsidRPr="009A6B10">
              <w:t>2012/11</w:t>
            </w:r>
          </w:p>
        </w:tc>
      </w:tr>
      <w:tr w:rsidR="009A6B10" w:rsidRPr="009A6B10" w:rsidTr="009A6B10">
        <w:trPr>
          <w:trHeight w:val="315"/>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Výrobky z mäsa</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111.2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99.8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96.3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93.7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87.2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78.4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93.1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Syry spolu</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50.1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45.5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41.2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43.5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44.7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89.2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102.8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Maslo</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11.8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10.1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10.0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12.2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12.2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103.4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100.0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Pšeničná múka</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380.4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337.2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404.9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434.0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396.8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104.3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91.4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Chlieb a čerstvé pečivo</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179.6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183.8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177.9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148.2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149.8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83.4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101.1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Cestoviny</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16.7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14.9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12.6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12.4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12.3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73.8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99.7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Zabitá hydina</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75.1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79.1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87.9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72.3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75.9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101.0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105.0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Pivo</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mil.</w:t>
            </w:r>
            <w:r w:rsidR="005259DF">
              <w:t xml:space="preserve"> </w:t>
            </w:r>
            <w:r w:rsidRPr="009A6B10">
              <w:t>l</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355.1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350.7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323.8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312.4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320.6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90.3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102.6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 xml:space="preserve">Jedlé </w:t>
            </w:r>
            <w:proofErr w:type="spellStart"/>
            <w:r w:rsidRPr="009A6B10">
              <w:t>rastl</w:t>
            </w:r>
            <w:proofErr w:type="spellEnd"/>
            <w:r w:rsidRPr="009A6B10">
              <w:t>. tuky a oleje</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71.8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52.7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94.6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62.6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45.0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62.7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72.0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Ovocné výrobky</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5.1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4.3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7.5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7.2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4.5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89.3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62.7 </w:t>
            </w:r>
          </w:p>
        </w:tc>
      </w:tr>
      <w:tr w:rsidR="009A6B10" w:rsidRPr="009A6B10" w:rsidTr="009A6B10">
        <w:trPr>
          <w:trHeight w:val="300"/>
        </w:trPr>
        <w:tc>
          <w:tcPr>
            <w:tcW w:w="2480" w:type="dxa"/>
            <w:tcBorders>
              <w:top w:val="nil"/>
              <w:left w:val="single" w:sz="8" w:space="0" w:color="auto"/>
              <w:bottom w:val="nil"/>
              <w:right w:val="double" w:sz="6" w:space="0" w:color="auto"/>
            </w:tcBorders>
            <w:noWrap/>
            <w:vAlign w:val="bottom"/>
          </w:tcPr>
          <w:p w:rsidR="009A6B10" w:rsidRPr="009A6B10" w:rsidRDefault="009A6B10" w:rsidP="009A6B10">
            <w:pPr>
              <w:keepNext/>
            </w:pPr>
            <w:r w:rsidRPr="009A6B10">
              <w:t>Zeleninové výrobky</w:t>
            </w:r>
          </w:p>
        </w:tc>
        <w:tc>
          <w:tcPr>
            <w:tcW w:w="960" w:type="dxa"/>
            <w:tcBorders>
              <w:top w:val="nil"/>
              <w:left w:val="nil"/>
              <w:bottom w:val="nil"/>
              <w:right w:val="single" w:sz="4" w:space="0" w:color="auto"/>
            </w:tcBorders>
            <w:noWrap/>
            <w:vAlign w:val="bottom"/>
          </w:tcPr>
          <w:p w:rsidR="009A6B10" w:rsidRPr="009A6B10" w:rsidRDefault="009A6B10" w:rsidP="009A6B10">
            <w:pPr>
              <w:keepNext/>
              <w:jc w:val="center"/>
            </w:pPr>
            <w:r w:rsidRPr="009A6B10">
              <w:t>tis.</w:t>
            </w:r>
            <w:r w:rsidR="005259DF">
              <w:t xml:space="preserve"> </w:t>
            </w:r>
            <w:r w:rsidRPr="009A6B10">
              <w:t>t</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52.6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33.1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29.4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29.2 </w:t>
            </w:r>
          </w:p>
        </w:tc>
        <w:tc>
          <w:tcPr>
            <w:tcW w:w="760" w:type="dxa"/>
            <w:tcBorders>
              <w:top w:val="nil"/>
              <w:left w:val="nil"/>
              <w:bottom w:val="nil"/>
              <w:right w:val="single" w:sz="4" w:space="0" w:color="auto"/>
            </w:tcBorders>
            <w:noWrap/>
            <w:vAlign w:val="bottom"/>
          </w:tcPr>
          <w:p w:rsidR="009A6B10" w:rsidRPr="009A6B10" w:rsidRDefault="009A6B10" w:rsidP="009A6B10">
            <w:pPr>
              <w:keepNext/>
              <w:jc w:val="right"/>
            </w:pPr>
            <w:r w:rsidRPr="009A6B10">
              <w:t xml:space="preserve">39.2 </w:t>
            </w:r>
          </w:p>
        </w:tc>
        <w:tc>
          <w:tcPr>
            <w:tcW w:w="862" w:type="dxa"/>
            <w:tcBorders>
              <w:top w:val="nil"/>
              <w:left w:val="nil"/>
              <w:bottom w:val="nil"/>
              <w:right w:val="nil"/>
            </w:tcBorders>
            <w:noWrap/>
            <w:vAlign w:val="bottom"/>
          </w:tcPr>
          <w:p w:rsidR="009A6B10" w:rsidRPr="009A6B10" w:rsidRDefault="009A6B10" w:rsidP="009A6B10">
            <w:pPr>
              <w:keepNext/>
              <w:jc w:val="right"/>
            </w:pPr>
            <w:r w:rsidRPr="009A6B10">
              <w:t xml:space="preserve">74.5 </w:t>
            </w:r>
          </w:p>
        </w:tc>
        <w:tc>
          <w:tcPr>
            <w:tcW w:w="862" w:type="dxa"/>
            <w:tcBorders>
              <w:top w:val="nil"/>
              <w:left w:val="single" w:sz="4" w:space="0" w:color="auto"/>
              <w:bottom w:val="nil"/>
              <w:right w:val="single" w:sz="8" w:space="0" w:color="auto"/>
            </w:tcBorders>
            <w:noWrap/>
            <w:vAlign w:val="bottom"/>
          </w:tcPr>
          <w:p w:rsidR="009A6B10" w:rsidRPr="009A6B10" w:rsidRDefault="009A6B10" w:rsidP="009A6B10">
            <w:pPr>
              <w:keepNext/>
              <w:jc w:val="right"/>
            </w:pPr>
            <w:r w:rsidRPr="009A6B10">
              <w:t xml:space="preserve">134.0 </w:t>
            </w:r>
          </w:p>
        </w:tc>
      </w:tr>
      <w:tr w:rsidR="009A6B10" w:rsidRPr="009A6B10" w:rsidTr="009A6B10">
        <w:trPr>
          <w:trHeight w:val="315"/>
        </w:trPr>
        <w:tc>
          <w:tcPr>
            <w:tcW w:w="2480" w:type="dxa"/>
            <w:tcBorders>
              <w:top w:val="nil"/>
              <w:left w:val="single" w:sz="8" w:space="0" w:color="auto"/>
              <w:bottom w:val="single" w:sz="8" w:space="0" w:color="auto"/>
              <w:right w:val="double" w:sz="6" w:space="0" w:color="auto"/>
            </w:tcBorders>
            <w:noWrap/>
            <w:vAlign w:val="bottom"/>
          </w:tcPr>
          <w:p w:rsidR="009A6B10" w:rsidRPr="009A6B10" w:rsidRDefault="009A6B10" w:rsidP="009A6B10">
            <w:pPr>
              <w:keepNext/>
            </w:pPr>
            <w:r w:rsidRPr="009A6B10">
              <w:t>Víno</w:t>
            </w:r>
          </w:p>
        </w:tc>
        <w:tc>
          <w:tcPr>
            <w:tcW w:w="960" w:type="dxa"/>
            <w:tcBorders>
              <w:top w:val="nil"/>
              <w:left w:val="nil"/>
              <w:bottom w:val="single" w:sz="8" w:space="0" w:color="auto"/>
              <w:right w:val="nil"/>
            </w:tcBorders>
            <w:noWrap/>
            <w:vAlign w:val="bottom"/>
          </w:tcPr>
          <w:p w:rsidR="009A6B10" w:rsidRPr="009A6B10" w:rsidRDefault="009A6B10" w:rsidP="009A6B10">
            <w:pPr>
              <w:keepNext/>
              <w:jc w:val="center"/>
            </w:pPr>
            <w:r w:rsidRPr="009A6B10">
              <w:t>mil.</w:t>
            </w:r>
            <w:r w:rsidR="005259DF">
              <w:t xml:space="preserve"> </w:t>
            </w:r>
            <w:r w:rsidRPr="009A6B10">
              <w:t>l</w:t>
            </w:r>
          </w:p>
        </w:tc>
        <w:tc>
          <w:tcPr>
            <w:tcW w:w="760" w:type="dxa"/>
            <w:tcBorders>
              <w:top w:val="nil"/>
              <w:left w:val="nil"/>
              <w:bottom w:val="single" w:sz="8" w:space="0" w:color="auto"/>
              <w:right w:val="single" w:sz="4" w:space="0" w:color="auto"/>
            </w:tcBorders>
            <w:noWrap/>
            <w:vAlign w:val="bottom"/>
          </w:tcPr>
          <w:p w:rsidR="009A6B10" w:rsidRPr="009A6B10" w:rsidRDefault="009A6B10" w:rsidP="009A6B10">
            <w:pPr>
              <w:keepNext/>
              <w:jc w:val="right"/>
            </w:pPr>
            <w:r w:rsidRPr="009A6B10">
              <w:t xml:space="preserve">42.1 </w:t>
            </w:r>
          </w:p>
        </w:tc>
        <w:tc>
          <w:tcPr>
            <w:tcW w:w="760" w:type="dxa"/>
            <w:tcBorders>
              <w:top w:val="nil"/>
              <w:left w:val="nil"/>
              <w:bottom w:val="single" w:sz="8" w:space="0" w:color="auto"/>
              <w:right w:val="single" w:sz="4" w:space="0" w:color="auto"/>
            </w:tcBorders>
            <w:noWrap/>
            <w:vAlign w:val="bottom"/>
          </w:tcPr>
          <w:p w:rsidR="009A6B10" w:rsidRPr="009A6B10" w:rsidRDefault="009A6B10" w:rsidP="009A6B10">
            <w:pPr>
              <w:keepNext/>
              <w:jc w:val="right"/>
            </w:pPr>
            <w:r w:rsidRPr="009A6B10">
              <w:t xml:space="preserve">32.1 </w:t>
            </w:r>
          </w:p>
        </w:tc>
        <w:tc>
          <w:tcPr>
            <w:tcW w:w="760" w:type="dxa"/>
            <w:tcBorders>
              <w:top w:val="nil"/>
              <w:left w:val="nil"/>
              <w:bottom w:val="single" w:sz="8" w:space="0" w:color="auto"/>
              <w:right w:val="single" w:sz="4" w:space="0" w:color="auto"/>
            </w:tcBorders>
            <w:noWrap/>
            <w:vAlign w:val="bottom"/>
          </w:tcPr>
          <w:p w:rsidR="009A6B10" w:rsidRPr="009A6B10" w:rsidRDefault="009A6B10" w:rsidP="009A6B10">
            <w:pPr>
              <w:keepNext/>
              <w:jc w:val="right"/>
            </w:pPr>
            <w:r w:rsidRPr="009A6B10">
              <w:t xml:space="preserve">34.8 </w:t>
            </w:r>
          </w:p>
        </w:tc>
        <w:tc>
          <w:tcPr>
            <w:tcW w:w="760" w:type="dxa"/>
            <w:tcBorders>
              <w:top w:val="nil"/>
              <w:left w:val="nil"/>
              <w:bottom w:val="single" w:sz="8" w:space="0" w:color="auto"/>
              <w:right w:val="single" w:sz="4" w:space="0" w:color="auto"/>
            </w:tcBorders>
            <w:noWrap/>
            <w:vAlign w:val="bottom"/>
          </w:tcPr>
          <w:p w:rsidR="009A6B10" w:rsidRPr="009A6B10" w:rsidRDefault="009A6B10" w:rsidP="009A6B10">
            <w:pPr>
              <w:keepNext/>
              <w:jc w:val="right"/>
            </w:pPr>
            <w:r w:rsidRPr="009A6B10">
              <w:t xml:space="preserve">44.6 </w:t>
            </w:r>
          </w:p>
        </w:tc>
        <w:tc>
          <w:tcPr>
            <w:tcW w:w="760" w:type="dxa"/>
            <w:tcBorders>
              <w:top w:val="nil"/>
              <w:left w:val="nil"/>
              <w:bottom w:val="single" w:sz="8" w:space="0" w:color="auto"/>
              <w:right w:val="single" w:sz="4" w:space="0" w:color="auto"/>
            </w:tcBorders>
            <w:noWrap/>
            <w:vAlign w:val="bottom"/>
          </w:tcPr>
          <w:p w:rsidR="009A6B10" w:rsidRPr="009A6B10" w:rsidRDefault="009A6B10" w:rsidP="009A6B10">
            <w:pPr>
              <w:keepNext/>
              <w:jc w:val="right"/>
            </w:pPr>
            <w:r w:rsidRPr="009A6B10">
              <w:t xml:space="preserve">43.7 </w:t>
            </w:r>
          </w:p>
        </w:tc>
        <w:tc>
          <w:tcPr>
            <w:tcW w:w="862" w:type="dxa"/>
            <w:tcBorders>
              <w:top w:val="nil"/>
              <w:left w:val="nil"/>
              <w:bottom w:val="single" w:sz="8" w:space="0" w:color="auto"/>
              <w:right w:val="nil"/>
            </w:tcBorders>
            <w:noWrap/>
            <w:vAlign w:val="bottom"/>
          </w:tcPr>
          <w:p w:rsidR="009A6B10" w:rsidRPr="009A6B10" w:rsidRDefault="009A6B10" w:rsidP="009A6B10">
            <w:pPr>
              <w:keepNext/>
              <w:jc w:val="right"/>
            </w:pPr>
            <w:r w:rsidRPr="009A6B10">
              <w:t xml:space="preserve">103.6 </w:t>
            </w:r>
          </w:p>
        </w:tc>
        <w:tc>
          <w:tcPr>
            <w:tcW w:w="862" w:type="dxa"/>
            <w:tcBorders>
              <w:top w:val="nil"/>
              <w:left w:val="single" w:sz="4" w:space="0" w:color="auto"/>
              <w:bottom w:val="single" w:sz="8" w:space="0" w:color="auto"/>
              <w:right w:val="single" w:sz="8" w:space="0" w:color="auto"/>
            </w:tcBorders>
            <w:noWrap/>
            <w:vAlign w:val="bottom"/>
          </w:tcPr>
          <w:p w:rsidR="009A6B10" w:rsidRPr="009A6B10" w:rsidRDefault="009A6B10" w:rsidP="009A6B10">
            <w:pPr>
              <w:keepNext/>
              <w:jc w:val="right"/>
            </w:pPr>
            <w:r w:rsidRPr="009A6B10">
              <w:t xml:space="preserve">97.8 </w:t>
            </w:r>
          </w:p>
        </w:tc>
      </w:tr>
    </w:tbl>
    <w:p w:rsidR="009A6B10" w:rsidRPr="009A6B10" w:rsidRDefault="009A6B10" w:rsidP="009A6B10">
      <w:pPr>
        <w:keepNext/>
        <w:jc w:val="both"/>
      </w:pPr>
      <w:r w:rsidRPr="009A6B10">
        <w:rPr>
          <w:sz w:val="20"/>
          <w:szCs w:val="20"/>
        </w:rPr>
        <w:t>Vypracoval: VÚEPP</w:t>
      </w:r>
    </w:p>
    <w:p w:rsidR="009A6B10" w:rsidRPr="009A6B10" w:rsidRDefault="009A6B10" w:rsidP="009A6B10">
      <w:pPr>
        <w:spacing w:before="240" w:after="60"/>
        <w:ind w:firstLine="425"/>
        <w:jc w:val="both"/>
        <w:rPr>
          <w:bCs/>
        </w:rPr>
      </w:pPr>
      <w:r w:rsidRPr="009A6B10">
        <w:rPr>
          <w:b/>
        </w:rPr>
        <w:t>V zahraničnoobchodnej výmene</w:t>
      </w:r>
      <w:r w:rsidRPr="009A6B10">
        <w:t xml:space="preserve"> pri poľnohospodársko</w:t>
      </w:r>
      <w:r w:rsidRPr="009A6B10">
        <w:noBreakHyphen/>
        <w:t>potravinárskych výrobkoch bolo v sledovaných rokoch dosiahnuté záporné saldo, ktoré sa medziročne v posledných dvoch rokoch znižovalo. V roku 2012 v</w:t>
      </w:r>
      <w:r w:rsidRPr="009A6B10">
        <w:rPr>
          <w:color w:val="000000"/>
        </w:rPr>
        <w:t xml:space="preserve">ýrazne vyššia dynamika rastu exportu v porovnaní s importom viedla k poklesu </w:t>
      </w:r>
      <w:r w:rsidRPr="009A6B10">
        <w:rPr>
          <w:b/>
        </w:rPr>
        <w:t>z</w:t>
      </w:r>
      <w:r w:rsidRPr="009A6B10">
        <w:rPr>
          <w:b/>
          <w:bCs/>
        </w:rPr>
        <w:t>áporného salda agropotravinárskeho obchodu</w:t>
      </w:r>
      <w:r w:rsidRPr="009A6B10">
        <w:t xml:space="preserve"> </w:t>
      </w:r>
      <w:r w:rsidRPr="009A6B10">
        <w:rPr>
          <w:color w:val="000000"/>
        </w:rPr>
        <w:t xml:space="preserve">o 58,8 %, t.j. z 805 mil. € </w:t>
      </w:r>
      <w:r w:rsidRPr="009A6B10">
        <w:t>na 332</w:t>
      </w:r>
      <w:r w:rsidRPr="009A6B10">
        <w:rPr>
          <w:bCs/>
        </w:rPr>
        <w:t xml:space="preserve"> mil. €.</w:t>
      </w:r>
    </w:p>
    <w:p w:rsidR="009A6B10" w:rsidRPr="009A6B10" w:rsidRDefault="00CB5F71" w:rsidP="009A6B10">
      <w:pPr>
        <w:keepNext/>
        <w:ind w:left="283" w:firstLine="426"/>
        <w:rPr>
          <w:lang w:eastAsia="cs-CZ"/>
        </w:rPr>
      </w:pPr>
      <w:r>
        <w:rPr>
          <w:noProof/>
        </w:rPr>
        <w:lastRenderedPageBreak/>
        <w:pict>
          <v:shape id="_x0000_i1061" type="#_x0000_t75" style="width:369pt;height:199.5pt;visibility:visible">
            <v:imagedata r:id="rId55" o:title=""/>
          </v:shape>
        </w:pict>
      </w:r>
    </w:p>
    <w:p w:rsidR="009A6B10" w:rsidRPr="009A6B10" w:rsidRDefault="009A6B10" w:rsidP="009A6B10">
      <w:pPr>
        <w:keepNext/>
        <w:ind w:left="283" w:firstLine="425"/>
        <w:rPr>
          <w:sz w:val="20"/>
          <w:szCs w:val="20"/>
          <w:lang w:eastAsia="cs-CZ"/>
        </w:rPr>
      </w:pPr>
      <w:r w:rsidRPr="009A6B10">
        <w:rPr>
          <w:sz w:val="20"/>
          <w:szCs w:val="20"/>
          <w:lang w:eastAsia="cs-CZ"/>
        </w:rPr>
        <w:t>Prameň: ŠÚ SR</w:t>
      </w:r>
    </w:p>
    <w:p w:rsidR="009A6B10" w:rsidRPr="009A6B10" w:rsidRDefault="009A6B10" w:rsidP="009A6B10">
      <w:pPr>
        <w:keepNext/>
        <w:ind w:left="283" w:hanging="283"/>
        <w:rPr>
          <w:sz w:val="20"/>
          <w:szCs w:val="20"/>
          <w:lang w:eastAsia="cs-CZ"/>
        </w:rPr>
      </w:pPr>
    </w:p>
    <w:p w:rsidR="002819E1" w:rsidRPr="002819E1" w:rsidRDefault="002819E1" w:rsidP="002819E1">
      <w:pPr>
        <w:rPr>
          <w:b/>
        </w:rPr>
      </w:pPr>
      <w:r w:rsidRPr="002819E1">
        <w:rPr>
          <w:b/>
        </w:rPr>
        <w:t xml:space="preserve">Potravinárstvo a možnosti vertikálnej integrácie jednotlivých stupňov od výroby po predaj </w:t>
      </w:r>
    </w:p>
    <w:p w:rsidR="002819E1" w:rsidRPr="002819E1" w:rsidRDefault="002819E1" w:rsidP="002819E1"/>
    <w:p w:rsidR="002819E1" w:rsidRPr="002819E1" w:rsidRDefault="002819E1" w:rsidP="002819E1">
      <w:pPr>
        <w:spacing w:before="60" w:after="60"/>
        <w:ind w:firstLine="426"/>
        <w:jc w:val="both"/>
      </w:pPr>
      <w:r w:rsidRPr="002819E1">
        <w:t xml:space="preserve">Jedným z charakteristických rysov súčasnosti sa stáva skutočnosť, že poľnohospodársky podnik ako výrobca základných surovín pre výrobu ďalšej potravinárskej, či nepotravinárskej produkcie stráca vplyv na potravinový trh a je stále vo väčšej miere ovplyvňovaný okolím. Presun ťažiska na finalizujúce články spracovania a distribúcie stavia poľnohospodára do pozície výrazne závislej na podmienkach určovaných dominujúcimi subjektmi vo vertikále, ktorými sú nadnárodné obchodné reťazce s kontinuálne rastúcou ekonomickou silou. Dominuje klesajúci podiel poľnohospodárskej suroviny v štruktúre ceny finálneho potravinového produktu. </w:t>
      </w:r>
    </w:p>
    <w:p w:rsidR="002819E1" w:rsidRPr="002819E1" w:rsidRDefault="002819E1" w:rsidP="002819E1">
      <w:pPr>
        <w:spacing w:before="60" w:after="60"/>
        <w:ind w:firstLine="426"/>
        <w:jc w:val="both"/>
      </w:pPr>
      <w:r w:rsidRPr="002819E1">
        <w:t>Potravinová vertikála sa skladá z primárneho poľnohospodárstva produkujúceho poľnohospodárske komodity, potravinárskeho priemyslu a z distribúcie potravín (veľkoobchod a maloobchod). Podiel poľnohospodárstva na pridanej hodnote v ekonomike je okolo 2,5%, kým podiel potravinárskeho priemyslu je 1,5%. Veľkoobchod a maloobchod tvoria spolu okolo 14 percent pridanej hodnoty ekonomiky SR. Význam potravinovej vertikály v ekonomike dokumentuje aj 22,3 percentný podiel výdavkov na potraviny a nealkoholické nápoje na celkových čistých výdavkoch súkromných domácností.</w:t>
      </w:r>
    </w:p>
    <w:p w:rsidR="002819E1" w:rsidRPr="002819E1" w:rsidRDefault="002819E1" w:rsidP="002819E1">
      <w:pPr>
        <w:spacing w:before="60" w:after="60"/>
        <w:ind w:firstLine="426"/>
        <w:jc w:val="both"/>
      </w:pPr>
      <w:r w:rsidRPr="002819E1">
        <w:t xml:space="preserve">Vzťahy v potravinovej vertikále SR sú nevyvážené. Prvovýroba je charakterizovaná dokonalou konkurenciou veľkého množstva podnikov. V spracovateľskom priemysle a v obchode je štruktúra trhu </w:t>
      </w:r>
      <w:proofErr w:type="spellStart"/>
      <w:r w:rsidRPr="002819E1">
        <w:t>oligopolná</w:t>
      </w:r>
      <w:proofErr w:type="spellEnd"/>
      <w:r w:rsidRPr="002819E1">
        <w:t>, t.j. existuje tam menej veľkých podnikov. Maloobchod je dominovaný 11  reťazcami, cez ktoré sa realizuje 85% potravinárskych produktov. V obchodných vzťahoch vo vertikále dominujú preto obchodné reťazce, ktoré presadzujú svoje záujmy na úkor prvovýrobcov. Pri jednaniach s prvovýrobcami sa tiež presadzujú aj podniky spracovateľského priemyslu.</w:t>
      </w:r>
    </w:p>
    <w:p w:rsidR="002819E1" w:rsidRPr="002819E1" w:rsidRDefault="002819E1" w:rsidP="002819E1">
      <w:pPr>
        <w:spacing w:before="60" w:after="60"/>
        <w:ind w:firstLine="426"/>
        <w:jc w:val="both"/>
      </w:pPr>
      <w:r w:rsidRPr="002819E1">
        <w:t xml:space="preserve">Jednotliví prvovýrobcovia nemajú vplyv na ceny komodít, ktoré predávajú, kým spracovateľský priemysel a hlavne maloobchod dokáže ovplyvniť cenové relácie v svoj prospech. Trhová sila obchodu sa prejavuje pri zmenách svetových cien. Rast svetových cien sa prejavuje na slovenskom trhu rastom cien výrobcov aj spotrebiteľov, pričom rast spotrebiteľských cien je väčší ako je rast cien výrobcov, čo znamená, že marketingové marže sa zvyšujú. </w:t>
      </w:r>
    </w:p>
    <w:p w:rsidR="002819E1" w:rsidRPr="002819E1" w:rsidRDefault="002819E1" w:rsidP="002819E1">
      <w:pPr>
        <w:spacing w:before="60" w:after="60"/>
        <w:ind w:firstLine="426"/>
        <w:jc w:val="both"/>
      </w:pPr>
      <w:r w:rsidRPr="002819E1">
        <w:t xml:space="preserve">Trhová sila maloobchodných reťazcov sa prejavuje aj vysokým poplatkami za dodávky do obchodnej siete, ktoré v roku 2011 činili 1,4% z celkových nákladov mlynského  odboru, </w:t>
      </w:r>
      <w:r w:rsidRPr="002819E1">
        <w:lastRenderedPageBreak/>
        <w:t xml:space="preserve">2% z pekárenského odboru, 2,7% zo škrobárenského odboru, 3,3% z pivovarnícko-sladovníckeho odboru, 0,8% z liehovarníckeho odboru a 1,9% z tukového odboru. </w:t>
      </w:r>
    </w:p>
    <w:p w:rsidR="002819E1" w:rsidRPr="002819E1" w:rsidRDefault="002819E1" w:rsidP="002819E1">
      <w:pPr>
        <w:spacing w:before="60" w:after="60"/>
        <w:ind w:firstLine="426"/>
        <w:jc w:val="both"/>
      </w:pPr>
      <w:r w:rsidRPr="002819E1">
        <w:t>Poľnohospodári a potravinársky priemysel majú nižšiu vyjednávaciu silu ako obchodné reťazce, a preto mnohí z nich sú vylúčení z dodávok pre reťazce alebo sú donútení akceptovať horšie cenové a dodacie podmienky. Na druhej strane aj veľká rozdrobenosť poľnohospodárov zvyšuje marketingové náklady, čo vedie k poklesu poľnohospodárskych cien a nárastu cien spotrebiteľských.</w:t>
      </w:r>
    </w:p>
    <w:p w:rsidR="002819E1" w:rsidRPr="002819E1" w:rsidRDefault="002819E1" w:rsidP="002819E1">
      <w:pPr>
        <w:spacing w:before="60" w:after="60"/>
        <w:ind w:firstLine="426"/>
        <w:jc w:val="both"/>
      </w:pPr>
      <w:r w:rsidRPr="002819E1">
        <w:t xml:space="preserve">Cenový vývoj potravín je na Slovensku vo veľkej miere ovplyvnený cenovým vývojom na svetových trhoch a hlavne na trhoch EÚ. Zvlášť po vstupe do EÚ existuje viac možností na export, ale aj väčšia konkurencia na domácom trhu. To vedie k vyrovnávaniu cien. </w:t>
      </w:r>
    </w:p>
    <w:p w:rsidR="002819E1" w:rsidRPr="002819E1" w:rsidRDefault="002819E1" w:rsidP="002819E1">
      <w:pPr>
        <w:spacing w:before="60" w:after="60"/>
        <w:ind w:firstLine="426"/>
        <w:jc w:val="both"/>
      </w:pPr>
      <w:r w:rsidRPr="002819E1">
        <w:t xml:space="preserve">Na Slovensku, ktorá je relatívne chudobnejšou krajinou, sa rast svetových cien prejavuje viac na raste cien spotrebiteľských ako je to v bohatších štátoch EÚ, lebo podiel poľnohospodárskych cien na spotrebiteľských cenách je v chudobnejších štátoch väčší. </w:t>
      </w:r>
    </w:p>
    <w:p w:rsidR="002819E1" w:rsidRPr="002819E1" w:rsidRDefault="002819E1" w:rsidP="002819E1"/>
    <w:p w:rsidR="002819E1" w:rsidRPr="002819E1" w:rsidRDefault="002819E1" w:rsidP="002819E1">
      <w:pPr>
        <w:keepNext/>
        <w:numPr>
          <w:ilvl w:val="3"/>
          <w:numId w:val="0"/>
        </w:numPr>
        <w:tabs>
          <w:tab w:val="num" w:pos="864"/>
        </w:tabs>
        <w:spacing w:before="240" w:after="60" w:line="276" w:lineRule="auto"/>
        <w:ind w:left="864" w:hanging="864"/>
        <w:outlineLvl w:val="3"/>
        <w:rPr>
          <w:rFonts w:cs="Calibri"/>
          <w:b/>
          <w:bCs/>
        </w:rPr>
      </w:pPr>
      <w:r w:rsidRPr="002819E1">
        <w:rPr>
          <w:rFonts w:cs="Calibri"/>
          <w:b/>
          <w:bCs/>
        </w:rPr>
        <w:t>Lesné hospodárstvo a spracovanie dreva</w:t>
      </w:r>
      <w:r w:rsidRPr="002819E1">
        <w:rPr>
          <w:rFonts w:eastAsia="Calibri" w:cs="Calibri"/>
          <w:b/>
          <w:bCs/>
          <w:vertAlign w:val="superscript"/>
        </w:rPr>
        <w:footnoteReference w:id="25"/>
      </w:r>
      <w:r w:rsidRPr="002819E1">
        <w:rPr>
          <w:rFonts w:cs="Calibri"/>
          <w:b/>
          <w:bCs/>
        </w:rPr>
        <w:t xml:space="preserve"> </w:t>
      </w:r>
    </w:p>
    <w:p w:rsidR="002819E1" w:rsidRPr="002819E1" w:rsidRDefault="002819E1" w:rsidP="002819E1">
      <w:pPr>
        <w:jc w:val="both"/>
        <w:rPr>
          <w:u w:val="single"/>
        </w:rPr>
      </w:pPr>
    </w:p>
    <w:p w:rsidR="002819E1" w:rsidRPr="002819E1" w:rsidRDefault="002819E1" w:rsidP="002819E1">
      <w:pPr>
        <w:spacing w:before="60" w:after="60"/>
        <w:ind w:firstLine="425"/>
        <w:jc w:val="both"/>
        <w:rPr>
          <w:b/>
          <w:color w:val="000000"/>
        </w:rPr>
      </w:pPr>
      <w:r w:rsidRPr="002819E1">
        <w:rPr>
          <w:color w:val="000000"/>
        </w:rPr>
        <w:t>Lesné pozemky na Slovensku sa vyznačujú veľkou variabilitou stanovíšť, ktorá umožňuje produkciu širokého spektra drevín. Súčasné zastúpenie drevín na Slovensku je oproti pôvodnému v dôsledku dlhodobého hospodárenia zmenené, z väčšej časti v prospech produkčne výkonnejších a hospodársky žiadaných drevín. Podľa údajov Národnej inventarizácie a monitoringu lesov SR (NIML SR) je 64% lesov prirodzených, prevažne prirodzených lesov je 22% a zmenených lesov je 14%.</w:t>
      </w:r>
    </w:p>
    <w:p w:rsidR="002819E1" w:rsidRPr="002819E1" w:rsidRDefault="002819E1" w:rsidP="002819E1">
      <w:pPr>
        <w:spacing w:before="60" w:after="60"/>
        <w:ind w:firstLine="425"/>
        <w:jc w:val="both"/>
        <w:rPr>
          <w:color w:val="000000"/>
        </w:rPr>
      </w:pPr>
      <w:r w:rsidRPr="002819E1">
        <w:rPr>
          <w:color w:val="000000"/>
        </w:rPr>
        <w:t xml:space="preserve">Doterajší vývoj zásob dreva v lesoch Slovenska charakterizuje ich trvalé zvyšovanie. V roku 2012 zásoba dreva dosiahla 472,18 mil. m3 a zásoba dreva na ha 243 m3. Dôvodom tejto skutočnosti je najmä nepomer prírastku a ťažby dreva, čo je ovplyvnené najmä nižším než normálnym zastúpením rubných porastov 6. vekovej triedy a vyšším než normálnym plošným i objemovým zastúpením 50 – 100-ročných lesných porastov, ktoré sú ešte prevažne </w:t>
      </w:r>
      <w:proofErr w:type="spellStart"/>
      <w:r w:rsidRPr="002819E1">
        <w:rPr>
          <w:color w:val="000000"/>
        </w:rPr>
        <w:t>predrubné</w:t>
      </w:r>
      <w:proofErr w:type="spellEnd"/>
      <w:r w:rsidRPr="002819E1">
        <w:rPr>
          <w:color w:val="000000"/>
        </w:rPr>
        <w:t xml:space="preserve">. Dôvodom zvýšenia zásob dreva bolo aj spresnenie ich zisťovania. </w:t>
      </w:r>
    </w:p>
    <w:p w:rsidR="002819E1" w:rsidRPr="002819E1" w:rsidRDefault="002819E1" w:rsidP="002819E1">
      <w:pPr>
        <w:spacing w:before="60" w:after="60"/>
        <w:ind w:firstLine="425"/>
        <w:jc w:val="both"/>
        <w:rPr>
          <w:color w:val="000000"/>
        </w:rPr>
      </w:pPr>
      <w:r w:rsidRPr="002819E1">
        <w:rPr>
          <w:color w:val="000000"/>
        </w:rPr>
        <w:t>Z celkového objemu zásob dreva v lesoch Slovenska (472,18 mil. m3) je najväčšia časť (54,6 %) na lesných pozemkoch v užívaní štátnych organizácií. Zvyšnou časťou disponujú neštátne subjekty (45,4 %) v kategóriách podľa užívania takto: spoločenstvá (28,0%), obecné lesy (8,6%), súkromné lesy (7,0%), cirkevné lesy (1,4%) a družstevné lesy (0,4%). V jednotkových zásobách a prírastkoch nie sú významné rozdiely medzi štátnymi a neštátnymi obhospodarovateľmi lesov, ani medzi jednotlivými kategóriami neštátnych užívateľov lesa.</w:t>
      </w:r>
    </w:p>
    <w:p w:rsidR="002819E1" w:rsidRPr="002819E1" w:rsidRDefault="002819E1" w:rsidP="002819E1">
      <w:pPr>
        <w:keepNext/>
        <w:rPr>
          <w:sz w:val="20"/>
          <w:szCs w:val="20"/>
          <w:lang w:eastAsia="cs-CZ"/>
        </w:rPr>
      </w:pPr>
    </w:p>
    <w:p w:rsidR="002819E1" w:rsidRPr="002819E1" w:rsidRDefault="002819E1" w:rsidP="002819E1">
      <w:pPr>
        <w:spacing w:before="240" w:after="60"/>
        <w:ind w:firstLine="425"/>
        <w:jc w:val="both"/>
      </w:pPr>
      <w:r w:rsidRPr="002819E1">
        <w:rPr>
          <w:b/>
          <w:color w:val="000000"/>
        </w:rPr>
        <w:t>Produkcia biomasy a obnoviteľných zdrojov energie</w:t>
      </w:r>
    </w:p>
    <w:p w:rsidR="002819E1" w:rsidRPr="002819E1" w:rsidRDefault="002819E1" w:rsidP="002819E1">
      <w:pPr>
        <w:spacing w:before="60" w:after="60"/>
        <w:ind w:firstLine="425"/>
        <w:jc w:val="both"/>
        <w:rPr>
          <w:color w:val="000000"/>
        </w:rPr>
      </w:pPr>
      <w:r w:rsidRPr="002819E1">
        <w:rPr>
          <w:color w:val="000000"/>
        </w:rPr>
        <w:t xml:space="preserve">Napriek tomu, že sa počet </w:t>
      </w:r>
      <w:proofErr w:type="spellStart"/>
      <w:r w:rsidRPr="002819E1">
        <w:rPr>
          <w:color w:val="000000"/>
        </w:rPr>
        <w:t>bioplynových</w:t>
      </w:r>
      <w:proofErr w:type="spellEnd"/>
      <w:r w:rsidRPr="002819E1">
        <w:rPr>
          <w:color w:val="000000"/>
        </w:rPr>
        <w:t xml:space="preserve"> staníc (BPS) a ďalších zariadení na výrobu energie z obnoviteľných zdrojov (OZE) v SR zvyšuje, patrí Slovensko v porovnaní so susednými krajinami medzi posledné. Na základe dostupných údajov bolo ku koncu roka 2012 v poľnohospodárskej sfére zapojených cca 40 BPS a cca 50 BPS je v štádiu prípravy a rozostavanosti s predpokladom ich realizácie v rokoch 2013-2014. Ich celkový energetický </w:t>
      </w:r>
      <w:r w:rsidRPr="002819E1">
        <w:rPr>
          <w:color w:val="000000"/>
        </w:rPr>
        <w:lastRenderedPageBreak/>
        <w:t xml:space="preserve">výkon je 32-34 </w:t>
      </w:r>
      <w:proofErr w:type="spellStart"/>
      <w:r w:rsidRPr="002819E1">
        <w:rPr>
          <w:color w:val="000000"/>
        </w:rPr>
        <w:t>MWe</w:t>
      </w:r>
      <w:proofErr w:type="spellEnd"/>
      <w:r w:rsidRPr="002819E1">
        <w:rPr>
          <w:color w:val="000000"/>
        </w:rPr>
        <w:t>, čo predstavuje 0,5%-ný podiel na výrobnej kapacite energetických zariadení v SR.</w:t>
      </w:r>
    </w:p>
    <w:p w:rsidR="002819E1" w:rsidRPr="004D4403" w:rsidRDefault="002819E1" w:rsidP="002819E1">
      <w:pPr>
        <w:spacing w:before="60" w:after="60"/>
        <w:ind w:firstLine="425"/>
        <w:jc w:val="both"/>
      </w:pPr>
      <w:r w:rsidRPr="004D4403">
        <w:t>Najväčší podiel vstupných surovín do BPS tvorí kukuričná siláž (70-80%), jej spotreba predstavuje asi 1/4 celkovej ročnej produkcie s vysokým potenciálom jej zvýšenia. Jej využitie ako suroviny do BPS je konkurenciou zámerom Koncepcie rozvoja pôdohospodárstva na roky 2013 - 2020 zvyšovať živočíšnu výrobu a spotrebu krmív, čo  môže ohroziť  využitie kukuričnej siláže pre potravinové účely, na druhej strane môže dôjsť k jej deficitu pre BPS a rastu jej ceny. Pri riešení tejto problematiky identifikujeme 3 kľúčové oblasti zdrojov biomasy pre BPS:</w:t>
      </w:r>
    </w:p>
    <w:p w:rsidR="002819E1" w:rsidRPr="004D4403" w:rsidRDefault="002819E1" w:rsidP="002819E1">
      <w:pPr>
        <w:numPr>
          <w:ilvl w:val="0"/>
          <w:numId w:val="27"/>
        </w:numPr>
        <w:spacing w:before="60" w:after="60"/>
        <w:ind w:left="426" w:hanging="426"/>
        <w:contextualSpacing/>
        <w:jc w:val="both"/>
      </w:pPr>
      <w:r w:rsidRPr="004D4403">
        <w:t>nevyužívaná pôda,</w:t>
      </w:r>
    </w:p>
    <w:p w:rsidR="002819E1" w:rsidRPr="004D4403" w:rsidRDefault="002819E1" w:rsidP="002819E1">
      <w:pPr>
        <w:numPr>
          <w:ilvl w:val="0"/>
          <w:numId w:val="27"/>
        </w:numPr>
        <w:spacing w:before="60" w:after="60"/>
        <w:ind w:left="426" w:hanging="426"/>
        <w:contextualSpacing/>
        <w:jc w:val="both"/>
      </w:pPr>
      <w:proofErr w:type="spellStart"/>
      <w:r w:rsidRPr="004D4403">
        <w:t>exkrementy</w:t>
      </w:r>
      <w:proofErr w:type="spellEnd"/>
      <w:r w:rsidRPr="004D4403">
        <w:t xml:space="preserve"> hospodárskych zvierat,</w:t>
      </w:r>
    </w:p>
    <w:p w:rsidR="002819E1" w:rsidRPr="004D4403" w:rsidRDefault="002819E1" w:rsidP="002819E1">
      <w:pPr>
        <w:numPr>
          <w:ilvl w:val="0"/>
          <w:numId w:val="27"/>
        </w:numPr>
        <w:spacing w:before="60" w:after="60"/>
        <w:ind w:left="426" w:hanging="426"/>
        <w:contextualSpacing/>
        <w:jc w:val="both"/>
      </w:pPr>
      <w:r w:rsidRPr="004D4403">
        <w:t>biologicky rozložiteľný odpad.</w:t>
      </w:r>
    </w:p>
    <w:p w:rsidR="002819E1" w:rsidRPr="004D4403" w:rsidRDefault="002819E1" w:rsidP="002819E1">
      <w:pPr>
        <w:spacing w:before="60" w:after="60"/>
        <w:jc w:val="both"/>
      </w:pPr>
      <w:r w:rsidRPr="004D4403">
        <w:t xml:space="preserve">Biomasa, ktorú je možné získať z týchto troch zdrojov, by stačila na prevádzku asi 380 BPS s výkonom 169 </w:t>
      </w:r>
      <w:proofErr w:type="spellStart"/>
      <w:r w:rsidRPr="004D4403">
        <w:t>MWe</w:t>
      </w:r>
      <w:proofErr w:type="spellEnd"/>
      <w:r w:rsidRPr="004D4403">
        <w:t>.</w:t>
      </w:r>
      <w:r w:rsidRPr="004D4403">
        <w:rPr>
          <w:vertAlign w:val="superscript"/>
        </w:rPr>
        <w:footnoteReference w:id="26"/>
      </w:r>
    </w:p>
    <w:p w:rsidR="002819E1" w:rsidRPr="004D4403" w:rsidRDefault="002819E1" w:rsidP="002819E1">
      <w:pPr>
        <w:spacing w:before="60" w:after="60"/>
        <w:jc w:val="both"/>
      </w:pPr>
    </w:p>
    <w:p w:rsidR="002819E1" w:rsidRPr="004D4403" w:rsidRDefault="002819E1" w:rsidP="002819E1">
      <w:pPr>
        <w:keepNext/>
        <w:numPr>
          <w:ilvl w:val="3"/>
          <w:numId w:val="0"/>
        </w:numPr>
        <w:tabs>
          <w:tab w:val="num" w:pos="864"/>
        </w:tabs>
        <w:spacing w:before="240" w:after="60" w:line="276" w:lineRule="auto"/>
        <w:ind w:left="864" w:hanging="864"/>
        <w:outlineLvl w:val="3"/>
        <w:rPr>
          <w:rFonts w:cs="Calibri"/>
          <w:b/>
          <w:bCs/>
        </w:rPr>
      </w:pPr>
      <w:r w:rsidRPr="004D4403">
        <w:rPr>
          <w:rFonts w:cs="Calibri"/>
          <w:b/>
          <w:bCs/>
        </w:rPr>
        <w:t>Zamestnanosť v pôdohospodárstve</w:t>
      </w:r>
    </w:p>
    <w:p w:rsidR="002819E1" w:rsidRPr="004D4403" w:rsidRDefault="002819E1" w:rsidP="002819E1">
      <w:pPr>
        <w:spacing w:before="120" w:after="120"/>
        <w:ind w:firstLine="426"/>
        <w:jc w:val="both"/>
        <w:rPr>
          <w:rFonts w:cs="Calibri"/>
          <w:lang w:eastAsia="en-US"/>
        </w:rPr>
      </w:pPr>
      <w:r w:rsidRPr="004D4403">
        <w:rPr>
          <w:rFonts w:cs="Calibri"/>
          <w:lang w:eastAsia="en-US"/>
        </w:rPr>
        <w:t>V</w:t>
      </w:r>
      <w:r w:rsidRPr="004D4403">
        <w:rPr>
          <w:rFonts w:cs="Calibri"/>
          <w:b/>
          <w:lang w:eastAsia="en-US"/>
        </w:rPr>
        <w:t> poľnohospodárstve</w:t>
      </w:r>
      <w:r w:rsidRPr="004D4403">
        <w:rPr>
          <w:rFonts w:cs="Calibri"/>
          <w:lang w:eastAsia="en-US"/>
        </w:rPr>
        <w:t xml:space="preserve"> dlhodobo pokračuje znižovanie zamestnanosti. Od roku 2008 poklesol počet pracujúcich o 29%, na 50,4 tis. pracujúcich osôb. Vývoj priemerného evidenčného počtu zamestnancov ukazuje tabuľka:</w:t>
      </w:r>
    </w:p>
    <w:tbl>
      <w:tblPr>
        <w:tblW w:w="8804" w:type="dxa"/>
        <w:tblInd w:w="55" w:type="dxa"/>
        <w:tblCellMar>
          <w:left w:w="70" w:type="dxa"/>
          <w:right w:w="70" w:type="dxa"/>
        </w:tblCellMar>
        <w:tblLook w:val="04A0" w:firstRow="1" w:lastRow="0" w:firstColumn="1" w:lastColumn="0" w:noHBand="0" w:noVBand="1"/>
      </w:tblPr>
      <w:tblGrid>
        <w:gridCol w:w="2011"/>
        <w:gridCol w:w="1174"/>
        <w:gridCol w:w="1559"/>
        <w:gridCol w:w="1134"/>
        <w:gridCol w:w="1559"/>
        <w:gridCol w:w="1418"/>
      </w:tblGrid>
      <w:tr w:rsidR="002819E1" w:rsidRPr="004D4403" w:rsidTr="00DE0D88">
        <w:trPr>
          <w:trHeight w:val="495"/>
        </w:trPr>
        <w:tc>
          <w:tcPr>
            <w:tcW w:w="1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Odvetvie</w:t>
            </w:r>
          </w:p>
        </w:tc>
        <w:tc>
          <w:tcPr>
            <w:tcW w:w="6844" w:type="dxa"/>
            <w:gridSpan w:val="5"/>
            <w:tcBorders>
              <w:top w:val="single" w:sz="8" w:space="0" w:color="auto"/>
              <w:left w:val="nil"/>
              <w:bottom w:val="single" w:sz="4" w:space="0" w:color="auto"/>
              <w:right w:val="single" w:sz="8" w:space="0" w:color="000000"/>
            </w:tcBorders>
            <w:shd w:val="clear" w:color="auto" w:fill="auto"/>
            <w:noWrap/>
            <w:vAlign w:val="center"/>
            <w:hideMark/>
          </w:tcPr>
          <w:p w:rsidR="002819E1" w:rsidRPr="004D4403" w:rsidRDefault="002819E1" w:rsidP="002819E1">
            <w:pPr>
              <w:jc w:val="center"/>
              <w:rPr>
                <w:b/>
                <w:bCs/>
              </w:rPr>
            </w:pPr>
            <w:r w:rsidRPr="004D4403">
              <w:rPr>
                <w:b/>
                <w:bCs/>
              </w:rPr>
              <w:t>Vývoj priemerného evidenčného počtu zamestnancov (fyzické osoby)</w:t>
            </w:r>
          </w:p>
        </w:tc>
      </w:tr>
      <w:tr w:rsidR="002819E1" w:rsidRPr="004D4403" w:rsidTr="00DE0D88">
        <w:trPr>
          <w:trHeight w:val="315"/>
        </w:trPr>
        <w:tc>
          <w:tcPr>
            <w:tcW w:w="1960" w:type="dxa"/>
            <w:vMerge/>
            <w:tcBorders>
              <w:top w:val="single" w:sz="8" w:space="0" w:color="auto"/>
              <w:left w:val="single" w:sz="8" w:space="0" w:color="auto"/>
              <w:bottom w:val="single" w:sz="8" w:space="0" w:color="000000"/>
              <w:right w:val="single" w:sz="4" w:space="0" w:color="auto"/>
            </w:tcBorders>
            <w:vAlign w:val="center"/>
            <w:hideMark/>
          </w:tcPr>
          <w:p w:rsidR="002819E1" w:rsidRPr="004D4403" w:rsidRDefault="002819E1" w:rsidP="002819E1">
            <w:pPr>
              <w:rPr>
                <w:b/>
                <w:bCs/>
              </w:rPr>
            </w:pPr>
          </w:p>
        </w:tc>
        <w:tc>
          <w:tcPr>
            <w:tcW w:w="1174" w:type="dxa"/>
            <w:tcBorders>
              <w:top w:val="nil"/>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1989</w:t>
            </w:r>
          </w:p>
        </w:tc>
        <w:tc>
          <w:tcPr>
            <w:tcW w:w="1559" w:type="dxa"/>
            <w:tcBorders>
              <w:top w:val="nil"/>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Index 2004/89</w:t>
            </w:r>
          </w:p>
        </w:tc>
        <w:tc>
          <w:tcPr>
            <w:tcW w:w="1134" w:type="dxa"/>
            <w:tcBorders>
              <w:top w:val="nil"/>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2004</w:t>
            </w:r>
          </w:p>
        </w:tc>
        <w:tc>
          <w:tcPr>
            <w:tcW w:w="1559" w:type="dxa"/>
            <w:tcBorders>
              <w:top w:val="nil"/>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Index 2012/04</w:t>
            </w:r>
          </w:p>
        </w:tc>
        <w:tc>
          <w:tcPr>
            <w:tcW w:w="1418" w:type="dxa"/>
            <w:tcBorders>
              <w:top w:val="nil"/>
              <w:left w:val="nil"/>
              <w:bottom w:val="single" w:sz="8" w:space="0" w:color="auto"/>
              <w:right w:val="single" w:sz="8" w:space="0" w:color="auto"/>
            </w:tcBorders>
            <w:shd w:val="clear" w:color="auto" w:fill="auto"/>
            <w:noWrap/>
            <w:vAlign w:val="center"/>
            <w:hideMark/>
          </w:tcPr>
          <w:p w:rsidR="002819E1" w:rsidRPr="004D4403" w:rsidRDefault="002819E1" w:rsidP="002819E1">
            <w:pPr>
              <w:jc w:val="center"/>
              <w:rPr>
                <w:b/>
                <w:bCs/>
              </w:rPr>
            </w:pPr>
            <w:r w:rsidRPr="004D4403">
              <w:rPr>
                <w:b/>
                <w:bCs/>
              </w:rPr>
              <w:t>2012</w:t>
            </w:r>
          </w:p>
        </w:tc>
      </w:tr>
      <w:tr w:rsidR="002819E1" w:rsidRPr="004D4403" w:rsidTr="00DE0D88">
        <w:trPr>
          <w:trHeight w:val="630"/>
        </w:trPr>
        <w:tc>
          <w:tcPr>
            <w:tcW w:w="1960" w:type="dxa"/>
            <w:tcBorders>
              <w:top w:val="nil"/>
              <w:left w:val="single" w:sz="8" w:space="0" w:color="auto"/>
              <w:bottom w:val="nil"/>
              <w:right w:val="single" w:sz="4" w:space="0" w:color="auto"/>
            </w:tcBorders>
            <w:shd w:val="clear" w:color="auto" w:fill="auto"/>
            <w:vAlign w:val="bottom"/>
            <w:hideMark/>
          </w:tcPr>
          <w:p w:rsidR="002819E1" w:rsidRPr="004D4403" w:rsidRDefault="002819E1" w:rsidP="002819E1">
            <w:r w:rsidRPr="004D4403">
              <w:t>Poľnohospodárstvo (RV a ŽV)</w:t>
            </w:r>
          </w:p>
        </w:tc>
        <w:tc>
          <w:tcPr>
            <w:tcW w:w="1174"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350 956</w:t>
            </w:r>
          </w:p>
        </w:tc>
        <w:tc>
          <w:tcPr>
            <w:tcW w:w="1559"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24,7</w:t>
            </w:r>
          </w:p>
        </w:tc>
        <w:tc>
          <w:tcPr>
            <w:tcW w:w="1134"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86 600</w:t>
            </w:r>
          </w:p>
        </w:tc>
        <w:tc>
          <w:tcPr>
            <w:tcW w:w="1559"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58,2</w:t>
            </w:r>
          </w:p>
        </w:tc>
        <w:tc>
          <w:tcPr>
            <w:tcW w:w="1418" w:type="dxa"/>
            <w:tcBorders>
              <w:top w:val="nil"/>
              <w:left w:val="nil"/>
              <w:bottom w:val="nil"/>
              <w:right w:val="single" w:sz="8" w:space="0" w:color="auto"/>
            </w:tcBorders>
            <w:shd w:val="clear" w:color="auto" w:fill="auto"/>
            <w:noWrap/>
            <w:vAlign w:val="center"/>
            <w:hideMark/>
          </w:tcPr>
          <w:p w:rsidR="002819E1" w:rsidRPr="004D4403" w:rsidRDefault="002819E1" w:rsidP="002819E1">
            <w:pPr>
              <w:jc w:val="center"/>
            </w:pPr>
            <w:r w:rsidRPr="004D4403">
              <w:t>50 400</w:t>
            </w:r>
          </w:p>
        </w:tc>
      </w:tr>
      <w:tr w:rsidR="002819E1" w:rsidRPr="004D4403" w:rsidTr="00DE0D88">
        <w:trPr>
          <w:trHeight w:val="645"/>
        </w:trPr>
        <w:tc>
          <w:tcPr>
            <w:tcW w:w="19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2819E1" w:rsidRPr="004D4403" w:rsidRDefault="002819E1" w:rsidP="002819E1">
            <w:pPr>
              <w:rPr>
                <w:vertAlign w:val="superscript"/>
              </w:rPr>
            </w:pPr>
            <w:r w:rsidRPr="004D4403">
              <w:t>Výroba potravín a nápojov</w:t>
            </w:r>
            <w:r w:rsidRPr="004D4403">
              <w:rPr>
                <w:b/>
                <w:vertAlign w:val="superscript"/>
              </w:rPr>
              <w:t>1)</w:t>
            </w:r>
          </w:p>
        </w:tc>
        <w:tc>
          <w:tcPr>
            <w:tcW w:w="1174" w:type="dxa"/>
            <w:tcBorders>
              <w:top w:val="single" w:sz="8" w:space="0" w:color="auto"/>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pPr>
            <w:r w:rsidRPr="004D4403">
              <w:t>65 049</w:t>
            </w:r>
          </w:p>
        </w:tc>
        <w:tc>
          <w:tcPr>
            <w:tcW w:w="1559" w:type="dxa"/>
            <w:tcBorders>
              <w:top w:val="single" w:sz="8" w:space="0" w:color="auto"/>
              <w:left w:val="nil"/>
              <w:bottom w:val="single" w:sz="8" w:space="0" w:color="auto"/>
              <w:right w:val="nil"/>
            </w:tcBorders>
            <w:shd w:val="clear" w:color="auto" w:fill="auto"/>
            <w:noWrap/>
            <w:vAlign w:val="center"/>
            <w:hideMark/>
          </w:tcPr>
          <w:p w:rsidR="002819E1" w:rsidRPr="004D4403" w:rsidRDefault="002819E1" w:rsidP="002819E1">
            <w:pPr>
              <w:jc w:val="center"/>
            </w:pPr>
            <w:r w:rsidRPr="004D4403">
              <w:t>60,1</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819E1" w:rsidRPr="004D4403" w:rsidRDefault="002819E1" w:rsidP="002819E1">
            <w:pPr>
              <w:jc w:val="center"/>
            </w:pPr>
            <w:r w:rsidRPr="004D4403">
              <w:t>39 082</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pPr>
            <w:r w:rsidRPr="004D4403">
              <w:t>75,0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2819E1" w:rsidRPr="004D4403" w:rsidRDefault="002819E1" w:rsidP="002819E1">
            <w:pPr>
              <w:jc w:val="center"/>
            </w:pPr>
            <w:r w:rsidRPr="004D4403">
              <w:t>29 325</w:t>
            </w:r>
          </w:p>
        </w:tc>
      </w:tr>
      <w:tr w:rsidR="002819E1" w:rsidRPr="004D4403" w:rsidTr="00DE0D88">
        <w:trPr>
          <w:trHeight w:val="660"/>
        </w:trPr>
        <w:tc>
          <w:tcPr>
            <w:tcW w:w="1960" w:type="dxa"/>
            <w:tcBorders>
              <w:top w:val="nil"/>
              <w:left w:val="single" w:sz="8" w:space="0" w:color="auto"/>
              <w:bottom w:val="nil"/>
              <w:right w:val="single" w:sz="4" w:space="0" w:color="auto"/>
            </w:tcBorders>
            <w:shd w:val="clear" w:color="auto" w:fill="auto"/>
            <w:vAlign w:val="bottom"/>
            <w:hideMark/>
          </w:tcPr>
          <w:p w:rsidR="002819E1" w:rsidRPr="004D4403" w:rsidRDefault="002819E1" w:rsidP="002819E1">
            <w:r w:rsidRPr="004D4403">
              <w:t>Lesníctvo a ťažba dreva</w:t>
            </w:r>
          </w:p>
        </w:tc>
        <w:tc>
          <w:tcPr>
            <w:tcW w:w="1174"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40 696</w:t>
            </w:r>
          </w:p>
        </w:tc>
        <w:tc>
          <w:tcPr>
            <w:tcW w:w="1559"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36,5</w:t>
            </w:r>
          </w:p>
        </w:tc>
        <w:tc>
          <w:tcPr>
            <w:tcW w:w="1134"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14 868</w:t>
            </w:r>
          </w:p>
        </w:tc>
        <w:tc>
          <w:tcPr>
            <w:tcW w:w="1559" w:type="dxa"/>
            <w:tcBorders>
              <w:top w:val="nil"/>
              <w:left w:val="nil"/>
              <w:bottom w:val="nil"/>
              <w:right w:val="single" w:sz="4" w:space="0" w:color="auto"/>
            </w:tcBorders>
            <w:shd w:val="clear" w:color="auto" w:fill="auto"/>
            <w:noWrap/>
            <w:vAlign w:val="center"/>
            <w:hideMark/>
          </w:tcPr>
          <w:p w:rsidR="002819E1" w:rsidRPr="004D4403" w:rsidRDefault="002819E1" w:rsidP="002819E1">
            <w:pPr>
              <w:jc w:val="center"/>
            </w:pPr>
            <w:r w:rsidRPr="004D4403">
              <w:t>78,0</w:t>
            </w:r>
          </w:p>
        </w:tc>
        <w:tc>
          <w:tcPr>
            <w:tcW w:w="1418" w:type="dxa"/>
            <w:tcBorders>
              <w:top w:val="nil"/>
              <w:left w:val="nil"/>
              <w:bottom w:val="nil"/>
              <w:right w:val="single" w:sz="8" w:space="0" w:color="auto"/>
            </w:tcBorders>
            <w:shd w:val="clear" w:color="auto" w:fill="auto"/>
            <w:noWrap/>
            <w:vAlign w:val="center"/>
            <w:hideMark/>
          </w:tcPr>
          <w:p w:rsidR="002819E1" w:rsidRPr="004D4403" w:rsidRDefault="002819E1" w:rsidP="002819E1">
            <w:pPr>
              <w:jc w:val="center"/>
            </w:pPr>
            <w:r w:rsidRPr="004D4403">
              <w:t>11 600</w:t>
            </w:r>
          </w:p>
        </w:tc>
      </w:tr>
      <w:tr w:rsidR="002819E1" w:rsidRPr="004D4403" w:rsidTr="00DE0D88">
        <w:trPr>
          <w:trHeight w:val="315"/>
        </w:trPr>
        <w:tc>
          <w:tcPr>
            <w:tcW w:w="1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819E1" w:rsidRPr="004D4403" w:rsidRDefault="002819E1" w:rsidP="002819E1">
            <w:pPr>
              <w:rPr>
                <w:b/>
                <w:bCs/>
              </w:rPr>
            </w:pPr>
            <w:r w:rsidRPr="004D4403">
              <w:rPr>
                <w:b/>
                <w:bCs/>
              </w:rPr>
              <w:t>SPOLU</w:t>
            </w:r>
          </w:p>
        </w:tc>
        <w:tc>
          <w:tcPr>
            <w:tcW w:w="1174" w:type="dxa"/>
            <w:tcBorders>
              <w:top w:val="single" w:sz="8" w:space="0" w:color="auto"/>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456 701</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30,8</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140 550</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2819E1" w:rsidRPr="004D4403" w:rsidRDefault="002819E1" w:rsidP="002819E1">
            <w:pPr>
              <w:jc w:val="center"/>
              <w:rPr>
                <w:b/>
                <w:bCs/>
              </w:rPr>
            </w:pPr>
            <w:r w:rsidRPr="004D4403">
              <w:rPr>
                <w:b/>
                <w:bCs/>
              </w:rPr>
              <w:t>65,0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2819E1" w:rsidRPr="004D4403" w:rsidRDefault="002819E1" w:rsidP="002819E1">
            <w:pPr>
              <w:ind w:left="330"/>
              <w:contextualSpacing/>
              <w:jc w:val="center"/>
              <w:rPr>
                <w:b/>
                <w:bCs/>
                <w:szCs w:val="20"/>
              </w:rPr>
            </w:pPr>
            <w:r w:rsidRPr="004D4403">
              <w:rPr>
                <w:b/>
                <w:bCs/>
                <w:szCs w:val="20"/>
              </w:rPr>
              <w:t>91 325</w:t>
            </w:r>
          </w:p>
        </w:tc>
      </w:tr>
    </w:tbl>
    <w:p w:rsidR="002819E1" w:rsidRPr="004D4403" w:rsidRDefault="002819E1" w:rsidP="002819E1">
      <w:pPr>
        <w:rPr>
          <w:sz w:val="18"/>
          <w:szCs w:val="18"/>
        </w:rPr>
      </w:pPr>
      <w:r w:rsidRPr="004D4403">
        <w:rPr>
          <w:sz w:val="18"/>
          <w:szCs w:val="18"/>
        </w:rPr>
        <w:t xml:space="preserve"> 1) evidenčné počty zamestnancov v organizáciách s 20 a viac zamestnancami</w:t>
      </w:r>
    </w:p>
    <w:p w:rsidR="002819E1" w:rsidRPr="004D4403" w:rsidRDefault="002819E1" w:rsidP="002819E1">
      <w:pPr>
        <w:rPr>
          <w:sz w:val="18"/>
          <w:szCs w:val="18"/>
        </w:rPr>
      </w:pPr>
      <w:r w:rsidRPr="004D4403">
        <w:rPr>
          <w:sz w:val="18"/>
          <w:szCs w:val="18"/>
        </w:rPr>
        <w:t xml:space="preserve"> Zdroj: Zelené správy MPRV SR</w:t>
      </w:r>
      <w:r w:rsidRPr="004D4403">
        <w:rPr>
          <w:sz w:val="18"/>
          <w:szCs w:val="18"/>
        </w:rPr>
        <w:tab/>
      </w:r>
    </w:p>
    <w:p w:rsidR="002819E1" w:rsidRPr="004D4403" w:rsidRDefault="002819E1" w:rsidP="002819E1">
      <w:pPr>
        <w:spacing w:before="120" w:after="120"/>
        <w:ind w:firstLine="426"/>
        <w:jc w:val="both"/>
        <w:rPr>
          <w:rFonts w:cs="Calibri"/>
          <w:lang w:eastAsia="en-US"/>
        </w:rPr>
      </w:pPr>
      <w:r w:rsidRPr="004D4403">
        <w:rPr>
          <w:rFonts w:cs="Calibri"/>
          <w:lang w:eastAsia="en-US"/>
        </w:rPr>
        <w:t xml:space="preserve">Právnické osoby v poľnohospodárstve sa primárne orientuje na typy výroby a technológie šetriace pracovnú silu, kým fyzické osoby používajú technológie náročné na kvalitnú prácu. Na druhej strane ale </w:t>
      </w:r>
      <w:r w:rsidRPr="004D4403">
        <w:rPr>
          <w:rFonts w:cs="Calibri"/>
          <w:i/>
          <w:lang w:eastAsia="en-US"/>
        </w:rPr>
        <w:t>právnické osoby zamestnávajú vo väčšom rozsahu sezónnych pracovníkov na dohodu</w:t>
      </w:r>
      <w:r w:rsidRPr="004D4403">
        <w:rPr>
          <w:rFonts w:cs="Calibri"/>
          <w:lang w:eastAsia="en-US"/>
        </w:rPr>
        <w:t xml:space="preserve">. Slovenské poľnohospodárstvo zamestnáva hlavne starších ľudí. </w:t>
      </w:r>
    </w:p>
    <w:p w:rsidR="002819E1" w:rsidRPr="004D4403" w:rsidRDefault="002819E1" w:rsidP="002819E1">
      <w:pPr>
        <w:spacing w:before="60" w:after="60"/>
        <w:ind w:firstLine="426"/>
        <w:jc w:val="both"/>
        <w:rPr>
          <w:rFonts w:eastAsia="Calibri"/>
        </w:rPr>
      </w:pPr>
      <w:r w:rsidRPr="004D4403">
        <w:rPr>
          <w:rFonts w:cs="Calibri"/>
          <w:bCs/>
        </w:rPr>
        <w:t>Počet pracujúcich</w:t>
      </w:r>
      <w:r w:rsidRPr="004D4403">
        <w:rPr>
          <w:rFonts w:cs="Calibri"/>
        </w:rPr>
        <w:t xml:space="preserve"> kontinuálne a </w:t>
      </w:r>
      <w:r w:rsidRPr="004D4403">
        <w:rPr>
          <w:rFonts w:cs="Calibri"/>
          <w:bCs/>
        </w:rPr>
        <w:t>významne klesá</w:t>
      </w:r>
      <w:r w:rsidRPr="004D4403">
        <w:rPr>
          <w:rFonts w:cs="Calibri"/>
        </w:rPr>
        <w:t xml:space="preserve"> aj </w:t>
      </w:r>
      <w:r w:rsidRPr="004D4403">
        <w:rPr>
          <w:rFonts w:cs="Calibri"/>
          <w:b/>
        </w:rPr>
        <w:t>v potravinárskej výrobe.</w:t>
      </w:r>
      <w:r w:rsidRPr="004D4403">
        <w:rPr>
          <w:rFonts w:cs="Calibri"/>
        </w:rPr>
        <w:t xml:space="preserve"> Od roku 2008 poklesol počet pracujúcich z 56,3 tis. osôb o 14%, na  48,5 tis. pracujúcich osôb. </w:t>
      </w:r>
      <w:r w:rsidRPr="004D4403">
        <w:rPr>
          <w:rFonts w:eastAsia="Calibri"/>
        </w:rPr>
        <w:t xml:space="preserve">Príčinou poklesu zamestnanosti v potravinárskej výrobe je neustále znižujúci sa objem exportu produktov potravinárskej výroby, t.j. produktov s vyššou pridanou hodnotou a relatívne stúpajúci objem exportu prvovýroby. </w:t>
      </w:r>
      <w:r w:rsidRPr="004D4403">
        <w:rPr>
          <w:rFonts w:cs="Calibri"/>
        </w:rPr>
        <w:t>Ide o odvetvie relatívne značne feminizované, v</w:t>
      </w:r>
      <w:r w:rsidRPr="004D4403">
        <w:rPr>
          <w:rFonts w:eastAsia="Calibri"/>
        </w:rPr>
        <w:t> roku 2012 pracovalo v potravinárstve 51,8 % mužov a 48,2 % žien.</w:t>
      </w:r>
      <w:r w:rsidRPr="004D4403">
        <w:rPr>
          <w:rFonts w:cs="Calibri"/>
        </w:rPr>
        <w:t xml:space="preserve"> </w:t>
      </w:r>
      <w:r w:rsidRPr="004D4403">
        <w:rPr>
          <w:rFonts w:eastAsia="Calibri"/>
        </w:rPr>
        <w:lastRenderedPageBreak/>
        <w:t xml:space="preserve">V potravinárstve </w:t>
      </w:r>
      <w:r w:rsidRPr="004D4403">
        <w:t>je</w:t>
      </w:r>
      <w:r w:rsidRPr="004D4403">
        <w:rPr>
          <w:rFonts w:eastAsia="Calibri"/>
        </w:rPr>
        <w:t xml:space="preserve"> na rozdiel od poľnohospodárstva z hľadiska počtu zamestnancov v mladších vekových kategóriách priaznivejšia situácia. V posledných rokoch dochádza v podielovej štruktúre pracovníkov podľa veku k nárastu vo vyšších vekových kategóriách.</w:t>
      </w:r>
    </w:p>
    <w:p w:rsidR="002819E1" w:rsidRPr="004D4403" w:rsidRDefault="002819E1" w:rsidP="002819E1">
      <w:pPr>
        <w:spacing w:before="120" w:after="120"/>
        <w:ind w:firstLine="426"/>
        <w:jc w:val="both"/>
        <w:rPr>
          <w:rFonts w:cs="Calibri"/>
        </w:rPr>
      </w:pPr>
      <w:r w:rsidRPr="004D4403">
        <w:rPr>
          <w:rFonts w:cs="Calibri"/>
        </w:rPr>
        <w:t xml:space="preserve">Napriek tomu, že počet podnikov potravinárskeho priemyslu po vstupe do EÚ kontinuálne rástol v poslednom období prebieha proces ich značnej </w:t>
      </w:r>
      <w:r w:rsidRPr="004D4403">
        <w:rPr>
          <w:rFonts w:cs="Calibri"/>
          <w:bCs/>
        </w:rPr>
        <w:t>redukcie,</w:t>
      </w:r>
      <w:r w:rsidRPr="004D4403">
        <w:rPr>
          <w:rFonts w:cs="Calibri"/>
        </w:rPr>
        <w:t xml:space="preserve"> v rozhodujúcej miere </w:t>
      </w:r>
      <w:r w:rsidRPr="004D4403">
        <w:rPr>
          <w:rFonts w:cs="Calibri"/>
          <w:bCs/>
        </w:rPr>
        <w:t>fyzických osôb</w:t>
      </w:r>
      <w:r w:rsidRPr="004D4403">
        <w:rPr>
          <w:rFonts w:cs="Calibri"/>
        </w:rPr>
        <w:t xml:space="preserve"> (takmer o 50%). Odvetviu dominujú malé podniky (61%) s počtom zamestnancov od 10-49 (66%), ostatné sú tzv. </w:t>
      </w:r>
      <w:proofErr w:type="spellStart"/>
      <w:r w:rsidRPr="004D4403">
        <w:rPr>
          <w:rFonts w:cs="Calibri"/>
        </w:rPr>
        <w:t>mikro</w:t>
      </w:r>
      <w:proofErr w:type="spellEnd"/>
      <w:r w:rsidRPr="004D4403">
        <w:rPr>
          <w:rFonts w:cs="Calibri"/>
        </w:rPr>
        <w:t xml:space="preserve"> podniky do 9 osôb. Stredne veľkých firiem je 31% a 8% veľkých. </w:t>
      </w:r>
    </w:p>
    <w:p w:rsidR="002819E1" w:rsidRPr="004D4403" w:rsidRDefault="002819E1" w:rsidP="002819E1">
      <w:pPr>
        <w:spacing w:before="60" w:after="60"/>
        <w:ind w:firstLine="426"/>
        <w:jc w:val="both"/>
      </w:pPr>
      <w:r w:rsidRPr="004D4403">
        <w:t>Najdôležitejšími zamestnávateľmi (podniky nad 20 zamestnancov) v roku 2012 v sektore potravinárskeho priemyslu boli odvetvia pekárenské, mliekarenské a mäsiarske. Najvýraznejší pokles počtu zamestnancov bol sledovaný v tukovom priemysle, kde počet zamestnancov v roku 2012 v porovnaní s rokom 2008 klesol o 45,7 %.</w:t>
      </w:r>
    </w:p>
    <w:p w:rsidR="002819E1" w:rsidRPr="004D4403" w:rsidRDefault="002819E1" w:rsidP="002819E1">
      <w:pPr>
        <w:spacing w:after="200" w:line="276" w:lineRule="auto"/>
        <w:outlineLvl w:val="1"/>
        <w:rPr>
          <w:rFonts w:cs="Calibri"/>
          <w:bCs/>
          <w:noProof/>
          <w:u w:val="single"/>
        </w:rPr>
      </w:pPr>
    </w:p>
    <w:p w:rsidR="002819E1" w:rsidRPr="004D4403" w:rsidRDefault="002819E1" w:rsidP="002819E1">
      <w:pPr>
        <w:spacing w:after="200" w:line="276" w:lineRule="auto"/>
        <w:outlineLvl w:val="1"/>
        <w:rPr>
          <w:rFonts w:cs="Calibri"/>
          <w:b/>
          <w:bCs/>
          <w:noProof/>
          <w:u w:val="single"/>
        </w:rPr>
      </w:pPr>
      <w:r w:rsidRPr="004D4403">
        <w:rPr>
          <w:rFonts w:cs="Calibri"/>
          <w:b/>
          <w:bCs/>
          <w:noProof/>
          <w:u w:val="single"/>
        </w:rPr>
        <w:t>Pôdny fond</w:t>
      </w:r>
    </w:p>
    <w:p w:rsidR="002819E1" w:rsidRPr="004D4403" w:rsidRDefault="002819E1" w:rsidP="002819E1">
      <w:pPr>
        <w:spacing w:after="120"/>
        <w:jc w:val="both"/>
      </w:pPr>
      <w:r w:rsidRPr="004D4403">
        <w:t>Pôda je obmedzeným prírodným zdrojom, ktorý limituje a reguluje produkciu potravín a zabezpečuje ekologickú stabilitu krajiny. Pre poľnohospodárstvo je základným výrobným faktorom determinujúcim jeho produkčný aj mimo produkčný charakter.</w:t>
      </w:r>
    </w:p>
    <w:p w:rsidR="002819E1" w:rsidRPr="004D4403" w:rsidRDefault="002819E1" w:rsidP="002819E1">
      <w:pPr>
        <w:spacing w:after="120"/>
        <w:jc w:val="both"/>
      </w:pPr>
      <w:r w:rsidRPr="004D4403">
        <w:t>V roku 2012 zaberali z celkovej výmery SR  49,2% pôdy poľnohospodárske, 41,0% lesy a 9,8% nepoľnohospodárske a nelesné pozemky (vodné plochy, zastavané plochy, ostatné plochy). Na Slovensku v súčasnosti pripadá na jedného obyvateľa 0,44 ha poľnohospodárskych a 0,26 ha orných pôd . Vo svete je tento pomer 0,80, resp. 0,27 ha.</w:t>
      </w:r>
    </w:p>
    <w:p w:rsidR="002819E1" w:rsidRPr="004D4403" w:rsidRDefault="002819E1" w:rsidP="002819E1">
      <w:pPr>
        <w:spacing w:after="120"/>
        <w:jc w:val="both"/>
      </w:pPr>
      <w:r w:rsidRPr="004D4403">
        <w:t xml:space="preserve">Súčasný produkčný potenciál našich pôd postačuje na krytie potravinovej dostatočnosti asi pre 6,2 mil. obyvateľov. </w:t>
      </w:r>
    </w:p>
    <w:p w:rsidR="002819E1" w:rsidRPr="004D4403" w:rsidRDefault="002819E1" w:rsidP="002819E1">
      <w:pPr>
        <w:spacing w:before="60" w:after="60"/>
        <w:jc w:val="both"/>
      </w:pPr>
      <w:r w:rsidRPr="004D4403">
        <w:t xml:space="preserve">K potravinovej sebestačnosti v rámci celého Slovenska musíme disponovať minimálne výmerou 1 367 853 ha </w:t>
      </w:r>
      <w:r w:rsidRPr="004D4403">
        <w:rPr>
          <w:i/>
        </w:rPr>
        <w:t>(primárna pôda)</w:t>
      </w:r>
      <w:r w:rsidRPr="004D4403">
        <w:t>, čo predstavuje asi 56,7% v súčasnosti evidovaných poľnohospodárskych pôd Slovenska.</w:t>
      </w:r>
    </w:p>
    <w:p w:rsidR="002819E1" w:rsidRPr="004D4403" w:rsidRDefault="002819E1" w:rsidP="002819E1">
      <w:pPr>
        <w:rPr>
          <w:b/>
        </w:rPr>
      </w:pPr>
    </w:p>
    <w:p w:rsidR="002819E1" w:rsidRPr="004D4403" w:rsidRDefault="002819E1" w:rsidP="002819E1">
      <w:pPr>
        <w:rPr>
          <w:b/>
        </w:rPr>
      </w:pPr>
      <w:r w:rsidRPr="004D4403">
        <w:rPr>
          <w:b/>
        </w:rPr>
        <w:t>Veda, výskum a inovácie v pôdohospodárstve</w:t>
      </w:r>
    </w:p>
    <w:p w:rsidR="002819E1" w:rsidRPr="004D4403" w:rsidRDefault="002819E1" w:rsidP="002819E1">
      <w:pPr>
        <w:spacing w:before="60" w:after="60"/>
        <w:contextualSpacing/>
        <w:rPr>
          <w:rFonts w:ascii="Calibri" w:hAnsi="Calibri"/>
          <w:b/>
          <w:bCs/>
          <w:noProof/>
          <w:lang w:eastAsia="en-US"/>
        </w:rPr>
      </w:pPr>
    </w:p>
    <w:p w:rsidR="002819E1" w:rsidRPr="004D4403" w:rsidRDefault="002819E1" w:rsidP="002819E1">
      <w:pPr>
        <w:ind w:firstLine="340"/>
        <w:jc w:val="both"/>
      </w:pPr>
      <w:r w:rsidRPr="004D4403">
        <w:t xml:space="preserve">Veda, výskum a inovácie zohrávajú kľúčovú úlohu pri riešení klimatickej zmeny a jej následkov, zabezpečení výživy obyvateľstva, prechode na </w:t>
      </w:r>
      <w:proofErr w:type="spellStart"/>
      <w:r w:rsidRPr="004D4403">
        <w:t>nízkouhlíkovú</w:t>
      </w:r>
      <w:proofErr w:type="spellEnd"/>
      <w:r w:rsidRPr="004D4403">
        <w:t xml:space="preserve"> ekonomiku a využití nových technológií vrátane biotechnológií v pôdohospodárstve pri zhodnocovaní surovín a odpadov z pôdohospodárstva nielen pre výživu, ale aj pre potreby iných odvetví hospodárstva (farmaceutického, automobilového, energetiky, atď.). </w:t>
      </w:r>
    </w:p>
    <w:p w:rsidR="002819E1" w:rsidRPr="004D4403" w:rsidRDefault="002819E1" w:rsidP="002819E1">
      <w:pPr>
        <w:ind w:firstLine="340"/>
        <w:jc w:val="both"/>
      </w:pPr>
      <w:r w:rsidRPr="004D4403">
        <w:t xml:space="preserve">Významný potenciál v tomto smere predstavuje vedeckovýskumná základňa (ďalej len „VVZ“), ktorú po transformácii tvoria dve organizácie – Národné poľnohospodárske a potravinárske centrum a Národné lesnícke centrum, ktoré v rámci aplikovaného a základného výskumu (centrá excelentnosti), nadväzujúceho vývoja a súvisiacich inovácií pre pôdohospodársku prax komplexne pokrývajú pôdohospodársku problematiku (ekonomika - rozvoj vidieka - pôda – rastlinná výroba - živočíšna výroba – potravinárstvo – lesníctvo). Centrá okrem rezortných projektov výskumu a vývoja riešia aj výskumné projekty financované zo zdrojov mimo rezortu MPRV SR, predovšetkým prostredníctvom Operačného programu Veda a výskum, projektov Agentúry na podporu výskumu a vývoja a tiež zo zahraničných zdrojov, predovšetkým projektov Rámcových programov EÚ. Negatívom je, že od roku 2006 sa neriešia štátne programy výskumu a vývoja. </w:t>
      </w:r>
    </w:p>
    <w:p w:rsidR="002819E1" w:rsidRPr="004D4403" w:rsidRDefault="002819E1" w:rsidP="002819E1">
      <w:pPr>
        <w:spacing w:before="60" w:after="60"/>
        <w:jc w:val="both"/>
      </w:pPr>
    </w:p>
    <w:p w:rsidR="002819E1" w:rsidRPr="004D4403" w:rsidRDefault="002819E1" w:rsidP="002819E1">
      <w:pPr>
        <w:rPr>
          <w:b/>
        </w:rPr>
      </w:pPr>
      <w:r w:rsidRPr="004D4403">
        <w:rPr>
          <w:b/>
        </w:rPr>
        <w:lastRenderedPageBreak/>
        <w:t>Pôdohospodárska politika SR a EÚ</w:t>
      </w:r>
    </w:p>
    <w:p w:rsidR="002819E1" w:rsidRPr="004D4403" w:rsidRDefault="002819E1" w:rsidP="002819E1">
      <w:pPr>
        <w:spacing w:before="60" w:after="60"/>
        <w:ind w:firstLine="426"/>
        <w:jc w:val="both"/>
      </w:pPr>
      <w:r w:rsidRPr="004D4403">
        <w:t xml:space="preserve">Slovenské poľnohospodárstvo, potravinárstvo, lesníctvo a rozvoj vidieka sú významne ovplyvňované spoločnou poľnohospodárskou politikou EÚ. </w:t>
      </w:r>
    </w:p>
    <w:p w:rsidR="002819E1" w:rsidRPr="002D5FED" w:rsidRDefault="002819E1" w:rsidP="002D5FED">
      <w:pPr>
        <w:spacing w:before="60" w:after="60"/>
        <w:ind w:firstLine="426"/>
        <w:jc w:val="both"/>
        <w:rPr>
          <w:color w:val="FF0000"/>
        </w:rPr>
      </w:pPr>
      <w:r w:rsidRPr="004D4403">
        <w:t xml:space="preserve">V rámci jej  prvého piliera (priame podpory, trhové opatrenia) je poskytovanie  priamych podpôr podmienené rešpektovaním noriem v oblasti životného prostredia, zdravia ľudí, zvierat a rastlín (bezpečnosť potravín) a životných podmienok zvierat. Okrem toho musia členské štáty zabezpečiť, aby bola poľnohospodárska pôda udržiavaná v dobrom stave z hľadiska poľnohospodárskych postupov a ochrany životného prostredia. Minimálne požiadavky sú koncipované na úrovni každého členského štátu, pri zohľadnení špecifických charakteristík príslušných oblastí, vrátane pôdnych a klimatických podmienok, existujúcich systémov hospodárenia, využitia pôdy, rotácie plodín, metód hospodárenia a štruktúry fariem. </w:t>
      </w:r>
      <w:r w:rsidR="002D5FED" w:rsidRPr="00CB5F71">
        <w:t>Opatrenia 1. piliera sú, okrem trhových opatrení, pre členské štáty povinné a sú financované zo zdrojov Európskeho poľnohospodárskeho záručného fondu. Súčasťou priamych platieb je aj poskytovanie prechodných vnútroštátnych platieb, ktoré sú poskytované zo ŠR SR</w:t>
      </w:r>
      <w:r w:rsidRPr="00CB5F71">
        <w:t>.</w:t>
      </w:r>
    </w:p>
    <w:p w:rsidR="002819E1" w:rsidRPr="004D4403" w:rsidRDefault="002D5FED" w:rsidP="002819E1">
      <w:pPr>
        <w:spacing w:before="60" w:after="60"/>
        <w:ind w:firstLine="426"/>
        <w:jc w:val="both"/>
      </w:pPr>
      <w:bookmarkStart w:id="21" w:name="_GoBack"/>
      <w:bookmarkEnd w:id="21"/>
      <w:r w:rsidRPr="00CB5F71">
        <w:t xml:space="preserve">Druhý pilier zabezpečuje zdroje poľnohospodárom, potravinárom, lesníkom, </w:t>
      </w:r>
      <w:proofErr w:type="spellStart"/>
      <w:r w:rsidRPr="00CB5F71">
        <w:t>mikro</w:t>
      </w:r>
      <w:proofErr w:type="spellEnd"/>
      <w:r w:rsidRPr="00CB5F71">
        <w:t xml:space="preserve"> a malým podnikom, občianskej spoločnosti na vidieku a vidieckym obciam prostredníctvom Programu rozvoja vidieka (PRV)</w:t>
      </w:r>
      <w:r w:rsidR="002819E1" w:rsidRPr="00CB5F71">
        <w:t xml:space="preserve">. </w:t>
      </w:r>
      <w:r w:rsidR="002819E1" w:rsidRPr="004D4403">
        <w:t>Cieľom je zvýšenie konkurencieschopnosti pôdohospodárstva, poskytovanie špecifických environmentálnych verejných statkov a podpora diverzifikácie výroby a kvality života na vidieku. Opatrenia 2. piliera, s výnimkou niektorých opatrení v súčasnosti spadajúcich pod os 2, sú dobrovoľné, založené na projektovom princípe a spolufinancované z národnej úrovne.</w:t>
      </w:r>
    </w:p>
    <w:p w:rsidR="002819E1" w:rsidRPr="004D4403" w:rsidRDefault="002819E1" w:rsidP="002819E1">
      <w:pPr>
        <w:spacing w:before="60" w:after="60"/>
        <w:ind w:firstLine="426"/>
        <w:jc w:val="both"/>
      </w:pPr>
      <w:r w:rsidRPr="004D4403">
        <w:t xml:space="preserve">V súlade so stratégiou Európa 2020 sa bude ďalej zvyšovať potreba podporovať efektívnosť využívania zdrojov v záujme inteligentného, udržateľného a </w:t>
      </w:r>
      <w:proofErr w:type="spellStart"/>
      <w:r w:rsidRPr="004D4403">
        <w:t>inkluzívneho</w:t>
      </w:r>
      <w:proofErr w:type="spellEnd"/>
      <w:r w:rsidRPr="004D4403">
        <w:t xml:space="preserve"> rastu poľnohospodárstva a vidieckych oblastí EÚ. Od poľnohospodárstva a vidieckych oblastí sa očakáva, že naplnia ambiciózne ciele v oblasti klímy, biodiverzity, konkurencieschopnosti, energie, inovácií a zamestnanosti. </w:t>
      </w:r>
    </w:p>
    <w:p w:rsidR="002819E1" w:rsidRPr="004D4403" w:rsidRDefault="002819E1" w:rsidP="002819E1">
      <w:pPr>
        <w:spacing w:before="60" w:after="60"/>
        <w:ind w:firstLine="284"/>
        <w:jc w:val="both"/>
      </w:pPr>
      <w:r w:rsidRPr="004D4403">
        <w:t xml:space="preserve"> Novoprijatá reforma SPP na obdobie 2014-2020 má nasledovné ciele: </w:t>
      </w:r>
    </w:p>
    <w:p w:rsidR="002819E1" w:rsidRPr="004D4403" w:rsidRDefault="002819E1" w:rsidP="002819E1">
      <w:pPr>
        <w:numPr>
          <w:ilvl w:val="0"/>
          <w:numId w:val="26"/>
        </w:numPr>
        <w:spacing w:before="60" w:after="60"/>
        <w:ind w:left="284" w:hanging="284"/>
        <w:contextualSpacing/>
        <w:jc w:val="both"/>
      </w:pPr>
      <w:r w:rsidRPr="004D4403">
        <w:t>životaschopná výroba potravín;</w:t>
      </w:r>
    </w:p>
    <w:p w:rsidR="002819E1" w:rsidRPr="004D4403" w:rsidRDefault="002819E1" w:rsidP="002819E1">
      <w:pPr>
        <w:numPr>
          <w:ilvl w:val="0"/>
          <w:numId w:val="26"/>
        </w:numPr>
        <w:spacing w:before="60" w:after="60"/>
        <w:ind w:left="284" w:hanging="284"/>
        <w:contextualSpacing/>
        <w:jc w:val="both"/>
      </w:pPr>
      <w:r w:rsidRPr="004D4403">
        <w:t>udržateľné hospodárenie s prírodnými zdrojmi a opatrenia proti zmene klímy; a</w:t>
      </w:r>
    </w:p>
    <w:p w:rsidR="002819E1" w:rsidRPr="004D4403" w:rsidRDefault="002819E1" w:rsidP="002819E1">
      <w:pPr>
        <w:numPr>
          <w:ilvl w:val="0"/>
          <w:numId w:val="26"/>
        </w:numPr>
        <w:spacing w:before="60" w:after="60"/>
        <w:ind w:left="284" w:hanging="284"/>
        <w:contextualSpacing/>
        <w:jc w:val="both"/>
      </w:pPr>
      <w:r w:rsidRPr="004D4403">
        <w:t>vyvážený územný rozvoj.</w:t>
      </w:r>
    </w:p>
    <w:p w:rsidR="002819E1" w:rsidRPr="004D4403" w:rsidRDefault="002819E1" w:rsidP="002819E1">
      <w:pPr>
        <w:spacing w:before="60" w:after="60"/>
        <w:ind w:firstLine="426"/>
        <w:jc w:val="both"/>
      </w:pPr>
      <w:r w:rsidRPr="004D4403">
        <w:t xml:space="preserve">Cieľom reformy je zrýchliť proces integrácie environmentálnych požiadaviek. Na podporu udržateľnej výroby do prvého piliera zavádza </w:t>
      </w:r>
      <w:proofErr w:type="spellStart"/>
      <w:r w:rsidRPr="004D4403">
        <w:t>ekologizujúca</w:t>
      </w:r>
      <w:proofErr w:type="spellEnd"/>
      <w:r w:rsidRPr="004D4403">
        <w:t xml:space="preserve"> zložka, čím sa zaistí, že všetci poľnohospodári EÚ, príjemcovia podpory, budú hospodáriť nad rámec požiadaviek krížového plnenia (30% všetkých priamych platieb je viazaných na ekologizáciu), a tým činnosť všetkých poľnohospodárov bude prospešná pre životné prostredie a klímu prostredníctvom sekvestrácie uhlíka, biotopov trávnych porastov a trvalých pasienkov, zlepší sa stabilita </w:t>
      </w:r>
      <w:proofErr w:type="spellStart"/>
      <w:r w:rsidRPr="004D4403">
        <w:t>agroekosystémov</w:t>
      </w:r>
      <w:proofErr w:type="spellEnd"/>
      <w:r w:rsidRPr="004D4403">
        <w:t xml:space="preserve"> prostredníctvom diverzifikácie plodín, zabezpečí sa ochrana vodných zdrojov a biotopov vytvorením oblastí ekologického záujmu.</w:t>
      </w:r>
    </w:p>
    <w:sectPr w:rsidR="002819E1" w:rsidRPr="004D4403" w:rsidSect="001E5057">
      <w:pgSz w:w="11906" w:h="16838" w:code="9"/>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A06" w:rsidRDefault="003E3A06">
      <w:r>
        <w:separator/>
      </w:r>
    </w:p>
  </w:endnote>
  <w:endnote w:type="continuationSeparator" w:id="0">
    <w:p w:rsidR="003E3A06" w:rsidRDefault="003E3A06">
      <w:r>
        <w:continuationSeparator/>
      </w:r>
    </w:p>
  </w:endnote>
  <w:endnote w:type="continuationNotice" w:id="1">
    <w:p w:rsidR="003E3A06" w:rsidRDefault="003E3A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03" w:csb1="00000000"/>
  </w:font>
  <w:font w:name="Lohit Hindi">
    <w:altName w:val="Arial Unicode MS"/>
    <w:charset w:val="80"/>
    <w:family w:val="auto"/>
    <w:pitch w:val="variable"/>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TodaySansCe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A06" w:rsidRPr="004845A5" w:rsidRDefault="003E3A06">
    <w:pPr>
      <w:pStyle w:val="Pta"/>
      <w:jc w:val="right"/>
      <w:rPr>
        <w:lang w:val="sk-SK"/>
      </w:rPr>
    </w:pPr>
    <w:r>
      <w:fldChar w:fldCharType="begin"/>
    </w:r>
    <w:r>
      <w:instrText>PAGE   \* MERGEFORMAT</w:instrText>
    </w:r>
    <w:r>
      <w:fldChar w:fldCharType="separate"/>
    </w:r>
    <w:r w:rsidR="00CB5F71" w:rsidRPr="00CB5F71">
      <w:rPr>
        <w:noProof/>
        <w:lang w:val="sk-SK"/>
      </w:rPr>
      <w:t>65</w:t>
    </w:r>
    <w:r>
      <w:fldChar w:fldCharType="end"/>
    </w:r>
  </w:p>
  <w:p w:rsidR="003E3A06" w:rsidRDefault="003E3A0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A06" w:rsidRDefault="003E3A06">
      <w:r>
        <w:separator/>
      </w:r>
    </w:p>
  </w:footnote>
  <w:footnote w:type="continuationSeparator" w:id="0">
    <w:p w:rsidR="003E3A06" w:rsidRDefault="003E3A06">
      <w:r>
        <w:continuationSeparator/>
      </w:r>
    </w:p>
  </w:footnote>
  <w:footnote w:type="continuationNotice" w:id="1">
    <w:p w:rsidR="003E3A06" w:rsidRDefault="003E3A06"/>
  </w:footnote>
  <w:footnote w:id="2">
    <w:p w:rsidR="003E3A06" w:rsidRPr="005255F6" w:rsidRDefault="003E3A06" w:rsidP="009A6B10">
      <w:pPr>
        <w:pStyle w:val="Textpoznmkypodiarou"/>
      </w:pPr>
      <w:r w:rsidRPr="000C7E0C">
        <w:rPr>
          <w:rStyle w:val="Odkaznapoznmkupodiarou"/>
          <w:rFonts w:eastAsia="Arial Unicode MS"/>
        </w:rPr>
        <w:footnoteRef/>
      </w:r>
      <w:r w:rsidRPr="005255F6">
        <w:t xml:space="preserve"> </w:t>
      </w:r>
      <w:r w:rsidRPr="005255F6">
        <w:rPr>
          <w:sz w:val="16"/>
        </w:rPr>
        <w:t xml:space="preserve">12 </w:t>
      </w:r>
      <w:proofErr w:type="spellStart"/>
      <w:r w:rsidRPr="005255F6">
        <w:rPr>
          <w:sz w:val="16"/>
        </w:rPr>
        <w:t>pilierov</w:t>
      </w:r>
      <w:proofErr w:type="spellEnd"/>
      <w:r w:rsidRPr="005255F6">
        <w:rPr>
          <w:sz w:val="16"/>
        </w:rPr>
        <w:t xml:space="preserve"> </w:t>
      </w:r>
      <w:proofErr w:type="spellStart"/>
      <w:r w:rsidRPr="005255F6">
        <w:rPr>
          <w:sz w:val="16"/>
        </w:rPr>
        <w:t>Indexu</w:t>
      </w:r>
      <w:proofErr w:type="spellEnd"/>
      <w:r w:rsidRPr="005255F6">
        <w:rPr>
          <w:sz w:val="16"/>
        </w:rPr>
        <w:t xml:space="preserve"> </w:t>
      </w:r>
      <w:proofErr w:type="spellStart"/>
      <w:r w:rsidRPr="005255F6">
        <w:rPr>
          <w:sz w:val="16"/>
        </w:rPr>
        <w:t>globálnej</w:t>
      </w:r>
      <w:proofErr w:type="spellEnd"/>
      <w:r w:rsidRPr="005255F6">
        <w:rPr>
          <w:sz w:val="16"/>
        </w:rPr>
        <w:t xml:space="preserve"> </w:t>
      </w:r>
      <w:proofErr w:type="spellStart"/>
      <w:r w:rsidRPr="005255F6">
        <w:rPr>
          <w:sz w:val="16"/>
        </w:rPr>
        <w:t>konkurencieschopnosti</w:t>
      </w:r>
      <w:proofErr w:type="spellEnd"/>
      <w:r w:rsidRPr="005255F6">
        <w:rPr>
          <w:sz w:val="16"/>
        </w:rPr>
        <w:t xml:space="preserve"> (GCI): </w:t>
      </w:r>
      <w:proofErr w:type="spellStart"/>
      <w:r w:rsidRPr="005255F6">
        <w:rPr>
          <w:sz w:val="16"/>
        </w:rPr>
        <w:t>verejné</w:t>
      </w:r>
      <w:proofErr w:type="spellEnd"/>
      <w:r w:rsidRPr="005255F6">
        <w:rPr>
          <w:sz w:val="16"/>
        </w:rPr>
        <w:t xml:space="preserve"> </w:t>
      </w:r>
      <w:proofErr w:type="spellStart"/>
      <w:r w:rsidRPr="005255F6">
        <w:rPr>
          <w:sz w:val="16"/>
        </w:rPr>
        <w:t>inštitúcie</w:t>
      </w:r>
      <w:proofErr w:type="spellEnd"/>
      <w:r w:rsidRPr="005255F6">
        <w:rPr>
          <w:sz w:val="16"/>
        </w:rPr>
        <w:t xml:space="preserve">, </w:t>
      </w:r>
      <w:proofErr w:type="spellStart"/>
      <w:r w:rsidRPr="005255F6">
        <w:rPr>
          <w:sz w:val="16"/>
        </w:rPr>
        <w:t>infraštruktúra</w:t>
      </w:r>
      <w:proofErr w:type="spellEnd"/>
      <w:r w:rsidRPr="005255F6">
        <w:rPr>
          <w:sz w:val="16"/>
        </w:rPr>
        <w:t xml:space="preserve">, </w:t>
      </w:r>
      <w:proofErr w:type="spellStart"/>
      <w:r w:rsidRPr="005255F6">
        <w:rPr>
          <w:sz w:val="16"/>
        </w:rPr>
        <w:t>makroekonomická</w:t>
      </w:r>
      <w:proofErr w:type="spellEnd"/>
      <w:r w:rsidRPr="005255F6">
        <w:rPr>
          <w:sz w:val="16"/>
        </w:rPr>
        <w:t xml:space="preserve"> </w:t>
      </w:r>
      <w:proofErr w:type="spellStart"/>
      <w:r w:rsidRPr="005255F6">
        <w:rPr>
          <w:sz w:val="16"/>
        </w:rPr>
        <w:t>stabilita</w:t>
      </w:r>
      <w:proofErr w:type="spellEnd"/>
      <w:r w:rsidRPr="005255F6">
        <w:rPr>
          <w:sz w:val="16"/>
        </w:rPr>
        <w:t xml:space="preserve">, </w:t>
      </w:r>
      <w:proofErr w:type="spellStart"/>
      <w:r w:rsidRPr="005255F6">
        <w:rPr>
          <w:sz w:val="16"/>
        </w:rPr>
        <w:t>zdravie</w:t>
      </w:r>
      <w:proofErr w:type="spellEnd"/>
      <w:r w:rsidRPr="005255F6">
        <w:rPr>
          <w:sz w:val="16"/>
        </w:rPr>
        <w:t xml:space="preserve"> </w:t>
      </w:r>
      <w:proofErr w:type="spellStart"/>
      <w:r w:rsidRPr="005255F6">
        <w:rPr>
          <w:sz w:val="16"/>
        </w:rPr>
        <w:t>obyvateľstva</w:t>
      </w:r>
      <w:proofErr w:type="spellEnd"/>
      <w:r w:rsidRPr="005255F6">
        <w:rPr>
          <w:sz w:val="16"/>
        </w:rPr>
        <w:t xml:space="preserve"> a </w:t>
      </w:r>
      <w:proofErr w:type="spellStart"/>
      <w:r w:rsidRPr="005255F6">
        <w:rPr>
          <w:sz w:val="16"/>
        </w:rPr>
        <w:t>základné</w:t>
      </w:r>
      <w:proofErr w:type="spellEnd"/>
      <w:r w:rsidRPr="005255F6">
        <w:rPr>
          <w:sz w:val="16"/>
        </w:rPr>
        <w:t xml:space="preserve"> </w:t>
      </w:r>
      <w:proofErr w:type="spellStart"/>
      <w:r w:rsidRPr="005255F6">
        <w:rPr>
          <w:sz w:val="16"/>
        </w:rPr>
        <w:t>vzdelanie</w:t>
      </w:r>
      <w:proofErr w:type="spellEnd"/>
      <w:r w:rsidRPr="005255F6">
        <w:rPr>
          <w:sz w:val="16"/>
        </w:rPr>
        <w:t xml:space="preserve">, </w:t>
      </w:r>
      <w:proofErr w:type="spellStart"/>
      <w:r w:rsidRPr="005255F6">
        <w:rPr>
          <w:sz w:val="16"/>
        </w:rPr>
        <w:t>vyššie</w:t>
      </w:r>
      <w:proofErr w:type="spellEnd"/>
      <w:r w:rsidRPr="005255F6">
        <w:rPr>
          <w:sz w:val="16"/>
        </w:rPr>
        <w:t xml:space="preserve"> </w:t>
      </w:r>
      <w:proofErr w:type="spellStart"/>
      <w:r w:rsidRPr="005255F6">
        <w:rPr>
          <w:sz w:val="16"/>
        </w:rPr>
        <w:t>vzdelávanie</w:t>
      </w:r>
      <w:proofErr w:type="spellEnd"/>
      <w:r w:rsidRPr="005255F6">
        <w:rPr>
          <w:sz w:val="16"/>
        </w:rPr>
        <w:t xml:space="preserve"> a </w:t>
      </w:r>
      <w:proofErr w:type="spellStart"/>
      <w:r w:rsidRPr="005255F6">
        <w:rPr>
          <w:sz w:val="16"/>
        </w:rPr>
        <w:t>tréning</w:t>
      </w:r>
      <w:proofErr w:type="spellEnd"/>
      <w:r w:rsidRPr="005255F6">
        <w:rPr>
          <w:sz w:val="16"/>
        </w:rPr>
        <w:t xml:space="preserve">, </w:t>
      </w:r>
      <w:proofErr w:type="spellStart"/>
      <w:r w:rsidRPr="005255F6">
        <w:rPr>
          <w:sz w:val="16"/>
        </w:rPr>
        <w:t>efektívnosť</w:t>
      </w:r>
      <w:proofErr w:type="spellEnd"/>
      <w:r w:rsidRPr="005255F6">
        <w:rPr>
          <w:sz w:val="16"/>
        </w:rPr>
        <w:t xml:space="preserve"> </w:t>
      </w:r>
      <w:proofErr w:type="spellStart"/>
      <w:r w:rsidRPr="005255F6">
        <w:rPr>
          <w:sz w:val="16"/>
        </w:rPr>
        <w:t>trhu</w:t>
      </w:r>
      <w:proofErr w:type="spellEnd"/>
      <w:r w:rsidRPr="005255F6">
        <w:rPr>
          <w:sz w:val="16"/>
        </w:rPr>
        <w:t xml:space="preserve"> </w:t>
      </w:r>
      <w:proofErr w:type="spellStart"/>
      <w:r w:rsidRPr="005255F6">
        <w:rPr>
          <w:sz w:val="16"/>
        </w:rPr>
        <w:t>tovarov</w:t>
      </w:r>
      <w:proofErr w:type="spellEnd"/>
      <w:r w:rsidRPr="005255F6">
        <w:rPr>
          <w:sz w:val="16"/>
        </w:rPr>
        <w:t xml:space="preserve">, </w:t>
      </w:r>
      <w:proofErr w:type="spellStart"/>
      <w:r w:rsidRPr="005255F6">
        <w:rPr>
          <w:sz w:val="16"/>
        </w:rPr>
        <w:t>efektívnosť</w:t>
      </w:r>
      <w:proofErr w:type="spellEnd"/>
      <w:r w:rsidRPr="005255F6">
        <w:rPr>
          <w:sz w:val="16"/>
        </w:rPr>
        <w:t xml:space="preserve"> </w:t>
      </w:r>
      <w:proofErr w:type="spellStart"/>
      <w:r w:rsidRPr="005255F6">
        <w:rPr>
          <w:sz w:val="16"/>
        </w:rPr>
        <w:t>pracovného</w:t>
      </w:r>
      <w:proofErr w:type="spellEnd"/>
      <w:r w:rsidRPr="005255F6">
        <w:rPr>
          <w:sz w:val="16"/>
        </w:rPr>
        <w:t xml:space="preserve"> </w:t>
      </w:r>
      <w:proofErr w:type="spellStart"/>
      <w:r w:rsidRPr="005255F6">
        <w:rPr>
          <w:sz w:val="16"/>
        </w:rPr>
        <w:t>trhu</w:t>
      </w:r>
      <w:proofErr w:type="spellEnd"/>
      <w:r w:rsidRPr="005255F6">
        <w:rPr>
          <w:sz w:val="16"/>
        </w:rPr>
        <w:t xml:space="preserve">, </w:t>
      </w:r>
      <w:proofErr w:type="spellStart"/>
      <w:r w:rsidRPr="005255F6">
        <w:rPr>
          <w:sz w:val="16"/>
        </w:rPr>
        <w:t>vyspelosť</w:t>
      </w:r>
      <w:proofErr w:type="spellEnd"/>
      <w:r w:rsidRPr="005255F6">
        <w:rPr>
          <w:sz w:val="16"/>
        </w:rPr>
        <w:t xml:space="preserve"> </w:t>
      </w:r>
      <w:proofErr w:type="spellStart"/>
      <w:r w:rsidRPr="005255F6">
        <w:rPr>
          <w:sz w:val="16"/>
        </w:rPr>
        <w:t>finančného</w:t>
      </w:r>
      <w:proofErr w:type="spellEnd"/>
      <w:r w:rsidRPr="005255F6">
        <w:rPr>
          <w:sz w:val="16"/>
        </w:rPr>
        <w:t xml:space="preserve"> </w:t>
      </w:r>
      <w:proofErr w:type="spellStart"/>
      <w:r w:rsidRPr="005255F6">
        <w:rPr>
          <w:sz w:val="16"/>
        </w:rPr>
        <w:t>trhu</w:t>
      </w:r>
      <w:proofErr w:type="spellEnd"/>
      <w:r w:rsidRPr="005255F6">
        <w:rPr>
          <w:sz w:val="16"/>
        </w:rPr>
        <w:t xml:space="preserve">, </w:t>
      </w:r>
      <w:proofErr w:type="spellStart"/>
      <w:r w:rsidRPr="005255F6">
        <w:rPr>
          <w:sz w:val="16"/>
        </w:rPr>
        <w:t>technologická</w:t>
      </w:r>
      <w:proofErr w:type="spellEnd"/>
      <w:r w:rsidRPr="005255F6">
        <w:rPr>
          <w:sz w:val="16"/>
        </w:rPr>
        <w:t xml:space="preserve"> </w:t>
      </w:r>
      <w:proofErr w:type="spellStart"/>
      <w:r w:rsidRPr="005255F6">
        <w:rPr>
          <w:sz w:val="16"/>
        </w:rPr>
        <w:t>pripravenosť</w:t>
      </w:r>
      <w:proofErr w:type="spellEnd"/>
      <w:r w:rsidRPr="005255F6">
        <w:rPr>
          <w:sz w:val="16"/>
        </w:rPr>
        <w:t xml:space="preserve">, </w:t>
      </w:r>
      <w:proofErr w:type="spellStart"/>
      <w:r w:rsidRPr="005255F6">
        <w:rPr>
          <w:sz w:val="16"/>
        </w:rPr>
        <w:t>veľkosť</w:t>
      </w:r>
      <w:proofErr w:type="spellEnd"/>
      <w:r w:rsidRPr="005255F6">
        <w:rPr>
          <w:sz w:val="16"/>
        </w:rPr>
        <w:t xml:space="preserve"> </w:t>
      </w:r>
      <w:proofErr w:type="spellStart"/>
      <w:r w:rsidRPr="005255F6">
        <w:rPr>
          <w:sz w:val="16"/>
        </w:rPr>
        <w:t>trhu</w:t>
      </w:r>
      <w:proofErr w:type="spellEnd"/>
      <w:r w:rsidRPr="005255F6">
        <w:rPr>
          <w:sz w:val="16"/>
        </w:rPr>
        <w:t xml:space="preserve">, </w:t>
      </w:r>
      <w:proofErr w:type="spellStart"/>
      <w:r w:rsidRPr="005255F6">
        <w:rPr>
          <w:sz w:val="16"/>
        </w:rPr>
        <w:t>vyspelosť</w:t>
      </w:r>
      <w:proofErr w:type="spellEnd"/>
      <w:r w:rsidRPr="005255F6">
        <w:rPr>
          <w:sz w:val="16"/>
        </w:rPr>
        <w:t xml:space="preserve"> </w:t>
      </w:r>
      <w:proofErr w:type="spellStart"/>
      <w:r w:rsidRPr="005255F6">
        <w:rPr>
          <w:sz w:val="16"/>
        </w:rPr>
        <w:t>podnikových</w:t>
      </w:r>
      <w:proofErr w:type="spellEnd"/>
      <w:r w:rsidRPr="005255F6">
        <w:rPr>
          <w:sz w:val="16"/>
        </w:rPr>
        <w:t xml:space="preserve"> </w:t>
      </w:r>
      <w:proofErr w:type="spellStart"/>
      <w:r w:rsidRPr="005255F6">
        <w:rPr>
          <w:sz w:val="16"/>
        </w:rPr>
        <w:t>procesov</w:t>
      </w:r>
      <w:proofErr w:type="spellEnd"/>
      <w:r w:rsidRPr="005255F6">
        <w:rPr>
          <w:sz w:val="16"/>
        </w:rPr>
        <w:t xml:space="preserve"> a </w:t>
      </w:r>
      <w:proofErr w:type="spellStart"/>
      <w:r w:rsidRPr="005255F6">
        <w:rPr>
          <w:sz w:val="16"/>
        </w:rPr>
        <w:t>inovácie</w:t>
      </w:r>
      <w:proofErr w:type="spellEnd"/>
      <w:r w:rsidRPr="005255F6">
        <w:rPr>
          <w:sz w:val="16"/>
        </w:rPr>
        <w:t>.</w:t>
      </w:r>
    </w:p>
  </w:footnote>
  <w:footnote w:id="3">
    <w:p w:rsidR="003E3A06" w:rsidRPr="005255F6" w:rsidRDefault="003E3A06" w:rsidP="009A6B10">
      <w:pPr>
        <w:pStyle w:val="Textpoznmkypodiarou"/>
      </w:pPr>
      <w:r>
        <w:rPr>
          <w:rStyle w:val="Odkaznapoznmkupodiarou"/>
        </w:rPr>
        <w:footnoteRef/>
      </w:r>
      <w:r w:rsidRPr="00E124FA">
        <w:rPr>
          <w:lang w:val="sk-SK"/>
        </w:rPr>
        <w:t xml:space="preserve"> Ide o nasledovné úkony: 1. z</w:t>
      </w:r>
      <w:proofErr w:type="spellStart"/>
      <w:r w:rsidRPr="005255F6">
        <w:t>ískanie</w:t>
      </w:r>
      <w:proofErr w:type="spellEnd"/>
      <w:r w:rsidRPr="005255F6">
        <w:t xml:space="preserve"> </w:t>
      </w:r>
      <w:proofErr w:type="spellStart"/>
      <w:r w:rsidRPr="005255F6">
        <w:t>výpisov</w:t>
      </w:r>
      <w:proofErr w:type="spellEnd"/>
      <w:r w:rsidRPr="005255F6">
        <w:t xml:space="preserve"> z </w:t>
      </w:r>
      <w:proofErr w:type="spellStart"/>
      <w:r w:rsidRPr="005255F6">
        <w:t>obchodného</w:t>
      </w:r>
      <w:proofErr w:type="spellEnd"/>
      <w:r w:rsidRPr="005255F6">
        <w:t xml:space="preserve"> </w:t>
      </w:r>
      <w:proofErr w:type="spellStart"/>
      <w:r w:rsidRPr="005255F6">
        <w:t>registra</w:t>
      </w:r>
      <w:proofErr w:type="spellEnd"/>
      <w:r w:rsidRPr="005255F6">
        <w:t xml:space="preserve"> </w:t>
      </w:r>
      <w:proofErr w:type="spellStart"/>
      <w:r w:rsidRPr="005255F6">
        <w:t>vedeného</w:t>
      </w:r>
      <w:proofErr w:type="spellEnd"/>
      <w:r w:rsidRPr="00E124FA">
        <w:rPr>
          <w:lang w:val="sk-SK"/>
        </w:rPr>
        <w:t xml:space="preserve"> </w:t>
      </w:r>
      <w:proofErr w:type="spellStart"/>
      <w:r w:rsidRPr="005255F6">
        <w:t>príslušným</w:t>
      </w:r>
      <w:proofErr w:type="spellEnd"/>
      <w:r w:rsidRPr="005255F6">
        <w:t xml:space="preserve"> </w:t>
      </w:r>
      <w:proofErr w:type="spellStart"/>
      <w:r w:rsidRPr="005255F6">
        <w:t>súdom</w:t>
      </w:r>
      <w:proofErr w:type="spellEnd"/>
      <w:r w:rsidRPr="00E124FA">
        <w:rPr>
          <w:lang w:val="sk-SK"/>
        </w:rPr>
        <w:t>; 2. p</w:t>
      </w:r>
      <w:proofErr w:type="spellStart"/>
      <w:r w:rsidRPr="005255F6">
        <w:t>otvrdenie</w:t>
      </w:r>
      <w:proofErr w:type="spellEnd"/>
      <w:r w:rsidRPr="005255F6">
        <w:t xml:space="preserve"> </w:t>
      </w:r>
      <w:proofErr w:type="spellStart"/>
      <w:r w:rsidRPr="005255F6">
        <w:t>pravosti</w:t>
      </w:r>
      <w:proofErr w:type="spellEnd"/>
      <w:r w:rsidRPr="005255F6">
        <w:t xml:space="preserve"> </w:t>
      </w:r>
      <w:proofErr w:type="spellStart"/>
      <w:r w:rsidRPr="005255F6">
        <w:t>podpisu</w:t>
      </w:r>
      <w:proofErr w:type="spellEnd"/>
      <w:r w:rsidRPr="005255F6">
        <w:t xml:space="preserve"> </w:t>
      </w:r>
      <w:proofErr w:type="spellStart"/>
      <w:r w:rsidRPr="005255F6">
        <w:t>predávajúceho</w:t>
      </w:r>
      <w:proofErr w:type="spellEnd"/>
      <w:r w:rsidRPr="005255F6">
        <w:t xml:space="preserve"> </w:t>
      </w:r>
      <w:proofErr w:type="spellStart"/>
      <w:r w:rsidRPr="005255F6">
        <w:t>ešte</w:t>
      </w:r>
      <w:proofErr w:type="spellEnd"/>
      <w:r w:rsidRPr="005255F6">
        <w:t xml:space="preserve"> </w:t>
      </w:r>
      <w:proofErr w:type="spellStart"/>
      <w:r w:rsidRPr="005255F6">
        <w:t>pred</w:t>
      </w:r>
      <w:proofErr w:type="spellEnd"/>
      <w:r w:rsidRPr="00E124FA">
        <w:rPr>
          <w:lang w:val="sk-SK"/>
        </w:rPr>
        <w:t xml:space="preserve"> </w:t>
      </w:r>
      <w:proofErr w:type="spellStart"/>
      <w:r w:rsidRPr="005255F6">
        <w:t>podaním</w:t>
      </w:r>
      <w:proofErr w:type="spellEnd"/>
      <w:r w:rsidRPr="005255F6">
        <w:t xml:space="preserve"> </w:t>
      </w:r>
      <w:proofErr w:type="spellStart"/>
      <w:r w:rsidRPr="005255F6">
        <w:t>žiadosti</w:t>
      </w:r>
      <w:proofErr w:type="spellEnd"/>
      <w:r w:rsidRPr="005255F6">
        <w:t xml:space="preserve"> o</w:t>
      </w:r>
      <w:r w:rsidRPr="00E124FA">
        <w:rPr>
          <w:lang w:val="sk-SK"/>
        </w:rPr>
        <w:t> </w:t>
      </w:r>
      <w:proofErr w:type="spellStart"/>
      <w:r w:rsidRPr="005255F6">
        <w:t>registráciu</w:t>
      </w:r>
      <w:proofErr w:type="spellEnd"/>
      <w:r w:rsidRPr="00E124FA">
        <w:rPr>
          <w:lang w:val="sk-SK"/>
        </w:rPr>
        <w:t xml:space="preserve"> a 3.</w:t>
      </w:r>
      <w:r w:rsidRPr="005255F6">
        <w:t xml:space="preserve"> </w:t>
      </w:r>
      <w:r w:rsidRPr="00E124FA">
        <w:rPr>
          <w:lang w:val="sk-SK"/>
        </w:rPr>
        <w:t>p</w:t>
      </w:r>
      <w:proofErr w:type="spellStart"/>
      <w:r w:rsidRPr="005255F6">
        <w:t>odať</w:t>
      </w:r>
      <w:proofErr w:type="spellEnd"/>
      <w:r w:rsidRPr="005255F6">
        <w:t xml:space="preserve"> </w:t>
      </w:r>
      <w:proofErr w:type="spellStart"/>
      <w:r w:rsidRPr="005255F6">
        <w:t>žiadosť</w:t>
      </w:r>
      <w:proofErr w:type="spellEnd"/>
      <w:r w:rsidRPr="005255F6">
        <w:t xml:space="preserve"> o </w:t>
      </w:r>
      <w:proofErr w:type="spellStart"/>
      <w:r w:rsidRPr="005255F6">
        <w:t>zápis</w:t>
      </w:r>
      <w:proofErr w:type="spellEnd"/>
      <w:r w:rsidRPr="005255F6">
        <w:t xml:space="preserve"> </w:t>
      </w:r>
      <w:proofErr w:type="spellStart"/>
      <w:r w:rsidRPr="005255F6">
        <w:t>prevodu</w:t>
      </w:r>
      <w:proofErr w:type="spellEnd"/>
      <w:r w:rsidRPr="005255F6">
        <w:t xml:space="preserve"> (</w:t>
      </w:r>
      <w:proofErr w:type="spellStart"/>
      <w:r w:rsidRPr="005255F6">
        <w:t>Návrh</w:t>
      </w:r>
      <w:proofErr w:type="spellEnd"/>
      <w:r w:rsidRPr="005255F6">
        <w:t xml:space="preserve"> </w:t>
      </w:r>
      <w:proofErr w:type="spellStart"/>
      <w:r w:rsidRPr="005255F6">
        <w:t>na</w:t>
      </w:r>
      <w:proofErr w:type="spellEnd"/>
      <w:r w:rsidRPr="005255F6">
        <w:t xml:space="preserve"> </w:t>
      </w:r>
      <w:proofErr w:type="spellStart"/>
      <w:r w:rsidRPr="005255F6">
        <w:t>vklad</w:t>
      </w:r>
      <w:proofErr w:type="spellEnd"/>
      <w:r w:rsidRPr="005255F6">
        <w:t xml:space="preserve"> do</w:t>
      </w:r>
      <w:r w:rsidRPr="00E124FA">
        <w:rPr>
          <w:lang w:val="sk-SK"/>
        </w:rPr>
        <w:t xml:space="preserve"> </w:t>
      </w:r>
      <w:proofErr w:type="spellStart"/>
      <w:r w:rsidRPr="005255F6">
        <w:t>katastra</w:t>
      </w:r>
      <w:proofErr w:type="spellEnd"/>
      <w:r w:rsidRPr="005255F6">
        <w:t xml:space="preserve"> </w:t>
      </w:r>
      <w:proofErr w:type="spellStart"/>
      <w:r w:rsidRPr="005255F6">
        <w:t>nehnuteľností</w:t>
      </w:r>
      <w:proofErr w:type="spellEnd"/>
      <w:r w:rsidRPr="005255F6">
        <w:t xml:space="preserve">) </w:t>
      </w:r>
      <w:proofErr w:type="spellStart"/>
      <w:r w:rsidRPr="005255F6">
        <w:t>na</w:t>
      </w:r>
      <w:proofErr w:type="spellEnd"/>
      <w:r w:rsidRPr="005255F6">
        <w:t xml:space="preserve"> </w:t>
      </w:r>
      <w:proofErr w:type="spellStart"/>
      <w:r w:rsidRPr="005255F6">
        <w:t>príslušnom</w:t>
      </w:r>
      <w:proofErr w:type="spellEnd"/>
      <w:r w:rsidRPr="005255F6">
        <w:t xml:space="preserve"> </w:t>
      </w:r>
      <w:proofErr w:type="spellStart"/>
      <w:r w:rsidRPr="005255F6">
        <w:t>katastri</w:t>
      </w:r>
      <w:proofErr w:type="spellEnd"/>
      <w:r w:rsidRPr="00E124FA">
        <w:rPr>
          <w:lang w:val="sk-SK"/>
        </w:rPr>
        <w:t xml:space="preserve"> </w:t>
      </w:r>
      <w:proofErr w:type="spellStart"/>
      <w:r w:rsidRPr="005255F6">
        <w:t>nehnuteľností</w:t>
      </w:r>
      <w:proofErr w:type="spellEnd"/>
      <w:r w:rsidRPr="00E124FA">
        <w:rPr>
          <w:lang w:val="sk-SK"/>
        </w:rPr>
        <w:t xml:space="preserve">. </w:t>
      </w:r>
    </w:p>
  </w:footnote>
  <w:footnote w:id="4">
    <w:p w:rsidR="003E3A06" w:rsidRPr="005255F6" w:rsidRDefault="003E3A06" w:rsidP="009A6B10">
      <w:pPr>
        <w:pStyle w:val="Textpoznmkypodiarou"/>
      </w:pPr>
      <w:r w:rsidRPr="00C3656B">
        <w:rPr>
          <w:rStyle w:val="Odkaznapoznmkupodiarou"/>
        </w:rPr>
        <w:footnoteRef/>
      </w:r>
      <w:r w:rsidRPr="005255F6">
        <w:t xml:space="preserve"> </w:t>
      </w:r>
      <w:proofErr w:type="spellStart"/>
      <w:r w:rsidRPr="005255F6">
        <w:t>Gruzínsko</w:t>
      </w:r>
      <w:proofErr w:type="spellEnd"/>
      <w:r w:rsidRPr="005255F6">
        <w:t xml:space="preserve"> v „</w:t>
      </w:r>
      <w:proofErr w:type="spellStart"/>
      <w:r w:rsidRPr="005255F6">
        <w:t>čas</w:t>
      </w:r>
      <w:proofErr w:type="spellEnd"/>
      <w:r w:rsidRPr="005255F6">
        <w:t xml:space="preserve"> </w:t>
      </w:r>
      <w:proofErr w:type="spellStart"/>
      <w:r w:rsidRPr="005255F6">
        <w:t>na</w:t>
      </w:r>
      <w:proofErr w:type="spellEnd"/>
      <w:r w:rsidRPr="005255F6">
        <w:t xml:space="preserve"> </w:t>
      </w:r>
      <w:proofErr w:type="spellStart"/>
      <w:r w:rsidRPr="005255F6">
        <w:t>dokončenie</w:t>
      </w:r>
      <w:proofErr w:type="spellEnd"/>
      <w:r w:rsidRPr="005255F6">
        <w:t xml:space="preserve"> </w:t>
      </w:r>
      <w:proofErr w:type="spellStart"/>
      <w:r w:rsidRPr="005255F6">
        <w:t>úkonu</w:t>
      </w:r>
      <w:proofErr w:type="spellEnd"/>
      <w:r w:rsidRPr="005255F6">
        <w:t xml:space="preserve">“ </w:t>
      </w:r>
      <w:proofErr w:type="spellStart"/>
      <w:r w:rsidRPr="005255F6">
        <w:t>uvádza</w:t>
      </w:r>
      <w:proofErr w:type="spellEnd"/>
      <w:r w:rsidRPr="005255F6">
        <w:t xml:space="preserve"> </w:t>
      </w:r>
      <w:proofErr w:type="spellStart"/>
      <w:r w:rsidRPr="005255F6">
        <w:t>dva</w:t>
      </w:r>
      <w:proofErr w:type="spellEnd"/>
      <w:r w:rsidRPr="005255F6">
        <w:t xml:space="preserve"> </w:t>
      </w:r>
      <w:proofErr w:type="spellStart"/>
      <w:r w:rsidRPr="005255F6">
        <w:t>pracovné</w:t>
      </w:r>
      <w:proofErr w:type="spellEnd"/>
      <w:r w:rsidRPr="005255F6">
        <w:t xml:space="preserve"> </w:t>
      </w:r>
      <w:proofErr w:type="spellStart"/>
      <w:r w:rsidRPr="005255F6">
        <w:t>dni</w:t>
      </w:r>
      <w:proofErr w:type="spellEnd"/>
      <w:r w:rsidRPr="005255F6">
        <w:t xml:space="preserve"> a v </w:t>
      </w:r>
      <w:proofErr w:type="spellStart"/>
      <w:r w:rsidRPr="005255F6">
        <w:t>samotnom</w:t>
      </w:r>
      <w:proofErr w:type="spellEnd"/>
      <w:r w:rsidRPr="005255F6">
        <w:t xml:space="preserve"> </w:t>
      </w:r>
      <w:proofErr w:type="spellStart"/>
      <w:r w:rsidRPr="005255F6">
        <w:t>popise</w:t>
      </w:r>
      <w:proofErr w:type="spellEnd"/>
      <w:r w:rsidRPr="005255F6">
        <w:t xml:space="preserve"> </w:t>
      </w:r>
      <w:proofErr w:type="spellStart"/>
      <w:r w:rsidRPr="005255F6">
        <w:t>úkonov</w:t>
      </w:r>
      <w:proofErr w:type="spellEnd"/>
      <w:r w:rsidRPr="005255F6">
        <w:t xml:space="preserve"> </w:t>
      </w:r>
      <w:proofErr w:type="spellStart"/>
      <w:r w:rsidRPr="005255F6">
        <w:t>uvádza</w:t>
      </w:r>
      <w:proofErr w:type="spellEnd"/>
      <w:r w:rsidRPr="005255F6">
        <w:t xml:space="preserve"> </w:t>
      </w:r>
      <w:proofErr w:type="spellStart"/>
      <w:r w:rsidRPr="005255F6">
        <w:t>zrýchlené</w:t>
      </w:r>
      <w:proofErr w:type="spellEnd"/>
      <w:r w:rsidRPr="005255F6">
        <w:t xml:space="preserve"> </w:t>
      </w:r>
      <w:proofErr w:type="spellStart"/>
      <w:r w:rsidRPr="005255F6">
        <w:t>konanie</w:t>
      </w:r>
      <w:proofErr w:type="spellEnd"/>
      <w:r w:rsidRPr="005255F6">
        <w:t xml:space="preserve"> </w:t>
      </w:r>
      <w:proofErr w:type="spellStart"/>
      <w:r w:rsidRPr="005255F6">
        <w:t>za</w:t>
      </w:r>
      <w:proofErr w:type="spellEnd"/>
      <w:r w:rsidRPr="005255F6">
        <w:t xml:space="preserve"> </w:t>
      </w:r>
      <w:proofErr w:type="spellStart"/>
      <w:r w:rsidRPr="005255F6">
        <w:t>poplatok</w:t>
      </w:r>
      <w:proofErr w:type="spellEnd"/>
      <w:r w:rsidRPr="005255F6">
        <w:t xml:space="preserve">, </w:t>
      </w:r>
      <w:proofErr w:type="spellStart"/>
      <w:r w:rsidRPr="005255F6">
        <w:t>ktorý</w:t>
      </w:r>
      <w:proofErr w:type="spellEnd"/>
      <w:r w:rsidRPr="005255F6">
        <w:t xml:space="preserve"> </w:t>
      </w:r>
      <w:proofErr w:type="spellStart"/>
      <w:r w:rsidRPr="005255F6">
        <w:t>celý</w:t>
      </w:r>
      <w:proofErr w:type="spellEnd"/>
      <w:r w:rsidRPr="005255F6">
        <w:t xml:space="preserve"> </w:t>
      </w:r>
      <w:proofErr w:type="spellStart"/>
      <w:r w:rsidRPr="005255F6">
        <w:t>proces</w:t>
      </w:r>
      <w:proofErr w:type="spellEnd"/>
      <w:r w:rsidRPr="005255F6">
        <w:t xml:space="preserve"> </w:t>
      </w:r>
      <w:proofErr w:type="spellStart"/>
      <w:r w:rsidRPr="005255F6">
        <w:t>skráti</w:t>
      </w:r>
      <w:proofErr w:type="spellEnd"/>
      <w:r w:rsidRPr="005255F6">
        <w:t xml:space="preserve"> </w:t>
      </w:r>
      <w:proofErr w:type="spellStart"/>
      <w:r w:rsidRPr="005255F6">
        <w:t>na</w:t>
      </w:r>
      <w:proofErr w:type="spellEnd"/>
      <w:r w:rsidRPr="005255F6">
        <w:t xml:space="preserve"> </w:t>
      </w:r>
      <w:proofErr w:type="spellStart"/>
      <w:r w:rsidRPr="005255F6">
        <w:t>jeden</w:t>
      </w:r>
      <w:proofErr w:type="spellEnd"/>
      <w:r w:rsidRPr="005255F6">
        <w:t xml:space="preserve"> </w:t>
      </w:r>
      <w:proofErr w:type="spellStart"/>
      <w:r w:rsidRPr="005255F6">
        <w:t>pracovný</w:t>
      </w:r>
      <w:proofErr w:type="spellEnd"/>
      <w:r w:rsidRPr="005255F6">
        <w:t xml:space="preserve"> </w:t>
      </w:r>
      <w:proofErr w:type="spellStart"/>
      <w:r w:rsidRPr="005255F6">
        <w:t>deň</w:t>
      </w:r>
      <w:proofErr w:type="spellEnd"/>
      <w:r w:rsidRPr="005255F6">
        <w:t xml:space="preserve">, </w:t>
      </w:r>
      <w:proofErr w:type="spellStart"/>
      <w:r w:rsidRPr="005255F6">
        <w:t>alebo</w:t>
      </w:r>
      <w:proofErr w:type="spellEnd"/>
      <w:r w:rsidRPr="005255F6">
        <w:t xml:space="preserve"> </w:t>
      </w:r>
      <w:proofErr w:type="spellStart"/>
      <w:r w:rsidRPr="005255F6">
        <w:t>druhú</w:t>
      </w:r>
      <w:proofErr w:type="spellEnd"/>
      <w:r w:rsidRPr="005255F6">
        <w:t xml:space="preserve"> </w:t>
      </w:r>
      <w:proofErr w:type="spellStart"/>
      <w:r w:rsidRPr="005255F6">
        <w:t>variantu</w:t>
      </w:r>
      <w:proofErr w:type="spellEnd"/>
      <w:r w:rsidRPr="005255F6">
        <w:t xml:space="preserve"> – </w:t>
      </w:r>
      <w:proofErr w:type="spellStart"/>
      <w:r w:rsidRPr="005255F6">
        <w:t>regulárne</w:t>
      </w:r>
      <w:proofErr w:type="spellEnd"/>
      <w:r w:rsidRPr="005255F6">
        <w:t xml:space="preserve"> </w:t>
      </w:r>
      <w:proofErr w:type="spellStart"/>
      <w:r w:rsidRPr="005255F6">
        <w:t>konanie</w:t>
      </w:r>
      <w:proofErr w:type="spellEnd"/>
      <w:r w:rsidRPr="005255F6">
        <w:t xml:space="preserve">, </w:t>
      </w:r>
      <w:proofErr w:type="spellStart"/>
      <w:r w:rsidRPr="005255F6">
        <w:t>kde</w:t>
      </w:r>
      <w:proofErr w:type="spellEnd"/>
      <w:r w:rsidRPr="005255F6">
        <w:t xml:space="preserve"> </w:t>
      </w:r>
      <w:proofErr w:type="spellStart"/>
      <w:r w:rsidRPr="005255F6">
        <w:t>uvádzajú</w:t>
      </w:r>
      <w:proofErr w:type="spellEnd"/>
      <w:r w:rsidRPr="005255F6">
        <w:t xml:space="preserve"> </w:t>
      </w:r>
      <w:proofErr w:type="spellStart"/>
      <w:r w:rsidRPr="005255F6">
        <w:t>potrebný</w:t>
      </w:r>
      <w:proofErr w:type="spellEnd"/>
      <w:r w:rsidRPr="005255F6">
        <w:t xml:space="preserve"> </w:t>
      </w:r>
      <w:proofErr w:type="spellStart"/>
      <w:r w:rsidRPr="005255F6">
        <w:t>čas</w:t>
      </w:r>
      <w:proofErr w:type="spellEnd"/>
      <w:r w:rsidRPr="005255F6">
        <w:t xml:space="preserve"> </w:t>
      </w:r>
      <w:proofErr w:type="spellStart"/>
      <w:r w:rsidRPr="005255F6">
        <w:t>na</w:t>
      </w:r>
      <w:proofErr w:type="spellEnd"/>
      <w:r w:rsidRPr="005255F6">
        <w:t xml:space="preserve"> </w:t>
      </w:r>
      <w:proofErr w:type="spellStart"/>
      <w:r w:rsidRPr="005255F6">
        <w:t>dokončenie</w:t>
      </w:r>
      <w:proofErr w:type="spellEnd"/>
      <w:r w:rsidRPr="005255F6">
        <w:t xml:space="preserve"> </w:t>
      </w:r>
      <w:proofErr w:type="spellStart"/>
      <w:r w:rsidRPr="005255F6">
        <w:t>úkonov</w:t>
      </w:r>
      <w:proofErr w:type="spellEnd"/>
      <w:r w:rsidRPr="005255F6">
        <w:t xml:space="preserve"> </w:t>
      </w:r>
      <w:proofErr w:type="spellStart"/>
      <w:r w:rsidRPr="005255F6">
        <w:t>štyri</w:t>
      </w:r>
      <w:proofErr w:type="spellEnd"/>
      <w:r w:rsidRPr="005255F6">
        <w:t xml:space="preserve"> </w:t>
      </w:r>
      <w:proofErr w:type="spellStart"/>
      <w:r w:rsidRPr="005255F6">
        <w:t>pracovné</w:t>
      </w:r>
      <w:proofErr w:type="spellEnd"/>
      <w:r w:rsidRPr="005255F6">
        <w:t xml:space="preserve"> </w:t>
      </w:r>
      <w:proofErr w:type="spellStart"/>
      <w:r w:rsidRPr="005255F6">
        <w:t>dni</w:t>
      </w:r>
      <w:proofErr w:type="spellEnd"/>
      <w:r w:rsidRPr="005255F6">
        <w:t xml:space="preserve">. </w:t>
      </w:r>
    </w:p>
  </w:footnote>
  <w:footnote w:id="5">
    <w:p w:rsidR="003E3A06" w:rsidRPr="00104957" w:rsidRDefault="003E3A06" w:rsidP="009A6B10">
      <w:pPr>
        <w:pStyle w:val="Textpoznmkypodiarou"/>
        <w:rPr>
          <w:lang w:val="de-DE"/>
        </w:rPr>
      </w:pPr>
      <w:r w:rsidRPr="000329B0">
        <w:rPr>
          <w:rStyle w:val="Odkaznapoznmkupodiarou"/>
        </w:rPr>
        <w:footnoteRef/>
      </w:r>
      <w:r w:rsidRPr="00104957">
        <w:rPr>
          <w:lang w:val="de-DE"/>
        </w:rPr>
        <w:t xml:space="preserve"> V SR „Centrálny register dlžníkov“, ktorý spravuje MV SR.</w:t>
      </w:r>
    </w:p>
  </w:footnote>
  <w:footnote w:id="6">
    <w:p w:rsidR="003E3A06" w:rsidRPr="00104957" w:rsidRDefault="003E3A06" w:rsidP="009A6B10">
      <w:pPr>
        <w:pStyle w:val="Textpoznmkypodiarou"/>
        <w:rPr>
          <w:lang w:val="de-DE"/>
        </w:rPr>
      </w:pPr>
      <w:r w:rsidRPr="007C0CC1">
        <w:rPr>
          <w:rStyle w:val="Odkaznapoznmkupodiarou"/>
        </w:rPr>
        <w:footnoteRef/>
      </w:r>
      <w:r w:rsidRPr="00104957">
        <w:rPr>
          <w:lang w:val="de-DE"/>
        </w:rPr>
        <w:t xml:space="preserve"> Spoločný register bankových informácií spravovaný súkromnou spoločnosťou, obsahuje informácie o fyzických osobách a fyzických osobách – podnikateľoch, ktoré majú s účastníckou bankou podpísanú úverovú zmluvu alebo zabezpečujú záväzok súvisiaci s úverovou zmluvou, prípadne majú kreditnú kartu.</w:t>
      </w:r>
    </w:p>
  </w:footnote>
  <w:footnote w:id="7">
    <w:p w:rsidR="003E3A06" w:rsidRPr="00FA4747" w:rsidRDefault="003E3A06" w:rsidP="009A6B10">
      <w:pPr>
        <w:tabs>
          <w:tab w:val="left" w:pos="0"/>
        </w:tabs>
        <w:rPr>
          <w:b/>
          <w:i/>
          <w:color w:val="808080"/>
          <w:sz w:val="20"/>
          <w:szCs w:val="20"/>
        </w:rPr>
      </w:pPr>
      <w:r w:rsidRPr="00FA4747">
        <w:rPr>
          <w:rStyle w:val="Odkaznapoznmkupodiarou"/>
          <w:rFonts w:eastAsia="Calibri"/>
          <w:i/>
          <w:color w:val="808080"/>
          <w:sz w:val="20"/>
          <w:szCs w:val="20"/>
        </w:rPr>
        <w:footnoteRef/>
      </w:r>
      <w:r w:rsidRPr="00FA4747">
        <w:rPr>
          <w:i/>
          <w:color w:val="808080"/>
          <w:sz w:val="20"/>
          <w:szCs w:val="20"/>
        </w:rPr>
        <w:t xml:space="preserve"> Zdroj: NARMSP, Analýza rodového a vekového zloženia fyzických osôb – podnikateľov v roku 2011</w:t>
      </w:r>
    </w:p>
    <w:p w:rsidR="003E3A06" w:rsidRDefault="003E3A06" w:rsidP="009A6B10">
      <w:pPr>
        <w:tabs>
          <w:tab w:val="left" w:pos="0"/>
        </w:tabs>
      </w:pPr>
    </w:p>
  </w:footnote>
  <w:footnote w:id="8">
    <w:p w:rsidR="003E3A06" w:rsidRPr="00E124FA" w:rsidRDefault="003E3A06" w:rsidP="009A6B10">
      <w:pPr>
        <w:pStyle w:val="Textpoznmkypodiarou"/>
        <w:rPr>
          <w:lang w:val="sk-SK"/>
        </w:rPr>
      </w:pPr>
      <w:r w:rsidRPr="00FA4747">
        <w:rPr>
          <w:rStyle w:val="Odkaznapoznmkupodiarou"/>
          <w:i/>
          <w:color w:val="808080"/>
        </w:rPr>
        <w:footnoteRef/>
      </w:r>
      <w:r w:rsidRPr="00104957">
        <w:rPr>
          <w:i/>
          <w:color w:val="808080"/>
          <w:lang w:val="sk-SK"/>
        </w:rPr>
        <w:t xml:space="preserve"> Do vybraných trhových služieb zaraďuje ŠÚSR činnosti v oblasti nehnuteľností, odborné a technické činnosti (právne a účtovnícke činnosti, poradenstvo v oblasti riadenia, architektonické a inžinierske činnosti, reklama a ostatné odborné činnosti), administratívne a podporné služby (prenájom a lízing, sprostredkovanie práce, činnosť cestovných agentúr a kancelárií, bezpečnostné a pátracie služby, administratívne pomocné činnosti), ostatné vzdelávanie a pomocné vzdelávacie činnosti, činnosti v oblasti umenia, zábavy a rekreácie, oprava počítačov a rôznych potrieb a osobné služby (divízie 68, 69-75, 77-82, 90-93, 94-96, a skupiny 85.5-6).</w:t>
      </w:r>
    </w:p>
  </w:footnote>
  <w:footnote w:id="9">
    <w:p w:rsidR="003E3A06" w:rsidRPr="00E124FA" w:rsidRDefault="003E3A06" w:rsidP="009A6B10">
      <w:pPr>
        <w:pStyle w:val="Textpoznmkypodiarou"/>
        <w:rPr>
          <w:lang w:val="sk-SK"/>
        </w:rPr>
      </w:pPr>
      <w:r w:rsidRPr="00FA4747">
        <w:rPr>
          <w:rStyle w:val="Odkaznapoznmkupodiarou"/>
          <w:i/>
          <w:color w:val="808080"/>
        </w:rPr>
        <w:footnoteRef/>
      </w:r>
      <w:r w:rsidRPr="00104957">
        <w:rPr>
          <w:i/>
          <w:color w:val="808080"/>
          <w:lang w:val="sk-SK"/>
        </w:rPr>
        <w:t xml:space="preserve"> Údaje v grafe č.</w:t>
      </w:r>
      <w:r w:rsidRPr="00E124FA">
        <w:rPr>
          <w:i/>
          <w:color w:val="808080"/>
          <w:lang w:val="sk-SK"/>
        </w:rPr>
        <w:t>7</w:t>
      </w:r>
      <w:r w:rsidRPr="00104957">
        <w:rPr>
          <w:i/>
          <w:color w:val="808080"/>
          <w:lang w:val="sk-SK"/>
        </w:rPr>
        <w:t xml:space="preserve"> do roku 2008 vychádzajú z triedenia tržieb podľa klasifikácie OKEČ a za roky 2009 až 2012 z triedenia podľa revidovanej klasifikácie SK NACE.</w:t>
      </w:r>
    </w:p>
  </w:footnote>
  <w:footnote w:id="10">
    <w:p w:rsidR="003E3A06" w:rsidRDefault="003E3A06" w:rsidP="009A6B10">
      <w:pPr>
        <w:pStyle w:val="Zkladntext3"/>
        <w:tabs>
          <w:tab w:val="left" w:pos="709"/>
          <w:tab w:val="left" w:pos="992"/>
        </w:tabs>
      </w:pPr>
      <w:r w:rsidRPr="00FA4747">
        <w:rPr>
          <w:rStyle w:val="Odkaznapoznmkupodiarou"/>
          <w:rFonts w:ascii="Arial" w:eastAsia="Calibri" w:hAnsi="Arial" w:cs="Arial"/>
          <w:i/>
          <w:color w:val="808080"/>
          <w:sz w:val="20"/>
          <w:szCs w:val="20"/>
        </w:rPr>
        <w:footnoteRef/>
      </w:r>
      <w:r w:rsidRPr="00FA4747">
        <w:rPr>
          <w:i/>
          <w:color w:val="808080"/>
          <w:sz w:val="20"/>
          <w:szCs w:val="20"/>
        </w:rPr>
        <w:t xml:space="preserve"> Podľa metodiky ŠÚ SR</w:t>
      </w:r>
      <w:r w:rsidRPr="00FA4747" w:rsidDel="00C80FEC">
        <w:rPr>
          <w:i/>
          <w:color w:val="808080"/>
          <w:sz w:val="20"/>
          <w:szCs w:val="20"/>
        </w:rPr>
        <w:t xml:space="preserve"> </w:t>
      </w:r>
      <w:r w:rsidRPr="00FA4747">
        <w:rPr>
          <w:i/>
          <w:color w:val="808080"/>
          <w:sz w:val="20"/>
          <w:szCs w:val="20"/>
        </w:rPr>
        <w:t xml:space="preserve">sú za nefinančné korporácie považované ziskovo orientované podnikateľské subjekty zapísané v obchodnom registri vo všetkých oblastiach činnosti, okrem finančných činností. Patria sem tiež príspevkové organizácie, ktoré svoje výdavky kryjú z viac ako 50 % tržbami. </w:t>
      </w:r>
    </w:p>
  </w:footnote>
  <w:footnote w:id="11">
    <w:p w:rsidR="003E3A06" w:rsidRDefault="003E3A06" w:rsidP="009A6B10">
      <w:pPr>
        <w:jc w:val="both"/>
      </w:pPr>
      <w:r w:rsidRPr="00FA4747">
        <w:rPr>
          <w:rStyle w:val="Odkaznapoznmkupodiarou"/>
          <w:rFonts w:eastAsia="Calibri"/>
          <w:i/>
          <w:color w:val="808080"/>
        </w:rPr>
        <w:footnoteRef/>
      </w:r>
      <w:r w:rsidRPr="00FA4747">
        <w:rPr>
          <w:i/>
          <w:color w:val="808080"/>
        </w:rPr>
        <w:t xml:space="preserve"> </w:t>
      </w:r>
      <w:r w:rsidRPr="00FA4747">
        <w:rPr>
          <w:i/>
          <w:color w:val="808080"/>
          <w:sz w:val="20"/>
          <w:szCs w:val="20"/>
        </w:rPr>
        <w:t>Údaje o postavení MSP na celkovom dovoze a vývoze v roku 2012 neboli v čase spracovania materiálu dostupné.</w:t>
      </w:r>
    </w:p>
  </w:footnote>
  <w:footnote w:id="12">
    <w:p w:rsidR="003E3A06" w:rsidRPr="00E124FA" w:rsidRDefault="003E3A06" w:rsidP="009A6B10">
      <w:pPr>
        <w:pStyle w:val="Textpoznmkypodiarou"/>
        <w:rPr>
          <w:lang w:val="sk-SK"/>
        </w:rPr>
      </w:pPr>
      <w:r w:rsidRPr="00FA4747">
        <w:rPr>
          <w:rStyle w:val="Odkaznapoznmkupodiarou"/>
          <w:i/>
          <w:color w:val="808080"/>
        </w:rPr>
        <w:footnoteRef/>
      </w:r>
      <w:r w:rsidRPr="00104957">
        <w:rPr>
          <w:i/>
          <w:color w:val="808080"/>
          <w:lang w:val="sk-SK"/>
        </w:rPr>
        <w:t xml:space="preserve"> Tržby zahŕňajú tržby za predaj tovaru, vlastných výrokov a služieb</w:t>
      </w:r>
    </w:p>
  </w:footnote>
  <w:footnote w:id="13">
    <w:p w:rsidR="003E3A06" w:rsidRPr="00E124FA" w:rsidRDefault="003E3A06" w:rsidP="009A6B10">
      <w:pPr>
        <w:pStyle w:val="Textpoznmkypodiarou"/>
        <w:rPr>
          <w:lang w:val="sk-SK"/>
        </w:rPr>
      </w:pPr>
      <w:r w:rsidRPr="00FA4747">
        <w:rPr>
          <w:rStyle w:val="Odkaznapoznmkupodiarou"/>
          <w:i/>
          <w:color w:val="808080"/>
        </w:rPr>
        <w:footnoteRef/>
      </w:r>
      <w:r w:rsidRPr="00104957">
        <w:rPr>
          <w:i/>
          <w:color w:val="808080"/>
          <w:lang w:val="sk-SK"/>
        </w:rPr>
        <w:t xml:space="preserve"> Odporúčané hodnoty ukazovateľa sú od 1 po 1,5. Hodnoty pod 1 svedčia o problémoch v oblasti uhrádzania krátkodobých záväzkov.</w:t>
      </w:r>
    </w:p>
  </w:footnote>
  <w:footnote w:id="14">
    <w:p w:rsidR="003E3A06" w:rsidRPr="00E124FA" w:rsidRDefault="003E3A06" w:rsidP="009A6B10">
      <w:pPr>
        <w:pStyle w:val="Textpoznmkypodiarou"/>
        <w:rPr>
          <w:lang w:val="fr-LU"/>
        </w:rPr>
      </w:pPr>
      <w:r w:rsidRPr="00FA4747">
        <w:rPr>
          <w:rStyle w:val="Odkaznapoznmkupodiarou"/>
          <w:i/>
          <w:color w:val="808080"/>
        </w:rPr>
        <w:footnoteRef/>
      </w:r>
      <w:r>
        <w:rPr>
          <w:i/>
          <w:color w:val="808080"/>
        </w:rPr>
        <w:t xml:space="preserve"> </w:t>
      </w:r>
      <w:r w:rsidRPr="00FA4747">
        <w:rPr>
          <w:i/>
          <w:color w:val="808080"/>
        </w:rPr>
        <w:t xml:space="preserve">Europe 2020 Strategy: </w:t>
      </w:r>
      <w:hyperlink r:id="rId1" w:history="1">
        <w:r w:rsidRPr="00AE0FC0">
          <w:rPr>
            <w:rStyle w:val="Hypertextovprepojenie"/>
            <w:i/>
          </w:rPr>
          <w:t>http://eurlex.europa.eu/LexUriServ/LexUriServ.do?uri=COM:2010:2020:FIN:EN:PDF</w:t>
        </w:r>
      </w:hyperlink>
    </w:p>
  </w:footnote>
  <w:footnote w:id="15">
    <w:p w:rsidR="003E3A06" w:rsidRPr="00E124FA" w:rsidRDefault="003E3A06" w:rsidP="009A6B10">
      <w:pPr>
        <w:pStyle w:val="Textpoznmkypodiarou"/>
        <w:rPr>
          <w:lang w:val="fr-LU"/>
        </w:rPr>
      </w:pPr>
      <w:r w:rsidRPr="00FA4747">
        <w:rPr>
          <w:rStyle w:val="Odkaznapoznmkupodiarou"/>
          <w:i/>
          <w:color w:val="808080"/>
        </w:rPr>
        <w:footnoteRef/>
      </w:r>
      <w:r w:rsidRPr="005255F6">
        <w:rPr>
          <w:i/>
          <w:color w:val="808080"/>
        </w:rPr>
        <w:t xml:space="preserve"> Entrepreneurship 2020 Action Plan: </w:t>
      </w:r>
      <w:hyperlink r:id="rId2" w:history="1">
        <w:r w:rsidRPr="00FA4747">
          <w:rPr>
            <w:rStyle w:val="Hypertextovprepojenie"/>
            <w:i/>
            <w:color w:val="808080"/>
          </w:rPr>
          <w:t>http://eur-lex.europa.eu/LexUriServ/LexUriServ.do?uri=COM:2012:0795:FIN:EN:PDF</w:t>
        </w:r>
      </w:hyperlink>
      <w:r w:rsidRPr="00E124FA">
        <w:rPr>
          <w:lang w:val="fr-LU"/>
        </w:rPr>
        <w:t xml:space="preserve">  </w:t>
      </w:r>
    </w:p>
  </w:footnote>
  <w:footnote w:id="16">
    <w:p w:rsidR="003E3A06" w:rsidRDefault="003E3A06" w:rsidP="009A6B10">
      <w:pPr>
        <w:pStyle w:val="Textpoznmkypodiarou"/>
        <w:spacing w:line="276" w:lineRule="auto"/>
      </w:pPr>
      <w:r w:rsidRPr="00773033">
        <w:rPr>
          <w:rStyle w:val="Odkaznapoznmkupodiarou"/>
          <w:color w:val="000000"/>
          <w:sz w:val="16"/>
        </w:rPr>
        <w:footnoteRef/>
      </w:r>
      <w:r w:rsidRPr="00773033">
        <w:rPr>
          <w:color w:val="000000"/>
          <w:sz w:val="16"/>
        </w:rPr>
        <w:t xml:space="preserve"> </w:t>
      </w:r>
      <w:r w:rsidRPr="005D55A9">
        <w:rPr>
          <w:color w:val="000000"/>
          <w:sz w:val="16"/>
        </w:rPr>
        <w:t>http://eur-lex.europa.eu/LexUriServ/LexUriServ.do?uri=COM:2008:0394:FIN:SK:PDF</w:t>
      </w:r>
      <w:r w:rsidRPr="00773033">
        <w:rPr>
          <w:color w:val="000000"/>
          <w:sz w:val="16"/>
        </w:rPr>
        <w:t xml:space="preserve">, </w:t>
      </w:r>
      <w:proofErr w:type="spellStart"/>
      <w:r w:rsidRPr="00773033">
        <w:rPr>
          <w:color w:val="000000"/>
          <w:sz w:val="16"/>
        </w:rPr>
        <w:t>strana</w:t>
      </w:r>
      <w:proofErr w:type="spellEnd"/>
      <w:r w:rsidRPr="00773033">
        <w:rPr>
          <w:color w:val="000000"/>
          <w:sz w:val="16"/>
        </w:rPr>
        <w:t xml:space="preserve"> 5. </w:t>
      </w:r>
    </w:p>
  </w:footnote>
  <w:footnote w:id="17">
    <w:p w:rsidR="003E3A06" w:rsidRDefault="003E3A06" w:rsidP="009A6B10">
      <w:pPr>
        <w:pStyle w:val="Textpoznmkypodiarou"/>
      </w:pPr>
      <w:r w:rsidRPr="001F1661">
        <w:rPr>
          <w:rStyle w:val="Odkaznapoznmkupodiarou"/>
          <w:sz w:val="16"/>
          <w:szCs w:val="16"/>
        </w:rPr>
        <w:footnoteRef/>
      </w:r>
      <w:r w:rsidRPr="001F1661">
        <w:rPr>
          <w:sz w:val="16"/>
          <w:szCs w:val="16"/>
        </w:rPr>
        <w:t xml:space="preserve"> </w:t>
      </w:r>
      <w:proofErr w:type="spellStart"/>
      <w:r w:rsidRPr="001F1661">
        <w:rPr>
          <w:sz w:val="16"/>
          <w:szCs w:val="16"/>
        </w:rPr>
        <w:t>Prehľad</w:t>
      </w:r>
      <w:proofErr w:type="spellEnd"/>
      <w:r w:rsidRPr="001F1661">
        <w:rPr>
          <w:sz w:val="16"/>
          <w:szCs w:val="16"/>
        </w:rPr>
        <w:t xml:space="preserve"> </w:t>
      </w:r>
      <w:proofErr w:type="spellStart"/>
      <w:r w:rsidRPr="001F1661">
        <w:rPr>
          <w:sz w:val="16"/>
          <w:szCs w:val="16"/>
        </w:rPr>
        <w:t>základných</w:t>
      </w:r>
      <w:proofErr w:type="spellEnd"/>
      <w:r w:rsidRPr="001F1661">
        <w:rPr>
          <w:sz w:val="16"/>
          <w:szCs w:val="16"/>
        </w:rPr>
        <w:t xml:space="preserve"> </w:t>
      </w:r>
      <w:proofErr w:type="spellStart"/>
      <w:r w:rsidRPr="001F1661">
        <w:rPr>
          <w:sz w:val="16"/>
          <w:szCs w:val="16"/>
        </w:rPr>
        <w:t>skutočností</w:t>
      </w:r>
      <w:proofErr w:type="spellEnd"/>
      <w:r w:rsidRPr="001F1661">
        <w:rPr>
          <w:sz w:val="16"/>
          <w:szCs w:val="16"/>
        </w:rPr>
        <w:t xml:space="preserve"> o </w:t>
      </w:r>
      <w:proofErr w:type="spellStart"/>
      <w:r w:rsidRPr="001F1661">
        <w:rPr>
          <w:sz w:val="16"/>
          <w:szCs w:val="16"/>
        </w:rPr>
        <w:t>iniciatíve</w:t>
      </w:r>
      <w:proofErr w:type="spellEnd"/>
      <w:r w:rsidRPr="001F1661">
        <w:rPr>
          <w:sz w:val="16"/>
          <w:szCs w:val="16"/>
        </w:rPr>
        <w:t xml:space="preserve"> SBA 2012, </w:t>
      </w:r>
      <w:proofErr w:type="spellStart"/>
      <w:r w:rsidRPr="001F1661">
        <w:rPr>
          <w:sz w:val="16"/>
          <w:szCs w:val="16"/>
        </w:rPr>
        <w:t>Slovensko</w:t>
      </w:r>
      <w:proofErr w:type="spellEnd"/>
      <w:r w:rsidRPr="001F1661">
        <w:rPr>
          <w:sz w:val="16"/>
          <w:szCs w:val="16"/>
        </w:rPr>
        <w:t xml:space="preserve">, </w:t>
      </w:r>
      <w:proofErr w:type="spellStart"/>
      <w:r w:rsidRPr="001F1661">
        <w:rPr>
          <w:sz w:val="16"/>
          <w:szCs w:val="16"/>
        </w:rPr>
        <w:t>Európska</w:t>
      </w:r>
      <w:proofErr w:type="spellEnd"/>
      <w:r w:rsidRPr="001F1661">
        <w:rPr>
          <w:sz w:val="16"/>
          <w:szCs w:val="16"/>
        </w:rPr>
        <w:t xml:space="preserve"> </w:t>
      </w:r>
      <w:proofErr w:type="spellStart"/>
      <w:r w:rsidRPr="001F1661">
        <w:rPr>
          <w:sz w:val="16"/>
          <w:szCs w:val="16"/>
        </w:rPr>
        <w:t>komisia</w:t>
      </w:r>
      <w:proofErr w:type="spellEnd"/>
      <w:r w:rsidRPr="001F1661">
        <w:rPr>
          <w:sz w:val="16"/>
          <w:szCs w:val="16"/>
        </w:rPr>
        <w:t xml:space="preserve">, </w:t>
      </w:r>
      <w:proofErr w:type="spellStart"/>
      <w:r w:rsidRPr="001F1661">
        <w:rPr>
          <w:sz w:val="16"/>
          <w:szCs w:val="16"/>
        </w:rPr>
        <w:t>Podnikanie</w:t>
      </w:r>
      <w:proofErr w:type="spellEnd"/>
      <w:r w:rsidRPr="001F1661">
        <w:rPr>
          <w:sz w:val="16"/>
          <w:szCs w:val="16"/>
        </w:rPr>
        <w:t xml:space="preserve"> a </w:t>
      </w:r>
      <w:proofErr w:type="spellStart"/>
      <w:r w:rsidRPr="001F1661">
        <w:rPr>
          <w:sz w:val="16"/>
          <w:szCs w:val="16"/>
        </w:rPr>
        <w:t>priemysel</w:t>
      </w:r>
      <w:proofErr w:type="spellEnd"/>
      <w:r w:rsidRPr="001F1661">
        <w:rPr>
          <w:sz w:val="16"/>
          <w:szCs w:val="16"/>
        </w:rPr>
        <w:t xml:space="preserve">; </w:t>
      </w:r>
      <w:hyperlink r:id="rId3" w:history="1">
        <w:r w:rsidRPr="001F1661">
          <w:rPr>
            <w:rStyle w:val="Hypertextovprepojenie"/>
            <w:sz w:val="16"/>
            <w:szCs w:val="16"/>
          </w:rPr>
          <w:t>http://ec.europa.eu/enterprise/policies/sme/facts-figures-analysis/performance-review/files/countries-sheets/2012/slovakia_sk.pdf</w:t>
        </w:r>
      </w:hyperlink>
    </w:p>
  </w:footnote>
  <w:footnote w:id="18">
    <w:p w:rsidR="003E3A06" w:rsidRDefault="003E3A06" w:rsidP="009A6B10">
      <w:pPr>
        <w:pStyle w:val="Textpoznmkypodiarou"/>
      </w:pPr>
      <w:r w:rsidRPr="001F1661">
        <w:rPr>
          <w:rStyle w:val="Odkaznapoznmkupodiarou"/>
          <w:rFonts w:cs="Arial"/>
          <w:sz w:val="16"/>
          <w:szCs w:val="16"/>
        </w:rPr>
        <w:footnoteRef/>
      </w:r>
      <w:r w:rsidRPr="001F1661">
        <w:rPr>
          <w:rFonts w:cs="Arial"/>
          <w:sz w:val="16"/>
          <w:szCs w:val="16"/>
        </w:rPr>
        <w:t xml:space="preserve"> Flash </w:t>
      </w:r>
      <w:proofErr w:type="spellStart"/>
      <w:r w:rsidRPr="001F1661">
        <w:rPr>
          <w:rFonts w:cs="Arial"/>
          <w:sz w:val="16"/>
          <w:szCs w:val="16"/>
        </w:rPr>
        <w:t>Eurobarometer</w:t>
      </w:r>
      <w:proofErr w:type="spellEnd"/>
      <w:r w:rsidRPr="001F1661">
        <w:rPr>
          <w:rFonts w:cs="Arial"/>
          <w:sz w:val="16"/>
          <w:szCs w:val="16"/>
        </w:rPr>
        <w:t xml:space="preserve"> </w:t>
      </w:r>
      <w:proofErr w:type="spellStart"/>
      <w:r w:rsidRPr="001F1661">
        <w:rPr>
          <w:rFonts w:cs="Arial"/>
          <w:sz w:val="16"/>
          <w:szCs w:val="16"/>
        </w:rPr>
        <w:t>číslo</w:t>
      </w:r>
      <w:proofErr w:type="spellEnd"/>
      <w:r w:rsidRPr="001F1661">
        <w:rPr>
          <w:rFonts w:cs="Arial"/>
          <w:sz w:val="16"/>
          <w:szCs w:val="16"/>
        </w:rPr>
        <w:t xml:space="preserve"> 283, 2009</w:t>
      </w:r>
    </w:p>
  </w:footnote>
  <w:footnote w:id="19">
    <w:p w:rsidR="003E3A06" w:rsidRPr="003F0D17" w:rsidRDefault="003E3A06" w:rsidP="009A6B10">
      <w:pPr>
        <w:jc w:val="both"/>
        <w:rPr>
          <w:noProof/>
          <w:sz w:val="16"/>
          <w:szCs w:val="16"/>
        </w:rPr>
      </w:pPr>
      <w:r w:rsidRPr="003F0D17">
        <w:rPr>
          <w:rStyle w:val="Odkaznapoznmkupodiarou"/>
          <w:rFonts w:eastAsia="Calibri"/>
          <w:sz w:val="16"/>
          <w:szCs w:val="16"/>
        </w:rPr>
        <w:footnoteRef/>
      </w:r>
      <w:r w:rsidRPr="003F0D17">
        <w:rPr>
          <w:sz w:val="16"/>
          <w:szCs w:val="16"/>
        </w:rPr>
        <w:t xml:space="preserve"> </w:t>
      </w:r>
      <w:r w:rsidRPr="003F0D17">
        <w:rPr>
          <w:noProof/>
          <w:sz w:val="16"/>
          <w:szCs w:val="16"/>
        </w:rPr>
        <w:t xml:space="preserve">NARMSP realizuje už od 90-tych rokov finančné schémy zamerané na poskytovanie úverového financovania, napríklad v podobe Mikropôžičkového programu.  Podľa analýzy NARMSP absorpčná kapacita len v oblasti mikropôžičkového programu je na úrovni viac ako 700 mil. €. </w:t>
      </w:r>
    </w:p>
    <w:p w:rsidR="003E3A06" w:rsidRDefault="003E3A06" w:rsidP="009A6B10">
      <w:pPr>
        <w:jc w:val="both"/>
      </w:pPr>
    </w:p>
  </w:footnote>
  <w:footnote w:id="20">
    <w:p w:rsidR="003E3A06" w:rsidRPr="00E124FA" w:rsidRDefault="003E3A06" w:rsidP="009A6B10">
      <w:pPr>
        <w:pStyle w:val="Textpoznmkypodiarou"/>
        <w:rPr>
          <w:lang w:val="sk-SK"/>
        </w:rPr>
      </w:pPr>
      <w:r>
        <w:rPr>
          <w:rStyle w:val="Odkaznapoznmkupodiarou"/>
        </w:rPr>
        <w:footnoteRef/>
      </w:r>
      <w:r w:rsidRPr="00E124FA">
        <w:rPr>
          <w:lang w:val="sk-SK"/>
        </w:rPr>
        <w:t xml:space="preserve"> </w:t>
      </w:r>
      <w:r w:rsidRPr="00104957">
        <w:rPr>
          <w:sz w:val="16"/>
          <w:lang w:val="sk-SK"/>
        </w:rPr>
        <w:t>Global Enterpreneuership Monitor</w:t>
      </w:r>
      <w:r w:rsidRPr="00E124FA">
        <w:rPr>
          <w:sz w:val="16"/>
          <w:lang w:val="sk-SK"/>
        </w:rPr>
        <w:t xml:space="preserve">  (Globálny  monitor podnikania) – najväčšia svetová akademická štúdia o podnikaní ; zapojenie Slovenska od roku 2011 </w:t>
      </w:r>
    </w:p>
  </w:footnote>
  <w:footnote w:id="21">
    <w:p w:rsidR="003E3A06" w:rsidRPr="00E124FA" w:rsidRDefault="003E3A06" w:rsidP="009A6B10">
      <w:pPr>
        <w:pStyle w:val="Textpoznmkypodiarou"/>
        <w:rPr>
          <w:lang w:val="sk-SK"/>
        </w:rPr>
      </w:pPr>
      <w:r>
        <w:rPr>
          <w:rStyle w:val="Odkaznapoznmkupodiarou"/>
        </w:rPr>
        <w:footnoteRef/>
      </w:r>
      <w:r w:rsidRPr="00E124FA">
        <w:rPr>
          <w:lang w:val="sk-SK"/>
        </w:rPr>
        <w:t>N</w:t>
      </w:r>
      <w:r w:rsidRPr="00104957">
        <w:rPr>
          <w:sz w:val="16"/>
          <w:lang w:val="sk-SK"/>
        </w:rPr>
        <w:t xml:space="preserve">ational </w:t>
      </w:r>
      <w:r w:rsidRPr="00E124FA">
        <w:rPr>
          <w:sz w:val="16"/>
          <w:lang w:val="sk-SK"/>
        </w:rPr>
        <w:t>E</w:t>
      </w:r>
      <w:r w:rsidRPr="00104957">
        <w:rPr>
          <w:sz w:val="16"/>
          <w:lang w:val="sk-SK"/>
        </w:rPr>
        <w:t xml:space="preserve">xpert </w:t>
      </w:r>
      <w:r w:rsidRPr="00E124FA">
        <w:rPr>
          <w:sz w:val="16"/>
          <w:lang w:val="sk-SK"/>
        </w:rPr>
        <w:t>S</w:t>
      </w:r>
      <w:r w:rsidRPr="00104957">
        <w:rPr>
          <w:sz w:val="16"/>
          <w:lang w:val="sk-SK"/>
        </w:rPr>
        <w:t>urvey (prieskum na z</w:t>
      </w:r>
      <w:r w:rsidRPr="00E124FA">
        <w:rPr>
          <w:sz w:val="16"/>
          <w:lang w:val="sk-SK"/>
        </w:rPr>
        <w:t>á</w:t>
      </w:r>
      <w:r w:rsidRPr="00104957">
        <w:rPr>
          <w:sz w:val="16"/>
          <w:lang w:val="sk-SK"/>
        </w:rPr>
        <w:t>klade odpoved</w:t>
      </w:r>
      <w:r w:rsidRPr="00E124FA">
        <w:rPr>
          <w:sz w:val="16"/>
          <w:lang w:val="sk-SK"/>
        </w:rPr>
        <w:t>í</w:t>
      </w:r>
      <w:r w:rsidRPr="00104957">
        <w:rPr>
          <w:sz w:val="16"/>
          <w:lang w:val="sk-SK"/>
        </w:rPr>
        <w:t xml:space="preserve"> n</w:t>
      </w:r>
      <w:r w:rsidRPr="00E124FA">
        <w:rPr>
          <w:sz w:val="16"/>
          <w:lang w:val="sk-SK"/>
        </w:rPr>
        <w:t>á</w:t>
      </w:r>
      <w:r w:rsidRPr="00104957">
        <w:rPr>
          <w:sz w:val="16"/>
          <w:lang w:val="sk-SK"/>
        </w:rPr>
        <w:t>rodn</w:t>
      </w:r>
      <w:r w:rsidRPr="00E124FA">
        <w:rPr>
          <w:sz w:val="16"/>
          <w:lang w:val="sk-SK"/>
        </w:rPr>
        <w:t>ý</w:t>
      </w:r>
      <w:r w:rsidRPr="00104957">
        <w:rPr>
          <w:sz w:val="16"/>
          <w:lang w:val="sk-SK"/>
        </w:rPr>
        <w:t>ch expertov)</w:t>
      </w:r>
      <w:r w:rsidRPr="00E124FA">
        <w:rPr>
          <w:sz w:val="16"/>
          <w:lang w:val="sk-SK"/>
        </w:rPr>
        <w:t xml:space="preserve"> v rámci druhej fázy hodnotenia GEM, ktorá nasleduje </w:t>
      </w:r>
      <w:r w:rsidRPr="00E124FA">
        <w:rPr>
          <w:sz w:val="16"/>
          <w:lang w:val="sk-SK"/>
        </w:rPr>
        <w:br/>
        <w:t>po prieskume dospelej populác</w:t>
      </w:r>
      <w:r w:rsidRPr="00104957">
        <w:rPr>
          <w:sz w:val="16"/>
          <w:lang w:val="sk-SK"/>
        </w:rPr>
        <w:t>ie (APS).</w:t>
      </w:r>
    </w:p>
  </w:footnote>
  <w:footnote w:id="22">
    <w:p w:rsidR="003E3A06" w:rsidRPr="00E124FA" w:rsidRDefault="003E3A06" w:rsidP="009A6B10">
      <w:pPr>
        <w:pStyle w:val="Textpoznmkypodiarou"/>
        <w:rPr>
          <w:lang w:val="sk-SK"/>
        </w:rPr>
      </w:pPr>
      <w:r>
        <w:rPr>
          <w:rStyle w:val="Odkaznapoznmkupodiarou"/>
        </w:rPr>
        <w:footnoteRef/>
      </w:r>
      <w:r w:rsidRPr="00E124FA">
        <w:rPr>
          <w:lang w:val="sk-SK"/>
        </w:rPr>
        <w:t xml:space="preserve"> </w:t>
      </w:r>
      <w:r w:rsidRPr="00104957">
        <w:rPr>
          <w:sz w:val="16"/>
          <w:lang w:val="sk-SK"/>
        </w:rPr>
        <w:t>Prieskum realizovaný NARMSP</w:t>
      </w:r>
      <w:r w:rsidRPr="00E124FA">
        <w:rPr>
          <w:sz w:val="16"/>
          <w:lang w:val="sk-SK"/>
        </w:rPr>
        <w:t xml:space="preserve"> </w:t>
      </w:r>
      <w:r w:rsidRPr="00104957">
        <w:rPr>
          <w:sz w:val="16"/>
          <w:lang w:val="sk-SK"/>
        </w:rPr>
        <w:t>v spolupráci s agentúrou Focus- Hodnotenie uplatňovania princípov SBA</w:t>
      </w:r>
      <w:r w:rsidRPr="00E124FA">
        <w:rPr>
          <w:sz w:val="16"/>
          <w:lang w:val="sk-SK"/>
        </w:rPr>
        <w:t>, 2013</w:t>
      </w:r>
    </w:p>
  </w:footnote>
  <w:footnote w:id="23">
    <w:p w:rsidR="003E3A06" w:rsidRPr="00104957" w:rsidRDefault="003E3A06" w:rsidP="009A6B10">
      <w:pPr>
        <w:pStyle w:val="Textpoznmkypodiarou"/>
        <w:rPr>
          <w:lang w:val="sk-SK"/>
        </w:rPr>
      </w:pPr>
      <w:r w:rsidRPr="00DA1039">
        <w:rPr>
          <w:rStyle w:val="Odkaznapoznmkupodiarou"/>
        </w:rPr>
        <w:footnoteRef/>
      </w:r>
      <w:r w:rsidRPr="00104957">
        <w:rPr>
          <w:lang w:val="sk-SK"/>
        </w:rPr>
        <w:t xml:space="preserve"> pestovanie plodín, chov zvierat, poľovníctvo a služby s tým súvisiace; lesníctvo a ťažba dreva; rybolov  a akvakultúra,  (01,02,03 SK NACE Rev.2)</w:t>
      </w:r>
    </w:p>
  </w:footnote>
  <w:footnote w:id="24">
    <w:p w:rsidR="003E3A06" w:rsidRPr="00104957" w:rsidRDefault="003E3A06" w:rsidP="009A6B10">
      <w:pPr>
        <w:pStyle w:val="Textpoznmkypodiarou"/>
        <w:rPr>
          <w:lang w:val="sk-SK"/>
        </w:rPr>
      </w:pPr>
      <w:r w:rsidRPr="00DA1039">
        <w:rPr>
          <w:rStyle w:val="Odkaznapoznmkupodiarou"/>
        </w:rPr>
        <w:footnoteRef/>
      </w:r>
      <w:r w:rsidRPr="00104957">
        <w:rPr>
          <w:lang w:val="sk-SK"/>
        </w:rPr>
        <w:t xml:space="preserve"> výroba potravín, nápojov a tabakových výrobkov, (10,11,12 SK NACE Rev.2)</w:t>
      </w:r>
    </w:p>
  </w:footnote>
  <w:footnote w:id="25">
    <w:p w:rsidR="003E3A06" w:rsidRPr="00BD7D6A" w:rsidRDefault="003E3A06" w:rsidP="002819E1">
      <w:pPr>
        <w:pStyle w:val="Textpoznmkypodiarou"/>
        <w:rPr>
          <w:lang w:val="sk-SK"/>
        </w:rPr>
      </w:pPr>
      <w:r w:rsidRPr="00BD7D6A">
        <w:rPr>
          <w:rStyle w:val="Odkaznapoznmkupodiarou"/>
          <w:lang w:val="sk-SK"/>
        </w:rPr>
        <w:footnoteRef/>
      </w:r>
      <w:r w:rsidRPr="00BD7D6A">
        <w:rPr>
          <w:lang w:val="sk-SK"/>
        </w:rPr>
        <w:t xml:space="preserve"> </w:t>
      </w:r>
      <w:r w:rsidRPr="00BD7D6A">
        <w:rPr>
          <w:color w:val="000000"/>
          <w:lang w:val="sk-SK"/>
        </w:rPr>
        <w:t>Hospodárska politika pre oblasť spracovania dreva je vymedzená v materiáli „Národný program využitia potenciálu dreva SR“</w:t>
      </w:r>
    </w:p>
  </w:footnote>
  <w:footnote w:id="26">
    <w:p w:rsidR="003E3A06" w:rsidRDefault="003E3A06" w:rsidP="002819E1">
      <w:pPr>
        <w:jc w:val="both"/>
      </w:pPr>
      <w:r w:rsidRPr="0011105B">
        <w:rPr>
          <w:rStyle w:val="Odkaznapoznmkupodiarou"/>
          <w:rFonts w:eastAsia="Calibri"/>
          <w:sz w:val="20"/>
          <w:szCs w:val="20"/>
        </w:rPr>
        <w:footnoteRef/>
      </w:r>
      <w:r w:rsidRPr="0011105B">
        <w:rPr>
          <w:sz w:val="20"/>
          <w:szCs w:val="20"/>
        </w:rPr>
        <w:t xml:space="preserve"> </w:t>
      </w:r>
      <w:r>
        <w:rPr>
          <w:sz w:val="20"/>
          <w:szCs w:val="20"/>
        </w:rPr>
        <w:t>Vo väzbe na s</w:t>
      </w:r>
      <w:r w:rsidRPr="0011105B">
        <w:rPr>
          <w:color w:val="000000"/>
          <w:sz w:val="20"/>
          <w:szCs w:val="20"/>
        </w:rPr>
        <w:t>chválenie nového Programu odpadového hospodárstva (POH) SR na roky 2011 – 2015</w:t>
      </w:r>
      <w:r>
        <w:rPr>
          <w:color w:val="000000"/>
          <w:sz w:val="20"/>
          <w:szCs w:val="20"/>
        </w:rPr>
        <w:t xml:space="preserve"> - </w:t>
      </w:r>
      <w:r w:rsidRPr="0011105B">
        <w:rPr>
          <w:color w:val="000000"/>
          <w:sz w:val="20"/>
          <w:szCs w:val="20"/>
        </w:rPr>
        <w:t>odklonenie odpadov od skládkovania</w:t>
      </w:r>
      <w:r>
        <w:rPr>
          <w:color w:val="000000"/>
          <w:sz w:val="20"/>
          <w:szCs w:val="20"/>
        </w:rPr>
        <w:t xml:space="preserve"> - </w:t>
      </w:r>
      <w:r w:rsidRPr="0011105B">
        <w:rPr>
          <w:color w:val="000000"/>
          <w:sz w:val="20"/>
          <w:szCs w:val="20"/>
        </w:rPr>
        <w:t xml:space="preserve">z hľadiska podpory BPS </w:t>
      </w:r>
      <w:r>
        <w:rPr>
          <w:color w:val="000000"/>
          <w:sz w:val="20"/>
          <w:szCs w:val="20"/>
        </w:rPr>
        <w:t xml:space="preserve">je to výrazné </w:t>
      </w:r>
      <w:r w:rsidRPr="0011105B">
        <w:rPr>
          <w:color w:val="000000"/>
          <w:sz w:val="20"/>
          <w:szCs w:val="20"/>
        </w:rPr>
        <w:t>pozitív</w:t>
      </w:r>
      <w:r>
        <w:rPr>
          <w:color w:val="000000"/>
          <w:sz w:val="20"/>
          <w:szCs w:val="20"/>
        </w:rPr>
        <w:t>um</w:t>
      </w:r>
      <w:r w:rsidRPr="0011105B">
        <w:rPr>
          <w:color w:val="000000"/>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FEC"/>
    <w:multiLevelType w:val="hybridMultilevel"/>
    <w:tmpl w:val="5CF482D2"/>
    <w:lvl w:ilvl="0" w:tplc="F2C4CBB2">
      <w:start w:val="1"/>
      <w:numFmt w:val="decimal"/>
      <w:pStyle w:val="qwe"/>
      <w:lvlText w:val="%1."/>
      <w:lvlJc w:val="left"/>
      <w:pPr>
        <w:tabs>
          <w:tab w:val="num" w:pos="360"/>
        </w:tabs>
        <w:ind w:left="360" w:hanging="360"/>
      </w:pPr>
      <w:rPr>
        <w:rFonts w:ascii="Times New Roman" w:hAnsi="Times New Roman" w:cs="Times New Roman" w:hint="default"/>
        <w:b w:val="0"/>
        <w:i w:val="0"/>
        <w:color w:val="auto"/>
        <w:sz w:val="22"/>
        <w:szCs w:val="22"/>
      </w:rPr>
    </w:lvl>
    <w:lvl w:ilvl="1" w:tplc="FFFFFFFF">
      <w:start w:val="1"/>
      <w:numFmt w:val="bullet"/>
      <w:lvlText w:val=""/>
      <w:lvlJc w:val="left"/>
      <w:pPr>
        <w:tabs>
          <w:tab w:val="num" w:pos="1440"/>
        </w:tabs>
        <w:ind w:left="1440" w:hanging="360"/>
      </w:pPr>
      <w:rPr>
        <w:rFonts w:ascii="Symbol" w:hAnsi="Symbol" w:hint="default"/>
        <w:sz w:val="18"/>
      </w:rPr>
    </w:lvl>
    <w:lvl w:ilvl="2" w:tplc="FFFFFFFF">
      <w:start w:val="1"/>
      <w:numFmt w:val="decimal"/>
      <w:lvlText w:val="%3)"/>
      <w:lvlJc w:val="left"/>
      <w:pPr>
        <w:tabs>
          <w:tab w:val="num" w:pos="2340"/>
        </w:tabs>
        <w:ind w:left="2340" w:hanging="360"/>
      </w:pPr>
      <w:rPr>
        <w:rFonts w:cs="Times New Roman"/>
        <w:strike w:val="0"/>
        <w:dstrike w:val="0"/>
        <w:u w:val="none"/>
        <w:effect w:val="none"/>
      </w:rPr>
    </w:lvl>
    <w:lvl w:ilvl="3" w:tplc="FFFFFFFF">
      <w:numFmt w:val="bullet"/>
      <w:lvlText w:val="-"/>
      <w:lvlJc w:val="left"/>
      <w:pPr>
        <w:tabs>
          <w:tab w:val="num" w:pos="2880"/>
        </w:tabs>
        <w:ind w:left="2880" w:hanging="360"/>
      </w:pPr>
      <w:rPr>
        <w:rFonts w:ascii="Times New Roman" w:eastAsia="MS Mincho"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
    <w:nsid w:val="03E51565"/>
    <w:multiLevelType w:val="multilevel"/>
    <w:tmpl w:val="A2D6770E"/>
    <w:name w:val="List Number__1"/>
    <w:lvl w:ilvl="0">
      <w:start w:val="1"/>
      <w:numFmt w:val="decimal"/>
      <w:lvlRestart w:val="0"/>
      <w:lvlText w:val="(%1)"/>
      <w:lvlJc w:val="left"/>
      <w:pPr>
        <w:tabs>
          <w:tab w:val="num" w:pos="709"/>
        </w:tabs>
        <w:ind w:left="709" w:hanging="709"/>
      </w:pPr>
    </w:lvl>
    <w:lvl w:ilvl="1">
      <w:start w:val="1"/>
      <w:numFmt w:val="lowerLetter"/>
      <w:lvlText w:val="(%2)"/>
      <w:lvlJc w:val="left"/>
      <w:pPr>
        <w:tabs>
          <w:tab w:val="num" w:pos="948"/>
        </w:tabs>
        <w:ind w:left="948"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E866D54"/>
    <w:multiLevelType w:val="hybridMultilevel"/>
    <w:tmpl w:val="ED08FFA4"/>
    <w:lvl w:ilvl="0" w:tplc="FFFFFFFF">
      <w:start w:val="1"/>
      <w:numFmt w:val="bullet"/>
      <w:lvlText w:val=""/>
      <w:lvlJc w:val="left"/>
      <w:pPr>
        <w:ind w:left="360" w:hanging="360"/>
      </w:pPr>
      <w:rPr>
        <w:rFonts w:ascii="Wingdings" w:hAnsi="Wingdings" w:hint="default"/>
        <w:color w:val="0070C0"/>
      </w:rPr>
    </w:lvl>
    <w:lvl w:ilvl="1" w:tplc="BF2A4FE2">
      <w:start w:val="1"/>
      <w:numFmt w:val="lowerLetter"/>
      <w:lvlText w:val="%2)"/>
      <w:lvlJc w:val="left"/>
      <w:pPr>
        <w:tabs>
          <w:tab w:val="num" w:pos="1080"/>
        </w:tabs>
        <w:ind w:left="1080" w:hanging="360"/>
      </w:pPr>
      <w:rPr>
        <w:rFonts w:hint="default"/>
      </w:rPr>
    </w:lvl>
    <w:lvl w:ilvl="2" w:tplc="FFFFFFFF">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
    <w:nsid w:val="0F4B663D"/>
    <w:multiLevelType w:val="hybridMultilevel"/>
    <w:tmpl w:val="32AC7210"/>
    <w:lvl w:ilvl="0" w:tplc="3F52C14C">
      <w:start w:val="1"/>
      <w:numFmt w:val="decimal"/>
      <w:pStyle w:val="phTab"/>
      <w:lvlText w:val="Tab. č. %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99E2E488">
      <w:start w:val="1"/>
      <w:numFmt w:val="lowerLetter"/>
      <w:lvlText w:val="%2."/>
      <w:lvlJc w:val="left"/>
      <w:pPr>
        <w:tabs>
          <w:tab w:val="num" w:pos="1440"/>
        </w:tabs>
        <w:ind w:left="1440" w:hanging="360"/>
      </w:pPr>
    </w:lvl>
    <w:lvl w:ilvl="2" w:tplc="C506218E">
      <w:start w:val="1"/>
      <w:numFmt w:val="lowerRoman"/>
      <w:lvlText w:val="%3."/>
      <w:lvlJc w:val="right"/>
      <w:pPr>
        <w:tabs>
          <w:tab w:val="num" w:pos="2160"/>
        </w:tabs>
        <w:ind w:left="2160" w:hanging="180"/>
      </w:pPr>
    </w:lvl>
    <w:lvl w:ilvl="3" w:tplc="B7885FAA">
      <w:start w:val="1"/>
      <w:numFmt w:val="decimal"/>
      <w:lvlText w:val="%4."/>
      <w:lvlJc w:val="left"/>
      <w:pPr>
        <w:tabs>
          <w:tab w:val="num" w:pos="2880"/>
        </w:tabs>
        <w:ind w:left="2880" w:hanging="360"/>
      </w:pPr>
    </w:lvl>
    <w:lvl w:ilvl="4" w:tplc="8EF6FEB6" w:tentative="1">
      <w:start w:val="1"/>
      <w:numFmt w:val="lowerLetter"/>
      <w:lvlText w:val="%5."/>
      <w:lvlJc w:val="left"/>
      <w:pPr>
        <w:tabs>
          <w:tab w:val="num" w:pos="3600"/>
        </w:tabs>
        <w:ind w:left="3600" w:hanging="360"/>
      </w:pPr>
    </w:lvl>
    <w:lvl w:ilvl="5" w:tplc="13A632D0" w:tentative="1">
      <w:start w:val="1"/>
      <w:numFmt w:val="lowerRoman"/>
      <w:lvlText w:val="%6."/>
      <w:lvlJc w:val="right"/>
      <w:pPr>
        <w:tabs>
          <w:tab w:val="num" w:pos="4320"/>
        </w:tabs>
        <w:ind w:left="4320" w:hanging="180"/>
      </w:pPr>
    </w:lvl>
    <w:lvl w:ilvl="6" w:tplc="9DDC9AB6" w:tentative="1">
      <w:start w:val="1"/>
      <w:numFmt w:val="decimal"/>
      <w:lvlText w:val="%7."/>
      <w:lvlJc w:val="left"/>
      <w:pPr>
        <w:tabs>
          <w:tab w:val="num" w:pos="5040"/>
        </w:tabs>
        <w:ind w:left="5040" w:hanging="360"/>
      </w:pPr>
    </w:lvl>
    <w:lvl w:ilvl="7" w:tplc="C69AB87E" w:tentative="1">
      <w:start w:val="1"/>
      <w:numFmt w:val="lowerLetter"/>
      <w:lvlText w:val="%8."/>
      <w:lvlJc w:val="left"/>
      <w:pPr>
        <w:tabs>
          <w:tab w:val="num" w:pos="5760"/>
        </w:tabs>
        <w:ind w:left="5760" w:hanging="360"/>
      </w:pPr>
    </w:lvl>
    <w:lvl w:ilvl="8" w:tplc="35F2DD58" w:tentative="1">
      <w:start w:val="1"/>
      <w:numFmt w:val="lowerRoman"/>
      <w:lvlText w:val="%9."/>
      <w:lvlJc w:val="right"/>
      <w:pPr>
        <w:tabs>
          <w:tab w:val="num" w:pos="6480"/>
        </w:tabs>
        <w:ind w:left="6480" w:hanging="180"/>
      </w:pPr>
    </w:lvl>
  </w:abstractNum>
  <w:abstractNum w:abstractNumId="4">
    <w:nsid w:val="10900701"/>
    <w:multiLevelType w:val="hybridMultilevel"/>
    <w:tmpl w:val="5112A2B8"/>
    <w:lvl w:ilvl="0" w:tplc="F7F4E1EA">
      <w:start w:val="1"/>
      <w:numFmt w:val="lowerRoman"/>
      <w:lvlText w:val="%1)"/>
      <w:lvlJc w:val="left"/>
      <w:pPr>
        <w:tabs>
          <w:tab w:val="num" w:pos="1080"/>
        </w:tabs>
        <w:ind w:left="1080" w:hanging="72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5">
    <w:nsid w:val="1528569F"/>
    <w:multiLevelType w:val="multilevel"/>
    <w:tmpl w:val="B6264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0657981"/>
    <w:multiLevelType w:val="multilevel"/>
    <w:tmpl w:val="E2403720"/>
    <w:lvl w:ilvl="0">
      <w:start w:val="1"/>
      <w:numFmt w:val="decimal"/>
      <w:lvlText w:val="%1."/>
      <w:lvlJc w:val="left"/>
      <w:pPr>
        <w:tabs>
          <w:tab w:val="num" w:pos="720"/>
        </w:tabs>
        <w:ind w:left="720" w:hanging="360"/>
      </w:pPr>
    </w:lvl>
    <w:lvl w:ilvl="1">
      <w:start w:val="3"/>
      <w:numFmt w:val="upperLetter"/>
      <w:lvlText w:val="%2."/>
      <w:lvlJc w:val="left"/>
      <w:pPr>
        <w:tabs>
          <w:tab w:val="num" w:pos="1440"/>
        </w:tabs>
        <w:ind w:left="1440" w:hanging="360"/>
      </w:pPr>
      <w:rPr>
        <w:rFonts w:hint="default"/>
        <w:sz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653020"/>
    <w:multiLevelType w:val="hybridMultilevel"/>
    <w:tmpl w:val="4808E2CC"/>
    <w:lvl w:ilvl="0" w:tplc="53F0B2FE">
      <w:start w:val="1"/>
      <w:numFmt w:val="decimal"/>
      <w:pStyle w:val="IDRRecommendationsBulletPoints"/>
      <w:lvlText w:val="%1)"/>
      <w:lvlJc w:val="left"/>
      <w:pPr>
        <w:ind w:left="360" w:hanging="360"/>
      </w:pPr>
      <w:rPr>
        <w:b w:val="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8">
    <w:nsid w:val="2B6210AC"/>
    <w:multiLevelType w:val="hybridMultilevel"/>
    <w:tmpl w:val="87A41D66"/>
    <w:lvl w:ilvl="0" w:tplc="041B000B">
      <w:start w:val="1"/>
      <w:numFmt w:val="decimal"/>
      <w:lvlText w:val="%1."/>
      <w:lvlJc w:val="left"/>
      <w:pPr>
        <w:ind w:left="720" w:hanging="360"/>
      </w:pPr>
      <w:rPr>
        <w:rFonts w:cs="Times New Roman"/>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9">
    <w:nsid w:val="2DFB3B2B"/>
    <w:multiLevelType w:val="hybridMultilevel"/>
    <w:tmpl w:val="54E073EE"/>
    <w:lvl w:ilvl="0" w:tplc="52AE40C6">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48C2D66"/>
    <w:multiLevelType w:val="hybridMultilevel"/>
    <w:tmpl w:val="96C8E65A"/>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nsid w:val="3D163C42"/>
    <w:multiLevelType w:val="hybridMultilevel"/>
    <w:tmpl w:val="CC7C6B48"/>
    <w:name w:val="Dash 1"/>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9440176"/>
    <w:multiLevelType w:val="multilevel"/>
    <w:tmpl w:val="61AC9FB6"/>
    <w:lvl w:ilvl="0">
      <w:start w:val="1"/>
      <w:numFmt w:val="decimal"/>
      <w:pStyle w:val="CharCharCharCharCharCharChar"/>
      <w:lvlText w:val="%1."/>
      <w:lvlJc w:val="left"/>
      <w:pPr>
        <w:tabs>
          <w:tab w:val="num" w:pos="720"/>
        </w:tabs>
        <w:ind w:left="720" w:hanging="360"/>
      </w:pPr>
    </w:lvl>
    <w:lvl w:ilvl="1">
      <w:start w:val="1"/>
      <w:numFmt w:val="decimal"/>
      <w:pStyle w:val="ListNumberLevel2"/>
      <w:lvlText w:val="%2)"/>
      <w:lvlJc w:val="left"/>
      <w:pPr>
        <w:tabs>
          <w:tab w:val="num" w:pos="1440"/>
        </w:tabs>
        <w:ind w:left="1440" w:hanging="360"/>
      </w:pPr>
      <w:rPr>
        <w:rFonts w:hint="default"/>
      </w:rPr>
    </w:lvl>
    <w:lvl w:ilvl="2" w:tentative="1">
      <w:start w:val="1"/>
      <w:numFmt w:val="decimal"/>
      <w:pStyle w:val="ListNumberLevel3"/>
      <w:lvlText w:val="%3."/>
      <w:lvlJc w:val="left"/>
      <w:pPr>
        <w:tabs>
          <w:tab w:val="num" w:pos="2160"/>
        </w:tabs>
        <w:ind w:left="2160" w:hanging="360"/>
      </w:pPr>
    </w:lvl>
    <w:lvl w:ilvl="3" w:tentative="1">
      <w:start w:val="1"/>
      <w:numFmt w:val="decimal"/>
      <w:pStyle w:val="ListNumberLevel4"/>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353FF1"/>
    <w:multiLevelType w:val="hybridMultilevel"/>
    <w:tmpl w:val="0CAC6626"/>
    <w:lvl w:ilvl="0" w:tplc="8E8E8466">
      <w:start w:val="1"/>
      <w:numFmt w:val="bullet"/>
      <w:pStyle w:val="odrka1"/>
      <w:lvlText w:val=""/>
      <w:lvlJc w:val="left"/>
      <w:pPr>
        <w:ind w:left="1721" w:hanging="360"/>
      </w:pPr>
      <w:rPr>
        <w:rFonts w:ascii="Wingdings" w:hAnsi="Wingdings" w:hint="default"/>
      </w:rPr>
    </w:lvl>
    <w:lvl w:ilvl="1" w:tplc="6F14CC94">
      <w:start w:val="1"/>
      <w:numFmt w:val="bullet"/>
      <w:lvlText w:val=""/>
      <w:lvlJc w:val="left"/>
      <w:pPr>
        <w:tabs>
          <w:tab w:val="num" w:pos="1421"/>
        </w:tabs>
        <w:ind w:left="1421" w:hanging="397"/>
      </w:pPr>
      <w:rPr>
        <w:rFonts w:ascii="Symbol" w:hAnsi="Symbol" w:hint="default"/>
        <w:color w:val="auto"/>
      </w:rPr>
    </w:lvl>
    <w:lvl w:ilvl="2" w:tplc="08090005" w:tentative="1">
      <w:start w:val="1"/>
      <w:numFmt w:val="bullet"/>
      <w:lvlText w:val=""/>
      <w:lvlJc w:val="left"/>
      <w:pPr>
        <w:ind w:left="2104" w:hanging="360"/>
      </w:pPr>
      <w:rPr>
        <w:rFonts w:ascii="Wingdings" w:hAnsi="Wingdings" w:hint="default"/>
      </w:rPr>
    </w:lvl>
    <w:lvl w:ilvl="3" w:tplc="08090001" w:tentative="1">
      <w:start w:val="1"/>
      <w:numFmt w:val="bullet"/>
      <w:lvlText w:val=""/>
      <w:lvlJc w:val="left"/>
      <w:pPr>
        <w:ind w:left="2824" w:hanging="360"/>
      </w:pPr>
      <w:rPr>
        <w:rFonts w:ascii="Symbol" w:hAnsi="Symbol" w:hint="default"/>
      </w:rPr>
    </w:lvl>
    <w:lvl w:ilvl="4" w:tplc="08090003" w:tentative="1">
      <w:start w:val="1"/>
      <w:numFmt w:val="bullet"/>
      <w:lvlText w:val="o"/>
      <w:lvlJc w:val="left"/>
      <w:pPr>
        <w:ind w:left="3544" w:hanging="360"/>
      </w:pPr>
      <w:rPr>
        <w:rFonts w:ascii="Courier New" w:hAnsi="Courier New" w:cs="Courier New" w:hint="default"/>
      </w:rPr>
    </w:lvl>
    <w:lvl w:ilvl="5" w:tplc="08090005" w:tentative="1">
      <w:start w:val="1"/>
      <w:numFmt w:val="bullet"/>
      <w:lvlText w:val=""/>
      <w:lvlJc w:val="left"/>
      <w:pPr>
        <w:ind w:left="4264" w:hanging="360"/>
      </w:pPr>
      <w:rPr>
        <w:rFonts w:ascii="Wingdings" w:hAnsi="Wingdings" w:hint="default"/>
      </w:rPr>
    </w:lvl>
    <w:lvl w:ilvl="6" w:tplc="08090001" w:tentative="1">
      <w:start w:val="1"/>
      <w:numFmt w:val="bullet"/>
      <w:lvlText w:val=""/>
      <w:lvlJc w:val="left"/>
      <w:pPr>
        <w:ind w:left="4984" w:hanging="360"/>
      </w:pPr>
      <w:rPr>
        <w:rFonts w:ascii="Symbol" w:hAnsi="Symbol" w:hint="default"/>
      </w:rPr>
    </w:lvl>
    <w:lvl w:ilvl="7" w:tplc="08090003" w:tentative="1">
      <w:start w:val="1"/>
      <w:numFmt w:val="bullet"/>
      <w:lvlText w:val="o"/>
      <w:lvlJc w:val="left"/>
      <w:pPr>
        <w:ind w:left="5704" w:hanging="360"/>
      </w:pPr>
      <w:rPr>
        <w:rFonts w:ascii="Courier New" w:hAnsi="Courier New" w:cs="Courier New" w:hint="default"/>
      </w:rPr>
    </w:lvl>
    <w:lvl w:ilvl="8" w:tplc="08090005" w:tentative="1">
      <w:start w:val="1"/>
      <w:numFmt w:val="bullet"/>
      <w:lvlText w:val=""/>
      <w:lvlJc w:val="left"/>
      <w:pPr>
        <w:ind w:left="6424" w:hanging="360"/>
      </w:pPr>
      <w:rPr>
        <w:rFonts w:ascii="Wingdings" w:hAnsi="Wingdings" w:hint="default"/>
      </w:rPr>
    </w:lvl>
  </w:abstractNum>
  <w:abstractNum w:abstractNumId="14">
    <w:nsid w:val="4D080288"/>
    <w:multiLevelType w:val="hybridMultilevel"/>
    <w:tmpl w:val="86A29E6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5">
    <w:nsid w:val="535778F2"/>
    <w:multiLevelType w:val="multilevel"/>
    <w:tmpl w:val="FEA48252"/>
    <w:lvl w:ilvl="0">
      <w:start w:val="1"/>
      <w:numFmt w:val="decimal"/>
      <w:pStyle w:val="Nadpis1"/>
      <w:lvlText w:val="%1"/>
      <w:lvlJc w:val="left"/>
      <w:pPr>
        <w:tabs>
          <w:tab w:val="num" w:pos="432"/>
        </w:tabs>
        <w:ind w:left="432" w:hanging="432"/>
      </w:pPr>
      <w:rPr>
        <w:rFonts w:cs="Times New Roman" w:hint="default"/>
        <w:b w:val="0"/>
      </w:rPr>
    </w:lvl>
    <w:lvl w:ilvl="1">
      <w:start w:val="1"/>
      <w:numFmt w:val="decimal"/>
      <w:pStyle w:val="Nadpis2"/>
      <w:lvlText w:val="%1.%2"/>
      <w:lvlJc w:val="left"/>
      <w:pPr>
        <w:tabs>
          <w:tab w:val="num" w:pos="1176"/>
        </w:tabs>
        <w:ind w:left="1176" w:hanging="576"/>
      </w:pPr>
      <w:rPr>
        <w:rFonts w:cs="Times New Roman"/>
        <w:b w:val="0"/>
      </w:rPr>
    </w:lvl>
    <w:lvl w:ilvl="2">
      <w:start w:val="1"/>
      <w:numFmt w:val="decimal"/>
      <w:pStyle w:val="Nadpis3"/>
      <w:lvlText w:val="%1.%2.%3"/>
      <w:lvlJc w:val="left"/>
      <w:pPr>
        <w:tabs>
          <w:tab w:val="num" w:pos="720"/>
        </w:tabs>
        <w:ind w:left="720" w:hanging="720"/>
      </w:pPr>
      <w:rPr>
        <w:rFonts w:ascii="Calibri" w:hAnsi="Calibri" w:cs="Times New Roman" w:hint="default"/>
        <w:b/>
        <w:sz w:val="28"/>
        <w:szCs w:val="28"/>
      </w:rPr>
    </w:lvl>
    <w:lvl w:ilvl="3">
      <w:start w:val="1"/>
      <w:numFmt w:val="decimal"/>
      <w:pStyle w:val="Nadpis4"/>
      <w:lvlText w:val="%1.%2.%3.%4"/>
      <w:lvlJc w:val="left"/>
      <w:pPr>
        <w:tabs>
          <w:tab w:val="num" w:pos="864"/>
        </w:tabs>
        <w:ind w:left="864"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pStyle w:val="Nadpis9"/>
      <w:lvlText w:val="%1.%2.%3.%4.%5.%6.%7.%8.%9"/>
      <w:lvlJc w:val="left"/>
      <w:pPr>
        <w:tabs>
          <w:tab w:val="num" w:pos="1584"/>
        </w:tabs>
        <w:ind w:left="1584" w:hanging="1584"/>
      </w:pPr>
      <w:rPr>
        <w:rFonts w:cs="Times New Roman"/>
      </w:rPr>
    </w:lvl>
  </w:abstractNum>
  <w:abstractNum w:abstractNumId="16">
    <w:nsid w:val="53DD1BED"/>
    <w:multiLevelType w:val="hybridMultilevel"/>
    <w:tmpl w:val="391E842C"/>
    <w:lvl w:ilvl="0" w:tplc="0D40CA7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5A93069E"/>
    <w:multiLevelType w:val="multilevel"/>
    <w:tmpl w:val="11C40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B395AAA"/>
    <w:multiLevelType w:val="singleLevel"/>
    <w:tmpl w:val="96D02E8A"/>
    <w:name w:val="Bullet 1"/>
    <w:lvl w:ilvl="0">
      <w:start w:val="1"/>
      <w:numFmt w:val="bullet"/>
      <w:lvlRestart w:val="0"/>
      <w:pStyle w:val="Char"/>
      <w:lvlText w:val=""/>
      <w:lvlJc w:val="left"/>
      <w:pPr>
        <w:tabs>
          <w:tab w:val="num" w:pos="1417"/>
        </w:tabs>
        <w:ind w:left="1417" w:hanging="567"/>
      </w:pPr>
      <w:rPr>
        <w:rFonts w:ascii="Symbol" w:hAnsi="Symbol" w:hint="default"/>
      </w:rPr>
    </w:lvl>
  </w:abstractNum>
  <w:abstractNum w:abstractNumId="19">
    <w:nsid w:val="5C6C67C1"/>
    <w:multiLevelType w:val="hybridMultilevel"/>
    <w:tmpl w:val="789ED150"/>
    <w:lvl w:ilvl="0" w:tplc="041B000B">
      <w:start w:val="1"/>
      <w:numFmt w:val="bullet"/>
      <w:pStyle w:val="Bullet1"/>
      <w:lvlText w:val="-"/>
      <w:lvlJc w:val="left"/>
      <w:pPr>
        <w:ind w:left="360" w:hanging="360"/>
      </w:pPr>
      <w:rPr>
        <w:rFonts w:ascii="Calibri" w:eastAsia="Times New Roman" w:hAnsi="Calibri"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nsid w:val="5F256594"/>
    <w:multiLevelType w:val="hybridMultilevel"/>
    <w:tmpl w:val="7CA095D8"/>
    <w:lvl w:ilvl="0" w:tplc="7282849A">
      <w:start w:val="2"/>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62F92E9E"/>
    <w:multiLevelType w:val="hybridMultilevel"/>
    <w:tmpl w:val="FFDAFDCA"/>
    <w:lvl w:ilvl="0" w:tplc="C930C458">
      <w:start w:val="1"/>
      <w:numFmt w:val="lowerLetter"/>
      <w:lvlText w:val="%1)"/>
      <w:lvlJc w:val="left"/>
      <w:pPr>
        <w:ind w:left="720" w:hanging="360"/>
      </w:pPr>
      <w:rPr>
        <w:rFonts w:ascii="Times New Roman" w:eastAsia="Times New Roman" w:hAnsi="Times New Roman" w:cs="Times New Roman"/>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37246E8"/>
    <w:multiLevelType w:val="multilevel"/>
    <w:tmpl w:val="01F09C2E"/>
    <w:lvl w:ilvl="0">
      <w:start w:val="1"/>
      <w:numFmt w:val="decimal"/>
      <w:pStyle w:val="Odrky1"/>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720"/>
        </w:tabs>
        <w:ind w:left="50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64D8069B"/>
    <w:multiLevelType w:val="hybridMultilevel"/>
    <w:tmpl w:val="4FC4AA0A"/>
    <w:lvl w:ilvl="0" w:tplc="151C2D46">
      <w:numFmt w:val="bullet"/>
      <w:lvlText w:val="-"/>
      <w:lvlJc w:val="left"/>
      <w:pPr>
        <w:ind w:left="720" w:hanging="360"/>
      </w:pPr>
      <w:rPr>
        <w:rFonts w:ascii="Times New Roman" w:eastAsia="Times New Roman" w:hAnsi="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nsid w:val="67FD33D0"/>
    <w:multiLevelType w:val="hybridMultilevel"/>
    <w:tmpl w:val="D67034DA"/>
    <w:lvl w:ilvl="0" w:tplc="1BC6C980">
      <w:numFmt w:val="bullet"/>
      <w:pStyle w:val="Numberedparagraph"/>
      <w:lvlText w:val="-"/>
      <w:lvlJc w:val="left"/>
      <w:pPr>
        <w:ind w:left="1156" w:hanging="360"/>
      </w:pPr>
      <w:rPr>
        <w:rFonts w:ascii="Times New Roman" w:eastAsia="Times New Roman" w:hAnsi="Times New Roman" w:hint="default"/>
      </w:rPr>
    </w:lvl>
    <w:lvl w:ilvl="1" w:tplc="04050003" w:tentative="1">
      <w:start w:val="1"/>
      <w:numFmt w:val="bullet"/>
      <w:lvlText w:val="o"/>
      <w:lvlJc w:val="left"/>
      <w:pPr>
        <w:ind w:left="1876" w:hanging="360"/>
      </w:pPr>
      <w:rPr>
        <w:rFonts w:ascii="Courier New" w:hAnsi="Courier New" w:hint="default"/>
      </w:rPr>
    </w:lvl>
    <w:lvl w:ilvl="2" w:tplc="04050005" w:tentative="1">
      <w:start w:val="1"/>
      <w:numFmt w:val="bullet"/>
      <w:lvlText w:val=""/>
      <w:lvlJc w:val="left"/>
      <w:pPr>
        <w:ind w:left="2596" w:hanging="360"/>
      </w:pPr>
      <w:rPr>
        <w:rFonts w:ascii="Wingdings" w:hAnsi="Wingdings" w:hint="default"/>
      </w:rPr>
    </w:lvl>
    <w:lvl w:ilvl="3" w:tplc="04050001" w:tentative="1">
      <w:start w:val="1"/>
      <w:numFmt w:val="bullet"/>
      <w:lvlText w:val=""/>
      <w:lvlJc w:val="left"/>
      <w:pPr>
        <w:ind w:left="3316" w:hanging="360"/>
      </w:pPr>
      <w:rPr>
        <w:rFonts w:ascii="Symbol" w:hAnsi="Symbol" w:hint="default"/>
      </w:rPr>
    </w:lvl>
    <w:lvl w:ilvl="4" w:tplc="04050003" w:tentative="1">
      <w:start w:val="1"/>
      <w:numFmt w:val="bullet"/>
      <w:lvlText w:val="o"/>
      <w:lvlJc w:val="left"/>
      <w:pPr>
        <w:ind w:left="4036" w:hanging="360"/>
      </w:pPr>
      <w:rPr>
        <w:rFonts w:ascii="Courier New" w:hAnsi="Courier New" w:hint="default"/>
      </w:rPr>
    </w:lvl>
    <w:lvl w:ilvl="5" w:tplc="04050005" w:tentative="1">
      <w:start w:val="1"/>
      <w:numFmt w:val="bullet"/>
      <w:lvlText w:val=""/>
      <w:lvlJc w:val="left"/>
      <w:pPr>
        <w:ind w:left="4756" w:hanging="360"/>
      </w:pPr>
      <w:rPr>
        <w:rFonts w:ascii="Wingdings" w:hAnsi="Wingdings" w:hint="default"/>
      </w:rPr>
    </w:lvl>
    <w:lvl w:ilvl="6" w:tplc="04050001" w:tentative="1">
      <w:start w:val="1"/>
      <w:numFmt w:val="bullet"/>
      <w:lvlText w:val=""/>
      <w:lvlJc w:val="left"/>
      <w:pPr>
        <w:ind w:left="5476" w:hanging="360"/>
      </w:pPr>
      <w:rPr>
        <w:rFonts w:ascii="Symbol" w:hAnsi="Symbol" w:hint="default"/>
      </w:rPr>
    </w:lvl>
    <w:lvl w:ilvl="7" w:tplc="04050003" w:tentative="1">
      <w:start w:val="1"/>
      <w:numFmt w:val="bullet"/>
      <w:lvlText w:val="o"/>
      <w:lvlJc w:val="left"/>
      <w:pPr>
        <w:ind w:left="6196" w:hanging="360"/>
      </w:pPr>
      <w:rPr>
        <w:rFonts w:ascii="Courier New" w:hAnsi="Courier New" w:hint="default"/>
      </w:rPr>
    </w:lvl>
    <w:lvl w:ilvl="8" w:tplc="04050005" w:tentative="1">
      <w:start w:val="1"/>
      <w:numFmt w:val="bullet"/>
      <w:lvlText w:val=""/>
      <w:lvlJc w:val="left"/>
      <w:pPr>
        <w:ind w:left="6916" w:hanging="360"/>
      </w:pPr>
      <w:rPr>
        <w:rFonts w:ascii="Wingdings" w:hAnsi="Wingdings" w:hint="default"/>
      </w:rPr>
    </w:lvl>
  </w:abstractNum>
  <w:abstractNum w:abstractNumId="25">
    <w:nsid w:val="6C251126"/>
    <w:multiLevelType w:val="hybridMultilevel"/>
    <w:tmpl w:val="06FA239C"/>
    <w:lvl w:ilvl="0" w:tplc="041B0011">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6">
    <w:nsid w:val="6F2C2D18"/>
    <w:multiLevelType w:val="hybridMultilevel"/>
    <w:tmpl w:val="5E009510"/>
    <w:lvl w:ilvl="0" w:tplc="0D40CA7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71CD277F"/>
    <w:multiLevelType w:val="hybridMultilevel"/>
    <w:tmpl w:val="AAFC1CC0"/>
    <w:lvl w:ilvl="0" w:tplc="0D40CA7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23F317C"/>
    <w:multiLevelType w:val="hybridMultilevel"/>
    <w:tmpl w:val="2CDA18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75A57F6E"/>
    <w:multiLevelType w:val="hybridMultilevel"/>
    <w:tmpl w:val="BBB0E794"/>
    <w:lvl w:ilvl="0" w:tplc="5A62E0BA">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A4F0763"/>
    <w:multiLevelType w:val="hybridMultilevel"/>
    <w:tmpl w:val="1B305A16"/>
    <w:lvl w:ilvl="0" w:tplc="B3346608">
      <w:start w:val="1"/>
      <w:numFmt w:val="bullet"/>
      <w:lvlText w:val=""/>
      <w:lvlJc w:val="left"/>
      <w:pPr>
        <w:ind w:left="1145" w:hanging="360"/>
      </w:pPr>
      <w:rPr>
        <w:rFonts w:ascii="Symbol" w:hAnsi="Symbol" w:hint="default"/>
      </w:rPr>
    </w:lvl>
    <w:lvl w:ilvl="1" w:tplc="DDCA2D96" w:tentative="1">
      <w:start w:val="1"/>
      <w:numFmt w:val="bullet"/>
      <w:lvlText w:val="o"/>
      <w:lvlJc w:val="left"/>
      <w:pPr>
        <w:ind w:left="1865" w:hanging="360"/>
      </w:pPr>
      <w:rPr>
        <w:rFonts w:ascii="Courier New" w:hAnsi="Courier New" w:hint="default"/>
      </w:rPr>
    </w:lvl>
    <w:lvl w:ilvl="2" w:tplc="5A76C552" w:tentative="1">
      <w:start w:val="1"/>
      <w:numFmt w:val="bullet"/>
      <w:lvlText w:val=""/>
      <w:lvlJc w:val="left"/>
      <w:pPr>
        <w:ind w:left="2585" w:hanging="360"/>
      </w:pPr>
      <w:rPr>
        <w:rFonts w:ascii="Wingdings" w:hAnsi="Wingdings" w:hint="default"/>
      </w:rPr>
    </w:lvl>
    <w:lvl w:ilvl="3" w:tplc="740C80C0" w:tentative="1">
      <w:start w:val="1"/>
      <w:numFmt w:val="bullet"/>
      <w:lvlText w:val=""/>
      <w:lvlJc w:val="left"/>
      <w:pPr>
        <w:ind w:left="3305" w:hanging="360"/>
      </w:pPr>
      <w:rPr>
        <w:rFonts w:ascii="Symbol" w:hAnsi="Symbol" w:hint="default"/>
      </w:rPr>
    </w:lvl>
    <w:lvl w:ilvl="4" w:tplc="EEDACFF6" w:tentative="1">
      <w:start w:val="1"/>
      <w:numFmt w:val="bullet"/>
      <w:lvlText w:val="o"/>
      <w:lvlJc w:val="left"/>
      <w:pPr>
        <w:ind w:left="4025" w:hanging="360"/>
      </w:pPr>
      <w:rPr>
        <w:rFonts w:ascii="Courier New" w:hAnsi="Courier New" w:hint="default"/>
      </w:rPr>
    </w:lvl>
    <w:lvl w:ilvl="5" w:tplc="A628D61C" w:tentative="1">
      <w:start w:val="1"/>
      <w:numFmt w:val="bullet"/>
      <w:lvlText w:val=""/>
      <w:lvlJc w:val="left"/>
      <w:pPr>
        <w:ind w:left="4745" w:hanging="360"/>
      </w:pPr>
      <w:rPr>
        <w:rFonts w:ascii="Wingdings" w:hAnsi="Wingdings" w:hint="default"/>
      </w:rPr>
    </w:lvl>
    <w:lvl w:ilvl="6" w:tplc="85BACCBE" w:tentative="1">
      <w:start w:val="1"/>
      <w:numFmt w:val="bullet"/>
      <w:lvlText w:val=""/>
      <w:lvlJc w:val="left"/>
      <w:pPr>
        <w:ind w:left="5465" w:hanging="360"/>
      </w:pPr>
      <w:rPr>
        <w:rFonts w:ascii="Symbol" w:hAnsi="Symbol" w:hint="default"/>
      </w:rPr>
    </w:lvl>
    <w:lvl w:ilvl="7" w:tplc="332A4CEA" w:tentative="1">
      <w:start w:val="1"/>
      <w:numFmt w:val="bullet"/>
      <w:lvlText w:val="o"/>
      <w:lvlJc w:val="left"/>
      <w:pPr>
        <w:ind w:left="6185" w:hanging="360"/>
      </w:pPr>
      <w:rPr>
        <w:rFonts w:ascii="Courier New" w:hAnsi="Courier New" w:hint="default"/>
      </w:rPr>
    </w:lvl>
    <w:lvl w:ilvl="8" w:tplc="FF2E4D74" w:tentative="1">
      <w:start w:val="1"/>
      <w:numFmt w:val="bullet"/>
      <w:lvlText w:val=""/>
      <w:lvlJc w:val="left"/>
      <w:pPr>
        <w:ind w:left="6905" w:hanging="360"/>
      </w:pPr>
      <w:rPr>
        <w:rFonts w:ascii="Wingdings" w:hAnsi="Wingdings" w:hint="default"/>
      </w:rPr>
    </w:lvl>
  </w:abstractNum>
  <w:abstractNum w:abstractNumId="31">
    <w:nsid w:val="7C6625C3"/>
    <w:multiLevelType w:val="hybridMultilevel"/>
    <w:tmpl w:val="54AE26EE"/>
    <w:lvl w:ilvl="0" w:tplc="8D08CE62">
      <w:start w:val="1"/>
      <w:numFmt w:val="bullet"/>
      <w:pStyle w:val="slovanzoznam"/>
      <w:lvlText w:val=""/>
      <w:lvlJc w:val="left"/>
      <w:pPr>
        <w:ind w:left="1040" w:hanging="360"/>
      </w:pPr>
      <w:rPr>
        <w:rFonts w:ascii="Symbol" w:hAnsi="Symbol" w:hint="default"/>
      </w:rPr>
    </w:lvl>
    <w:lvl w:ilvl="1" w:tplc="041B0003">
      <w:start w:val="1"/>
      <w:numFmt w:val="bullet"/>
      <w:lvlText w:val="o"/>
      <w:lvlJc w:val="left"/>
      <w:pPr>
        <w:tabs>
          <w:tab w:val="num" w:pos="1763"/>
        </w:tabs>
        <w:ind w:left="1763" w:hanging="360"/>
      </w:pPr>
      <w:rPr>
        <w:rFonts w:ascii="Courier New" w:hAnsi="Courier New" w:hint="default"/>
      </w:rPr>
    </w:lvl>
    <w:lvl w:ilvl="2" w:tplc="041B0005">
      <w:start w:val="1"/>
      <w:numFmt w:val="bullet"/>
      <w:lvlText w:val=""/>
      <w:lvlJc w:val="left"/>
      <w:pPr>
        <w:tabs>
          <w:tab w:val="num" w:pos="2483"/>
        </w:tabs>
        <w:ind w:left="2483" w:hanging="360"/>
      </w:pPr>
      <w:rPr>
        <w:rFonts w:ascii="Wingdings" w:hAnsi="Wingdings" w:hint="default"/>
      </w:rPr>
    </w:lvl>
    <w:lvl w:ilvl="3" w:tplc="041B0001">
      <w:start w:val="1"/>
      <w:numFmt w:val="bullet"/>
      <w:lvlText w:val=""/>
      <w:lvlJc w:val="left"/>
      <w:pPr>
        <w:tabs>
          <w:tab w:val="num" w:pos="3203"/>
        </w:tabs>
        <w:ind w:left="3203" w:hanging="360"/>
      </w:pPr>
      <w:rPr>
        <w:rFonts w:ascii="Symbol" w:hAnsi="Symbol" w:hint="default"/>
      </w:rPr>
    </w:lvl>
    <w:lvl w:ilvl="4" w:tplc="041B0003">
      <w:start w:val="1"/>
      <w:numFmt w:val="bullet"/>
      <w:lvlText w:val="o"/>
      <w:lvlJc w:val="left"/>
      <w:pPr>
        <w:tabs>
          <w:tab w:val="num" w:pos="3923"/>
        </w:tabs>
        <w:ind w:left="3923" w:hanging="360"/>
      </w:pPr>
      <w:rPr>
        <w:rFonts w:ascii="Courier New" w:hAnsi="Courier New" w:hint="default"/>
      </w:rPr>
    </w:lvl>
    <w:lvl w:ilvl="5" w:tplc="041B0005">
      <w:start w:val="1"/>
      <w:numFmt w:val="bullet"/>
      <w:lvlText w:val=""/>
      <w:lvlJc w:val="left"/>
      <w:pPr>
        <w:tabs>
          <w:tab w:val="num" w:pos="4643"/>
        </w:tabs>
        <w:ind w:left="4643" w:hanging="360"/>
      </w:pPr>
      <w:rPr>
        <w:rFonts w:ascii="Wingdings" w:hAnsi="Wingdings" w:hint="default"/>
      </w:rPr>
    </w:lvl>
    <w:lvl w:ilvl="6" w:tplc="041B0001">
      <w:start w:val="1"/>
      <w:numFmt w:val="bullet"/>
      <w:lvlText w:val=""/>
      <w:lvlJc w:val="left"/>
      <w:pPr>
        <w:tabs>
          <w:tab w:val="num" w:pos="5363"/>
        </w:tabs>
        <w:ind w:left="5363" w:hanging="360"/>
      </w:pPr>
      <w:rPr>
        <w:rFonts w:ascii="Symbol" w:hAnsi="Symbol" w:hint="default"/>
      </w:rPr>
    </w:lvl>
    <w:lvl w:ilvl="7" w:tplc="041B0003">
      <w:start w:val="1"/>
      <w:numFmt w:val="bullet"/>
      <w:lvlText w:val="o"/>
      <w:lvlJc w:val="left"/>
      <w:pPr>
        <w:tabs>
          <w:tab w:val="num" w:pos="6083"/>
        </w:tabs>
        <w:ind w:left="6083" w:hanging="360"/>
      </w:pPr>
      <w:rPr>
        <w:rFonts w:ascii="Courier New" w:hAnsi="Courier New" w:hint="default"/>
      </w:rPr>
    </w:lvl>
    <w:lvl w:ilvl="8" w:tplc="041B0005">
      <w:start w:val="1"/>
      <w:numFmt w:val="bullet"/>
      <w:lvlText w:val=""/>
      <w:lvlJc w:val="left"/>
      <w:pPr>
        <w:tabs>
          <w:tab w:val="num" w:pos="6803"/>
        </w:tabs>
        <w:ind w:left="6803" w:hanging="360"/>
      </w:pPr>
      <w:rPr>
        <w:rFonts w:ascii="Wingdings" w:hAnsi="Wingdings" w:hint="default"/>
      </w:rPr>
    </w:lvl>
  </w:abstractNum>
  <w:abstractNum w:abstractNumId="32">
    <w:nsid w:val="7C7A27BA"/>
    <w:multiLevelType w:val="hybridMultilevel"/>
    <w:tmpl w:val="AF840F0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7EDE625F"/>
    <w:multiLevelType w:val="multilevel"/>
    <w:tmpl w:val="5EA2E9F2"/>
    <w:lvl w:ilvl="0">
      <w:start w:val="1"/>
      <w:numFmt w:val="decimal"/>
      <w:pStyle w:val="slovanzoznam1"/>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2"/>
  </w:num>
  <w:num w:numId="4">
    <w:abstractNumId w:val="6"/>
  </w:num>
  <w:num w:numId="5">
    <w:abstractNumId w:val="15"/>
  </w:num>
  <w:num w:numId="6">
    <w:abstractNumId w:val="24"/>
  </w:num>
  <w:num w:numId="7">
    <w:abstractNumId w:val="14"/>
  </w:num>
  <w:num w:numId="8">
    <w:abstractNumId w:val="19"/>
  </w:num>
  <w:num w:numId="9">
    <w:abstractNumId w:val="2"/>
  </w:num>
  <w:num w:numId="10">
    <w:abstractNumId w:val="26"/>
  </w:num>
  <w:num w:numId="11">
    <w:abstractNumId w:val="22"/>
  </w:num>
  <w:num w:numId="12">
    <w:abstractNumId w:val="21"/>
  </w:num>
  <w:num w:numId="13">
    <w:abstractNumId w:val="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9"/>
  </w:num>
  <w:num w:numId="16">
    <w:abstractNumId w:val="23"/>
  </w:num>
  <w:num w:numId="17">
    <w:abstractNumId w:val="20"/>
  </w:num>
  <w:num w:numId="18">
    <w:abstractNumId w:val="16"/>
  </w:num>
  <w:num w:numId="19">
    <w:abstractNumId w:val="27"/>
  </w:num>
  <w:num w:numId="20">
    <w:abstractNumId w:val="10"/>
  </w:num>
  <w:num w:numId="21">
    <w:abstractNumId w:val="0"/>
  </w:num>
  <w:num w:numId="22">
    <w:abstractNumId w:val="31"/>
  </w:num>
  <w:num w:numId="23">
    <w:abstractNumId w:val="13"/>
  </w:num>
  <w:num w:numId="24">
    <w:abstractNumId w:val="18"/>
  </w:num>
  <w:num w:numId="25">
    <w:abstractNumId w:val="3"/>
  </w:num>
  <w:num w:numId="26">
    <w:abstractNumId w:val="11"/>
  </w:num>
  <w:num w:numId="27">
    <w:abstractNumId w:val="30"/>
  </w:num>
  <w:num w:numId="28">
    <w:abstractNumId w:val="17"/>
  </w:num>
  <w:num w:numId="29">
    <w:abstractNumId w:val="5"/>
  </w:num>
  <w:num w:numId="30">
    <w:abstractNumId w:val="28"/>
  </w:num>
  <w:num w:numId="31">
    <w:abstractNumId w:val="8"/>
  </w:num>
  <w:num w:numId="32">
    <w:abstractNumId w:val="25"/>
  </w:num>
  <w:num w:numId="33">
    <w:abstractNumId w:val="32"/>
  </w:num>
  <w:num w:numId="3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17E28"/>
    <w:rsid w:val="000018EC"/>
    <w:rsid w:val="00003FE5"/>
    <w:rsid w:val="000046C2"/>
    <w:rsid w:val="00004C64"/>
    <w:rsid w:val="00005D34"/>
    <w:rsid w:val="00010745"/>
    <w:rsid w:val="00011711"/>
    <w:rsid w:val="00014F90"/>
    <w:rsid w:val="0001602C"/>
    <w:rsid w:val="00016C9C"/>
    <w:rsid w:val="0001773E"/>
    <w:rsid w:val="00025E1F"/>
    <w:rsid w:val="000307C0"/>
    <w:rsid w:val="00032C72"/>
    <w:rsid w:val="00032C75"/>
    <w:rsid w:val="0003404A"/>
    <w:rsid w:val="00041062"/>
    <w:rsid w:val="00042176"/>
    <w:rsid w:val="00042C54"/>
    <w:rsid w:val="00042CB3"/>
    <w:rsid w:val="000442E5"/>
    <w:rsid w:val="000466FB"/>
    <w:rsid w:val="00047B99"/>
    <w:rsid w:val="00050687"/>
    <w:rsid w:val="00051790"/>
    <w:rsid w:val="00051FEE"/>
    <w:rsid w:val="00053261"/>
    <w:rsid w:val="000533A4"/>
    <w:rsid w:val="000636B5"/>
    <w:rsid w:val="00065815"/>
    <w:rsid w:val="00072094"/>
    <w:rsid w:val="00073831"/>
    <w:rsid w:val="00083386"/>
    <w:rsid w:val="0008338B"/>
    <w:rsid w:val="000843C6"/>
    <w:rsid w:val="00085F09"/>
    <w:rsid w:val="000865CB"/>
    <w:rsid w:val="00091876"/>
    <w:rsid w:val="0009202B"/>
    <w:rsid w:val="00092DE0"/>
    <w:rsid w:val="00094836"/>
    <w:rsid w:val="000950D1"/>
    <w:rsid w:val="000A018A"/>
    <w:rsid w:val="000A2B9D"/>
    <w:rsid w:val="000A321E"/>
    <w:rsid w:val="000A5321"/>
    <w:rsid w:val="000A5D39"/>
    <w:rsid w:val="000A76E2"/>
    <w:rsid w:val="000A7AB2"/>
    <w:rsid w:val="000B0890"/>
    <w:rsid w:val="000B14B1"/>
    <w:rsid w:val="000B2247"/>
    <w:rsid w:val="000B2B24"/>
    <w:rsid w:val="000C05DA"/>
    <w:rsid w:val="000C0F5C"/>
    <w:rsid w:val="000C2DF7"/>
    <w:rsid w:val="000C3378"/>
    <w:rsid w:val="000D336B"/>
    <w:rsid w:val="000D4A2A"/>
    <w:rsid w:val="000D61B3"/>
    <w:rsid w:val="000D7DC2"/>
    <w:rsid w:val="000E4F2C"/>
    <w:rsid w:val="000E7275"/>
    <w:rsid w:val="000F1472"/>
    <w:rsid w:val="000F227E"/>
    <w:rsid w:val="000F2E63"/>
    <w:rsid w:val="000F3E65"/>
    <w:rsid w:val="000F57B6"/>
    <w:rsid w:val="000F7A6E"/>
    <w:rsid w:val="00100612"/>
    <w:rsid w:val="00102447"/>
    <w:rsid w:val="00102F28"/>
    <w:rsid w:val="00103307"/>
    <w:rsid w:val="00104957"/>
    <w:rsid w:val="00106112"/>
    <w:rsid w:val="00106FAE"/>
    <w:rsid w:val="00107E3D"/>
    <w:rsid w:val="001100B5"/>
    <w:rsid w:val="0011273D"/>
    <w:rsid w:val="0011791F"/>
    <w:rsid w:val="001213E3"/>
    <w:rsid w:val="00121CF6"/>
    <w:rsid w:val="00124EC3"/>
    <w:rsid w:val="00127CC5"/>
    <w:rsid w:val="00134206"/>
    <w:rsid w:val="00142BFD"/>
    <w:rsid w:val="001444F5"/>
    <w:rsid w:val="00150479"/>
    <w:rsid w:val="00152655"/>
    <w:rsid w:val="001529B6"/>
    <w:rsid w:val="00152C8E"/>
    <w:rsid w:val="00160EEF"/>
    <w:rsid w:val="00162B89"/>
    <w:rsid w:val="001725D7"/>
    <w:rsid w:val="0017494B"/>
    <w:rsid w:val="00174ACB"/>
    <w:rsid w:val="00177912"/>
    <w:rsid w:val="001813F3"/>
    <w:rsid w:val="00183985"/>
    <w:rsid w:val="00184472"/>
    <w:rsid w:val="00185301"/>
    <w:rsid w:val="00185680"/>
    <w:rsid w:val="00185EA1"/>
    <w:rsid w:val="00187341"/>
    <w:rsid w:val="00192B0E"/>
    <w:rsid w:val="00192D54"/>
    <w:rsid w:val="00193B38"/>
    <w:rsid w:val="001A1182"/>
    <w:rsid w:val="001A15D0"/>
    <w:rsid w:val="001A3CEF"/>
    <w:rsid w:val="001A4A75"/>
    <w:rsid w:val="001A6A03"/>
    <w:rsid w:val="001A7114"/>
    <w:rsid w:val="001B10A0"/>
    <w:rsid w:val="001B3D34"/>
    <w:rsid w:val="001B3D76"/>
    <w:rsid w:val="001B44BC"/>
    <w:rsid w:val="001B461D"/>
    <w:rsid w:val="001B5724"/>
    <w:rsid w:val="001B7B25"/>
    <w:rsid w:val="001C7D4E"/>
    <w:rsid w:val="001D519E"/>
    <w:rsid w:val="001D6703"/>
    <w:rsid w:val="001E5057"/>
    <w:rsid w:val="001E5797"/>
    <w:rsid w:val="001E72AB"/>
    <w:rsid w:val="001F0FC2"/>
    <w:rsid w:val="001F4825"/>
    <w:rsid w:val="001F5EE0"/>
    <w:rsid w:val="001F672C"/>
    <w:rsid w:val="001F67BB"/>
    <w:rsid w:val="00200136"/>
    <w:rsid w:val="00201DAE"/>
    <w:rsid w:val="0020469F"/>
    <w:rsid w:val="0020720D"/>
    <w:rsid w:val="00211E7F"/>
    <w:rsid w:val="00212F87"/>
    <w:rsid w:val="002143EA"/>
    <w:rsid w:val="00216EFB"/>
    <w:rsid w:val="0022074D"/>
    <w:rsid w:val="00221247"/>
    <w:rsid w:val="002249D5"/>
    <w:rsid w:val="0023238A"/>
    <w:rsid w:val="00232DF3"/>
    <w:rsid w:val="0024008A"/>
    <w:rsid w:val="00241AD0"/>
    <w:rsid w:val="00242127"/>
    <w:rsid w:val="002422A9"/>
    <w:rsid w:val="00245968"/>
    <w:rsid w:val="00251D76"/>
    <w:rsid w:val="00254216"/>
    <w:rsid w:val="00256D25"/>
    <w:rsid w:val="00257401"/>
    <w:rsid w:val="00260446"/>
    <w:rsid w:val="00260A87"/>
    <w:rsid w:val="002633E2"/>
    <w:rsid w:val="002638CC"/>
    <w:rsid w:val="002722F4"/>
    <w:rsid w:val="0027246E"/>
    <w:rsid w:val="00276062"/>
    <w:rsid w:val="00276C36"/>
    <w:rsid w:val="002777B3"/>
    <w:rsid w:val="00280AC4"/>
    <w:rsid w:val="002819E1"/>
    <w:rsid w:val="00284331"/>
    <w:rsid w:val="00284F46"/>
    <w:rsid w:val="00285E11"/>
    <w:rsid w:val="0029740F"/>
    <w:rsid w:val="002A2AE3"/>
    <w:rsid w:val="002A335E"/>
    <w:rsid w:val="002A4D46"/>
    <w:rsid w:val="002B7EDD"/>
    <w:rsid w:val="002C18BF"/>
    <w:rsid w:val="002C393C"/>
    <w:rsid w:val="002C3F05"/>
    <w:rsid w:val="002C43AD"/>
    <w:rsid w:val="002C655A"/>
    <w:rsid w:val="002C7E4F"/>
    <w:rsid w:val="002D0CC9"/>
    <w:rsid w:val="002D0EC0"/>
    <w:rsid w:val="002D1E33"/>
    <w:rsid w:val="002D4805"/>
    <w:rsid w:val="002D5727"/>
    <w:rsid w:val="002D5FED"/>
    <w:rsid w:val="002D6173"/>
    <w:rsid w:val="002D751F"/>
    <w:rsid w:val="002E140B"/>
    <w:rsid w:val="002E2C07"/>
    <w:rsid w:val="002E4FEA"/>
    <w:rsid w:val="002F1181"/>
    <w:rsid w:val="002F1C98"/>
    <w:rsid w:val="002F4565"/>
    <w:rsid w:val="002F50C8"/>
    <w:rsid w:val="002F7E18"/>
    <w:rsid w:val="00300250"/>
    <w:rsid w:val="00300CBB"/>
    <w:rsid w:val="00302C6E"/>
    <w:rsid w:val="00302E66"/>
    <w:rsid w:val="003035FF"/>
    <w:rsid w:val="0030366E"/>
    <w:rsid w:val="00305396"/>
    <w:rsid w:val="003055FC"/>
    <w:rsid w:val="003101A8"/>
    <w:rsid w:val="003108E8"/>
    <w:rsid w:val="003113D4"/>
    <w:rsid w:val="00312952"/>
    <w:rsid w:val="00312E3C"/>
    <w:rsid w:val="00315677"/>
    <w:rsid w:val="003171F5"/>
    <w:rsid w:val="0032289D"/>
    <w:rsid w:val="00322A61"/>
    <w:rsid w:val="00323923"/>
    <w:rsid w:val="00324152"/>
    <w:rsid w:val="003278DD"/>
    <w:rsid w:val="003300E1"/>
    <w:rsid w:val="003302CB"/>
    <w:rsid w:val="00330962"/>
    <w:rsid w:val="0033125E"/>
    <w:rsid w:val="003315E2"/>
    <w:rsid w:val="00333E12"/>
    <w:rsid w:val="00334C00"/>
    <w:rsid w:val="003363E1"/>
    <w:rsid w:val="00337F5E"/>
    <w:rsid w:val="003445CF"/>
    <w:rsid w:val="00347611"/>
    <w:rsid w:val="00350F94"/>
    <w:rsid w:val="00351453"/>
    <w:rsid w:val="00351D82"/>
    <w:rsid w:val="003569B3"/>
    <w:rsid w:val="0036307A"/>
    <w:rsid w:val="0036341D"/>
    <w:rsid w:val="003639F2"/>
    <w:rsid w:val="00363E05"/>
    <w:rsid w:val="003654F1"/>
    <w:rsid w:val="00366EDE"/>
    <w:rsid w:val="003672DD"/>
    <w:rsid w:val="0037138B"/>
    <w:rsid w:val="003717EF"/>
    <w:rsid w:val="003763BE"/>
    <w:rsid w:val="00382C8D"/>
    <w:rsid w:val="0038554F"/>
    <w:rsid w:val="00386F67"/>
    <w:rsid w:val="00387A20"/>
    <w:rsid w:val="00391B41"/>
    <w:rsid w:val="003936A7"/>
    <w:rsid w:val="00393AF5"/>
    <w:rsid w:val="00396029"/>
    <w:rsid w:val="003A071B"/>
    <w:rsid w:val="003A541B"/>
    <w:rsid w:val="003A5709"/>
    <w:rsid w:val="003B0F2F"/>
    <w:rsid w:val="003B11A1"/>
    <w:rsid w:val="003B3DD9"/>
    <w:rsid w:val="003B4B17"/>
    <w:rsid w:val="003B580E"/>
    <w:rsid w:val="003B5FAE"/>
    <w:rsid w:val="003C3E15"/>
    <w:rsid w:val="003C3E3F"/>
    <w:rsid w:val="003D0135"/>
    <w:rsid w:val="003D24C2"/>
    <w:rsid w:val="003D2AC1"/>
    <w:rsid w:val="003D5E83"/>
    <w:rsid w:val="003D60D2"/>
    <w:rsid w:val="003D7CE8"/>
    <w:rsid w:val="003E3A06"/>
    <w:rsid w:val="003E463D"/>
    <w:rsid w:val="003F7080"/>
    <w:rsid w:val="004001D1"/>
    <w:rsid w:val="0040040C"/>
    <w:rsid w:val="0040098F"/>
    <w:rsid w:val="0040309D"/>
    <w:rsid w:val="0040324D"/>
    <w:rsid w:val="00406047"/>
    <w:rsid w:val="004067B2"/>
    <w:rsid w:val="0041566B"/>
    <w:rsid w:val="004253D8"/>
    <w:rsid w:val="00426353"/>
    <w:rsid w:val="0042703B"/>
    <w:rsid w:val="004305B9"/>
    <w:rsid w:val="00437215"/>
    <w:rsid w:val="00440979"/>
    <w:rsid w:val="00441EB7"/>
    <w:rsid w:val="00443ACD"/>
    <w:rsid w:val="004442B6"/>
    <w:rsid w:val="00447251"/>
    <w:rsid w:val="00454B0C"/>
    <w:rsid w:val="00455524"/>
    <w:rsid w:val="004566F5"/>
    <w:rsid w:val="00456DFF"/>
    <w:rsid w:val="00456EEB"/>
    <w:rsid w:val="00460276"/>
    <w:rsid w:val="00461DFF"/>
    <w:rsid w:val="00462419"/>
    <w:rsid w:val="00465CDE"/>
    <w:rsid w:val="00470462"/>
    <w:rsid w:val="004714FD"/>
    <w:rsid w:val="00471E6A"/>
    <w:rsid w:val="0047684E"/>
    <w:rsid w:val="00480F52"/>
    <w:rsid w:val="004845A5"/>
    <w:rsid w:val="00485958"/>
    <w:rsid w:val="00485978"/>
    <w:rsid w:val="00485EAD"/>
    <w:rsid w:val="0049441D"/>
    <w:rsid w:val="00495AA1"/>
    <w:rsid w:val="004A55C0"/>
    <w:rsid w:val="004A58EE"/>
    <w:rsid w:val="004B5A92"/>
    <w:rsid w:val="004B70A7"/>
    <w:rsid w:val="004C066A"/>
    <w:rsid w:val="004C1CA9"/>
    <w:rsid w:val="004D07DC"/>
    <w:rsid w:val="004D0FFA"/>
    <w:rsid w:val="004D4403"/>
    <w:rsid w:val="004D4E3A"/>
    <w:rsid w:val="004E0A35"/>
    <w:rsid w:val="004E44C6"/>
    <w:rsid w:val="004E4B96"/>
    <w:rsid w:val="004E71B9"/>
    <w:rsid w:val="004F3187"/>
    <w:rsid w:val="004F5504"/>
    <w:rsid w:val="004F5BC9"/>
    <w:rsid w:val="004F6CA3"/>
    <w:rsid w:val="005102F4"/>
    <w:rsid w:val="00511375"/>
    <w:rsid w:val="00512E4A"/>
    <w:rsid w:val="00515955"/>
    <w:rsid w:val="005255F6"/>
    <w:rsid w:val="005259DF"/>
    <w:rsid w:val="005316DD"/>
    <w:rsid w:val="00531825"/>
    <w:rsid w:val="00531BDD"/>
    <w:rsid w:val="00531DAD"/>
    <w:rsid w:val="00531F24"/>
    <w:rsid w:val="00536D28"/>
    <w:rsid w:val="00536D43"/>
    <w:rsid w:val="00540757"/>
    <w:rsid w:val="00545A2A"/>
    <w:rsid w:val="00547814"/>
    <w:rsid w:val="0055142F"/>
    <w:rsid w:val="00551948"/>
    <w:rsid w:val="00551BE6"/>
    <w:rsid w:val="00552489"/>
    <w:rsid w:val="00552CB6"/>
    <w:rsid w:val="0055470E"/>
    <w:rsid w:val="00554C13"/>
    <w:rsid w:val="00555720"/>
    <w:rsid w:val="0056051A"/>
    <w:rsid w:val="0056070A"/>
    <w:rsid w:val="00562F5C"/>
    <w:rsid w:val="00563C21"/>
    <w:rsid w:val="00564326"/>
    <w:rsid w:val="00570D87"/>
    <w:rsid w:val="00576588"/>
    <w:rsid w:val="00583A5C"/>
    <w:rsid w:val="005852CF"/>
    <w:rsid w:val="005865CF"/>
    <w:rsid w:val="0058733A"/>
    <w:rsid w:val="005925B6"/>
    <w:rsid w:val="0059291C"/>
    <w:rsid w:val="005971F9"/>
    <w:rsid w:val="005A2D6B"/>
    <w:rsid w:val="005A34C9"/>
    <w:rsid w:val="005A34D6"/>
    <w:rsid w:val="005B1816"/>
    <w:rsid w:val="005B29EB"/>
    <w:rsid w:val="005B3076"/>
    <w:rsid w:val="005B646D"/>
    <w:rsid w:val="005C2A75"/>
    <w:rsid w:val="005C41AD"/>
    <w:rsid w:val="005C43EF"/>
    <w:rsid w:val="005C529C"/>
    <w:rsid w:val="005D2257"/>
    <w:rsid w:val="005D2BD3"/>
    <w:rsid w:val="005D34A6"/>
    <w:rsid w:val="005D49AD"/>
    <w:rsid w:val="005D7AA0"/>
    <w:rsid w:val="005E06C4"/>
    <w:rsid w:val="005E0BBF"/>
    <w:rsid w:val="005E4662"/>
    <w:rsid w:val="005E63E1"/>
    <w:rsid w:val="005F256C"/>
    <w:rsid w:val="005F28E5"/>
    <w:rsid w:val="005F4B95"/>
    <w:rsid w:val="005F4EED"/>
    <w:rsid w:val="005F60EE"/>
    <w:rsid w:val="005F67D3"/>
    <w:rsid w:val="00601598"/>
    <w:rsid w:val="0060165D"/>
    <w:rsid w:val="0060300F"/>
    <w:rsid w:val="00603E85"/>
    <w:rsid w:val="00607111"/>
    <w:rsid w:val="006079B2"/>
    <w:rsid w:val="00613E5E"/>
    <w:rsid w:val="00617E28"/>
    <w:rsid w:val="00625C5C"/>
    <w:rsid w:val="0063077B"/>
    <w:rsid w:val="006309F6"/>
    <w:rsid w:val="006317E1"/>
    <w:rsid w:val="006361A7"/>
    <w:rsid w:val="00636214"/>
    <w:rsid w:val="006378E6"/>
    <w:rsid w:val="00641B86"/>
    <w:rsid w:val="00644606"/>
    <w:rsid w:val="00644DAB"/>
    <w:rsid w:val="006466F3"/>
    <w:rsid w:val="00647FD1"/>
    <w:rsid w:val="006514D4"/>
    <w:rsid w:val="00657CCE"/>
    <w:rsid w:val="00660410"/>
    <w:rsid w:val="00664159"/>
    <w:rsid w:val="006652F2"/>
    <w:rsid w:val="00667B3A"/>
    <w:rsid w:val="00667F39"/>
    <w:rsid w:val="00675226"/>
    <w:rsid w:val="00680DE7"/>
    <w:rsid w:val="0068225E"/>
    <w:rsid w:val="00682360"/>
    <w:rsid w:val="006823E1"/>
    <w:rsid w:val="00683D83"/>
    <w:rsid w:val="00685461"/>
    <w:rsid w:val="0068792A"/>
    <w:rsid w:val="00687F20"/>
    <w:rsid w:val="006904AA"/>
    <w:rsid w:val="00692814"/>
    <w:rsid w:val="00692B7F"/>
    <w:rsid w:val="00696EDA"/>
    <w:rsid w:val="006A0A6C"/>
    <w:rsid w:val="006A5271"/>
    <w:rsid w:val="006A52C8"/>
    <w:rsid w:val="006B0BE7"/>
    <w:rsid w:val="006B267A"/>
    <w:rsid w:val="006B3531"/>
    <w:rsid w:val="006B551A"/>
    <w:rsid w:val="006B614D"/>
    <w:rsid w:val="006C141B"/>
    <w:rsid w:val="006C179D"/>
    <w:rsid w:val="006C4586"/>
    <w:rsid w:val="006C5164"/>
    <w:rsid w:val="006C6151"/>
    <w:rsid w:val="006C6BD5"/>
    <w:rsid w:val="006D0347"/>
    <w:rsid w:val="006D04FE"/>
    <w:rsid w:val="006D207D"/>
    <w:rsid w:val="006D21B1"/>
    <w:rsid w:val="006D4555"/>
    <w:rsid w:val="006E140C"/>
    <w:rsid w:val="006E20B4"/>
    <w:rsid w:val="006E384C"/>
    <w:rsid w:val="006E442B"/>
    <w:rsid w:val="006E449C"/>
    <w:rsid w:val="006F0777"/>
    <w:rsid w:val="006F07D4"/>
    <w:rsid w:val="006F74BF"/>
    <w:rsid w:val="00700F33"/>
    <w:rsid w:val="00702604"/>
    <w:rsid w:val="007063F6"/>
    <w:rsid w:val="00706C26"/>
    <w:rsid w:val="00707CF6"/>
    <w:rsid w:val="00715E5C"/>
    <w:rsid w:val="00716185"/>
    <w:rsid w:val="00720115"/>
    <w:rsid w:val="00720522"/>
    <w:rsid w:val="00723728"/>
    <w:rsid w:val="00724526"/>
    <w:rsid w:val="007247AF"/>
    <w:rsid w:val="00724FC8"/>
    <w:rsid w:val="00730C0E"/>
    <w:rsid w:val="007312B9"/>
    <w:rsid w:val="0073152F"/>
    <w:rsid w:val="00733593"/>
    <w:rsid w:val="00733763"/>
    <w:rsid w:val="007344C5"/>
    <w:rsid w:val="00734A67"/>
    <w:rsid w:val="0073743B"/>
    <w:rsid w:val="007404A4"/>
    <w:rsid w:val="00740B16"/>
    <w:rsid w:val="00745473"/>
    <w:rsid w:val="00747050"/>
    <w:rsid w:val="0075058A"/>
    <w:rsid w:val="00752012"/>
    <w:rsid w:val="0075387F"/>
    <w:rsid w:val="00753BFB"/>
    <w:rsid w:val="00754C28"/>
    <w:rsid w:val="0075577C"/>
    <w:rsid w:val="007614D7"/>
    <w:rsid w:val="00762764"/>
    <w:rsid w:val="00767FAD"/>
    <w:rsid w:val="007744A7"/>
    <w:rsid w:val="00776DB7"/>
    <w:rsid w:val="0078145A"/>
    <w:rsid w:val="00781F65"/>
    <w:rsid w:val="007830F8"/>
    <w:rsid w:val="00785416"/>
    <w:rsid w:val="007916B9"/>
    <w:rsid w:val="00797582"/>
    <w:rsid w:val="007A2F30"/>
    <w:rsid w:val="007A6080"/>
    <w:rsid w:val="007A63F2"/>
    <w:rsid w:val="007B158C"/>
    <w:rsid w:val="007B2DB4"/>
    <w:rsid w:val="007B35F4"/>
    <w:rsid w:val="007B3826"/>
    <w:rsid w:val="007B44DE"/>
    <w:rsid w:val="007B629F"/>
    <w:rsid w:val="007B7FFB"/>
    <w:rsid w:val="007C0851"/>
    <w:rsid w:val="007C0BC5"/>
    <w:rsid w:val="007C260E"/>
    <w:rsid w:val="007D1278"/>
    <w:rsid w:val="007D37B8"/>
    <w:rsid w:val="007D53BE"/>
    <w:rsid w:val="007D72FB"/>
    <w:rsid w:val="007E0CB9"/>
    <w:rsid w:val="007E2F6A"/>
    <w:rsid w:val="007E31AB"/>
    <w:rsid w:val="007E392B"/>
    <w:rsid w:val="007E430F"/>
    <w:rsid w:val="007E5116"/>
    <w:rsid w:val="007F1374"/>
    <w:rsid w:val="007F48FD"/>
    <w:rsid w:val="007F5F76"/>
    <w:rsid w:val="007F625C"/>
    <w:rsid w:val="007F6A71"/>
    <w:rsid w:val="007F7702"/>
    <w:rsid w:val="00800325"/>
    <w:rsid w:val="0080085E"/>
    <w:rsid w:val="008015D7"/>
    <w:rsid w:val="0080183F"/>
    <w:rsid w:val="008043D7"/>
    <w:rsid w:val="00807131"/>
    <w:rsid w:val="00807FFA"/>
    <w:rsid w:val="0081257F"/>
    <w:rsid w:val="00812891"/>
    <w:rsid w:val="00816399"/>
    <w:rsid w:val="0081679B"/>
    <w:rsid w:val="00817F67"/>
    <w:rsid w:val="00824246"/>
    <w:rsid w:val="00825DF8"/>
    <w:rsid w:val="0082661F"/>
    <w:rsid w:val="008271D0"/>
    <w:rsid w:val="00830998"/>
    <w:rsid w:val="00833513"/>
    <w:rsid w:val="00834E5B"/>
    <w:rsid w:val="00836DD3"/>
    <w:rsid w:val="00847160"/>
    <w:rsid w:val="00847185"/>
    <w:rsid w:val="00850478"/>
    <w:rsid w:val="00851C3C"/>
    <w:rsid w:val="00857BBE"/>
    <w:rsid w:val="00860E8B"/>
    <w:rsid w:val="00861475"/>
    <w:rsid w:val="00861F4C"/>
    <w:rsid w:val="00864759"/>
    <w:rsid w:val="00870998"/>
    <w:rsid w:val="008711C9"/>
    <w:rsid w:val="00874104"/>
    <w:rsid w:val="008774DF"/>
    <w:rsid w:val="008820FE"/>
    <w:rsid w:val="0088654E"/>
    <w:rsid w:val="00886D69"/>
    <w:rsid w:val="0089069E"/>
    <w:rsid w:val="00890BB2"/>
    <w:rsid w:val="00891D7F"/>
    <w:rsid w:val="00892469"/>
    <w:rsid w:val="008933A5"/>
    <w:rsid w:val="00897DD4"/>
    <w:rsid w:val="008A1B8D"/>
    <w:rsid w:val="008A560C"/>
    <w:rsid w:val="008A64D4"/>
    <w:rsid w:val="008A7C4B"/>
    <w:rsid w:val="008B1945"/>
    <w:rsid w:val="008B2AE0"/>
    <w:rsid w:val="008B2D0B"/>
    <w:rsid w:val="008B4D1C"/>
    <w:rsid w:val="008B6C73"/>
    <w:rsid w:val="008C008D"/>
    <w:rsid w:val="008C06CA"/>
    <w:rsid w:val="008C085D"/>
    <w:rsid w:val="008C0B5C"/>
    <w:rsid w:val="008C6999"/>
    <w:rsid w:val="008C74C3"/>
    <w:rsid w:val="008D1C25"/>
    <w:rsid w:val="008D6A15"/>
    <w:rsid w:val="008E29F1"/>
    <w:rsid w:val="008E4146"/>
    <w:rsid w:val="008E7F46"/>
    <w:rsid w:val="008F17FC"/>
    <w:rsid w:val="008F20A0"/>
    <w:rsid w:val="008F3493"/>
    <w:rsid w:val="008F3E24"/>
    <w:rsid w:val="008F4C0F"/>
    <w:rsid w:val="008F53A4"/>
    <w:rsid w:val="008F72B2"/>
    <w:rsid w:val="00901E90"/>
    <w:rsid w:val="009040C5"/>
    <w:rsid w:val="00910539"/>
    <w:rsid w:val="00912828"/>
    <w:rsid w:val="0091283B"/>
    <w:rsid w:val="00915058"/>
    <w:rsid w:val="009152EF"/>
    <w:rsid w:val="009158FB"/>
    <w:rsid w:val="0092103A"/>
    <w:rsid w:val="00934C29"/>
    <w:rsid w:val="00935900"/>
    <w:rsid w:val="00937A2B"/>
    <w:rsid w:val="00940F15"/>
    <w:rsid w:val="0094116F"/>
    <w:rsid w:val="009421FC"/>
    <w:rsid w:val="00947EC7"/>
    <w:rsid w:val="00953414"/>
    <w:rsid w:val="009635ED"/>
    <w:rsid w:val="00964755"/>
    <w:rsid w:val="00966DEC"/>
    <w:rsid w:val="00970B06"/>
    <w:rsid w:val="009720F8"/>
    <w:rsid w:val="00973EE4"/>
    <w:rsid w:val="00975D48"/>
    <w:rsid w:val="00981C38"/>
    <w:rsid w:val="00984CD0"/>
    <w:rsid w:val="0098704C"/>
    <w:rsid w:val="00992835"/>
    <w:rsid w:val="009928B2"/>
    <w:rsid w:val="00993E08"/>
    <w:rsid w:val="009976CA"/>
    <w:rsid w:val="00997B9E"/>
    <w:rsid w:val="009A1D61"/>
    <w:rsid w:val="009A4C67"/>
    <w:rsid w:val="009A6B10"/>
    <w:rsid w:val="009A6C3B"/>
    <w:rsid w:val="009A7CE7"/>
    <w:rsid w:val="009B1C80"/>
    <w:rsid w:val="009B2AFB"/>
    <w:rsid w:val="009B2DBA"/>
    <w:rsid w:val="009B36BA"/>
    <w:rsid w:val="009B7158"/>
    <w:rsid w:val="009C08AD"/>
    <w:rsid w:val="009C2543"/>
    <w:rsid w:val="009C3C83"/>
    <w:rsid w:val="009C428B"/>
    <w:rsid w:val="009C4832"/>
    <w:rsid w:val="009C5C7E"/>
    <w:rsid w:val="009D3811"/>
    <w:rsid w:val="009E2C41"/>
    <w:rsid w:val="009E3978"/>
    <w:rsid w:val="009E4748"/>
    <w:rsid w:val="009E59FC"/>
    <w:rsid w:val="009F1C08"/>
    <w:rsid w:val="009F228A"/>
    <w:rsid w:val="009F405F"/>
    <w:rsid w:val="009F6400"/>
    <w:rsid w:val="009F6FF5"/>
    <w:rsid w:val="00A046FF"/>
    <w:rsid w:val="00A05CB3"/>
    <w:rsid w:val="00A07396"/>
    <w:rsid w:val="00A1180F"/>
    <w:rsid w:val="00A1300A"/>
    <w:rsid w:val="00A1361F"/>
    <w:rsid w:val="00A1442D"/>
    <w:rsid w:val="00A1562D"/>
    <w:rsid w:val="00A16DF2"/>
    <w:rsid w:val="00A2014C"/>
    <w:rsid w:val="00A238C0"/>
    <w:rsid w:val="00A25527"/>
    <w:rsid w:val="00A2566D"/>
    <w:rsid w:val="00A25A5C"/>
    <w:rsid w:val="00A2610F"/>
    <w:rsid w:val="00A304DD"/>
    <w:rsid w:val="00A34243"/>
    <w:rsid w:val="00A3794D"/>
    <w:rsid w:val="00A42EC7"/>
    <w:rsid w:val="00A44018"/>
    <w:rsid w:val="00A4520A"/>
    <w:rsid w:val="00A4609D"/>
    <w:rsid w:val="00A525DC"/>
    <w:rsid w:val="00A52C21"/>
    <w:rsid w:val="00A52D9F"/>
    <w:rsid w:val="00A54218"/>
    <w:rsid w:val="00A54976"/>
    <w:rsid w:val="00A55311"/>
    <w:rsid w:val="00A5690A"/>
    <w:rsid w:val="00A61E93"/>
    <w:rsid w:val="00A634E7"/>
    <w:rsid w:val="00A65C99"/>
    <w:rsid w:val="00A6761B"/>
    <w:rsid w:val="00A71BD9"/>
    <w:rsid w:val="00A72BCF"/>
    <w:rsid w:val="00A732D8"/>
    <w:rsid w:val="00A7554B"/>
    <w:rsid w:val="00A80836"/>
    <w:rsid w:val="00A8175B"/>
    <w:rsid w:val="00A81858"/>
    <w:rsid w:val="00A85E97"/>
    <w:rsid w:val="00AA2416"/>
    <w:rsid w:val="00AA70A9"/>
    <w:rsid w:val="00AB2B30"/>
    <w:rsid w:val="00AB6ADF"/>
    <w:rsid w:val="00AC03F1"/>
    <w:rsid w:val="00AC17C2"/>
    <w:rsid w:val="00AC4B8B"/>
    <w:rsid w:val="00AC6AAD"/>
    <w:rsid w:val="00AC7893"/>
    <w:rsid w:val="00AD7526"/>
    <w:rsid w:val="00AE1C36"/>
    <w:rsid w:val="00AF4A14"/>
    <w:rsid w:val="00AF5443"/>
    <w:rsid w:val="00AF6A6B"/>
    <w:rsid w:val="00B0081E"/>
    <w:rsid w:val="00B00F98"/>
    <w:rsid w:val="00B010D1"/>
    <w:rsid w:val="00B07375"/>
    <w:rsid w:val="00B10709"/>
    <w:rsid w:val="00B10B98"/>
    <w:rsid w:val="00B15594"/>
    <w:rsid w:val="00B169F6"/>
    <w:rsid w:val="00B2030D"/>
    <w:rsid w:val="00B22DFC"/>
    <w:rsid w:val="00B22F0B"/>
    <w:rsid w:val="00B248E9"/>
    <w:rsid w:val="00B27AF9"/>
    <w:rsid w:val="00B30816"/>
    <w:rsid w:val="00B30901"/>
    <w:rsid w:val="00B326A1"/>
    <w:rsid w:val="00B32930"/>
    <w:rsid w:val="00B32D30"/>
    <w:rsid w:val="00B340B9"/>
    <w:rsid w:val="00B34AE2"/>
    <w:rsid w:val="00B34BE7"/>
    <w:rsid w:val="00B3507A"/>
    <w:rsid w:val="00B36286"/>
    <w:rsid w:val="00B3744F"/>
    <w:rsid w:val="00B40680"/>
    <w:rsid w:val="00B4076E"/>
    <w:rsid w:val="00B4161F"/>
    <w:rsid w:val="00B425C1"/>
    <w:rsid w:val="00B42BAC"/>
    <w:rsid w:val="00B42FEE"/>
    <w:rsid w:val="00B43E0A"/>
    <w:rsid w:val="00B443D1"/>
    <w:rsid w:val="00B45CB8"/>
    <w:rsid w:val="00B47C13"/>
    <w:rsid w:val="00B50A67"/>
    <w:rsid w:val="00B50D23"/>
    <w:rsid w:val="00B511C1"/>
    <w:rsid w:val="00B518CE"/>
    <w:rsid w:val="00B5359E"/>
    <w:rsid w:val="00B5384C"/>
    <w:rsid w:val="00B53FC5"/>
    <w:rsid w:val="00B54CA9"/>
    <w:rsid w:val="00B55E47"/>
    <w:rsid w:val="00B56548"/>
    <w:rsid w:val="00B607A1"/>
    <w:rsid w:val="00B637AE"/>
    <w:rsid w:val="00B6612D"/>
    <w:rsid w:val="00B672D3"/>
    <w:rsid w:val="00B67EA3"/>
    <w:rsid w:val="00B708C2"/>
    <w:rsid w:val="00B72470"/>
    <w:rsid w:val="00B72C2F"/>
    <w:rsid w:val="00B75FB2"/>
    <w:rsid w:val="00B77CFC"/>
    <w:rsid w:val="00B81065"/>
    <w:rsid w:val="00B8252D"/>
    <w:rsid w:val="00B8337C"/>
    <w:rsid w:val="00B9469C"/>
    <w:rsid w:val="00B94DF1"/>
    <w:rsid w:val="00BA0C04"/>
    <w:rsid w:val="00BA40BD"/>
    <w:rsid w:val="00BA52C7"/>
    <w:rsid w:val="00BB4AE4"/>
    <w:rsid w:val="00BC1F2A"/>
    <w:rsid w:val="00BC357F"/>
    <w:rsid w:val="00BC5425"/>
    <w:rsid w:val="00BC5C59"/>
    <w:rsid w:val="00BC7D5C"/>
    <w:rsid w:val="00BD6D19"/>
    <w:rsid w:val="00BD7468"/>
    <w:rsid w:val="00BE1664"/>
    <w:rsid w:val="00BE78D9"/>
    <w:rsid w:val="00BF08C3"/>
    <w:rsid w:val="00C00796"/>
    <w:rsid w:val="00C007C9"/>
    <w:rsid w:val="00C01C6F"/>
    <w:rsid w:val="00C0333F"/>
    <w:rsid w:val="00C034C0"/>
    <w:rsid w:val="00C03B54"/>
    <w:rsid w:val="00C05229"/>
    <w:rsid w:val="00C116C5"/>
    <w:rsid w:val="00C126D6"/>
    <w:rsid w:val="00C127B4"/>
    <w:rsid w:val="00C16C16"/>
    <w:rsid w:val="00C20A8E"/>
    <w:rsid w:val="00C2184D"/>
    <w:rsid w:val="00C331AD"/>
    <w:rsid w:val="00C42BA4"/>
    <w:rsid w:val="00C4474B"/>
    <w:rsid w:val="00C44D28"/>
    <w:rsid w:val="00C45E16"/>
    <w:rsid w:val="00C50379"/>
    <w:rsid w:val="00C54C24"/>
    <w:rsid w:val="00C56186"/>
    <w:rsid w:val="00C6165D"/>
    <w:rsid w:val="00C65FAD"/>
    <w:rsid w:val="00C6663F"/>
    <w:rsid w:val="00C74C1D"/>
    <w:rsid w:val="00C76338"/>
    <w:rsid w:val="00C8018B"/>
    <w:rsid w:val="00C81DEC"/>
    <w:rsid w:val="00C821D3"/>
    <w:rsid w:val="00C87D77"/>
    <w:rsid w:val="00C9106C"/>
    <w:rsid w:val="00C91BCE"/>
    <w:rsid w:val="00C930DF"/>
    <w:rsid w:val="00C94238"/>
    <w:rsid w:val="00C947AA"/>
    <w:rsid w:val="00C95EFA"/>
    <w:rsid w:val="00C978A3"/>
    <w:rsid w:val="00CA2D7B"/>
    <w:rsid w:val="00CA3F34"/>
    <w:rsid w:val="00CA5C0B"/>
    <w:rsid w:val="00CA69CB"/>
    <w:rsid w:val="00CA6F33"/>
    <w:rsid w:val="00CB1D8F"/>
    <w:rsid w:val="00CB3A3F"/>
    <w:rsid w:val="00CB5F71"/>
    <w:rsid w:val="00CC16E0"/>
    <w:rsid w:val="00CC53B5"/>
    <w:rsid w:val="00CD0766"/>
    <w:rsid w:val="00CD22B3"/>
    <w:rsid w:val="00CD380D"/>
    <w:rsid w:val="00CD3A19"/>
    <w:rsid w:val="00CD63B9"/>
    <w:rsid w:val="00CD78A9"/>
    <w:rsid w:val="00CD79F4"/>
    <w:rsid w:val="00CD7E1B"/>
    <w:rsid w:val="00CD7EB9"/>
    <w:rsid w:val="00CE002E"/>
    <w:rsid w:val="00CE11D3"/>
    <w:rsid w:val="00CF3593"/>
    <w:rsid w:val="00CF52C0"/>
    <w:rsid w:val="00D03581"/>
    <w:rsid w:val="00D0495E"/>
    <w:rsid w:val="00D0604C"/>
    <w:rsid w:val="00D1230F"/>
    <w:rsid w:val="00D143D9"/>
    <w:rsid w:val="00D153C5"/>
    <w:rsid w:val="00D1609C"/>
    <w:rsid w:val="00D17AB9"/>
    <w:rsid w:val="00D229CD"/>
    <w:rsid w:val="00D23233"/>
    <w:rsid w:val="00D2460D"/>
    <w:rsid w:val="00D25A6A"/>
    <w:rsid w:val="00D32B43"/>
    <w:rsid w:val="00D37450"/>
    <w:rsid w:val="00D40B2D"/>
    <w:rsid w:val="00D40DD6"/>
    <w:rsid w:val="00D412BD"/>
    <w:rsid w:val="00D41BCB"/>
    <w:rsid w:val="00D425B3"/>
    <w:rsid w:val="00D42AD4"/>
    <w:rsid w:val="00D44A34"/>
    <w:rsid w:val="00D50200"/>
    <w:rsid w:val="00D5090B"/>
    <w:rsid w:val="00D568E3"/>
    <w:rsid w:val="00D56F10"/>
    <w:rsid w:val="00D645B2"/>
    <w:rsid w:val="00D654CC"/>
    <w:rsid w:val="00D66CCF"/>
    <w:rsid w:val="00D72308"/>
    <w:rsid w:val="00D75BE3"/>
    <w:rsid w:val="00D8100E"/>
    <w:rsid w:val="00D82CAF"/>
    <w:rsid w:val="00D943CF"/>
    <w:rsid w:val="00D96119"/>
    <w:rsid w:val="00DA05E2"/>
    <w:rsid w:val="00DA21C2"/>
    <w:rsid w:val="00DA384B"/>
    <w:rsid w:val="00DA4804"/>
    <w:rsid w:val="00DA58D2"/>
    <w:rsid w:val="00DA5A31"/>
    <w:rsid w:val="00DB2D70"/>
    <w:rsid w:val="00DB3B61"/>
    <w:rsid w:val="00DB55B9"/>
    <w:rsid w:val="00DB5BA4"/>
    <w:rsid w:val="00DB5D4C"/>
    <w:rsid w:val="00DB66F9"/>
    <w:rsid w:val="00DB7C23"/>
    <w:rsid w:val="00DB7D39"/>
    <w:rsid w:val="00DC13DD"/>
    <w:rsid w:val="00DC2315"/>
    <w:rsid w:val="00DC388A"/>
    <w:rsid w:val="00DC4329"/>
    <w:rsid w:val="00DD0CA1"/>
    <w:rsid w:val="00DD2385"/>
    <w:rsid w:val="00DD4901"/>
    <w:rsid w:val="00DD4AF2"/>
    <w:rsid w:val="00DD5D79"/>
    <w:rsid w:val="00DD7321"/>
    <w:rsid w:val="00DD7BA2"/>
    <w:rsid w:val="00DE0D88"/>
    <w:rsid w:val="00DF1ED7"/>
    <w:rsid w:val="00DF3659"/>
    <w:rsid w:val="00DF59FC"/>
    <w:rsid w:val="00DF5B05"/>
    <w:rsid w:val="00DF6D50"/>
    <w:rsid w:val="00E00666"/>
    <w:rsid w:val="00E01DCD"/>
    <w:rsid w:val="00E026BA"/>
    <w:rsid w:val="00E033EB"/>
    <w:rsid w:val="00E04FCE"/>
    <w:rsid w:val="00E064B6"/>
    <w:rsid w:val="00E11CA9"/>
    <w:rsid w:val="00E121EE"/>
    <w:rsid w:val="00E124FA"/>
    <w:rsid w:val="00E161E7"/>
    <w:rsid w:val="00E172DB"/>
    <w:rsid w:val="00E2343F"/>
    <w:rsid w:val="00E23A90"/>
    <w:rsid w:val="00E30740"/>
    <w:rsid w:val="00E32A4D"/>
    <w:rsid w:val="00E4179C"/>
    <w:rsid w:val="00E44E58"/>
    <w:rsid w:val="00E46467"/>
    <w:rsid w:val="00E47B6B"/>
    <w:rsid w:val="00E544CD"/>
    <w:rsid w:val="00E56B8D"/>
    <w:rsid w:val="00E60BBC"/>
    <w:rsid w:val="00E621AD"/>
    <w:rsid w:val="00E63555"/>
    <w:rsid w:val="00E6549B"/>
    <w:rsid w:val="00E6638C"/>
    <w:rsid w:val="00E67826"/>
    <w:rsid w:val="00E76328"/>
    <w:rsid w:val="00E819A2"/>
    <w:rsid w:val="00E851EE"/>
    <w:rsid w:val="00E90E48"/>
    <w:rsid w:val="00E91F1C"/>
    <w:rsid w:val="00E94F37"/>
    <w:rsid w:val="00E953B7"/>
    <w:rsid w:val="00E96254"/>
    <w:rsid w:val="00E97433"/>
    <w:rsid w:val="00E97945"/>
    <w:rsid w:val="00EB0BCA"/>
    <w:rsid w:val="00EB6630"/>
    <w:rsid w:val="00EB7DA1"/>
    <w:rsid w:val="00EC0966"/>
    <w:rsid w:val="00EC1600"/>
    <w:rsid w:val="00EC1BD4"/>
    <w:rsid w:val="00EC35FE"/>
    <w:rsid w:val="00EC3856"/>
    <w:rsid w:val="00EC50B6"/>
    <w:rsid w:val="00ED2A3A"/>
    <w:rsid w:val="00ED3817"/>
    <w:rsid w:val="00ED7E3B"/>
    <w:rsid w:val="00EE01EF"/>
    <w:rsid w:val="00EE1B58"/>
    <w:rsid w:val="00EE7ADC"/>
    <w:rsid w:val="00EF1517"/>
    <w:rsid w:val="00EF1E0E"/>
    <w:rsid w:val="00EF3C27"/>
    <w:rsid w:val="00EF5421"/>
    <w:rsid w:val="00F011B5"/>
    <w:rsid w:val="00F01377"/>
    <w:rsid w:val="00F02BAB"/>
    <w:rsid w:val="00F11DC3"/>
    <w:rsid w:val="00F14A72"/>
    <w:rsid w:val="00F16DC9"/>
    <w:rsid w:val="00F17619"/>
    <w:rsid w:val="00F17DAF"/>
    <w:rsid w:val="00F206B8"/>
    <w:rsid w:val="00F20EC8"/>
    <w:rsid w:val="00F235CD"/>
    <w:rsid w:val="00F23D4F"/>
    <w:rsid w:val="00F2687B"/>
    <w:rsid w:val="00F26934"/>
    <w:rsid w:val="00F311EE"/>
    <w:rsid w:val="00F324B4"/>
    <w:rsid w:val="00F4028E"/>
    <w:rsid w:val="00F41258"/>
    <w:rsid w:val="00F41DD5"/>
    <w:rsid w:val="00F43FF2"/>
    <w:rsid w:val="00F44FE6"/>
    <w:rsid w:val="00F46B26"/>
    <w:rsid w:val="00F50436"/>
    <w:rsid w:val="00F51220"/>
    <w:rsid w:val="00F514E6"/>
    <w:rsid w:val="00F5157F"/>
    <w:rsid w:val="00F5415B"/>
    <w:rsid w:val="00F54876"/>
    <w:rsid w:val="00F564F1"/>
    <w:rsid w:val="00F575F9"/>
    <w:rsid w:val="00F63648"/>
    <w:rsid w:val="00F636AA"/>
    <w:rsid w:val="00F63B6B"/>
    <w:rsid w:val="00F64259"/>
    <w:rsid w:val="00F64524"/>
    <w:rsid w:val="00F7003E"/>
    <w:rsid w:val="00F70611"/>
    <w:rsid w:val="00F72E8D"/>
    <w:rsid w:val="00F7499D"/>
    <w:rsid w:val="00F82D9B"/>
    <w:rsid w:val="00F851EA"/>
    <w:rsid w:val="00F87AE8"/>
    <w:rsid w:val="00F90DC0"/>
    <w:rsid w:val="00F91678"/>
    <w:rsid w:val="00FA1A27"/>
    <w:rsid w:val="00FA243C"/>
    <w:rsid w:val="00FA2505"/>
    <w:rsid w:val="00FA2E8F"/>
    <w:rsid w:val="00FB29BE"/>
    <w:rsid w:val="00FB4070"/>
    <w:rsid w:val="00FB5371"/>
    <w:rsid w:val="00FB6271"/>
    <w:rsid w:val="00FC0B3D"/>
    <w:rsid w:val="00FC2071"/>
    <w:rsid w:val="00FD043D"/>
    <w:rsid w:val="00FD49A0"/>
    <w:rsid w:val="00FD4ABD"/>
    <w:rsid w:val="00FD50A6"/>
    <w:rsid w:val="00FD562C"/>
    <w:rsid w:val="00FE0AF4"/>
    <w:rsid w:val="00FE3045"/>
    <w:rsid w:val="00FE32BB"/>
    <w:rsid w:val="00FE3951"/>
    <w:rsid w:val="00FE6034"/>
    <w:rsid w:val="00FE64EC"/>
    <w:rsid w:val="00FE697E"/>
    <w:rsid w:val="00FF241B"/>
    <w:rsid w:val="00FF43E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3B0F2F"/>
    <w:rPr>
      <w:sz w:val="24"/>
      <w:szCs w:val="24"/>
    </w:rPr>
  </w:style>
  <w:style w:type="paragraph" w:styleId="Nadpis1">
    <w:name w:val="heading 1"/>
    <w:aliases w:val="Chapter,nazov1,Nadpis 1a,Nadpis 1 Char Char"/>
    <w:basedOn w:val="Normlny"/>
    <w:next w:val="Normlny"/>
    <w:link w:val="Nadpis1Char"/>
    <w:qFormat/>
    <w:rsid w:val="00DA384B"/>
    <w:pPr>
      <w:numPr>
        <w:numId w:val="5"/>
      </w:numPr>
      <w:spacing w:before="300" w:after="40" w:line="276" w:lineRule="auto"/>
      <w:outlineLvl w:val="0"/>
    </w:pPr>
    <w:rPr>
      <w:rFonts w:ascii="Calibri" w:eastAsia="Calibri" w:hAnsi="Calibri" w:cs="Calibri"/>
      <w:smallCaps/>
      <w:spacing w:val="5"/>
      <w:sz w:val="32"/>
      <w:szCs w:val="32"/>
    </w:rPr>
  </w:style>
  <w:style w:type="paragraph" w:styleId="Nadpis2">
    <w:name w:val="heading 2"/>
    <w:aliases w:val="Nadpis 2b,Nadpis 2 Char Char,Nadpis 2 Char Char Char Char Char,Nadpis 2 Char Char Char,Nadpis 2 Char Char Char Char Char Char Char Char Char,Nadpis 2 Char Char Char Char Char Char Char Char,h2"/>
    <w:basedOn w:val="Normlny"/>
    <w:next w:val="Normlny"/>
    <w:link w:val="Nadpis2Char"/>
    <w:qFormat/>
    <w:rsid w:val="00DA384B"/>
    <w:pPr>
      <w:numPr>
        <w:ilvl w:val="1"/>
        <w:numId w:val="5"/>
      </w:numPr>
      <w:spacing w:before="240" w:after="80" w:line="276" w:lineRule="auto"/>
      <w:outlineLvl w:val="1"/>
    </w:pPr>
    <w:rPr>
      <w:rFonts w:ascii="Calibri" w:eastAsia="Calibri" w:hAnsi="Calibri"/>
      <w:smallCaps/>
      <w:spacing w:val="5"/>
      <w:sz w:val="28"/>
      <w:szCs w:val="28"/>
      <w:lang w:val="x-none" w:eastAsia="x-none"/>
    </w:rPr>
  </w:style>
  <w:style w:type="paragraph" w:styleId="Nadpis3">
    <w:name w:val="heading 3"/>
    <w:aliases w:val="H3,Nadpis 3a,(1.1.1.)"/>
    <w:basedOn w:val="Nadpis2"/>
    <w:next w:val="Normlny"/>
    <w:link w:val="Nadpis3Char"/>
    <w:qFormat/>
    <w:rsid w:val="00DA384B"/>
    <w:pPr>
      <w:numPr>
        <w:ilvl w:val="2"/>
      </w:numPr>
      <w:spacing w:after="0"/>
      <w:outlineLvl w:val="2"/>
    </w:pPr>
    <w:rPr>
      <w:smallCaps w:val="0"/>
      <w:sz w:val="24"/>
      <w:szCs w:val="24"/>
    </w:rPr>
  </w:style>
  <w:style w:type="paragraph" w:styleId="Nadpis4">
    <w:name w:val="heading 4"/>
    <w:aliases w:val="H4"/>
    <w:basedOn w:val="Normlny"/>
    <w:next w:val="Normlny"/>
    <w:link w:val="Nadpis4Char"/>
    <w:qFormat/>
    <w:rsid w:val="00DA384B"/>
    <w:pPr>
      <w:numPr>
        <w:ilvl w:val="3"/>
        <w:numId w:val="5"/>
      </w:numPr>
      <w:spacing w:before="240" w:line="276" w:lineRule="auto"/>
      <w:outlineLvl w:val="3"/>
    </w:pPr>
    <w:rPr>
      <w:rFonts w:ascii="Calibri" w:eastAsia="Calibri" w:hAnsi="Calibri" w:cs="Calibri"/>
      <w:smallCaps/>
      <w:spacing w:val="10"/>
      <w:sz w:val="22"/>
      <w:szCs w:val="22"/>
    </w:rPr>
  </w:style>
  <w:style w:type="paragraph" w:styleId="Nadpis5">
    <w:name w:val="heading 5"/>
    <w:basedOn w:val="Normlny"/>
    <w:next w:val="Normlny"/>
    <w:link w:val="Nadpis5Char"/>
    <w:qFormat/>
    <w:rsid w:val="00DA384B"/>
    <w:pPr>
      <w:numPr>
        <w:ilvl w:val="4"/>
        <w:numId w:val="5"/>
      </w:numPr>
      <w:spacing w:before="200" w:line="276" w:lineRule="auto"/>
      <w:outlineLvl w:val="4"/>
    </w:pPr>
    <w:rPr>
      <w:rFonts w:ascii="Calibri" w:eastAsia="Calibri" w:hAnsi="Calibri" w:cs="Calibri"/>
      <w:smallCaps/>
      <w:color w:val="943634"/>
      <w:spacing w:val="10"/>
      <w:sz w:val="26"/>
      <w:szCs w:val="26"/>
    </w:rPr>
  </w:style>
  <w:style w:type="paragraph" w:styleId="Nadpis6">
    <w:name w:val="heading 6"/>
    <w:basedOn w:val="Normlny"/>
    <w:next w:val="Normlny"/>
    <w:link w:val="Nadpis6Char"/>
    <w:qFormat/>
    <w:rsid w:val="00DA384B"/>
    <w:pPr>
      <w:numPr>
        <w:ilvl w:val="5"/>
        <w:numId w:val="5"/>
      </w:numPr>
      <w:spacing w:line="276" w:lineRule="auto"/>
      <w:outlineLvl w:val="5"/>
    </w:pPr>
    <w:rPr>
      <w:rFonts w:ascii="Calibri" w:eastAsia="Calibri" w:hAnsi="Calibri" w:cs="Calibri"/>
      <w:smallCaps/>
      <w:color w:val="C0504D"/>
      <w:spacing w:val="5"/>
      <w:sz w:val="22"/>
      <w:szCs w:val="22"/>
    </w:rPr>
  </w:style>
  <w:style w:type="paragraph" w:styleId="Nadpis7">
    <w:name w:val="heading 7"/>
    <w:aliases w:val="Nadpis3"/>
    <w:basedOn w:val="Normlny"/>
    <w:next w:val="Normlny"/>
    <w:link w:val="Nadpis7Char"/>
    <w:qFormat/>
    <w:rsid w:val="00DA384B"/>
    <w:pPr>
      <w:numPr>
        <w:ilvl w:val="6"/>
        <w:numId w:val="5"/>
      </w:numPr>
      <w:spacing w:line="276" w:lineRule="auto"/>
      <w:outlineLvl w:val="6"/>
    </w:pPr>
    <w:rPr>
      <w:rFonts w:ascii="Calibri" w:eastAsia="Calibri" w:hAnsi="Calibri" w:cs="Calibri"/>
      <w:b/>
      <w:bCs/>
      <w:smallCaps/>
      <w:color w:val="C0504D"/>
      <w:spacing w:val="10"/>
      <w:sz w:val="20"/>
      <w:szCs w:val="20"/>
    </w:rPr>
  </w:style>
  <w:style w:type="paragraph" w:styleId="Nadpis8">
    <w:name w:val="heading 8"/>
    <w:basedOn w:val="Normlny"/>
    <w:next w:val="Normlny"/>
    <w:link w:val="Nadpis8Char"/>
    <w:qFormat/>
    <w:rsid w:val="00DA384B"/>
    <w:pPr>
      <w:numPr>
        <w:ilvl w:val="7"/>
        <w:numId w:val="5"/>
      </w:numPr>
      <w:spacing w:line="276" w:lineRule="auto"/>
      <w:outlineLvl w:val="7"/>
    </w:pPr>
    <w:rPr>
      <w:rFonts w:ascii="Calibri" w:eastAsia="Calibri" w:hAnsi="Calibri"/>
      <w:b/>
      <w:bCs/>
      <w:i/>
      <w:iCs/>
      <w:smallCaps/>
      <w:color w:val="943634"/>
      <w:sz w:val="20"/>
      <w:szCs w:val="20"/>
      <w:lang w:val="x-none" w:eastAsia="x-none"/>
    </w:rPr>
  </w:style>
  <w:style w:type="paragraph" w:styleId="Nadpis9">
    <w:name w:val="heading 9"/>
    <w:basedOn w:val="Normlny"/>
    <w:next w:val="Normlny"/>
    <w:link w:val="Nadpis9Char"/>
    <w:qFormat/>
    <w:rsid w:val="00DA384B"/>
    <w:pPr>
      <w:numPr>
        <w:ilvl w:val="8"/>
        <w:numId w:val="5"/>
      </w:numPr>
      <w:spacing w:line="276" w:lineRule="auto"/>
      <w:outlineLvl w:val="8"/>
    </w:pPr>
    <w:rPr>
      <w:rFonts w:ascii="Calibri" w:eastAsia="Calibri" w:hAnsi="Calibri" w:cs="Calibri"/>
      <w:b/>
      <w:bCs/>
      <w:i/>
      <w:iCs/>
      <w:smallCaps/>
      <w:color w:val="622423"/>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nazov1 Char,Nadpis 1a Char,Nadpis 1 Char Char Char"/>
    <w:link w:val="Nadpis1"/>
    <w:locked/>
    <w:rsid w:val="009A6B10"/>
    <w:rPr>
      <w:rFonts w:ascii="Calibri" w:eastAsia="Calibri" w:hAnsi="Calibri" w:cs="Calibri"/>
      <w:smallCaps/>
      <w:spacing w:val="5"/>
      <w:sz w:val="32"/>
      <w:szCs w:val="32"/>
    </w:rPr>
  </w:style>
  <w:style w:type="character" w:customStyle="1" w:styleId="Nadpis2Char">
    <w:name w:val="Nadpis 2 Char"/>
    <w:aliases w:val="Nadpis 2b Char,Nadpis 2 Char Char Char1,Nadpis 2 Char Char Char Char Char Char,Nadpis 2 Char Char Char Char,Nadpis 2 Char Char Char Char Char Char Char Char Char Char,Nadpis 2 Char Char Char Char Char Char Char Char Char1,h2 Char"/>
    <w:link w:val="Nadpis2"/>
    <w:locked/>
    <w:rsid w:val="007B158C"/>
    <w:rPr>
      <w:rFonts w:ascii="Calibri" w:eastAsia="Calibri" w:hAnsi="Calibri"/>
      <w:smallCaps/>
      <w:spacing w:val="5"/>
      <w:sz w:val="28"/>
      <w:szCs w:val="28"/>
      <w:lang w:val="x-none" w:eastAsia="x-none"/>
    </w:rPr>
  </w:style>
  <w:style w:type="character" w:customStyle="1" w:styleId="Nadpis3Char">
    <w:name w:val="Nadpis 3 Char"/>
    <w:aliases w:val="H3 Char,Nadpis 3a Char,(1.1.1.) Char"/>
    <w:link w:val="Nadpis3"/>
    <w:locked/>
    <w:rsid w:val="00DA384B"/>
    <w:rPr>
      <w:rFonts w:ascii="Calibri" w:eastAsia="Calibri" w:hAnsi="Calibri"/>
      <w:spacing w:val="5"/>
      <w:sz w:val="24"/>
      <w:szCs w:val="24"/>
      <w:lang w:val="x-none" w:eastAsia="x-none"/>
    </w:rPr>
  </w:style>
  <w:style w:type="character" w:customStyle="1" w:styleId="Nadpis4Char">
    <w:name w:val="Nadpis 4 Char"/>
    <w:aliases w:val="H4 Char"/>
    <w:link w:val="Nadpis4"/>
    <w:locked/>
    <w:rsid w:val="009A6B10"/>
    <w:rPr>
      <w:rFonts w:ascii="Calibri" w:eastAsia="Calibri" w:hAnsi="Calibri" w:cs="Calibri"/>
      <w:smallCaps/>
      <w:spacing w:val="10"/>
      <w:sz w:val="22"/>
      <w:szCs w:val="22"/>
    </w:rPr>
  </w:style>
  <w:style w:type="character" w:customStyle="1" w:styleId="Nadpis5Char">
    <w:name w:val="Nadpis 5 Char"/>
    <w:link w:val="Nadpis5"/>
    <w:locked/>
    <w:rsid w:val="009A6B10"/>
    <w:rPr>
      <w:rFonts w:ascii="Calibri" w:eastAsia="Calibri" w:hAnsi="Calibri" w:cs="Calibri"/>
      <w:smallCaps/>
      <w:color w:val="943634"/>
      <w:spacing w:val="10"/>
      <w:sz w:val="26"/>
      <w:szCs w:val="26"/>
    </w:rPr>
  </w:style>
  <w:style w:type="character" w:customStyle="1" w:styleId="Nadpis6Char">
    <w:name w:val="Nadpis 6 Char"/>
    <w:link w:val="Nadpis6"/>
    <w:locked/>
    <w:rsid w:val="009A6B10"/>
    <w:rPr>
      <w:rFonts w:ascii="Calibri" w:eastAsia="Calibri" w:hAnsi="Calibri" w:cs="Calibri"/>
      <w:smallCaps/>
      <w:color w:val="C0504D"/>
      <w:spacing w:val="5"/>
      <w:sz w:val="22"/>
      <w:szCs w:val="22"/>
    </w:rPr>
  </w:style>
  <w:style w:type="character" w:customStyle="1" w:styleId="Nadpis7Char">
    <w:name w:val="Nadpis 7 Char"/>
    <w:aliases w:val="Nadpis3 Char"/>
    <w:link w:val="Nadpis7"/>
    <w:locked/>
    <w:rsid w:val="009A6B10"/>
    <w:rPr>
      <w:rFonts w:ascii="Calibri" w:eastAsia="Calibri" w:hAnsi="Calibri" w:cs="Calibri"/>
      <w:b/>
      <w:bCs/>
      <w:smallCaps/>
      <w:color w:val="C0504D"/>
      <w:spacing w:val="10"/>
    </w:rPr>
  </w:style>
  <w:style w:type="character" w:customStyle="1" w:styleId="Nadpis8Char">
    <w:name w:val="Nadpis 8 Char"/>
    <w:link w:val="Nadpis8"/>
    <w:locked/>
    <w:rsid w:val="005102F4"/>
    <w:rPr>
      <w:rFonts w:ascii="Calibri" w:eastAsia="Calibri" w:hAnsi="Calibri"/>
      <w:b/>
      <w:bCs/>
      <w:i/>
      <w:iCs/>
      <w:smallCaps/>
      <w:color w:val="943634"/>
      <w:lang w:val="x-none" w:eastAsia="x-none"/>
    </w:rPr>
  </w:style>
  <w:style w:type="character" w:customStyle="1" w:styleId="Nadpis9Char">
    <w:name w:val="Nadpis 9 Char"/>
    <w:link w:val="Nadpis9"/>
    <w:locked/>
    <w:rsid w:val="009A6B10"/>
    <w:rPr>
      <w:rFonts w:ascii="Calibri" w:eastAsia="Calibri" w:hAnsi="Calibri" w:cs="Calibri"/>
      <w:b/>
      <w:bCs/>
      <w:i/>
      <w:iCs/>
      <w:smallCaps/>
      <w:color w:val="622423"/>
    </w:rPr>
  </w:style>
  <w:style w:type="paragraph" w:styleId="Hlavika">
    <w:name w:val="header"/>
    <w:basedOn w:val="Normlny"/>
    <w:link w:val="HlavikaChar"/>
    <w:rsid w:val="0022074D"/>
    <w:pPr>
      <w:tabs>
        <w:tab w:val="center" w:pos="4536"/>
        <w:tab w:val="right" w:pos="9072"/>
      </w:tabs>
    </w:pPr>
  </w:style>
  <w:style w:type="character" w:customStyle="1" w:styleId="HlavikaChar">
    <w:name w:val="Hlavička Char"/>
    <w:link w:val="Hlavika"/>
    <w:locked/>
    <w:rsid w:val="003363E1"/>
    <w:rPr>
      <w:sz w:val="24"/>
      <w:szCs w:val="24"/>
      <w:lang w:val="sk-SK" w:eastAsia="sk-SK" w:bidi="ar-SA"/>
    </w:rPr>
  </w:style>
  <w:style w:type="paragraph" w:styleId="Pta">
    <w:name w:val="footer"/>
    <w:basedOn w:val="Normlny"/>
    <w:link w:val="PtaChar"/>
    <w:uiPriority w:val="99"/>
    <w:rsid w:val="0022074D"/>
    <w:pPr>
      <w:tabs>
        <w:tab w:val="center" w:pos="4536"/>
        <w:tab w:val="right" w:pos="9072"/>
      </w:tabs>
    </w:pPr>
    <w:rPr>
      <w:lang w:val="x-none" w:eastAsia="x-none"/>
    </w:rPr>
  </w:style>
  <w:style w:type="character" w:customStyle="1" w:styleId="PtaChar">
    <w:name w:val="Päta Char"/>
    <w:link w:val="Pta"/>
    <w:uiPriority w:val="99"/>
    <w:rsid w:val="00B5359E"/>
    <w:rPr>
      <w:sz w:val="24"/>
      <w:szCs w:val="24"/>
    </w:rPr>
  </w:style>
  <w:style w:type="paragraph" w:styleId="Odsekzoznamu">
    <w:name w:val="List Paragraph"/>
    <w:basedOn w:val="Normlny"/>
    <w:link w:val="OdsekzoznamuChar"/>
    <w:qFormat/>
    <w:rsid w:val="0022074D"/>
    <w:pPr>
      <w:spacing w:after="200" w:line="276" w:lineRule="auto"/>
      <w:ind w:left="708"/>
      <w:jc w:val="both"/>
    </w:pPr>
    <w:rPr>
      <w:rFonts w:ascii="Calibri" w:hAnsi="Calibri"/>
      <w:sz w:val="20"/>
      <w:szCs w:val="20"/>
      <w:lang w:val="x-none" w:eastAsia="en-US"/>
    </w:rPr>
  </w:style>
  <w:style w:type="character" w:customStyle="1" w:styleId="OdsekzoznamuChar">
    <w:name w:val="Odsek zoznamu Char"/>
    <w:link w:val="Odsekzoznamu"/>
    <w:locked/>
    <w:rsid w:val="0022074D"/>
    <w:rPr>
      <w:rFonts w:ascii="Calibri" w:hAnsi="Calibri"/>
      <w:lang w:val="x-none" w:eastAsia="en-US" w:bidi="ar-SA"/>
    </w:rPr>
  </w:style>
  <w:style w:type="paragraph" w:styleId="Textbubliny">
    <w:name w:val="Balloon Text"/>
    <w:basedOn w:val="Normlny"/>
    <w:link w:val="TextbublinyChar"/>
    <w:semiHidden/>
    <w:rsid w:val="0022074D"/>
    <w:rPr>
      <w:rFonts w:ascii="Tahoma" w:hAnsi="Tahoma" w:cs="Tahoma"/>
      <w:sz w:val="16"/>
      <w:szCs w:val="16"/>
    </w:rPr>
  </w:style>
  <w:style w:type="character" w:customStyle="1" w:styleId="TextbublinyChar">
    <w:name w:val="Text bubliny Char"/>
    <w:link w:val="Textbubliny"/>
    <w:semiHidden/>
    <w:locked/>
    <w:rsid w:val="009A6B10"/>
    <w:rPr>
      <w:rFonts w:ascii="Tahoma" w:hAnsi="Tahoma" w:cs="Tahoma"/>
      <w:sz w:val="16"/>
      <w:szCs w:val="16"/>
    </w:rPr>
  </w:style>
  <w:style w:type="paragraph" w:styleId="Textpoznmkypodiarou">
    <w:name w:val="footnote text"/>
    <w:aliases w:val="Schriftart: 9 pt,Schriftart: 10 pt,Schriftart: 8 pt,Podrozdział,Footnote,o,Footnote text,NBP,fn,WB-Fußnot,Text poznámky pod čiarou 007,_Poznámka pod čiarou,Footnote Text Char1,Footnote Text Char Char,Fo Char Char,Fotnot Char Cha"/>
    <w:basedOn w:val="Normlny"/>
    <w:link w:val="TextpoznmkypodiarouChar"/>
    <w:semiHidden/>
    <w:rsid w:val="00DA384B"/>
    <w:rPr>
      <w:rFonts w:ascii="Calibri" w:eastAsia="Calibri" w:hAnsi="Calibri"/>
      <w:sz w:val="20"/>
      <w:szCs w:val="20"/>
      <w:lang w:val="en-US"/>
    </w:rPr>
  </w:style>
  <w:style w:type="character" w:customStyle="1" w:styleId="TextpoznmkypodiarouChar">
    <w:name w:val="Text poznámky pod čiarou Char"/>
    <w:aliases w:val="Schriftart: 9 pt Char,Schriftart: 10 pt Char,Schriftart: 8 pt Char,Podrozdział Char,Footnote Char,o Char,Footnote text Char,NBP Char,fn Char,WB-Fußnot Char,Text poznámky pod čiarou 007 Char,_Poznámka pod čiarou Char"/>
    <w:link w:val="Textpoznmkypodiarou"/>
    <w:semiHidden/>
    <w:locked/>
    <w:rsid w:val="00DA384B"/>
    <w:rPr>
      <w:rFonts w:ascii="Calibri" w:eastAsia="Calibri" w:hAnsi="Calibri"/>
      <w:lang w:val="en-US" w:eastAsia="sk-SK" w:bidi="ar-SA"/>
    </w:rPr>
  </w:style>
  <w:style w:type="character" w:styleId="Odkaznapoznmkupodiarou">
    <w:name w:val="footnote reference"/>
    <w:aliases w:val="Footnote symbol,Footnote reference number,Times 10 Point,Exposant 3 Point,Ref,de nota al pie,note TESI,SUPERS,EN Footnote text,EN Footnote Refe,Stinking Styles1,PGI Fußnote Ziffer,-E Fußnotenzeichen,number,16 Point"/>
    <w:semiHidden/>
    <w:rsid w:val="00DA384B"/>
    <w:rPr>
      <w:vertAlign w:val="superscript"/>
    </w:rPr>
  </w:style>
  <w:style w:type="paragraph" w:customStyle="1" w:styleId="Default">
    <w:name w:val="Default"/>
    <w:rsid w:val="00DA384B"/>
    <w:pPr>
      <w:autoSpaceDE w:val="0"/>
      <w:autoSpaceDN w:val="0"/>
      <w:adjustRightInd w:val="0"/>
    </w:pPr>
    <w:rPr>
      <w:rFonts w:ascii="Arial Narrow" w:eastAsia="Calibri" w:hAnsi="Arial Narrow" w:cs="Arial Narrow"/>
      <w:color w:val="000000"/>
      <w:sz w:val="24"/>
      <w:szCs w:val="24"/>
    </w:rPr>
  </w:style>
  <w:style w:type="character" w:styleId="Siln">
    <w:name w:val="Strong"/>
    <w:qFormat/>
    <w:rsid w:val="00DA384B"/>
    <w:rPr>
      <w:b/>
      <w:bCs/>
    </w:rPr>
  </w:style>
  <w:style w:type="paragraph" w:customStyle="1" w:styleId="Odsekzoznamu1">
    <w:name w:val="Odsek zoznamu1"/>
    <w:aliases w:val="body,List Paragraph1,List Paragraph"/>
    <w:basedOn w:val="Normlny"/>
    <w:link w:val="ListParagraphChar1"/>
    <w:rsid w:val="00DA384B"/>
    <w:pPr>
      <w:spacing w:after="200" w:line="276" w:lineRule="auto"/>
      <w:ind w:left="720"/>
      <w:contextualSpacing/>
      <w:jc w:val="both"/>
    </w:pPr>
    <w:rPr>
      <w:rFonts w:ascii="Calibri" w:eastAsia="Calibri" w:hAnsi="Calibri" w:cs="Calibri"/>
      <w:sz w:val="20"/>
      <w:szCs w:val="20"/>
      <w:lang w:eastAsia="en-US"/>
    </w:rPr>
  </w:style>
  <w:style w:type="character" w:customStyle="1" w:styleId="ListParagraphChar1">
    <w:name w:val="List Paragraph Char1"/>
    <w:link w:val="Odsekzoznamu1"/>
    <w:locked/>
    <w:rsid w:val="00DA384B"/>
    <w:rPr>
      <w:rFonts w:ascii="Calibri" w:eastAsia="Calibri" w:hAnsi="Calibri" w:cs="Calibri"/>
      <w:lang w:val="sk-SK" w:eastAsia="en-US" w:bidi="ar-SA"/>
    </w:rPr>
  </w:style>
  <w:style w:type="paragraph" w:styleId="Zkladntext">
    <w:name w:val="Body Text"/>
    <w:aliases w:val="b,Základní text Char,bt,heading3,Body Text - Level 2,Body"/>
    <w:basedOn w:val="Normlny"/>
    <w:link w:val="ZkladntextChar"/>
    <w:rsid w:val="005102F4"/>
    <w:pPr>
      <w:spacing w:after="120"/>
    </w:pPr>
  </w:style>
  <w:style w:type="character" w:customStyle="1" w:styleId="ZkladntextChar">
    <w:name w:val="Základný text Char"/>
    <w:aliases w:val="b Char,Základní text Char Char,bt Char,heading3 Char,Body Text - Level 2 Char,Body Char"/>
    <w:link w:val="Zkladntext"/>
    <w:locked/>
    <w:rsid w:val="007B158C"/>
    <w:rPr>
      <w:sz w:val="24"/>
      <w:szCs w:val="24"/>
      <w:lang w:val="sk-SK" w:eastAsia="sk-SK" w:bidi="ar-SA"/>
    </w:rPr>
  </w:style>
  <w:style w:type="paragraph" w:styleId="Prvzarkazkladnhotextu">
    <w:name w:val="Body Text First Indent"/>
    <w:basedOn w:val="Zkladntext"/>
    <w:rsid w:val="005102F4"/>
    <w:pPr>
      <w:ind w:firstLine="210"/>
    </w:pPr>
  </w:style>
  <w:style w:type="character" w:customStyle="1" w:styleId="Textzstupnhosymbolu1">
    <w:name w:val="Text zástupného symbolu1"/>
    <w:semiHidden/>
    <w:rsid w:val="005102F4"/>
    <w:rPr>
      <w:rFonts w:ascii="Times New Roman" w:hAnsi="Times New Roman" w:cs="Times New Roman"/>
      <w:color w:val="808080"/>
    </w:rPr>
  </w:style>
  <w:style w:type="paragraph" w:styleId="Zarkazkladnhotextu">
    <w:name w:val="Body Text Indent"/>
    <w:basedOn w:val="Normlny"/>
    <w:link w:val="ZarkazkladnhotextuChar"/>
    <w:rsid w:val="005102F4"/>
    <w:pPr>
      <w:spacing w:after="120"/>
      <w:ind w:left="283"/>
    </w:pPr>
  </w:style>
  <w:style w:type="character" w:customStyle="1" w:styleId="ZarkazkladnhotextuChar">
    <w:name w:val="Zarážka základného textu Char"/>
    <w:link w:val="Zarkazkladnhotextu"/>
    <w:rsid w:val="009A6B10"/>
    <w:rPr>
      <w:sz w:val="24"/>
      <w:szCs w:val="24"/>
    </w:rPr>
  </w:style>
  <w:style w:type="paragraph" w:customStyle="1" w:styleId="IDRRecommendationsBulletPoints">
    <w:name w:val="IDR Recommendations Bullet Points"/>
    <w:basedOn w:val="Normlny"/>
    <w:qFormat/>
    <w:rsid w:val="005102F4"/>
    <w:pPr>
      <w:numPr>
        <w:numId w:val="1"/>
      </w:numPr>
      <w:spacing w:after="120"/>
      <w:jc w:val="both"/>
    </w:pPr>
    <w:rPr>
      <w:rFonts w:ascii="Calibri" w:hAnsi="Calibri"/>
      <w:i/>
      <w:sz w:val="21"/>
      <w:szCs w:val="22"/>
      <w:lang w:val="en-GB" w:eastAsia="en-US"/>
    </w:rPr>
  </w:style>
  <w:style w:type="paragraph" w:styleId="Zkladntext2">
    <w:name w:val="Body Text 2"/>
    <w:basedOn w:val="Normlny"/>
    <w:link w:val="Zkladntext2Char"/>
    <w:rsid w:val="007B158C"/>
    <w:pPr>
      <w:spacing w:after="120" w:line="480" w:lineRule="auto"/>
    </w:pPr>
  </w:style>
  <w:style w:type="character" w:customStyle="1" w:styleId="Zkladntext2Char">
    <w:name w:val="Základný text 2 Char"/>
    <w:link w:val="Zkladntext2"/>
    <w:locked/>
    <w:rsid w:val="007B158C"/>
    <w:rPr>
      <w:sz w:val="24"/>
      <w:szCs w:val="24"/>
      <w:lang w:val="sk-SK" w:eastAsia="sk-SK" w:bidi="ar-SA"/>
    </w:rPr>
  </w:style>
  <w:style w:type="paragraph" w:styleId="Bezriadkovania">
    <w:name w:val="No Spacing"/>
    <w:qFormat/>
    <w:rsid w:val="007B158C"/>
    <w:rPr>
      <w:rFonts w:ascii="Calibri" w:eastAsia="Calibri" w:hAnsi="Calibri"/>
      <w:sz w:val="22"/>
      <w:szCs w:val="22"/>
      <w:lang w:eastAsia="en-US"/>
    </w:rPr>
  </w:style>
  <w:style w:type="paragraph" w:customStyle="1" w:styleId="3Title">
    <w:name w:val="3 Title"/>
    <w:basedOn w:val="Normlny"/>
    <w:rsid w:val="007B158C"/>
    <w:pPr>
      <w:tabs>
        <w:tab w:val="right" w:pos="9360"/>
      </w:tabs>
    </w:pPr>
    <w:rPr>
      <w:rFonts w:ascii="Arial" w:hAnsi="Arial" w:cs="Arial"/>
      <w:sz w:val="32"/>
      <w:szCs w:val="20"/>
      <w:lang w:val="en-GB" w:eastAsia="en-US"/>
    </w:rPr>
  </w:style>
  <w:style w:type="paragraph" w:customStyle="1" w:styleId="tl1">
    <w:name w:val="Štýl1"/>
    <w:basedOn w:val="Nadpis2"/>
    <w:rsid w:val="00160EEF"/>
    <w:pPr>
      <w:keepNext/>
      <w:numPr>
        <w:ilvl w:val="0"/>
        <w:numId w:val="0"/>
      </w:numPr>
      <w:spacing w:after="60" w:line="240" w:lineRule="auto"/>
    </w:pPr>
    <w:rPr>
      <w:rFonts w:ascii="Arial" w:eastAsia="Times New Roman" w:hAnsi="Arial" w:cs="Arial"/>
      <w:b/>
      <w:bCs/>
      <w:i/>
      <w:iCs/>
      <w:smallCaps w:val="0"/>
      <w:spacing w:val="0"/>
    </w:rPr>
  </w:style>
  <w:style w:type="character" w:customStyle="1" w:styleId="articletext">
    <w:name w:val="articletext"/>
    <w:rsid w:val="00160EEF"/>
  </w:style>
  <w:style w:type="paragraph" w:customStyle="1" w:styleId="Bezriadkovania1">
    <w:name w:val="Bez riadkovania1"/>
    <w:link w:val="NoSpacingChar1"/>
    <w:rsid w:val="00FE6034"/>
    <w:rPr>
      <w:rFonts w:eastAsia="Calibri"/>
      <w:sz w:val="24"/>
      <w:szCs w:val="24"/>
    </w:rPr>
  </w:style>
  <w:style w:type="character" w:customStyle="1" w:styleId="NoSpacingChar1">
    <w:name w:val="No Spacing Char1"/>
    <w:link w:val="Bezriadkovania1"/>
    <w:locked/>
    <w:rsid w:val="00FE6034"/>
    <w:rPr>
      <w:rFonts w:eastAsia="Calibri"/>
      <w:sz w:val="24"/>
      <w:szCs w:val="24"/>
      <w:lang w:val="sk-SK" w:eastAsia="sk-SK" w:bidi="ar-SA"/>
    </w:rPr>
  </w:style>
  <w:style w:type="character" w:customStyle="1" w:styleId="CharChar4">
    <w:name w:val="Char Char4"/>
    <w:locked/>
    <w:rsid w:val="00FE6034"/>
    <w:rPr>
      <w:sz w:val="24"/>
      <w:szCs w:val="24"/>
      <w:lang w:val="sk-SK" w:eastAsia="sk-SK" w:bidi="ar-SA"/>
    </w:rPr>
  </w:style>
  <w:style w:type="character" w:customStyle="1" w:styleId="ListParagraphChar">
    <w:name w:val="List Paragraph Char"/>
    <w:locked/>
    <w:rsid w:val="00E46467"/>
    <w:rPr>
      <w:rFonts w:eastAsia="Times New Roman"/>
      <w:sz w:val="20"/>
      <w:lang w:val="x-none" w:eastAsia="sk-SK"/>
    </w:rPr>
  </w:style>
  <w:style w:type="paragraph" w:customStyle="1" w:styleId="Odrky1">
    <w:name w:val="Odrážky 1"/>
    <w:basedOn w:val="Normlny"/>
    <w:rsid w:val="00C81DEC"/>
    <w:pPr>
      <w:numPr>
        <w:numId w:val="11"/>
      </w:numPr>
      <w:spacing w:before="120" w:after="120" w:line="288" w:lineRule="auto"/>
      <w:jc w:val="both"/>
    </w:pPr>
    <w:rPr>
      <w:rFonts w:ascii="Arial" w:hAnsi="Arial" w:cs="Arial"/>
      <w:sz w:val="20"/>
      <w:lang w:val="cs-CZ" w:eastAsia="cs-CZ"/>
    </w:rPr>
  </w:style>
  <w:style w:type="paragraph" w:customStyle="1" w:styleId="qwe">
    <w:name w:val="qwe"/>
    <w:basedOn w:val="Normlny"/>
    <w:rsid w:val="00AB2B30"/>
    <w:pPr>
      <w:numPr>
        <w:numId w:val="13"/>
      </w:numPr>
      <w:spacing w:line="288" w:lineRule="auto"/>
      <w:jc w:val="both"/>
    </w:pPr>
    <w:rPr>
      <w:rFonts w:eastAsia="MS Mincho"/>
      <w:sz w:val="22"/>
      <w:lang w:val="en-GB" w:eastAsia="ja-JP"/>
    </w:rPr>
  </w:style>
  <w:style w:type="character" w:customStyle="1" w:styleId="paraChar">
    <w:name w:val="para Char"/>
    <w:link w:val="para"/>
    <w:locked/>
    <w:rsid w:val="00AB2B30"/>
    <w:rPr>
      <w:rFonts w:ascii="MS Mincho" w:eastAsia="MS Mincho" w:hAnsi="MS Mincho"/>
      <w:sz w:val="24"/>
      <w:lang w:val="x-none" w:eastAsia="ja-JP"/>
    </w:rPr>
  </w:style>
  <w:style w:type="paragraph" w:customStyle="1" w:styleId="para">
    <w:name w:val="para"/>
    <w:basedOn w:val="qwe"/>
    <w:link w:val="paraChar"/>
    <w:rsid w:val="00AB2B30"/>
    <w:rPr>
      <w:rFonts w:ascii="MS Mincho" w:hAnsi="MS Mincho"/>
      <w:sz w:val="24"/>
      <w:szCs w:val="20"/>
      <w:lang w:val="x-none"/>
    </w:rPr>
  </w:style>
  <w:style w:type="character" w:customStyle="1" w:styleId="BodyText2Char">
    <w:name w:val="Body Text 2 Char"/>
    <w:semiHidden/>
    <w:locked/>
    <w:rsid w:val="00AB2B30"/>
    <w:rPr>
      <w:rFonts w:ascii="Times New Roman" w:eastAsia="Times New Roman" w:hAnsi="Times New Roman" w:cs="Times New Roman"/>
      <w:sz w:val="24"/>
      <w:szCs w:val="24"/>
      <w:lang w:val="x-none" w:eastAsia="sk-SK"/>
    </w:rPr>
  </w:style>
  <w:style w:type="paragraph" w:customStyle="1" w:styleId="msonormalcxspmiddle">
    <w:name w:val="msonormalcxspmiddle"/>
    <w:basedOn w:val="Normlny"/>
    <w:rsid w:val="00EF5421"/>
    <w:pPr>
      <w:spacing w:before="100" w:beforeAutospacing="1" w:after="100" w:afterAutospacing="1"/>
    </w:pPr>
  </w:style>
  <w:style w:type="character" w:customStyle="1" w:styleId="Textpoznmkypodiarou007CharChar">
    <w:name w:val="Text poznámky pod čiarou 007 Char Char"/>
    <w:rsid w:val="000466FB"/>
    <w:rPr>
      <w:rFonts w:ascii="Times New Roman" w:eastAsia="Times New Roman" w:hAnsi="Times New Roman"/>
      <w:lang w:val="cs-CZ" w:eastAsia="cs-CZ"/>
    </w:rPr>
  </w:style>
  <w:style w:type="character" w:styleId="Hypertextovprepojenie">
    <w:name w:val="Hyperlink"/>
    <w:rsid w:val="00D44A34"/>
    <w:rPr>
      <w:color w:val="0000FF"/>
      <w:u w:val="single"/>
    </w:rPr>
  </w:style>
  <w:style w:type="paragraph" w:customStyle="1" w:styleId="Style1">
    <w:name w:val="Style 1"/>
    <w:basedOn w:val="Normlny"/>
    <w:rsid w:val="00F41DD5"/>
    <w:pPr>
      <w:widowControl w:val="0"/>
      <w:autoSpaceDE w:val="0"/>
      <w:autoSpaceDN w:val="0"/>
      <w:spacing w:before="216" w:line="273" w:lineRule="auto"/>
      <w:jc w:val="both"/>
    </w:pPr>
    <w:rPr>
      <w:sz w:val="22"/>
      <w:szCs w:val="22"/>
    </w:rPr>
  </w:style>
  <w:style w:type="character" w:customStyle="1" w:styleId="CharacterStyle1">
    <w:name w:val="Character Style 1"/>
    <w:rsid w:val="00F41DD5"/>
    <w:rPr>
      <w:sz w:val="22"/>
    </w:rPr>
  </w:style>
  <w:style w:type="character" w:customStyle="1" w:styleId="hps">
    <w:name w:val="hps"/>
    <w:basedOn w:val="Predvolenpsmoodseku"/>
    <w:rsid w:val="00032C75"/>
  </w:style>
  <w:style w:type="character" w:customStyle="1" w:styleId="hpsatn">
    <w:name w:val="hps atn"/>
    <w:basedOn w:val="Predvolenpsmoodseku"/>
    <w:rsid w:val="00032C75"/>
  </w:style>
  <w:style w:type="paragraph" w:styleId="Zkladntext3">
    <w:name w:val="Body Text 3"/>
    <w:basedOn w:val="Normlny"/>
    <w:rsid w:val="0040040C"/>
    <w:pPr>
      <w:spacing w:after="120"/>
    </w:pPr>
    <w:rPr>
      <w:sz w:val="16"/>
      <w:szCs w:val="16"/>
    </w:rPr>
  </w:style>
  <w:style w:type="paragraph" w:styleId="Normlnywebov">
    <w:name w:val="Normal (Web)"/>
    <w:basedOn w:val="Normlny"/>
    <w:rsid w:val="00607111"/>
    <w:pPr>
      <w:spacing w:before="100" w:beforeAutospacing="1" w:after="100" w:afterAutospacing="1"/>
    </w:pPr>
    <w:rPr>
      <w:rFonts w:eastAsia="Calibri"/>
    </w:rPr>
  </w:style>
  <w:style w:type="character" w:styleId="PouitHypertextovPrepojenie">
    <w:name w:val="FollowedHyperlink"/>
    <w:rsid w:val="00315677"/>
    <w:rPr>
      <w:color w:val="800080"/>
      <w:u w:val="single"/>
    </w:rPr>
  </w:style>
  <w:style w:type="character" w:styleId="Odkaznakomentr">
    <w:name w:val="annotation reference"/>
    <w:rsid w:val="009928B2"/>
    <w:rPr>
      <w:sz w:val="16"/>
      <w:szCs w:val="16"/>
    </w:rPr>
  </w:style>
  <w:style w:type="paragraph" w:styleId="Textkomentra">
    <w:name w:val="annotation text"/>
    <w:basedOn w:val="Normlny"/>
    <w:link w:val="TextkomentraChar"/>
    <w:rsid w:val="009928B2"/>
    <w:rPr>
      <w:sz w:val="20"/>
      <w:szCs w:val="20"/>
    </w:rPr>
  </w:style>
  <w:style w:type="character" w:customStyle="1" w:styleId="TextkomentraChar">
    <w:name w:val="Text komentára Char"/>
    <w:basedOn w:val="Predvolenpsmoodseku"/>
    <w:link w:val="Textkomentra"/>
    <w:rsid w:val="009928B2"/>
  </w:style>
  <w:style w:type="paragraph" w:styleId="Predmetkomentra">
    <w:name w:val="annotation subject"/>
    <w:basedOn w:val="Textkomentra"/>
    <w:next w:val="Textkomentra"/>
    <w:link w:val="PredmetkomentraChar"/>
    <w:rsid w:val="009928B2"/>
    <w:rPr>
      <w:b/>
      <w:bCs/>
      <w:lang w:val="x-none" w:eastAsia="x-none"/>
    </w:rPr>
  </w:style>
  <w:style w:type="character" w:customStyle="1" w:styleId="PredmetkomentraChar">
    <w:name w:val="Predmet komentára Char"/>
    <w:link w:val="Predmetkomentra"/>
    <w:rsid w:val="009928B2"/>
    <w:rPr>
      <w:b/>
      <w:bCs/>
    </w:rPr>
  </w:style>
  <w:style w:type="paragraph" w:styleId="Textvysvetlivky">
    <w:name w:val="endnote text"/>
    <w:basedOn w:val="Normlny"/>
    <w:link w:val="TextvysvetlivkyChar"/>
    <w:rsid w:val="007B2DB4"/>
    <w:rPr>
      <w:sz w:val="20"/>
      <w:szCs w:val="20"/>
    </w:rPr>
  </w:style>
  <w:style w:type="character" w:customStyle="1" w:styleId="TextvysvetlivkyChar">
    <w:name w:val="Text vysvetlivky Char"/>
    <w:basedOn w:val="Predvolenpsmoodseku"/>
    <w:link w:val="Textvysvetlivky"/>
    <w:rsid w:val="007B2DB4"/>
  </w:style>
  <w:style w:type="character" w:styleId="Odkaznavysvetlivku">
    <w:name w:val="endnote reference"/>
    <w:rsid w:val="007B2DB4"/>
    <w:rPr>
      <w:vertAlign w:val="superscript"/>
    </w:rPr>
  </w:style>
  <w:style w:type="paragraph" w:customStyle="1" w:styleId="Zoznamsodrkami1">
    <w:name w:val="Zoznam s odrážkami1"/>
    <w:basedOn w:val="Normlny"/>
    <w:rsid w:val="000442E5"/>
    <w:pPr>
      <w:tabs>
        <w:tab w:val="num" w:pos="360"/>
        <w:tab w:val="left" w:pos="720"/>
      </w:tabs>
      <w:suppressAutoHyphens/>
    </w:pPr>
    <w:rPr>
      <w:lang w:eastAsia="ar-SA"/>
    </w:rPr>
  </w:style>
  <w:style w:type="table" w:styleId="Mriekatabuky">
    <w:name w:val="Table Grid"/>
    <w:basedOn w:val="Normlnatabuka"/>
    <w:uiPriority w:val="59"/>
    <w:rsid w:val="000442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2-neod">
    <w:name w:val="Ods2-neod"/>
    <w:basedOn w:val="Normlny"/>
    <w:rsid w:val="009A6B10"/>
    <w:pPr>
      <w:spacing w:before="60"/>
      <w:jc w:val="both"/>
    </w:pPr>
    <w:rPr>
      <w:kern w:val="28"/>
      <w:szCs w:val="20"/>
    </w:rPr>
  </w:style>
  <w:style w:type="paragraph" w:styleId="Popis">
    <w:name w:val="caption"/>
    <w:basedOn w:val="Normlny"/>
    <w:next w:val="Normlny"/>
    <w:qFormat/>
    <w:rsid w:val="009A6B10"/>
    <w:pPr>
      <w:ind w:right="-290" w:firstLine="180"/>
      <w:jc w:val="center"/>
    </w:pPr>
    <w:rPr>
      <w:rFonts w:ascii="Arial Narrow" w:hAnsi="Arial Narrow" w:cs="Arial"/>
      <w:b/>
      <w:bCs/>
    </w:rPr>
  </w:style>
  <w:style w:type="paragraph" w:styleId="Zoznamsodrkami">
    <w:name w:val="List Bullet"/>
    <w:basedOn w:val="Normlny"/>
    <w:rsid w:val="009A6B10"/>
    <w:pPr>
      <w:overflowPunct w:val="0"/>
      <w:autoSpaceDE w:val="0"/>
      <w:autoSpaceDN w:val="0"/>
      <w:adjustRightInd w:val="0"/>
      <w:ind w:left="283" w:hanging="283"/>
    </w:pPr>
    <w:rPr>
      <w:rFonts w:ascii="Arial Narrow" w:hAnsi="Arial Narrow"/>
      <w:szCs w:val="20"/>
    </w:rPr>
  </w:style>
  <w:style w:type="paragraph" w:customStyle="1" w:styleId="Odsek">
    <w:name w:val="Odsek"/>
    <w:basedOn w:val="Normlny"/>
    <w:rsid w:val="009A6B10"/>
    <w:pPr>
      <w:overflowPunct w:val="0"/>
      <w:autoSpaceDE w:val="0"/>
      <w:autoSpaceDN w:val="0"/>
      <w:adjustRightInd w:val="0"/>
      <w:spacing w:before="240"/>
      <w:jc w:val="both"/>
    </w:pPr>
    <w:rPr>
      <w:szCs w:val="20"/>
    </w:rPr>
  </w:style>
  <w:style w:type="paragraph" w:customStyle="1" w:styleId="BodyText21">
    <w:name w:val="Body Text 21"/>
    <w:basedOn w:val="Normlny"/>
    <w:rsid w:val="009A6B10"/>
    <w:pPr>
      <w:overflowPunct w:val="0"/>
      <w:autoSpaceDE w:val="0"/>
      <w:autoSpaceDN w:val="0"/>
      <w:adjustRightInd w:val="0"/>
      <w:ind w:firstLine="708"/>
      <w:jc w:val="both"/>
    </w:pPr>
    <w:rPr>
      <w:rFonts w:ascii="Verdana" w:hAnsi="Verdana"/>
      <w:color w:val="000000"/>
      <w:sz w:val="20"/>
      <w:szCs w:val="20"/>
    </w:rPr>
  </w:style>
  <w:style w:type="paragraph" w:customStyle="1" w:styleId="Odsadentext">
    <w:name w:val="Odsadený text"/>
    <w:basedOn w:val="Normlny"/>
    <w:rsid w:val="009A6B10"/>
    <w:pPr>
      <w:widowControl w:val="0"/>
      <w:overflowPunct w:val="0"/>
      <w:autoSpaceDE w:val="0"/>
      <w:autoSpaceDN w:val="0"/>
      <w:adjustRightInd w:val="0"/>
      <w:spacing w:after="60" w:line="276" w:lineRule="auto"/>
      <w:ind w:left="425"/>
      <w:jc w:val="both"/>
    </w:pPr>
    <w:rPr>
      <w:szCs w:val="20"/>
    </w:rPr>
  </w:style>
  <w:style w:type="paragraph" w:customStyle="1" w:styleId="Textodsaden">
    <w:name w:val="Text odsadený"/>
    <w:basedOn w:val="Normlny"/>
    <w:next w:val="Normlny"/>
    <w:rsid w:val="009A6B10"/>
    <w:pPr>
      <w:spacing w:before="120" w:line="300" w:lineRule="atLeast"/>
      <w:ind w:firstLine="624"/>
      <w:jc w:val="both"/>
    </w:pPr>
    <w:rPr>
      <w:rFonts w:ascii="Arial" w:hAnsi="Arial"/>
      <w:sz w:val="20"/>
      <w:szCs w:val="20"/>
    </w:rPr>
  </w:style>
  <w:style w:type="paragraph" w:customStyle="1" w:styleId="Odstavec">
    <w:name w:val="Odstavec"/>
    <w:basedOn w:val="Normlny"/>
    <w:rsid w:val="009A6B10"/>
    <w:pPr>
      <w:spacing w:before="80" w:after="40"/>
      <w:ind w:firstLine="567"/>
      <w:jc w:val="both"/>
    </w:pPr>
    <w:rPr>
      <w:rFonts w:ascii="Arial" w:hAnsi="Arial"/>
      <w:sz w:val="20"/>
      <w:szCs w:val="20"/>
    </w:rPr>
  </w:style>
  <w:style w:type="paragraph" w:customStyle="1" w:styleId="font5">
    <w:name w:val="font5"/>
    <w:basedOn w:val="Normlny"/>
    <w:rsid w:val="009A6B10"/>
    <w:pPr>
      <w:spacing w:before="100" w:beforeAutospacing="1" w:after="100" w:afterAutospacing="1"/>
    </w:pPr>
    <w:rPr>
      <w:rFonts w:ascii="Arial" w:eastAsia="Arial Unicode MS" w:hAnsi="Arial" w:cs="Arial"/>
      <w:b/>
      <w:bCs/>
      <w:sz w:val="20"/>
      <w:szCs w:val="20"/>
    </w:rPr>
  </w:style>
  <w:style w:type="paragraph" w:styleId="Zarkazkladnhotextu3">
    <w:name w:val="Body Text Indent 3"/>
    <w:basedOn w:val="Normlny"/>
    <w:link w:val="Zarkazkladnhotextu3Char"/>
    <w:rsid w:val="009A6B10"/>
    <w:pPr>
      <w:ind w:right="23" w:firstLine="360"/>
      <w:jc w:val="both"/>
    </w:pPr>
  </w:style>
  <w:style w:type="character" w:customStyle="1" w:styleId="Zarkazkladnhotextu3Char">
    <w:name w:val="Zarážka základného textu 3 Char"/>
    <w:link w:val="Zarkazkladnhotextu3"/>
    <w:rsid w:val="009A6B10"/>
    <w:rPr>
      <w:sz w:val="24"/>
      <w:szCs w:val="24"/>
    </w:rPr>
  </w:style>
  <w:style w:type="character" w:styleId="slostrany">
    <w:name w:val="page number"/>
    <w:basedOn w:val="Predvolenpsmoodseku"/>
    <w:rsid w:val="009A6B10"/>
  </w:style>
  <w:style w:type="paragraph" w:styleId="Zarkazkladnhotextu2">
    <w:name w:val="Body Text Indent 2"/>
    <w:basedOn w:val="Normlny"/>
    <w:link w:val="Zarkazkladnhotextu2Char"/>
    <w:rsid w:val="009A6B10"/>
    <w:pPr>
      <w:spacing w:line="360" w:lineRule="auto"/>
      <w:ind w:firstLine="709"/>
      <w:jc w:val="both"/>
    </w:pPr>
  </w:style>
  <w:style w:type="character" w:customStyle="1" w:styleId="Zarkazkladnhotextu2Char">
    <w:name w:val="Zarážka základného textu 2 Char"/>
    <w:link w:val="Zarkazkladnhotextu2"/>
    <w:rsid w:val="009A6B10"/>
    <w:rPr>
      <w:sz w:val="24"/>
      <w:szCs w:val="24"/>
    </w:rPr>
  </w:style>
  <w:style w:type="paragraph" w:customStyle="1" w:styleId="Zakladnystyl">
    <w:name w:val="Zakladny styl"/>
    <w:rsid w:val="009A6B10"/>
    <w:rPr>
      <w:sz w:val="24"/>
      <w:szCs w:val="24"/>
    </w:rPr>
  </w:style>
  <w:style w:type="paragraph" w:customStyle="1" w:styleId="Normlnyzhusten">
    <w:name w:val="Normálny zhustený"/>
    <w:basedOn w:val="Normlny"/>
    <w:rsid w:val="009A6B10"/>
    <w:pPr>
      <w:spacing w:before="120"/>
      <w:jc w:val="both"/>
    </w:pPr>
    <w:rPr>
      <w:szCs w:val="20"/>
    </w:rPr>
  </w:style>
  <w:style w:type="paragraph" w:customStyle="1" w:styleId="So0">
    <w:name w:val="So0"/>
    <w:basedOn w:val="Normlny"/>
    <w:rsid w:val="009A6B10"/>
    <w:pPr>
      <w:spacing w:line="360" w:lineRule="atLeast"/>
    </w:pPr>
    <w:rPr>
      <w:rFonts w:ascii="Arial" w:hAnsi="Arial"/>
      <w:szCs w:val="20"/>
      <w:lang w:val="de-DE" w:eastAsia="de-DE"/>
    </w:rPr>
  </w:style>
  <w:style w:type="paragraph" w:customStyle="1" w:styleId="Normlny1">
    <w:name w:val="Normálny1"/>
    <w:basedOn w:val="Normlny"/>
    <w:rsid w:val="009A6B10"/>
    <w:pPr>
      <w:spacing w:before="100" w:beforeAutospacing="1" w:after="100" w:afterAutospacing="1"/>
    </w:pPr>
    <w:rPr>
      <w:rFonts w:ascii="Arial Unicode MS" w:eastAsia="Arial Unicode MS" w:hAnsi="Arial Unicode MS" w:cs="Arial Unicode MS"/>
    </w:rPr>
  </w:style>
  <w:style w:type="paragraph" w:customStyle="1" w:styleId="mesgcontent">
    <w:name w:val="mesg_content"/>
    <w:basedOn w:val="Normlny"/>
    <w:rsid w:val="009A6B10"/>
    <w:pPr>
      <w:spacing w:before="144" w:after="144"/>
      <w:ind w:firstLine="480"/>
      <w:jc w:val="both"/>
    </w:pPr>
  </w:style>
  <w:style w:type="paragraph" w:customStyle="1" w:styleId="CharCharCharCharCharCharCharCharCharCharCharChar">
    <w:name w:val="Char Char Char Char Char Char Char Char Char Char Char Char"/>
    <w:basedOn w:val="Normlny"/>
    <w:rsid w:val="009A6B10"/>
    <w:rPr>
      <w:rFonts w:ascii="Verdana" w:hAnsi="Verdana"/>
      <w:sz w:val="20"/>
      <w:lang w:eastAsia="cs-CZ"/>
    </w:rPr>
  </w:style>
  <w:style w:type="paragraph" w:customStyle="1" w:styleId="bodytext">
    <w:name w:val="bodytext"/>
    <w:basedOn w:val="Normlny"/>
    <w:rsid w:val="009A6B10"/>
    <w:pPr>
      <w:spacing w:before="100" w:beforeAutospacing="1" w:after="100" w:afterAutospacing="1"/>
    </w:pPr>
  </w:style>
  <w:style w:type="paragraph" w:customStyle="1" w:styleId="Char0">
    <w:name w:val="Char"/>
    <w:basedOn w:val="Normlny"/>
    <w:rsid w:val="009A6B10"/>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lny"/>
    <w:rsid w:val="009A6B10"/>
    <w:pPr>
      <w:numPr>
        <w:numId w:val="3"/>
      </w:numPr>
      <w:tabs>
        <w:tab w:val="clear" w:pos="720"/>
      </w:tabs>
      <w:ind w:left="0" w:firstLine="0"/>
    </w:pPr>
    <w:rPr>
      <w:lang w:val="pl-PL" w:eastAsia="pl-PL"/>
    </w:rPr>
  </w:style>
  <w:style w:type="paragraph" w:customStyle="1" w:styleId="Vlada">
    <w:name w:val="Vlada"/>
    <w:basedOn w:val="Normlny"/>
    <w:rsid w:val="009A6B10"/>
    <w:pPr>
      <w:autoSpaceDE w:val="0"/>
      <w:autoSpaceDN w:val="0"/>
      <w:spacing w:before="480" w:after="120"/>
    </w:pPr>
    <w:rPr>
      <w:b/>
      <w:bCs/>
      <w:sz w:val="32"/>
      <w:szCs w:val="32"/>
      <w:lang w:eastAsia="en-US"/>
    </w:rPr>
  </w:style>
  <w:style w:type="paragraph" w:customStyle="1" w:styleId="CharChar1CharCharCharChar">
    <w:name w:val="Char Char1 Char Char Char Char"/>
    <w:basedOn w:val="Normlny"/>
    <w:rsid w:val="009A6B10"/>
    <w:pPr>
      <w:spacing w:after="160" w:line="240" w:lineRule="exact"/>
    </w:pPr>
    <w:rPr>
      <w:rFonts w:ascii="Tahoma" w:hAnsi="Tahoma" w:cs="Tahoma"/>
      <w:sz w:val="20"/>
      <w:szCs w:val="20"/>
      <w:lang w:val="en-US" w:eastAsia="en-US"/>
    </w:rPr>
  </w:style>
  <w:style w:type="paragraph" w:customStyle="1" w:styleId="Normln12">
    <w:name w:val="Normální 12"/>
    <w:basedOn w:val="Normlny"/>
    <w:rsid w:val="009A6B10"/>
    <w:pPr>
      <w:overflowPunct w:val="0"/>
      <w:autoSpaceDE w:val="0"/>
      <w:autoSpaceDN w:val="0"/>
      <w:adjustRightInd w:val="0"/>
      <w:ind w:firstLine="374"/>
      <w:jc w:val="both"/>
      <w:textAlignment w:val="baseline"/>
    </w:pPr>
  </w:style>
  <w:style w:type="paragraph" w:customStyle="1" w:styleId="OdstavecCOPS">
    <w:name w:val="Odstavec COPS"/>
    <w:basedOn w:val="Default"/>
    <w:next w:val="Default"/>
    <w:rsid w:val="009A6B10"/>
    <w:pPr>
      <w:numPr>
        <w:ilvl w:val="1"/>
      </w:numPr>
      <w:tabs>
        <w:tab w:val="num" w:pos="948"/>
      </w:tabs>
    </w:pPr>
    <w:rPr>
      <w:rFonts w:ascii="Times New Roman" w:eastAsia="Times New Roman" w:hAnsi="Times New Roman" w:cs="Times New Roman"/>
      <w:color w:val="auto"/>
    </w:rPr>
  </w:style>
  <w:style w:type="paragraph" w:customStyle="1" w:styleId="Normln">
    <w:name w:val="Normální"/>
    <w:basedOn w:val="Default"/>
    <w:next w:val="Default"/>
    <w:rsid w:val="009A6B10"/>
    <w:pPr>
      <w:numPr>
        <w:ilvl w:val="1"/>
      </w:numPr>
      <w:tabs>
        <w:tab w:val="num" w:pos="948"/>
      </w:tabs>
    </w:pPr>
    <w:rPr>
      <w:rFonts w:ascii="Times New Roman" w:eastAsia="Times New Roman" w:hAnsi="Times New Roman" w:cs="Times New Roman"/>
      <w:color w:val="auto"/>
    </w:rPr>
  </w:style>
  <w:style w:type="paragraph" w:customStyle="1" w:styleId="Par-number1">
    <w:name w:val="Par-number 1."/>
    <w:basedOn w:val="Default"/>
    <w:next w:val="Default"/>
    <w:rsid w:val="009A6B10"/>
    <w:pPr>
      <w:numPr>
        <w:ilvl w:val="1"/>
      </w:numPr>
      <w:tabs>
        <w:tab w:val="num" w:pos="948"/>
      </w:tabs>
    </w:pPr>
    <w:rPr>
      <w:rFonts w:ascii="Times New Roman" w:eastAsia="Times New Roman" w:hAnsi="Times New Roman" w:cs="Times New Roman"/>
      <w:color w:val="auto"/>
    </w:rPr>
  </w:style>
  <w:style w:type="paragraph" w:styleId="slovanzoznam">
    <w:name w:val="List Number"/>
    <w:basedOn w:val="Normlny"/>
    <w:rsid w:val="009A6B10"/>
    <w:pPr>
      <w:numPr>
        <w:numId w:val="22"/>
      </w:numPr>
      <w:tabs>
        <w:tab w:val="num" w:pos="709"/>
      </w:tabs>
      <w:spacing w:before="120" w:after="120"/>
      <w:ind w:left="709" w:hanging="709"/>
      <w:jc w:val="both"/>
    </w:pPr>
    <w:rPr>
      <w:lang w:eastAsia="de-DE"/>
    </w:rPr>
  </w:style>
  <w:style w:type="paragraph" w:customStyle="1" w:styleId="ListNumberLevel2">
    <w:name w:val="List Number (Level 2)"/>
    <w:basedOn w:val="Normlny"/>
    <w:rsid w:val="009A6B10"/>
    <w:pPr>
      <w:numPr>
        <w:ilvl w:val="1"/>
        <w:numId w:val="3"/>
      </w:numPr>
      <w:spacing w:before="120" w:after="120"/>
      <w:jc w:val="both"/>
    </w:pPr>
    <w:rPr>
      <w:snapToGrid w:val="0"/>
      <w:lang w:eastAsia="en-GB"/>
    </w:rPr>
  </w:style>
  <w:style w:type="paragraph" w:customStyle="1" w:styleId="ListNumberLevel3">
    <w:name w:val="List Number (Level 3)"/>
    <w:basedOn w:val="Normlny"/>
    <w:rsid w:val="009A6B10"/>
    <w:pPr>
      <w:numPr>
        <w:ilvl w:val="2"/>
        <w:numId w:val="3"/>
      </w:numPr>
      <w:spacing w:before="120" w:after="120"/>
      <w:jc w:val="both"/>
    </w:pPr>
    <w:rPr>
      <w:snapToGrid w:val="0"/>
      <w:lang w:eastAsia="en-GB"/>
    </w:rPr>
  </w:style>
  <w:style w:type="paragraph" w:customStyle="1" w:styleId="ListNumberLevel4">
    <w:name w:val="List Number (Level 4)"/>
    <w:basedOn w:val="Normlny"/>
    <w:rsid w:val="009A6B10"/>
    <w:pPr>
      <w:numPr>
        <w:ilvl w:val="3"/>
        <w:numId w:val="3"/>
      </w:numPr>
      <w:spacing w:before="120" w:after="120"/>
      <w:jc w:val="both"/>
    </w:pPr>
    <w:rPr>
      <w:snapToGrid w:val="0"/>
      <w:lang w:eastAsia="en-GB"/>
    </w:rPr>
  </w:style>
  <w:style w:type="character" w:customStyle="1" w:styleId="ft3p21">
    <w:name w:val="ft3p21"/>
    <w:rsid w:val="009A6B10"/>
    <w:rPr>
      <w:rFonts w:ascii="Times New Roman" w:hAnsi="Times New Roman" w:cs="Times New Roman" w:hint="default"/>
      <w:b/>
      <w:bCs/>
      <w:i w:val="0"/>
      <w:iCs w:val="0"/>
      <w:color w:val="000000"/>
      <w:sz w:val="20"/>
      <w:szCs w:val="20"/>
    </w:rPr>
  </w:style>
  <w:style w:type="paragraph" w:customStyle="1" w:styleId="xl99">
    <w:name w:val="xl99"/>
    <w:basedOn w:val="Normlny"/>
    <w:rsid w:val="009A6B10"/>
    <w:pPr>
      <w:spacing w:before="100" w:beforeAutospacing="1" w:after="100" w:afterAutospacing="1"/>
    </w:pPr>
    <w:rPr>
      <w:rFonts w:ascii="Arial Narrow" w:eastAsia="Arial Unicode MS" w:hAnsi="Arial Narrow" w:cs="Arial Unicode MS"/>
      <w:b/>
      <w:bCs/>
      <w:sz w:val="28"/>
      <w:szCs w:val="28"/>
    </w:rPr>
  </w:style>
  <w:style w:type="paragraph" w:customStyle="1" w:styleId="BASEFONT">
    <w:name w:val="BASEFONT"/>
    <w:basedOn w:val="Normlny"/>
    <w:autoRedefine/>
    <w:rsid w:val="009A6B10"/>
    <w:pPr>
      <w:spacing w:after="120"/>
      <w:jc w:val="both"/>
    </w:pPr>
    <w:rPr>
      <w:rFonts w:ascii="Arial" w:hAnsi="Arial" w:cs="Arial"/>
      <w:sz w:val="22"/>
      <w:szCs w:val="22"/>
    </w:rPr>
  </w:style>
  <w:style w:type="paragraph" w:customStyle="1" w:styleId="xl24">
    <w:name w:val="xl24"/>
    <w:basedOn w:val="Normlny"/>
    <w:rsid w:val="009A6B10"/>
    <w:pPr>
      <w:spacing w:before="100" w:beforeAutospacing="1" w:after="100" w:afterAutospacing="1"/>
    </w:pPr>
    <w:rPr>
      <w:rFonts w:ascii="Arial" w:eastAsia="Arial Unicode MS" w:hAnsi="Arial" w:cs="Arial"/>
      <w:sz w:val="22"/>
      <w:szCs w:val="22"/>
    </w:rPr>
  </w:style>
  <w:style w:type="character" w:customStyle="1" w:styleId="placeholdertext">
    <w:name w:val="placeholdertext"/>
    <w:rsid w:val="009A6B10"/>
    <w:rPr>
      <w:rFonts w:ascii="Times New Roman" w:hAnsi="Times New Roman" w:cs="Times New Roman" w:hint="default"/>
      <w:color w:val="808080"/>
    </w:rPr>
  </w:style>
  <w:style w:type="paragraph" w:customStyle="1" w:styleId="odrka2">
    <w:name w:val="odrážka 2"/>
    <w:basedOn w:val="odrka1"/>
    <w:rsid w:val="00E56B8D"/>
    <w:pPr>
      <w:numPr>
        <w:numId w:val="0"/>
      </w:numPr>
      <w:tabs>
        <w:tab w:val="clear" w:pos="425"/>
        <w:tab w:val="left" w:pos="851"/>
      </w:tabs>
      <w:ind w:left="1040" w:hanging="432"/>
    </w:pPr>
  </w:style>
  <w:style w:type="paragraph" w:customStyle="1" w:styleId="odrka1">
    <w:name w:val="odrážka 1"/>
    <w:basedOn w:val="Normlny"/>
    <w:rsid w:val="009A6B10"/>
    <w:pPr>
      <w:numPr>
        <w:numId w:val="23"/>
      </w:numPr>
      <w:tabs>
        <w:tab w:val="left" w:pos="425"/>
      </w:tabs>
      <w:spacing w:before="40" w:line="300" w:lineRule="exact"/>
      <w:ind w:left="360"/>
      <w:jc w:val="both"/>
    </w:pPr>
    <w:rPr>
      <w:sz w:val="22"/>
      <w:szCs w:val="22"/>
    </w:rPr>
  </w:style>
  <w:style w:type="character" w:customStyle="1" w:styleId="FontStyle19">
    <w:name w:val="Font Style19"/>
    <w:rsid w:val="009A6B10"/>
    <w:rPr>
      <w:rFonts w:ascii="Times New Roman" w:hAnsi="Times New Roman" w:cs="Times New Roman"/>
      <w:sz w:val="22"/>
      <w:szCs w:val="22"/>
    </w:rPr>
  </w:style>
  <w:style w:type="paragraph" w:customStyle="1" w:styleId="Style3">
    <w:name w:val="Style3"/>
    <w:basedOn w:val="Normlny"/>
    <w:rsid w:val="009A6B10"/>
    <w:pPr>
      <w:widowControl w:val="0"/>
      <w:autoSpaceDE w:val="0"/>
      <w:autoSpaceDN w:val="0"/>
      <w:adjustRightInd w:val="0"/>
      <w:spacing w:line="288" w:lineRule="exact"/>
      <w:ind w:firstLine="725"/>
      <w:jc w:val="both"/>
    </w:pPr>
  </w:style>
  <w:style w:type="paragraph" w:styleId="Nzov">
    <w:name w:val="Title"/>
    <w:basedOn w:val="Normlny"/>
    <w:link w:val="NzovChar"/>
    <w:qFormat/>
    <w:rsid w:val="009A6B10"/>
    <w:pPr>
      <w:jc w:val="center"/>
    </w:pPr>
    <w:rPr>
      <w:sz w:val="28"/>
      <w:szCs w:val="20"/>
    </w:rPr>
  </w:style>
  <w:style w:type="character" w:customStyle="1" w:styleId="NzovChar">
    <w:name w:val="Názov Char"/>
    <w:link w:val="Nzov"/>
    <w:rsid w:val="009A6B10"/>
    <w:rPr>
      <w:sz w:val="28"/>
    </w:rPr>
  </w:style>
  <w:style w:type="paragraph" w:customStyle="1" w:styleId="CharCharCharCharCharCharCharCharCharChar">
    <w:name w:val="Char Char Char Char Char Char Char Char Char Char"/>
    <w:basedOn w:val="Normlny"/>
    <w:rsid w:val="009A6B10"/>
    <w:rPr>
      <w:lang w:val="pl-PL" w:eastAsia="pl-PL"/>
    </w:rPr>
  </w:style>
  <w:style w:type="paragraph" w:customStyle="1" w:styleId="CM4">
    <w:name w:val="CM4"/>
    <w:basedOn w:val="Default"/>
    <w:next w:val="Default"/>
    <w:rsid w:val="009A6B10"/>
    <w:pPr>
      <w:numPr>
        <w:ilvl w:val="1"/>
      </w:numPr>
      <w:tabs>
        <w:tab w:val="num" w:pos="948"/>
      </w:tabs>
    </w:pPr>
    <w:rPr>
      <w:rFonts w:ascii="EUAlbertina" w:eastAsia="Times New Roman" w:hAnsi="EUAlbertina" w:cs="Times New Roman"/>
      <w:color w:val="auto"/>
    </w:rPr>
  </w:style>
  <w:style w:type="paragraph" w:customStyle="1" w:styleId="CharChar">
    <w:name w:val="Char Char"/>
    <w:basedOn w:val="Normlny"/>
    <w:rsid w:val="009A6B10"/>
    <w:pPr>
      <w:spacing w:after="160" w:line="240" w:lineRule="exact"/>
    </w:pPr>
    <w:rPr>
      <w:rFonts w:ascii="Tahoma" w:hAnsi="Tahoma"/>
      <w:sz w:val="20"/>
      <w:szCs w:val="20"/>
      <w:lang w:val="en-US" w:eastAsia="en-US"/>
    </w:rPr>
  </w:style>
  <w:style w:type="paragraph" w:customStyle="1" w:styleId="Numberedparagraph">
    <w:name w:val="Numbered paragraph"/>
    <w:basedOn w:val="Normlny"/>
    <w:rsid w:val="00E56B8D"/>
    <w:pPr>
      <w:numPr>
        <w:numId w:val="6"/>
      </w:numPr>
      <w:spacing w:after="240"/>
      <w:jc w:val="both"/>
    </w:pPr>
    <w:rPr>
      <w:rFonts w:eastAsia="MS Mincho"/>
      <w:sz w:val="22"/>
      <w:szCs w:val="22"/>
      <w:lang w:val="en-GB" w:eastAsia="en-US"/>
    </w:rPr>
  </w:style>
  <w:style w:type="paragraph" w:customStyle="1" w:styleId="EntEmet">
    <w:name w:val="EntEmet"/>
    <w:basedOn w:val="Normlny"/>
    <w:rsid w:val="009A6B10"/>
    <w:pPr>
      <w:widowControl w:val="0"/>
      <w:tabs>
        <w:tab w:val="left" w:pos="284"/>
        <w:tab w:val="left" w:pos="567"/>
        <w:tab w:val="left" w:pos="851"/>
        <w:tab w:val="left" w:pos="1134"/>
        <w:tab w:val="left" w:pos="1418"/>
      </w:tabs>
      <w:spacing w:before="40"/>
    </w:pPr>
    <w:rPr>
      <w:szCs w:val="20"/>
      <w:lang w:eastAsia="fr-BE"/>
    </w:rPr>
  </w:style>
  <w:style w:type="character" w:customStyle="1" w:styleId="DeltaViewInsertion">
    <w:name w:val="DeltaView Insertion"/>
    <w:rsid w:val="009A6B10"/>
    <w:rPr>
      <w:color w:val="0000FF"/>
      <w:spacing w:val="0"/>
      <w:u w:val="double"/>
    </w:rPr>
  </w:style>
  <w:style w:type="character" w:customStyle="1" w:styleId="DeltaViewDeletion">
    <w:name w:val="DeltaView Deletion"/>
    <w:rsid w:val="009A6B10"/>
    <w:rPr>
      <w:strike/>
      <w:color w:val="FF0000"/>
      <w:spacing w:val="0"/>
    </w:rPr>
  </w:style>
  <w:style w:type="paragraph" w:customStyle="1" w:styleId="Normlny10">
    <w:name w:val="Normálny1"/>
    <w:basedOn w:val="Normlny"/>
    <w:rsid w:val="009A6B10"/>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rsid w:val="009A6B10"/>
  </w:style>
  <w:style w:type="character" w:customStyle="1" w:styleId="WW8Num1z2">
    <w:name w:val="WW8Num1z2"/>
    <w:rsid w:val="009A6B10"/>
    <w:rPr>
      <w:u w:val="none"/>
    </w:rPr>
  </w:style>
  <w:style w:type="character" w:customStyle="1" w:styleId="WW8Num1z3">
    <w:name w:val="WW8Num1z3"/>
    <w:rsid w:val="009A6B10"/>
    <w:rPr>
      <w:rFonts w:ascii="Times New Roman" w:eastAsia="MS Mincho" w:hAnsi="Times New Roman" w:cs="Times New Roman"/>
    </w:rPr>
  </w:style>
  <w:style w:type="character" w:customStyle="1" w:styleId="WW8Num2z0">
    <w:name w:val="WW8Num2z0"/>
    <w:rsid w:val="009A6B10"/>
    <w:rPr>
      <w:rFonts w:ascii="Symbol" w:hAnsi="Symbol" w:cs="Symbol"/>
    </w:rPr>
  </w:style>
  <w:style w:type="character" w:customStyle="1" w:styleId="WW8Num3z0">
    <w:name w:val="WW8Num3z0"/>
    <w:rsid w:val="009A6B10"/>
    <w:rPr>
      <w:rFonts w:ascii="Symbol" w:hAnsi="Symbol" w:cs="Symbol"/>
    </w:rPr>
  </w:style>
  <w:style w:type="character" w:customStyle="1" w:styleId="WW8Num4z2">
    <w:name w:val="WW8Num4z2"/>
    <w:rsid w:val="009A6B10"/>
    <w:rPr>
      <w:rFonts w:ascii="Wingdings" w:hAnsi="Wingdings" w:cs="Wingdings"/>
    </w:rPr>
  </w:style>
  <w:style w:type="character" w:customStyle="1" w:styleId="WW8Num4z3">
    <w:name w:val="WW8Num4z3"/>
    <w:rsid w:val="009A6B10"/>
    <w:rPr>
      <w:rFonts w:ascii="Symbol" w:hAnsi="Symbol" w:cs="Symbol"/>
    </w:rPr>
  </w:style>
  <w:style w:type="character" w:customStyle="1" w:styleId="WW8Num5z0">
    <w:name w:val="WW8Num5z0"/>
    <w:rsid w:val="009A6B10"/>
    <w:rPr>
      <w:rFonts w:ascii="Symbol" w:hAnsi="Symbol" w:cs="Symbol"/>
    </w:rPr>
  </w:style>
  <w:style w:type="character" w:customStyle="1" w:styleId="WW8Num5z2">
    <w:name w:val="WW8Num5z2"/>
    <w:rsid w:val="009A6B10"/>
    <w:rPr>
      <w:rFonts w:ascii="Wingdings" w:hAnsi="Wingdings" w:cs="Wingdings"/>
    </w:rPr>
  </w:style>
  <w:style w:type="character" w:customStyle="1" w:styleId="WW8Num5z4">
    <w:name w:val="WW8Num5z4"/>
    <w:rsid w:val="009A6B10"/>
    <w:rPr>
      <w:rFonts w:ascii="Courier New" w:hAnsi="Courier New" w:cs="Courier New"/>
    </w:rPr>
  </w:style>
  <w:style w:type="character" w:customStyle="1" w:styleId="WW8Num6z0">
    <w:name w:val="WW8Num6z0"/>
    <w:rsid w:val="009A6B10"/>
    <w:rPr>
      <w:rFonts w:ascii="Times New Roman" w:eastAsia="Times New Roman" w:hAnsi="Times New Roman" w:cs="Times New Roman"/>
    </w:rPr>
  </w:style>
  <w:style w:type="character" w:customStyle="1" w:styleId="WW8Num7z0">
    <w:name w:val="WW8Num7z0"/>
    <w:rsid w:val="009A6B10"/>
    <w:rPr>
      <w:rFonts w:ascii="Symbol" w:hAnsi="Symbol" w:cs="Symbol"/>
      <w:color w:val="auto"/>
    </w:rPr>
  </w:style>
  <w:style w:type="character" w:customStyle="1" w:styleId="WW8Num8z0">
    <w:name w:val="WW8Num8z0"/>
    <w:rsid w:val="009A6B10"/>
    <w:rPr>
      <w:rFonts w:ascii="Courier New" w:hAnsi="Courier New" w:cs="Courier New"/>
    </w:rPr>
  </w:style>
  <w:style w:type="character" w:customStyle="1" w:styleId="WW8Num8z1">
    <w:name w:val="WW8Num8z1"/>
    <w:rsid w:val="009A6B10"/>
    <w:rPr>
      <w:rFonts w:ascii="Symbol" w:hAnsi="Symbol" w:cs="Symbol"/>
    </w:rPr>
  </w:style>
  <w:style w:type="character" w:customStyle="1" w:styleId="WW8Num8z2">
    <w:name w:val="WW8Num8z2"/>
    <w:rsid w:val="009A6B10"/>
    <w:rPr>
      <w:rFonts w:ascii="Wingdings" w:hAnsi="Wingdings" w:cs="Wingdings"/>
    </w:rPr>
  </w:style>
  <w:style w:type="character" w:customStyle="1" w:styleId="WW8Num9z0">
    <w:name w:val="WW8Num9z0"/>
    <w:rsid w:val="009A6B10"/>
    <w:rPr>
      <w:rFonts w:ascii="Symbol" w:hAnsi="Symbol" w:cs="Symbol"/>
    </w:rPr>
  </w:style>
  <w:style w:type="character" w:customStyle="1" w:styleId="WW8Num10z0">
    <w:name w:val="WW8Num10z0"/>
    <w:rsid w:val="009A6B10"/>
    <w:rPr>
      <w:rFonts w:ascii="Symbol" w:hAnsi="Symbol" w:cs="Symbol"/>
    </w:rPr>
  </w:style>
  <w:style w:type="character" w:customStyle="1" w:styleId="WW8Num11z0">
    <w:name w:val="WW8Num11z0"/>
    <w:rsid w:val="009A6B10"/>
    <w:rPr>
      <w:rFonts w:cs="Times New Roman"/>
    </w:rPr>
  </w:style>
  <w:style w:type="character" w:customStyle="1" w:styleId="WW8Num12z0">
    <w:name w:val="WW8Num12z0"/>
    <w:rsid w:val="009A6B10"/>
    <w:rPr>
      <w:b w:val="0"/>
    </w:rPr>
  </w:style>
  <w:style w:type="character" w:customStyle="1" w:styleId="WW8Num13z0">
    <w:name w:val="WW8Num13z0"/>
    <w:rsid w:val="009A6B10"/>
    <w:rPr>
      <w:rFonts w:ascii="Times New Roman" w:eastAsia="Times New Roman" w:hAnsi="Times New Roman" w:cs="Times New Roman"/>
    </w:rPr>
  </w:style>
  <w:style w:type="character" w:customStyle="1" w:styleId="WW8Num14z0">
    <w:name w:val="WW8Num14z0"/>
    <w:rsid w:val="009A6B10"/>
    <w:rPr>
      <w:rFonts w:ascii="Symbol" w:hAnsi="Symbol" w:cs="Symbol"/>
    </w:rPr>
  </w:style>
  <w:style w:type="character" w:customStyle="1" w:styleId="WW8Num15z0">
    <w:name w:val="WW8Num15z0"/>
    <w:rsid w:val="009A6B10"/>
    <w:rPr>
      <w:rFonts w:ascii="Times New Roman" w:eastAsia="Times New Roman" w:hAnsi="Times New Roman" w:cs="Times New Roman"/>
    </w:rPr>
  </w:style>
  <w:style w:type="character" w:customStyle="1" w:styleId="WW8Num16z0">
    <w:name w:val="WW8Num16z0"/>
    <w:rsid w:val="009A6B10"/>
    <w:rPr>
      <w:rFonts w:ascii="Wingdings" w:hAnsi="Wingdings" w:cs="Wingdings"/>
    </w:rPr>
  </w:style>
  <w:style w:type="character" w:customStyle="1" w:styleId="WW8Num18z0">
    <w:name w:val="WW8Num18z0"/>
    <w:rsid w:val="009A6B10"/>
    <w:rPr>
      <w:rFonts w:ascii="Symbol" w:hAnsi="Symbol" w:cs="Symbol"/>
    </w:rPr>
  </w:style>
  <w:style w:type="character" w:customStyle="1" w:styleId="WW8Num19z0">
    <w:name w:val="WW8Num19z0"/>
    <w:rsid w:val="009A6B10"/>
    <w:rPr>
      <w:rFonts w:ascii="Symbol" w:hAnsi="Symbol" w:cs="Symbol"/>
    </w:rPr>
  </w:style>
  <w:style w:type="character" w:customStyle="1" w:styleId="WW8Num20z0">
    <w:name w:val="WW8Num20z0"/>
    <w:rsid w:val="009A6B10"/>
    <w:rPr>
      <w:rFonts w:ascii="Symbol" w:hAnsi="Symbol" w:cs="Symbol"/>
    </w:rPr>
  </w:style>
  <w:style w:type="character" w:customStyle="1" w:styleId="WW8Num21z0">
    <w:name w:val="WW8Num21z0"/>
    <w:rsid w:val="009A6B10"/>
    <w:rPr>
      <w:rFonts w:ascii="Symbol" w:hAnsi="Symbol" w:cs="Symbol"/>
    </w:rPr>
  </w:style>
  <w:style w:type="character" w:customStyle="1" w:styleId="WW8Num22z0">
    <w:name w:val="WW8Num22z0"/>
    <w:rsid w:val="009A6B10"/>
    <w:rPr>
      <w:rFonts w:ascii="Symbol" w:hAnsi="Symbol" w:cs="Symbol"/>
    </w:rPr>
  </w:style>
  <w:style w:type="character" w:customStyle="1" w:styleId="WW8Num23z0">
    <w:name w:val="WW8Num23z0"/>
    <w:rsid w:val="009A6B10"/>
    <w:rPr>
      <w:rFonts w:ascii="Symbol" w:hAnsi="Symbol" w:cs="Symbol"/>
    </w:rPr>
  </w:style>
  <w:style w:type="character" w:customStyle="1" w:styleId="WW8Num24z0">
    <w:name w:val="WW8Num24z0"/>
    <w:rsid w:val="009A6B10"/>
    <w:rPr>
      <w:rFonts w:ascii="Symbol" w:hAnsi="Symbol" w:cs="Symbol"/>
    </w:rPr>
  </w:style>
  <w:style w:type="character" w:customStyle="1" w:styleId="WW8Num25z0">
    <w:name w:val="WW8Num25z0"/>
    <w:rsid w:val="009A6B10"/>
    <w:rPr>
      <w:rFonts w:ascii="Symbol" w:hAnsi="Symbol" w:cs="Symbol"/>
    </w:rPr>
  </w:style>
  <w:style w:type="character" w:customStyle="1" w:styleId="WW8Num26z0">
    <w:name w:val="WW8Num26z0"/>
    <w:rsid w:val="009A6B10"/>
    <w:rPr>
      <w:rFonts w:ascii="Symbol" w:hAnsi="Symbol" w:cs="Symbol"/>
    </w:rPr>
  </w:style>
  <w:style w:type="character" w:customStyle="1" w:styleId="WW8Num27z0">
    <w:name w:val="WW8Num27z0"/>
    <w:rsid w:val="009A6B10"/>
    <w:rPr>
      <w:rFonts w:ascii="Symbol" w:hAnsi="Symbol" w:cs="Symbol"/>
    </w:rPr>
  </w:style>
  <w:style w:type="character" w:customStyle="1" w:styleId="WW8Num28z0">
    <w:name w:val="WW8Num28z0"/>
    <w:rsid w:val="009A6B10"/>
    <w:rPr>
      <w:rFonts w:ascii="Symbol" w:hAnsi="Symbol" w:cs="Symbol"/>
    </w:rPr>
  </w:style>
  <w:style w:type="character" w:customStyle="1" w:styleId="WW8Num29z0">
    <w:name w:val="WW8Num29z0"/>
    <w:rsid w:val="009A6B10"/>
    <w:rPr>
      <w:rFonts w:ascii="Symbol" w:hAnsi="Symbol" w:cs="Symbol"/>
    </w:rPr>
  </w:style>
  <w:style w:type="character" w:customStyle="1" w:styleId="WW8Num30z0">
    <w:name w:val="WW8Num30z0"/>
    <w:rsid w:val="009A6B10"/>
    <w:rPr>
      <w:rFonts w:ascii="Symbol" w:hAnsi="Symbol" w:cs="Symbol"/>
    </w:rPr>
  </w:style>
  <w:style w:type="character" w:customStyle="1" w:styleId="WW8Num31z0">
    <w:name w:val="WW8Num31z0"/>
    <w:rsid w:val="009A6B10"/>
    <w:rPr>
      <w:rFonts w:ascii="Symbol" w:hAnsi="Symbol" w:cs="Symbol"/>
    </w:rPr>
  </w:style>
  <w:style w:type="character" w:customStyle="1" w:styleId="WW8Num32z0">
    <w:name w:val="WW8Num32z0"/>
    <w:rsid w:val="009A6B10"/>
    <w:rPr>
      <w:rFonts w:ascii="Wingdings" w:hAnsi="Wingdings" w:cs="Wingdings"/>
    </w:rPr>
  </w:style>
  <w:style w:type="character" w:customStyle="1" w:styleId="WW8Num33z0">
    <w:name w:val="WW8Num33z0"/>
    <w:rsid w:val="009A6B10"/>
    <w:rPr>
      <w:rFonts w:ascii="Symbol" w:hAnsi="Symbol" w:cs="Symbol"/>
      <w:color w:val="auto"/>
    </w:rPr>
  </w:style>
  <w:style w:type="character" w:customStyle="1" w:styleId="WW8Num34z0">
    <w:name w:val="WW8Num34z0"/>
    <w:rsid w:val="009A6B10"/>
    <w:rPr>
      <w:rFonts w:ascii="Symbol" w:hAnsi="Symbol" w:cs="Symbol"/>
      <w:color w:val="auto"/>
    </w:rPr>
  </w:style>
  <w:style w:type="character" w:customStyle="1" w:styleId="WW8Num35z0">
    <w:name w:val="WW8Num35z0"/>
    <w:rsid w:val="009A6B10"/>
    <w:rPr>
      <w:rFonts w:ascii="Times New Roman" w:eastAsia="Times New Roman" w:hAnsi="Times New Roman" w:cs="Times New Roman"/>
    </w:rPr>
  </w:style>
  <w:style w:type="character" w:customStyle="1" w:styleId="WW8Num36z0">
    <w:name w:val="WW8Num36z0"/>
    <w:rsid w:val="009A6B10"/>
    <w:rPr>
      <w:rFonts w:ascii="Symbol" w:hAnsi="Symbol" w:cs="Symbol"/>
    </w:rPr>
  </w:style>
  <w:style w:type="character" w:customStyle="1" w:styleId="WW8Num37z0">
    <w:name w:val="WW8Num37z0"/>
    <w:rsid w:val="009A6B10"/>
    <w:rPr>
      <w:rFonts w:ascii="Symbol" w:hAnsi="Symbol" w:cs="Symbol"/>
    </w:rPr>
  </w:style>
  <w:style w:type="character" w:customStyle="1" w:styleId="WW8Num38z0">
    <w:name w:val="WW8Num38z0"/>
    <w:rsid w:val="009A6B10"/>
    <w:rPr>
      <w:rFonts w:ascii="Symbol" w:hAnsi="Symbol" w:cs="Symbol"/>
    </w:rPr>
  </w:style>
  <w:style w:type="character" w:customStyle="1" w:styleId="WW8Num39z0">
    <w:name w:val="WW8Num39z0"/>
    <w:rsid w:val="009A6B10"/>
    <w:rPr>
      <w:rFonts w:ascii="Times New Roman" w:eastAsia="Times New Roman" w:hAnsi="Times New Roman" w:cs="Times New Roman"/>
    </w:rPr>
  </w:style>
  <w:style w:type="character" w:customStyle="1" w:styleId="WW8Num40z0">
    <w:name w:val="WW8Num40z0"/>
    <w:rsid w:val="009A6B10"/>
    <w:rPr>
      <w:rFonts w:ascii="Symbol" w:hAnsi="Symbol" w:cs="Symbol"/>
    </w:rPr>
  </w:style>
  <w:style w:type="character" w:customStyle="1" w:styleId="WW8Num41z0">
    <w:name w:val="WW8Num41z0"/>
    <w:rsid w:val="009A6B10"/>
    <w:rPr>
      <w:rFonts w:ascii="Symbol" w:hAnsi="Symbol" w:cs="Symbol"/>
    </w:rPr>
  </w:style>
  <w:style w:type="character" w:customStyle="1" w:styleId="WW8Num41z1">
    <w:name w:val="WW8Num41z1"/>
    <w:rsid w:val="009A6B10"/>
    <w:rPr>
      <w:rFonts w:ascii="Courier New" w:hAnsi="Courier New" w:cs="Courier New"/>
    </w:rPr>
  </w:style>
  <w:style w:type="character" w:customStyle="1" w:styleId="WW8Num41z2">
    <w:name w:val="WW8Num41z2"/>
    <w:rsid w:val="009A6B10"/>
    <w:rPr>
      <w:rFonts w:ascii="Wingdings" w:hAnsi="Wingdings" w:cs="Wingdings"/>
    </w:rPr>
  </w:style>
  <w:style w:type="character" w:customStyle="1" w:styleId="WW8Num41z3">
    <w:name w:val="WW8Num41z3"/>
    <w:rsid w:val="009A6B10"/>
    <w:rPr>
      <w:rFonts w:ascii="Symbol" w:hAnsi="Symbol" w:cs="Symbol"/>
    </w:rPr>
  </w:style>
  <w:style w:type="character" w:customStyle="1" w:styleId="Absatz-Standardschriftart">
    <w:name w:val="Absatz-Standardschriftart"/>
    <w:rsid w:val="009A6B10"/>
  </w:style>
  <w:style w:type="character" w:customStyle="1" w:styleId="WW-Absatz-Standardschriftart">
    <w:name w:val="WW-Absatz-Standardschriftart"/>
    <w:rsid w:val="009A6B10"/>
  </w:style>
  <w:style w:type="character" w:customStyle="1" w:styleId="WW8Num41z4">
    <w:name w:val="WW8Num41z4"/>
    <w:rsid w:val="009A6B10"/>
    <w:rPr>
      <w:rFonts w:ascii="Courier New" w:hAnsi="Courier New" w:cs="Courier New"/>
    </w:rPr>
  </w:style>
  <w:style w:type="character" w:customStyle="1" w:styleId="WW-Absatz-Standardschriftart1">
    <w:name w:val="WW-Absatz-Standardschriftart1"/>
    <w:rsid w:val="009A6B10"/>
  </w:style>
  <w:style w:type="character" w:customStyle="1" w:styleId="WW8Num1z0">
    <w:name w:val="WW8Num1z0"/>
    <w:rsid w:val="009A6B10"/>
    <w:rPr>
      <w:rFonts w:ascii="Times New Roman" w:hAnsi="Times New Roman" w:cs="Times New Roman"/>
      <w:b w:val="0"/>
      <w:i w:val="0"/>
      <w:color w:val="auto"/>
      <w:sz w:val="22"/>
      <w:szCs w:val="22"/>
    </w:rPr>
  </w:style>
  <w:style w:type="character" w:customStyle="1" w:styleId="WW8Num1z1">
    <w:name w:val="WW8Num1z1"/>
    <w:rsid w:val="009A6B10"/>
    <w:rPr>
      <w:rFonts w:ascii="Symbol" w:hAnsi="Symbol" w:cs="Symbol"/>
      <w:sz w:val="18"/>
      <w:szCs w:val="18"/>
    </w:rPr>
  </w:style>
  <w:style w:type="character" w:customStyle="1" w:styleId="WW8Num3z2">
    <w:name w:val="WW8Num3z2"/>
    <w:rsid w:val="009A6B10"/>
    <w:rPr>
      <w:rFonts w:ascii="Times New Roman" w:hAnsi="Times New Roman" w:cs="Times New Roman"/>
    </w:rPr>
  </w:style>
  <w:style w:type="character" w:customStyle="1" w:styleId="WW8Num3z3">
    <w:name w:val="WW8Num3z3"/>
    <w:rsid w:val="009A6B10"/>
    <w:rPr>
      <w:rFonts w:ascii="Symbol" w:hAnsi="Symbol" w:cs="Symbol"/>
    </w:rPr>
  </w:style>
  <w:style w:type="character" w:customStyle="1" w:styleId="WW8Num4z0">
    <w:name w:val="WW8Num4z0"/>
    <w:rsid w:val="009A6B10"/>
    <w:rPr>
      <w:rFonts w:ascii="Symbol" w:hAnsi="Symbol" w:cs="Symbol"/>
    </w:rPr>
  </w:style>
  <w:style w:type="character" w:customStyle="1" w:styleId="WW8Num4z4">
    <w:name w:val="WW8Num4z4"/>
    <w:rsid w:val="009A6B10"/>
    <w:rPr>
      <w:rFonts w:ascii="Courier New" w:hAnsi="Courier New" w:cs="Courier New"/>
    </w:rPr>
  </w:style>
  <w:style w:type="character" w:customStyle="1" w:styleId="WW8Num5z1">
    <w:name w:val="WW8Num5z1"/>
    <w:rsid w:val="009A6B10"/>
    <w:rPr>
      <w:rFonts w:ascii="Courier New" w:hAnsi="Courier New" w:cs="Courier New"/>
    </w:rPr>
  </w:style>
  <w:style w:type="character" w:customStyle="1" w:styleId="WW8Num6z1">
    <w:name w:val="WW8Num6z1"/>
    <w:rsid w:val="009A6B10"/>
    <w:rPr>
      <w:rFonts w:ascii="Courier New" w:hAnsi="Courier New" w:cs="Courier New"/>
    </w:rPr>
  </w:style>
  <w:style w:type="character" w:customStyle="1" w:styleId="WW8Num6z2">
    <w:name w:val="WW8Num6z2"/>
    <w:rsid w:val="009A6B10"/>
    <w:rPr>
      <w:rFonts w:ascii="Wingdings" w:hAnsi="Wingdings" w:cs="Wingdings"/>
    </w:rPr>
  </w:style>
  <w:style w:type="character" w:customStyle="1" w:styleId="WW8Num6z3">
    <w:name w:val="WW8Num6z3"/>
    <w:rsid w:val="009A6B10"/>
    <w:rPr>
      <w:rFonts w:ascii="Symbol" w:hAnsi="Symbol" w:cs="Symbol"/>
    </w:rPr>
  </w:style>
  <w:style w:type="character" w:customStyle="1" w:styleId="WW8Num7z1">
    <w:name w:val="WW8Num7z1"/>
    <w:rsid w:val="009A6B10"/>
    <w:rPr>
      <w:rFonts w:ascii="Courier New" w:hAnsi="Courier New" w:cs="Courier New"/>
    </w:rPr>
  </w:style>
  <w:style w:type="character" w:customStyle="1" w:styleId="WW8Num7z2">
    <w:name w:val="WW8Num7z2"/>
    <w:rsid w:val="009A6B10"/>
    <w:rPr>
      <w:rFonts w:ascii="Wingdings" w:hAnsi="Wingdings" w:cs="Wingdings"/>
    </w:rPr>
  </w:style>
  <w:style w:type="character" w:customStyle="1" w:styleId="WW8Num7z3">
    <w:name w:val="WW8Num7z3"/>
    <w:rsid w:val="009A6B10"/>
    <w:rPr>
      <w:rFonts w:ascii="Symbol" w:hAnsi="Symbol" w:cs="Symbol"/>
    </w:rPr>
  </w:style>
  <w:style w:type="character" w:customStyle="1" w:styleId="WW8Num9z1">
    <w:name w:val="WW8Num9z1"/>
    <w:rsid w:val="009A6B10"/>
    <w:rPr>
      <w:rFonts w:ascii="Wingdings" w:hAnsi="Wingdings" w:cs="Wingdings"/>
    </w:rPr>
  </w:style>
  <w:style w:type="character" w:customStyle="1" w:styleId="WW8Num9z4">
    <w:name w:val="WW8Num9z4"/>
    <w:rsid w:val="009A6B10"/>
    <w:rPr>
      <w:rFonts w:ascii="Courier New" w:hAnsi="Courier New" w:cs="Courier New"/>
    </w:rPr>
  </w:style>
  <w:style w:type="character" w:customStyle="1" w:styleId="WW8Num10z1">
    <w:name w:val="WW8Num10z1"/>
    <w:rsid w:val="009A6B10"/>
    <w:rPr>
      <w:rFonts w:ascii="Courier New" w:hAnsi="Courier New" w:cs="Courier New"/>
    </w:rPr>
  </w:style>
  <w:style w:type="character" w:customStyle="1" w:styleId="WW8Num10z2">
    <w:name w:val="WW8Num10z2"/>
    <w:rsid w:val="009A6B10"/>
    <w:rPr>
      <w:rFonts w:ascii="Wingdings" w:hAnsi="Wingdings" w:cs="Wingdings"/>
    </w:rPr>
  </w:style>
  <w:style w:type="character" w:customStyle="1" w:styleId="WW8Num11z1">
    <w:name w:val="WW8Num11z1"/>
    <w:rsid w:val="009A6B10"/>
    <w:rPr>
      <w:rFonts w:ascii="Symbol" w:hAnsi="Symbol" w:cs="Symbol"/>
    </w:rPr>
  </w:style>
  <w:style w:type="character" w:customStyle="1" w:styleId="WW8Num12z2">
    <w:name w:val="WW8Num12z2"/>
    <w:rsid w:val="009A6B10"/>
    <w:rPr>
      <w:rFonts w:ascii="Wingdings" w:hAnsi="Wingdings" w:cs="Wingdings"/>
    </w:rPr>
  </w:style>
  <w:style w:type="character" w:customStyle="1" w:styleId="WW8Num12z3">
    <w:name w:val="WW8Num12z3"/>
    <w:rsid w:val="009A6B10"/>
    <w:rPr>
      <w:rFonts w:ascii="Symbol" w:hAnsi="Symbol" w:cs="Symbol"/>
    </w:rPr>
  </w:style>
  <w:style w:type="character" w:customStyle="1" w:styleId="WW8Num12z4">
    <w:name w:val="WW8Num12z4"/>
    <w:rsid w:val="009A6B10"/>
    <w:rPr>
      <w:rFonts w:ascii="Courier New" w:hAnsi="Courier New" w:cs="Courier New"/>
    </w:rPr>
  </w:style>
  <w:style w:type="character" w:customStyle="1" w:styleId="WW8Num13z1">
    <w:name w:val="WW8Num13z1"/>
    <w:rsid w:val="009A6B10"/>
    <w:rPr>
      <w:rFonts w:ascii="Symbol" w:hAnsi="Symbol" w:cs="Symbol"/>
    </w:rPr>
  </w:style>
  <w:style w:type="character" w:customStyle="1" w:styleId="WW8Num14z1">
    <w:name w:val="WW8Num14z1"/>
    <w:rsid w:val="009A6B10"/>
    <w:rPr>
      <w:rFonts w:ascii="Courier New" w:hAnsi="Courier New" w:cs="Courier New"/>
    </w:rPr>
  </w:style>
  <w:style w:type="character" w:customStyle="1" w:styleId="WW8Num14z2">
    <w:name w:val="WW8Num14z2"/>
    <w:rsid w:val="009A6B10"/>
    <w:rPr>
      <w:rFonts w:ascii="Wingdings" w:hAnsi="Wingdings" w:cs="Wingdings"/>
    </w:rPr>
  </w:style>
  <w:style w:type="character" w:customStyle="1" w:styleId="WW8Num15z1">
    <w:name w:val="WW8Num15z1"/>
    <w:rsid w:val="009A6B10"/>
    <w:rPr>
      <w:rFonts w:ascii="Courier New" w:hAnsi="Courier New" w:cs="Courier New"/>
    </w:rPr>
  </w:style>
  <w:style w:type="character" w:customStyle="1" w:styleId="WW8Num15z2">
    <w:name w:val="WW8Num15z2"/>
    <w:rsid w:val="009A6B10"/>
    <w:rPr>
      <w:rFonts w:ascii="Wingdings" w:hAnsi="Wingdings" w:cs="Wingdings"/>
    </w:rPr>
  </w:style>
  <w:style w:type="character" w:customStyle="1" w:styleId="WW8Num15z3">
    <w:name w:val="WW8Num15z3"/>
    <w:rsid w:val="009A6B10"/>
    <w:rPr>
      <w:rFonts w:ascii="Symbol" w:hAnsi="Symbol" w:cs="Symbol"/>
    </w:rPr>
  </w:style>
  <w:style w:type="character" w:customStyle="1" w:styleId="WW8Num16z1">
    <w:name w:val="WW8Num16z1"/>
    <w:rsid w:val="009A6B10"/>
    <w:rPr>
      <w:rFonts w:ascii="Courier New" w:hAnsi="Courier New" w:cs="Courier New"/>
    </w:rPr>
  </w:style>
  <w:style w:type="character" w:customStyle="1" w:styleId="WW8Num16z3">
    <w:name w:val="WW8Num16z3"/>
    <w:rsid w:val="009A6B10"/>
    <w:rPr>
      <w:rFonts w:ascii="Symbol" w:hAnsi="Symbol" w:cs="Symbol"/>
    </w:rPr>
  </w:style>
  <w:style w:type="character" w:customStyle="1" w:styleId="WW8Num17z0">
    <w:name w:val="WW8Num17z0"/>
    <w:rsid w:val="009A6B10"/>
    <w:rPr>
      <w:rFonts w:ascii="Symbol" w:hAnsi="Symbol" w:cs="Symbol"/>
    </w:rPr>
  </w:style>
  <w:style w:type="character" w:customStyle="1" w:styleId="WW8Num17z1">
    <w:name w:val="WW8Num17z1"/>
    <w:rsid w:val="009A6B10"/>
    <w:rPr>
      <w:rFonts w:ascii="Times New Roman" w:eastAsia="Times New Roman" w:hAnsi="Times New Roman" w:cs="Times New Roman"/>
    </w:rPr>
  </w:style>
  <w:style w:type="character" w:customStyle="1" w:styleId="WW8Num17z2">
    <w:name w:val="WW8Num17z2"/>
    <w:rsid w:val="009A6B10"/>
    <w:rPr>
      <w:rFonts w:ascii="Wingdings" w:hAnsi="Wingdings" w:cs="Wingdings"/>
    </w:rPr>
  </w:style>
  <w:style w:type="character" w:customStyle="1" w:styleId="WW8Num17z4">
    <w:name w:val="WW8Num17z4"/>
    <w:rsid w:val="009A6B10"/>
    <w:rPr>
      <w:rFonts w:ascii="Courier New" w:hAnsi="Courier New" w:cs="Courier New"/>
    </w:rPr>
  </w:style>
  <w:style w:type="character" w:customStyle="1" w:styleId="WW8Num18z1">
    <w:name w:val="WW8Num18z1"/>
    <w:rsid w:val="009A6B10"/>
    <w:rPr>
      <w:rFonts w:ascii="Courier New" w:hAnsi="Courier New" w:cs="Courier New"/>
    </w:rPr>
  </w:style>
  <w:style w:type="character" w:customStyle="1" w:styleId="WW8Num18z2">
    <w:name w:val="WW8Num18z2"/>
    <w:rsid w:val="009A6B10"/>
    <w:rPr>
      <w:rFonts w:ascii="Wingdings" w:hAnsi="Wingdings" w:cs="Wingdings"/>
    </w:rPr>
  </w:style>
  <w:style w:type="character" w:customStyle="1" w:styleId="WW8Num19z1">
    <w:name w:val="WW8Num19z1"/>
    <w:rsid w:val="009A6B10"/>
    <w:rPr>
      <w:rFonts w:ascii="Courier New" w:hAnsi="Courier New" w:cs="Courier New"/>
    </w:rPr>
  </w:style>
  <w:style w:type="character" w:customStyle="1" w:styleId="WW8Num19z2">
    <w:name w:val="WW8Num19z2"/>
    <w:rsid w:val="009A6B10"/>
    <w:rPr>
      <w:rFonts w:ascii="Wingdings" w:hAnsi="Wingdings" w:cs="Wingdings"/>
    </w:rPr>
  </w:style>
  <w:style w:type="character" w:customStyle="1" w:styleId="WW8Num20z1">
    <w:name w:val="WW8Num20z1"/>
    <w:rsid w:val="009A6B10"/>
    <w:rPr>
      <w:rFonts w:ascii="Times New Roman" w:eastAsia="Times New Roman" w:hAnsi="Times New Roman" w:cs="Times New Roman"/>
    </w:rPr>
  </w:style>
  <w:style w:type="character" w:customStyle="1" w:styleId="WW8Num20z2">
    <w:name w:val="WW8Num20z2"/>
    <w:rsid w:val="009A6B10"/>
    <w:rPr>
      <w:rFonts w:ascii="Wingdings" w:hAnsi="Wingdings" w:cs="Wingdings"/>
    </w:rPr>
  </w:style>
  <w:style w:type="character" w:customStyle="1" w:styleId="WW8Num20z4">
    <w:name w:val="WW8Num20z4"/>
    <w:rsid w:val="009A6B10"/>
    <w:rPr>
      <w:rFonts w:ascii="Courier New" w:hAnsi="Courier New" w:cs="Courier New"/>
    </w:rPr>
  </w:style>
  <w:style w:type="character" w:customStyle="1" w:styleId="WW8Num22z1">
    <w:name w:val="WW8Num22z1"/>
    <w:rsid w:val="009A6B10"/>
    <w:rPr>
      <w:rFonts w:ascii="Courier New" w:hAnsi="Courier New" w:cs="Courier New"/>
    </w:rPr>
  </w:style>
  <w:style w:type="character" w:customStyle="1" w:styleId="WW8Num22z2">
    <w:name w:val="WW8Num22z2"/>
    <w:rsid w:val="009A6B10"/>
    <w:rPr>
      <w:rFonts w:ascii="Wingdings" w:hAnsi="Wingdings" w:cs="Wingdings"/>
    </w:rPr>
  </w:style>
  <w:style w:type="character" w:customStyle="1" w:styleId="WW8Num23z1">
    <w:name w:val="WW8Num23z1"/>
    <w:rsid w:val="009A6B10"/>
    <w:rPr>
      <w:rFonts w:cs="Times New Roman"/>
    </w:rPr>
  </w:style>
  <w:style w:type="character" w:customStyle="1" w:styleId="WW8Num24z1">
    <w:name w:val="WW8Num24z1"/>
    <w:rsid w:val="009A6B10"/>
    <w:rPr>
      <w:rFonts w:ascii="Times New Roman" w:eastAsia="Times New Roman" w:hAnsi="Times New Roman" w:cs="Times New Roman"/>
    </w:rPr>
  </w:style>
  <w:style w:type="character" w:customStyle="1" w:styleId="WW8Num24z2">
    <w:name w:val="WW8Num24z2"/>
    <w:rsid w:val="009A6B10"/>
    <w:rPr>
      <w:rFonts w:ascii="Wingdings" w:hAnsi="Wingdings" w:cs="Wingdings"/>
    </w:rPr>
  </w:style>
  <w:style w:type="character" w:customStyle="1" w:styleId="WW8Num24z4">
    <w:name w:val="WW8Num24z4"/>
    <w:rsid w:val="009A6B10"/>
    <w:rPr>
      <w:rFonts w:ascii="Courier New" w:hAnsi="Courier New" w:cs="Courier New"/>
    </w:rPr>
  </w:style>
  <w:style w:type="character" w:customStyle="1" w:styleId="WW8Num25z1">
    <w:name w:val="WW8Num25z1"/>
    <w:rsid w:val="009A6B10"/>
    <w:rPr>
      <w:rFonts w:ascii="Times New Roman" w:eastAsia="Times New Roman" w:hAnsi="Times New Roman" w:cs="Times New Roman"/>
    </w:rPr>
  </w:style>
  <w:style w:type="character" w:customStyle="1" w:styleId="WW8Num25z2">
    <w:name w:val="WW8Num25z2"/>
    <w:rsid w:val="009A6B10"/>
    <w:rPr>
      <w:rFonts w:ascii="Wingdings" w:hAnsi="Wingdings" w:cs="Wingdings"/>
    </w:rPr>
  </w:style>
  <w:style w:type="character" w:customStyle="1" w:styleId="WW8Num25z4">
    <w:name w:val="WW8Num25z4"/>
    <w:rsid w:val="009A6B10"/>
    <w:rPr>
      <w:rFonts w:ascii="Courier New" w:hAnsi="Courier New" w:cs="Courier New"/>
    </w:rPr>
  </w:style>
  <w:style w:type="character" w:customStyle="1" w:styleId="WW8Num26z1">
    <w:name w:val="WW8Num26z1"/>
    <w:rsid w:val="009A6B10"/>
    <w:rPr>
      <w:rFonts w:ascii="Courier New" w:hAnsi="Courier New" w:cs="Courier New"/>
    </w:rPr>
  </w:style>
  <w:style w:type="character" w:customStyle="1" w:styleId="WW8Num26z2">
    <w:name w:val="WW8Num26z2"/>
    <w:rsid w:val="009A6B10"/>
    <w:rPr>
      <w:rFonts w:ascii="Wingdings" w:hAnsi="Wingdings" w:cs="Wingdings"/>
    </w:rPr>
  </w:style>
  <w:style w:type="character" w:customStyle="1" w:styleId="WW8Num27z1">
    <w:name w:val="WW8Num27z1"/>
    <w:rsid w:val="009A6B10"/>
    <w:rPr>
      <w:rFonts w:ascii="Wingdings" w:hAnsi="Wingdings" w:cs="Wingdings"/>
    </w:rPr>
  </w:style>
  <w:style w:type="character" w:customStyle="1" w:styleId="WW8Num27z4">
    <w:name w:val="WW8Num27z4"/>
    <w:rsid w:val="009A6B10"/>
    <w:rPr>
      <w:rFonts w:ascii="Courier New" w:hAnsi="Courier New" w:cs="Courier New"/>
    </w:rPr>
  </w:style>
  <w:style w:type="character" w:customStyle="1" w:styleId="WW8Num28z1">
    <w:name w:val="WW8Num28z1"/>
    <w:rsid w:val="009A6B10"/>
    <w:rPr>
      <w:rFonts w:ascii="Courier New" w:hAnsi="Courier New" w:cs="Courier New"/>
    </w:rPr>
  </w:style>
  <w:style w:type="character" w:customStyle="1" w:styleId="WW8Num28z2">
    <w:name w:val="WW8Num28z2"/>
    <w:rsid w:val="009A6B10"/>
    <w:rPr>
      <w:rFonts w:ascii="Wingdings" w:hAnsi="Wingdings" w:cs="Wingdings"/>
    </w:rPr>
  </w:style>
  <w:style w:type="character" w:customStyle="1" w:styleId="WW8Num29z1">
    <w:name w:val="WW8Num29z1"/>
    <w:rsid w:val="009A6B10"/>
    <w:rPr>
      <w:rFonts w:ascii="Courier New" w:hAnsi="Courier New" w:cs="Courier New"/>
    </w:rPr>
  </w:style>
  <w:style w:type="character" w:customStyle="1" w:styleId="WW8Num29z2">
    <w:name w:val="WW8Num29z2"/>
    <w:rsid w:val="009A6B10"/>
    <w:rPr>
      <w:rFonts w:ascii="Wingdings" w:hAnsi="Wingdings" w:cs="Wingdings"/>
    </w:rPr>
  </w:style>
  <w:style w:type="character" w:customStyle="1" w:styleId="WW8Num30z2">
    <w:name w:val="WW8Num30z2"/>
    <w:rsid w:val="009A6B10"/>
    <w:rPr>
      <w:rFonts w:ascii="Times New Roman" w:eastAsia="Times New Roman" w:hAnsi="Times New Roman" w:cs="Times New Roman"/>
    </w:rPr>
  </w:style>
  <w:style w:type="character" w:customStyle="1" w:styleId="WW8Num30z4">
    <w:name w:val="WW8Num30z4"/>
    <w:rsid w:val="009A6B10"/>
    <w:rPr>
      <w:rFonts w:ascii="Courier New" w:hAnsi="Courier New" w:cs="Courier New"/>
    </w:rPr>
  </w:style>
  <w:style w:type="character" w:customStyle="1" w:styleId="WW8Num30z5">
    <w:name w:val="WW8Num30z5"/>
    <w:rsid w:val="009A6B10"/>
    <w:rPr>
      <w:rFonts w:ascii="Wingdings" w:hAnsi="Wingdings" w:cs="Wingdings"/>
    </w:rPr>
  </w:style>
  <w:style w:type="character" w:customStyle="1" w:styleId="WW8Num31z1">
    <w:name w:val="WW8Num31z1"/>
    <w:rsid w:val="009A6B10"/>
    <w:rPr>
      <w:rFonts w:ascii="Courier New" w:hAnsi="Courier New" w:cs="Courier New"/>
    </w:rPr>
  </w:style>
  <w:style w:type="character" w:customStyle="1" w:styleId="WW8Num31z2">
    <w:name w:val="WW8Num31z2"/>
    <w:rsid w:val="009A6B10"/>
    <w:rPr>
      <w:rFonts w:ascii="Wingdings" w:hAnsi="Wingdings" w:cs="Wingdings"/>
    </w:rPr>
  </w:style>
  <w:style w:type="character" w:customStyle="1" w:styleId="WW8Num32z1">
    <w:name w:val="WW8Num32z1"/>
    <w:rsid w:val="009A6B10"/>
    <w:rPr>
      <w:rFonts w:ascii="Symbol" w:hAnsi="Symbol" w:cs="Symbol"/>
      <w:color w:val="auto"/>
    </w:rPr>
  </w:style>
  <w:style w:type="character" w:customStyle="1" w:styleId="WW8Num32z3">
    <w:name w:val="WW8Num32z3"/>
    <w:rsid w:val="009A6B10"/>
    <w:rPr>
      <w:rFonts w:ascii="Symbol" w:hAnsi="Symbol" w:cs="Symbol"/>
    </w:rPr>
  </w:style>
  <w:style w:type="character" w:customStyle="1" w:styleId="WW8Num32z4">
    <w:name w:val="WW8Num32z4"/>
    <w:rsid w:val="009A6B10"/>
    <w:rPr>
      <w:rFonts w:ascii="Courier New" w:hAnsi="Courier New" w:cs="Courier New"/>
    </w:rPr>
  </w:style>
  <w:style w:type="character" w:customStyle="1" w:styleId="WW8Num33z1">
    <w:name w:val="WW8Num33z1"/>
    <w:rsid w:val="009A6B10"/>
    <w:rPr>
      <w:rFonts w:ascii="Courier New" w:hAnsi="Courier New" w:cs="Courier New"/>
    </w:rPr>
  </w:style>
  <w:style w:type="character" w:customStyle="1" w:styleId="WW8Num33z2">
    <w:name w:val="WW8Num33z2"/>
    <w:rsid w:val="009A6B10"/>
    <w:rPr>
      <w:rFonts w:ascii="Wingdings" w:hAnsi="Wingdings" w:cs="Wingdings"/>
    </w:rPr>
  </w:style>
  <w:style w:type="character" w:customStyle="1" w:styleId="WW8Num33z3">
    <w:name w:val="WW8Num33z3"/>
    <w:rsid w:val="009A6B10"/>
    <w:rPr>
      <w:rFonts w:ascii="Symbol" w:hAnsi="Symbol" w:cs="Symbol"/>
    </w:rPr>
  </w:style>
  <w:style w:type="character" w:customStyle="1" w:styleId="WW8Num34z1">
    <w:name w:val="WW8Num34z1"/>
    <w:rsid w:val="009A6B10"/>
    <w:rPr>
      <w:rFonts w:ascii="Courier New" w:hAnsi="Courier New" w:cs="Courier New"/>
    </w:rPr>
  </w:style>
  <w:style w:type="character" w:customStyle="1" w:styleId="WW8Num34z2">
    <w:name w:val="WW8Num34z2"/>
    <w:rsid w:val="009A6B10"/>
    <w:rPr>
      <w:rFonts w:ascii="Wingdings" w:hAnsi="Wingdings" w:cs="Wingdings"/>
    </w:rPr>
  </w:style>
  <w:style w:type="character" w:customStyle="1" w:styleId="WW8Num34z3">
    <w:name w:val="WW8Num34z3"/>
    <w:rsid w:val="009A6B10"/>
    <w:rPr>
      <w:rFonts w:ascii="Symbol" w:hAnsi="Symbol" w:cs="Symbol"/>
    </w:rPr>
  </w:style>
  <w:style w:type="character" w:customStyle="1" w:styleId="WW8Num35z1">
    <w:name w:val="WW8Num35z1"/>
    <w:rsid w:val="009A6B10"/>
    <w:rPr>
      <w:rFonts w:ascii="Courier New" w:hAnsi="Courier New" w:cs="Courier New"/>
    </w:rPr>
  </w:style>
  <w:style w:type="character" w:customStyle="1" w:styleId="WW8Num35z2">
    <w:name w:val="WW8Num35z2"/>
    <w:rsid w:val="009A6B10"/>
    <w:rPr>
      <w:rFonts w:ascii="Wingdings" w:hAnsi="Wingdings" w:cs="Wingdings"/>
    </w:rPr>
  </w:style>
  <w:style w:type="character" w:customStyle="1" w:styleId="WW8Num35z3">
    <w:name w:val="WW8Num35z3"/>
    <w:rsid w:val="009A6B10"/>
    <w:rPr>
      <w:rFonts w:ascii="Symbol" w:hAnsi="Symbol" w:cs="Symbol"/>
    </w:rPr>
  </w:style>
  <w:style w:type="character" w:customStyle="1" w:styleId="WW8Num36z1">
    <w:name w:val="WW8Num36z1"/>
    <w:rsid w:val="009A6B10"/>
    <w:rPr>
      <w:rFonts w:ascii="Courier New" w:hAnsi="Courier New" w:cs="Courier New"/>
    </w:rPr>
  </w:style>
  <w:style w:type="character" w:customStyle="1" w:styleId="WW8Num36z2">
    <w:name w:val="WW8Num36z2"/>
    <w:rsid w:val="009A6B10"/>
    <w:rPr>
      <w:rFonts w:ascii="Wingdings" w:hAnsi="Wingdings" w:cs="Wingdings"/>
    </w:rPr>
  </w:style>
  <w:style w:type="character" w:customStyle="1" w:styleId="WW8Num38z1">
    <w:name w:val="WW8Num38z1"/>
    <w:rsid w:val="009A6B10"/>
    <w:rPr>
      <w:rFonts w:ascii="Courier New" w:hAnsi="Courier New" w:cs="Courier New"/>
    </w:rPr>
  </w:style>
  <w:style w:type="character" w:customStyle="1" w:styleId="WW8Num38z2">
    <w:name w:val="WW8Num38z2"/>
    <w:rsid w:val="009A6B10"/>
    <w:rPr>
      <w:rFonts w:ascii="Wingdings" w:hAnsi="Wingdings" w:cs="Wingdings"/>
    </w:rPr>
  </w:style>
  <w:style w:type="character" w:customStyle="1" w:styleId="WW8Num39z1">
    <w:name w:val="WW8Num39z1"/>
    <w:rsid w:val="009A6B10"/>
    <w:rPr>
      <w:rFonts w:ascii="Courier New" w:hAnsi="Courier New" w:cs="Courier New"/>
    </w:rPr>
  </w:style>
  <w:style w:type="character" w:customStyle="1" w:styleId="WW8Num39z2">
    <w:name w:val="WW8Num39z2"/>
    <w:rsid w:val="009A6B10"/>
    <w:rPr>
      <w:rFonts w:ascii="Wingdings" w:hAnsi="Wingdings" w:cs="Wingdings"/>
    </w:rPr>
  </w:style>
  <w:style w:type="character" w:customStyle="1" w:styleId="WW8Num39z3">
    <w:name w:val="WW8Num39z3"/>
    <w:rsid w:val="009A6B10"/>
    <w:rPr>
      <w:rFonts w:ascii="Symbol" w:hAnsi="Symbol" w:cs="Symbol"/>
    </w:rPr>
  </w:style>
  <w:style w:type="character" w:customStyle="1" w:styleId="WW8Num40z1">
    <w:name w:val="WW8Num40z1"/>
    <w:rsid w:val="009A6B10"/>
    <w:rPr>
      <w:rFonts w:ascii="Courier New" w:hAnsi="Courier New" w:cs="Courier New"/>
    </w:rPr>
  </w:style>
  <w:style w:type="character" w:customStyle="1" w:styleId="WW8Num40z2">
    <w:name w:val="WW8Num40z2"/>
    <w:rsid w:val="009A6B10"/>
    <w:rPr>
      <w:rFonts w:ascii="Wingdings" w:hAnsi="Wingdings" w:cs="Wingdings"/>
    </w:rPr>
  </w:style>
  <w:style w:type="character" w:customStyle="1" w:styleId="WW8Num42z0">
    <w:name w:val="WW8Num42z0"/>
    <w:rsid w:val="009A6B10"/>
    <w:rPr>
      <w:rFonts w:ascii="Symbol" w:hAnsi="Symbol" w:cs="Symbol"/>
    </w:rPr>
  </w:style>
  <w:style w:type="character" w:customStyle="1" w:styleId="WW8Num42z1">
    <w:name w:val="WW8Num42z1"/>
    <w:rsid w:val="009A6B10"/>
    <w:rPr>
      <w:rFonts w:ascii="Courier New" w:hAnsi="Courier New" w:cs="Courier New"/>
    </w:rPr>
  </w:style>
  <w:style w:type="character" w:customStyle="1" w:styleId="WW8Num42z2">
    <w:name w:val="WW8Num42z2"/>
    <w:rsid w:val="009A6B10"/>
    <w:rPr>
      <w:rFonts w:ascii="Wingdings" w:hAnsi="Wingdings" w:cs="Wingdings"/>
    </w:rPr>
  </w:style>
  <w:style w:type="character" w:customStyle="1" w:styleId="WW8Num43z0">
    <w:name w:val="WW8Num43z0"/>
    <w:rsid w:val="009A6B10"/>
    <w:rPr>
      <w:rFonts w:ascii="Symbol" w:hAnsi="Symbol" w:cs="Symbol"/>
    </w:rPr>
  </w:style>
  <w:style w:type="character" w:customStyle="1" w:styleId="WW8Num43z1">
    <w:name w:val="WW8Num43z1"/>
    <w:rsid w:val="009A6B10"/>
    <w:rPr>
      <w:rFonts w:ascii="Courier New" w:hAnsi="Courier New" w:cs="Courier New"/>
    </w:rPr>
  </w:style>
  <w:style w:type="character" w:customStyle="1" w:styleId="WW8Num43z2">
    <w:name w:val="WW8Num43z2"/>
    <w:rsid w:val="009A6B10"/>
    <w:rPr>
      <w:rFonts w:ascii="Wingdings" w:hAnsi="Wingdings" w:cs="Wingdings"/>
    </w:rPr>
  </w:style>
  <w:style w:type="character" w:customStyle="1" w:styleId="WW8Num44z0">
    <w:name w:val="WW8Num44z0"/>
    <w:rsid w:val="009A6B10"/>
    <w:rPr>
      <w:rFonts w:ascii="Symbol" w:hAnsi="Symbol" w:cs="Symbol"/>
    </w:rPr>
  </w:style>
  <w:style w:type="character" w:customStyle="1" w:styleId="WW8Num44z1">
    <w:name w:val="WW8Num44z1"/>
    <w:rsid w:val="009A6B10"/>
    <w:rPr>
      <w:rFonts w:ascii="Courier New" w:hAnsi="Courier New" w:cs="Courier New"/>
    </w:rPr>
  </w:style>
  <w:style w:type="character" w:customStyle="1" w:styleId="WW8Num44z2">
    <w:name w:val="WW8Num44z2"/>
    <w:rsid w:val="009A6B10"/>
    <w:rPr>
      <w:rFonts w:ascii="Wingdings" w:hAnsi="Wingdings" w:cs="Wingdings"/>
    </w:rPr>
  </w:style>
  <w:style w:type="character" w:customStyle="1" w:styleId="WW8Num45z0">
    <w:name w:val="WW8Num45z0"/>
    <w:rsid w:val="009A6B10"/>
    <w:rPr>
      <w:rFonts w:ascii="Symbol" w:hAnsi="Symbol" w:cs="Symbol"/>
    </w:rPr>
  </w:style>
  <w:style w:type="character" w:customStyle="1" w:styleId="WW8Num45z1">
    <w:name w:val="WW8Num45z1"/>
    <w:rsid w:val="009A6B10"/>
    <w:rPr>
      <w:rFonts w:ascii="Courier New" w:hAnsi="Courier New" w:cs="Courier New"/>
    </w:rPr>
  </w:style>
  <w:style w:type="character" w:customStyle="1" w:styleId="WW8Num45z2">
    <w:name w:val="WW8Num45z2"/>
    <w:rsid w:val="009A6B10"/>
    <w:rPr>
      <w:rFonts w:ascii="Wingdings" w:hAnsi="Wingdings" w:cs="Wingdings"/>
    </w:rPr>
  </w:style>
  <w:style w:type="character" w:customStyle="1" w:styleId="WW8Num46z0">
    <w:name w:val="WW8Num46z0"/>
    <w:rsid w:val="009A6B10"/>
    <w:rPr>
      <w:rFonts w:ascii="Symbol" w:hAnsi="Symbol" w:cs="Symbol"/>
    </w:rPr>
  </w:style>
  <w:style w:type="character" w:customStyle="1" w:styleId="WW8Num46z1">
    <w:name w:val="WW8Num46z1"/>
    <w:rsid w:val="009A6B10"/>
    <w:rPr>
      <w:rFonts w:ascii="Courier New" w:hAnsi="Courier New" w:cs="Courier New"/>
    </w:rPr>
  </w:style>
  <w:style w:type="character" w:customStyle="1" w:styleId="WW8Num46z2">
    <w:name w:val="WW8Num46z2"/>
    <w:rsid w:val="009A6B10"/>
    <w:rPr>
      <w:rFonts w:ascii="Wingdings" w:hAnsi="Wingdings" w:cs="Wingdings"/>
    </w:rPr>
  </w:style>
  <w:style w:type="character" w:customStyle="1" w:styleId="WW8Num47z0">
    <w:name w:val="WW8Num47z0"/>
    <w:rsid w:val="009A6B10"/>
    <w:rPr>
      <w:rFonts w:ascii="Times New Roman" w:eastAsia="Times New Roman" w:hAnsi="Times New Roman" w:cs="Times New Roman"/>
    </w:rPr>
  </w:style>
  <w:style w:type="character" w:customStyle="1" w:styleId="WW8Num47z1">
    <w:name w:val="WW8Num47z1"/>
    <w:rsid w:val="009A6B10"/>
    <w:rPr>
      <w:rFonts w:ascii="Courier New" w:hAnsi="Courier New" w:cs="Courier New"/>
    </w:rPr>
  </w:style>
  <w:style w:type="character" w:customStyle="1" w:styleId="WW8Num47z2">
    <w:name w:val="WW8Num47z2"/>
    <w:rsid w:val="009A6B10"/>
    <w:rPr>
      <w:rFonts w:ascii="Wingdings" w:hAnsi="Wingdings" w:cs="Wingdings"/>
    </w:rPr>
  </w:style>
  <w:style w:type="character" w:customStyle="1" w:styleId="WW8Num47z3">
    <w:name w:val="WW8Num47z3"/>
    <w:rsid w:val="009A6B10"/>
    <w:rPr>
      <w:rFonts w:ascii="Symbol" w:hAnsi="Symbol" w:cs="Symbol"/>
    </w:rPr>
  </w:style>
  <w:style w:type="character" w:customStyle="1" w:styleId="WW8Num48z0">
    <w:name w:val="WW8Num48z0"/>
    <w:rsid w:val="009A6B10"/>
    <w:rPr>
      <w:rFonts w:ascii="Courier New" w:hAnsi="Courier New" w:cs="Courier New"/>
      <w:color w:val="auto"/>
    </w:rPr>
  </w:style>
  <w:style w:type="character" w:customStyle="1" w:styleId="WW8Num48z1">
    <w:name w:val="WW8Num48z1"/>
    <w:rsid w:val="009A6B10"/>
    <w:rPr>
      <w:rFonts w:ascii="Symbol" w:hAnsi="Symbol" w:cs="Symbol"/>
      <w:color w:val="auto"/>
    </w:rPr>
  </w:style>
  <w:style w:type="character" w:customStyle="1" w:styleId="WW8Num48z2">
    <w:name w:val="WW8Num48z2"/>
    <w:rsid w:val="009A6B10"/>
    <w:rPr>
      <w:rFonts w:ascii="Wingdings" w:hAnsi="Wingdings" w:cs="Wingdings"/>
    </w:rPr>
  </w:style>
  <w:style w:type="character" w:customStyle="1" w:styleId="WW8Num48z3">
    <w:name w:val="WW8Num48z3"/>
    <w:rsid w:val="009A6B10"/>
    <w:rPr>
      <w:rFonts w:ascii="Symbol" w:hAnsi="Symbol" w:cs="Symbol"/>
    </w:rPr>
  </w:style>
  <w:style w:type="character" w:customStyle="1" w:styleId="WW8Num48z4">
    <w:name w:val="WW8Num48z4"/>
    <w:rsid w:val="009A6B10"/>
    <w:rPr>
      <w:rFonts w:ascii="Courier New" w:hAnsi="Courier New" w:cs="Courier New"/>
    </w:rPr>
  </w:style>
  <w:style w:type="character" w:customStyle="1" w:styleId="Predvolenpsmoodseku1">
    <w:name w:val="Predvolené písmo odseku1"/>
    <w:rsid w:val="009A6B10"/>
  </w:style>
  <w:style w:type="character" w:customStyle="1" w:styleId="Znakyprepoznmkupodiarou">
    <w:name w:val="Znaky pre poznámku pod čiarou"/>
    <w:rsid w:val="009A6B10"/>
    <w:rPr>
      <w:vertAlign w:val="superscript"/>
    </w:rPr>
  </w:style>
  <w:style w:type="character" w:customStyle="1" w:styleId="Odkaznakomentr1">
    <w:name w:val="Odkaz na komentár1"/>
    <w:rsid w:val="009A6B10"/>
    <w:rPr>
      <w:sz w:val="16"/>
      <w:szCs w:val="16"/>
    </w:rPr>
  </w:style>
  <w:style w:type="character" w:customStyle="1" w:styleId="Znakyprevysvetlivky">
    <w:name w:val="Znaky pre vysvetlivky"/>
    <w:rsid w:val="009A6B10"/>
    <w:rPr>
      <w:vertAlign w:val="superscript"/>
    </w:rPr>
  </w:style>
  <w:style w:type="character" w:customStyle="1" w:styleId="WW-Znakyprevysvetlivky">
    <w:name w:val="WW-Znaky pre vysvetlivky"/>
    <w:rsid w:val="009A6B10"/>
  </w:style>
  <w:style w:type="paragraph" w:customStyle="1" w:styleId="Nadpis">
    <w:name w:val="Nadpis"/>
    <w:basedOn w:val="Normlny"/>
    <w:next w:val="Zkladntext"/>
    <w:rsid w:val="009A6B10"/>
    <w:pPr>
      <w:suppressAutoHyphens/>
      <w:jc w:val="center"/>
    </w:pPr>
    <w:rPr>
      <w:sz w:val="28"/>
      <w:szCs w:val="20"/>
      <w:lang w:eastAsia="zh-CN"/>
    </w:rPr>
  </w:style>
  <w:style w:type="paragraph" w:styleId="Zoznam">
    <w:name w:val="List"/>
    <w:basedOn w:val="Zkladntext"/>
    <w:rsid w:val="009A6B10"/>
    <w:pPr>
      <w:suppressAutoHyphens/>
    </w:pPr>
    <w:rPr>
      <w:rFonts w:cs="Lohit Hindi"/>
      <w:lang w:eastAsia="zh-CN"/>
    </w:rPr>
  </w:style>
  <w:style w:type="paragraph" w:customStyle="1" w:styleId="Index">
    <w:name w:val="Index"/>
    <w:basedOn w:val="Normlny"/>
    <w:rsid w:val="009A6B10"/>
    <w:pPr>
      <w:suppressLineNumbers/>
      <w:suppressAutoHyphens/>
    </w:pPr>
    <w:rPr>
      <w:rFonts w:cs="Lohit Hindi"/>
      <w:lang w:eastAsia="zh-CN"/>
    </w:rPr>
  </w:style>
  <w:style w:type="paragraph" w:customStyle="1" w:styleId="Zkladntext21">
    <w:name w:val="Základný text 21"/>
    <w:basedOn w:val="Normlny"/>
    <w:rsid w:val="009A6B10"/>
    <w:pPr>
      <w:suppressAutoHyphens/>
    </w:pPr>
    <w:rPr>
      <w:b/>
      <w:bCs/>
      <w:lang w:eastAsia="zh-CN"/>
    </w:rPr>
  </w:style>
  <w:style w:type="paragraph" w:customStyle="1" w:styleId="Zkladntext31">
    <w:name w:val="Základný text 31"/>
    <w:basedOn w:val="Normlny"/>
    <w:rsid w:val="009A6B10"/>
    <w:pPr>
      <w:suppressAutoHyphens/>
      <w:jc w:val="both"/>
    </w:pPr>
    <w:rPr>
      <w:b/>
      <w:bCs/>
      <w:lang w:eastAsia="zh-CN"/>
    </w:rPr>
  </w:style>
  <w:style w:type="paragraph" w:customStyle="1" w:styleId="Zarkazkladnhotextu31">
    <w:name w:val="Zarážka základného textu 31"/>
    <w:basedOn w:val="Normlny"/>
    <w:rsid w:val="009A6B10"/>
    <w:pPr>
      <w:suppressAutoHyphens/>
      <w:ind w:right="23" w:firstLine="360"/>
      <w:jc w:val="both"/>
    </w:pPr>
    <w:rPr>
      <w:lang w:eastAsia="zh-CN"/>
    </w:rPr>
  </w:style>
  <w:style w:type="paragraph" w:customStyle="1" w:styleId="Zarkazkladnhotextu21">
    <w:name w:val="Zarážka základného textu 21"/>
    <w:basedOn w:val="Normlny"/>
    <w:rsid w:val="009A6B10"/>
    <w:pPr>
      <w:suppressAutoHyphens/>
      <w:spacing w:line="360" w:lineRule="auto"/>
      <w:ind w:firstLine="709"/>
      <w:jc w:val="both"/>
    </w:pPr>
    <w:rPr>
      <w:lang w:eastAsia="zh-CN"/>
    </w:rPr>
  </w:style>
  <w:style w:type="paragraph" w:customStyle="1" w:styleId="Textkomentra1">
    <w:name w:val="Text komentára1"/>
    <w:basedOn w:val="Normlny"/>
    <w:rsid w:val="009A6B10"/>
    <w:pPr>
      <w:suppressAutoHyphens/>
    </w:pPr>
    <w:rPr>
      <w:sz w:val="20"/>
      <w:szCs w:val="20"/>
      <w:lang w:val="cs-CZ" w:eastAsia="zh-CN"/>
    </w:rPr>
  </w:style>
  <w:style w:type="paragraph" w:customStyle="1" w:styleId="Normlny2">
    <w:name w:val="Normálny2"/>
    <w:rsid w:val="009A6B10"/>
    <w:pPr>
      <w:suppressAutoHyphens/>
      <w:autoSpaceDE w:val="0"/>
    </w:pPr>
    <w:rPr>
      <w:rFonts w:ascii="Arial" w:hAnsi="Arial" w:cs="Arial"/>
      <w:color w:val="000000"/>
      <w:sz w:val="24"/>
      <w:szCs w:val="24"/>
      <w:lang w:eastAsia="zh-CN"/>
    </w:rPr>
  </w:style>
  <w:style w:type="paragraph" w:customStyle="1" w:styleId="slovanzoznam1">
    <w:name w:val="Číslovaný zoznam1"/>
    <w:basedOn w:val="Normlny"/>
    <w:rsid w:val="009A6B10"/>
    <w:pPr>
      <w:numPr>
        <w:numId w:val="2"/>
      </w:numPr>
      <w:suppressAutoHyphens/>
      <w:spacing w:before="120" w:after="120"/>
      <w:jc w:val="both"/>
    </w:pPr>
    <w:rPr>
      <w:lang w:eastAsia="zh-CN"/>
    </w:rPr>
  </w:style>
  <w:style w:type="paragraph" w:customStyle="1" w:styleId="Obsahtabuky">
    <w:name w:val="Obsah tabuľky"/>
    <w:basedOn w:val="Normlny"/>
    <w:rsid w:val="009A6B10"/>
    <w:pPr>
      <w:suppressLineNumbers/>
      <w:suppressAutoHyphens/>
    </w:pPr>
    <w:rPr>
      <w:lang w:eastAsia="zh-CN"/>
    </w:rPr>
  </w:style>
  <w:style w:type="paragraph" w:customStyle="1" w:styleId="Nadpistabuky">
    <w:name w:val="Nadpis tabuľky"/>
    <w:basedOn w:val="Obsahtabuky"/>
    <w:rsid w:val="009A6B10"/>
    <w:pPr>
      <w:jc w:val="center"/>
    </w:pPr>
    <w:rPr>
      <w:b/>
      <w:bCs/>
    </w:rPr>
  </w:style>
  <w:style w:type="paragraph" w:customStyle="1" w:styleId="Obsahrmca">
    <w:name w:val="Obsah rámca"/>
    <w:basedOn w:val="Zkladntext"/>
    <w:rsid w:val="009A6B10"/>
    <w:pPr>
      <w:suppressAutoHyphens/>
    </w:pPr>
    <w:rPr>
      <w:lang w:eastAsia="zh-CN"/>
    </w:rPr>
  </w:style>
  <w:style w:type="paragraph" w:customStyle="1" w:styleId="Odsekzoznamu10">
    <w:name w:val="Odsek zoznamu1"/>
    <w:basedOn w:val="Normlny"/>
    <w:qFormat/>
    <w:rsid w:val="009A6B10"/>
    <w:pPr>
      <w:ind w:left="708"/>
    </w:pPr>
  </w:style>
  <w:style w:type="character" w:customStyle="1" w:styleId="atn">
    <w:name w:val="atn"/>
    <w:rsid w:val="009A6B10"/>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lny"/>
    <w:rsid w:val="009A6B10"/>
    <w:rPr>
      <w:rFonts w:ascii="Verdana" w:hAnsi="Verdana"/>
      <w:sz w:val="20"/>
      <w:lang w:eastAsia="cs-CZ"/>
    </w:rPr>
  </w:style>
  <w:style w:type="paragraph" w:customStyle="1" w:styleId="Style5">
    <w:name w:val="Style5"/>
    <w:basedOn w:val="Normlny"/>
    <w:rsid w:val="009A6B10"/>
    <w:pPr>
      <w:autoSpaceDE w:val="0"/>
      <w:autoSpaceDN w:val="0"/>
      <w:spacing w:line="279" w:lineRule="exact"/>
      <w:ind w:hanging="706"/>
      <w:jc w:val="both"/>
    </w:pPr>
    <w:rPr>
      <w:rFonts w:ascii="Georgia" w:hAnsi="Georgia"/>
    </w:rPr>
  </w:style>
  <w:style w:type="character" w:customStyle="1" w:styleId="FontStyle18">
    <w:name w:val="Font Style18"/>
    <w:rsid w:val="009A6B10"/>
    <w:rPr>
      <w:rFonts w:ascii="Times New Roman" w:hAnsi="Times New Roman" w:cs="Times New Roman" w:hint="default"/>
      <w:color w:val="00000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lny"/>
    <w:rsid w:val="009A6B10"/>
    <w:rPr>
      <w:rFonts w:ascii="Verdana" w:hAnsi="Verdana"/>
      <w:sz w:val="20"/>
      <w:lang w:eastAsia="cs-CZ"/>
    </w:rPr>
  </w:style>
  <w:style w:type="character" w:customStyle="1" w:styleId="mesghilite21">
    <w:name w:val="mesg_hilite21"/>
    <w:rsid w:val="009A6B10"/>
    <w:rPr>
      <w:sz w:val="18"/>
      <w:szCs w:val="18"/>
      <w:shd w:val="clear" w:color="auto" w:fill="FFA0A0"/>
    </w:rPr>
  </w:style>
  <w:style w:type="paragraph" w:customStyle="1" w:styleId="Char">
    <w:name w:val="Char"/>
    <w:basedOn w:val="Normlny"/>
    <w:rsid w:val="005255F6"/>
    <w:pPr>
      <w:numPr>
        <w:numId w:val="24"/>
      </w:numPr>
      <w:tabs>
        <w:tab w:val="clear" w:pos="1417"/>
      </w:tabs>
      <w:spacing w:after="160" w:line="240" w:lineRule="exact"/>
      <w:ind w:left="0" w:firstLine="0"/>
    </w:pPr>
    <w:rPr>
      <w:rFonts w:ascii="Tahoma" w:hAnsi="Tahoma" w:cs="Tahoma"/>
      <w:sz w:val="20"/>
      <w:szCs w:val="20"/>
      <w:lang w:val="en-US" w:eastAsia="en-US"/>
    </w:rPr>
  </w:style>
  <w:style w:type="paragraph" w:customStyle="1" w:styleId="NormalPROEN">
    <w:name w:val="Normal PROEN"/>
    <w:basedOn w:val="Normlny"/>
    <w:rsid w:val="009A6B10"/>
    <w:pPr>
      <w:spacing w:before="120"/>
      <w:jc w:val="both"/>
    </w:pPr>
    <w:rPr>
      <w:rFonts w:eastAsia="Calibri"/>
      <w:szCs w:val="20"/>
      <w:lang w:eastAsia="cs-CZ"/>
    </w:rPr>
  </w:style>
  <w:style w:type="paragraph" w:customStyle="1" w:styleId="Text1">
    <w:name w:val="Text 1"/>
    <w:basedOn w:val="Normlny"/>
    <w:rsid w:val="009A6B10"/>
    <w:pPr>
      <w:spacing w:before="120" w:after="120" w:line="360" w:lineRule="auto"/>
      <w:ind w:left="850"/>
    </w:pPr>
    <w:rPr>
      <w:lang w:eastAsia="en-US"/>
    </w:rPr>
  </w:style>
  <w:style w:type="paragraph" w:customStyle="1" w:styleId="CM1">
    <w:name w:val="CM1"/>
    <w:basedOn w:val="Normlny"/>
    <w:next w:val="Normlny"/>
    <w:rsid w:val="009A6B10"/>
    <w:pPr>
      <w:autoSpaceDE w:val="0"/>
      <w:autoSpaceDN w:val="0"/>
      <w:adjustRightInd w:val="0"/>
    </w:pPr>
    <w:rPr>
      <w:rFonts w:ascii="EUAlbertina" w:hAnsi="EUAlbertina"/>
    </w:rPr>
  </w:style>
  <w:style w:type="paragraph" w:customStyle="1" w:styleId="CM3">
    <w:name w:val="CM3"/>
    <w:basedOn w:val="Normlny"/>
    <w:next w:val="Normlny"/>
    <w:rsid w:val="009A6B10"/>
    <w:pPr>
      <w:autoSpaceDE w:val="0"/>
      <w:autoSpaceDN w:val="0"/>
      <w:adjustRightInd w:val="0"/>
    </w:pPr>
    <w:rPr>
      <w:rFonts w:ascii="EUAlbertina" w:hAnsi="EUAlbertina"/>
    </w:rPr>
  </w:style>
  <w:style w:type="paragraph" w:customStyle="1" w:styleId="Bullet1">
    <w:name w:val="Bullet 1"/>
    <w:basedOn w:val="Normlny"/>
    <w:rsid w:val="009A6B10"/>
    <w:pPr>
      <w:numPr>
        <w:numId w:val="8"/>
      </w:numPr>
      <w:spacing w:before="120" w:after="120"/>
      <w:jc w:val="both"/>
    </w:pPr>
    <w:rPr>
      <w:lang w:eastAsia="en-US"/>
    </w:rPr>
  </w:style>
  <w:style w:type="paragraph" w:styleId="Obyajntext">
    <w:name w:val="Plain Text"/>
    <w:basedOn w:val="Normlny"/>
    <w:link w:val="ObyajntextChar"/>
    <w:unhideWhenUsed/>
    <w:rsid w:val="009A6B10"/>
    <w:rPr>
      <w:rFonts w:ascii="Consolas" w:eastAsia="Calibri" w:hAnsi="Consolas"/>
      <w:sz w:val="21"/>
      <w:szCs w:val="21"/>
      <w:lang w:eastAsia="en-US"/>
    </w:rPr>
  </w:style>
  <w:style w:type="character" w:customStyle="1" w:styleId="ObyajntextChar">
    <w:name w:val="Obyčajný text Char"/>
    <w:link w:val="Obyajntext"/>
    <w:rsid w:val="009A6B10"/>
    <w:rPr>
      <w:rFonts w:ascii="Consolas" w:eastAsia="Calibri" w:hAnsi="Consolas"/>
      <w:sz w:val="21"/>
      <w:szCs w:val="21"/>
      <w:lang w:eastAsia="en-US"/>
    </w:rPr>
  </w:style>
  <w:style w:type="character" w:customStyle="1" w:styleId="Heading1Char">
    <w:name w:val="Heading 1 Char"/>
    <w:locked/>
    <w:rsid w:val="009A6B10"/>
    <w:rPr>
      <w:rFonts w:ascii="Cambria" w:hAnsi="Cambria" w:cs="Arial"/>
      <w:b/>
      <w:bCs/>
      <w:kern w:val="32"/>
      <w:sz w:val="32"/>
      <w:szCs w:val="32"/>
      <w:lang w:val="x-none" w:eastAsia="en-US"/>
    </w:rPr>
  </w:style>
  <w:style w:type="character" w:customStyle="1" w:styleId="TitleChar">
    <w:name w:val="Title Char"/>
    <w:locked/>
    <w:rsid w:val="009A6B10"/>
    <w:rPr>
      <w:rFonts w:ascii="Cambria" w:hAnsi="Cambria" w:cs="Times New Roman"/>
      <w:b/>
      <w:bCs/>
      <w:kern w:val="28"/>
      <w:sz w:val="32"/>
      <w:szCs w:val="32"/>
      <w:lang w:val="x-none" w:eastAsia="en-US"/>
    </w:rPr>
  </w:style>
  <w:style w:type="paragraph" w:styleId="Podtitul">
    <w:name w:val="Subtitle"/>
    <w:basedOn w:val="Normlny"/>
    <w:next w:val="Normlny"/>
    <w:link w:val="PodtitulChar"/>
    <w:qFormat/>
    <w:rsid w:val="009A6B10"/>
    <w:pPr>
      <w:spacing w:after="60"/>
      <w:jc w:val="center"/>
      <w:outlineLvl w:val="1"/>
    </w:pPr>
    <w:rPr>
      <w:rFonts w:ascii="Cambria" w:eastAsia="SimSun" w:hAnsi="Cambria"/>
      <w:lang w:eastAsia="en-US"/>
    </w:rPr>
  </w:style>
  <w:style w:type="character" w:customStyle="1" w:styleId="PodtitulChar">
    <w:name w:val="Podtitul Char"/>
    <w:link w:val="Podtitul"/>
    <w:rsid w:val="009A6B10"/>
    <w:rPr>
      <w:rFonts w:ascii="Cambria" w:eastAsia="SimSun" w:hAnsi="Cambria"/>
      <w:sz w:val="24"/>
      <w:szCs w:val="24"/>
      <w:lang w:eastAsia="en-US"/>
    </w:rPr>
  </w:style>
  <w:style w:type="character" w:styleId="Zvraznenie">
    <w:name w:val="Emphasis"/>
    <w:qFormat/>
    <w:rsid w:val="009A6B10"/>
    <w:rPr>
      <w:rFonts w:ascii="Calibri" w:hAnsi="Calibri" w:cs="Times New Roman"/>
      <w:b/>
      <w:i/>
      <w:iCs/>
    </w:rPr>
  </w:style>
  <w:style w:type="paragraph" w:customStyle="1" w:styleId="Citcia1">
    <w:name w:val="Citácia1"/>
    <w:basedOn w:val="Normlny"/>
    <w:next w:val="Normlny"/>
    <w:link w:val="QuoteChar"/>
    <w:rsid w:val="009A6B10"/>
    <w:rPr>
      <w:rFonts w:ascii="Calibri" w:eastAsia="PMingLiU" w:hAnsi="Calibri"/>
      <w:i/>
      <w:lang w:eastAsia="en-US"/>
    </w:rPr>
  </w:style>
  <w:style w:type="character" w:customStyle="1" w:styleId="QuoteChar">
    <w:name w:val="Quote Char"/>
    <w:link w:val="Citcia1"/>
    <w:locked/>
    <w:rsid w:val="009A6B10"/>
    <w:rPr>
      <w:rFonts w:ascii="Calibri" w:eastAsia="PMingLiU" w:hAnsi="Calibri"/>
      <w:i/>
      <w:sz w:val="24"/>
      <w:szCs w:val="24"/>
      <w:lang w:eastAsia="en-US"/>
    </w:rPr>
  </w:style>
  <w:style w:type="paragraph" w:customStyle="1" w:styleId="Zvraznencitcia1">
    <w:name w:val="Zvýraznená citácia1"/>
    <w:basedOn w:val="Normlny"/>
    <w:next w:val="Normlny"/>
    <w:link w:val="IntenseQuoteChar"/>
    <w:rsid w:val="009A6B10"/>
    <w:pPr>
      <w:ind w:left="720" w:right="720"/>
    </w:pPr>
    <w:rPr>
      <w:rFonts w:ascii="Calibri" w:eastAsia="PMingLiU" w:hAnsi="Calibri"/>
      <w:b/>
      <w:i/>
      <w:szCs w:val="22"/>
      <w:lang w:eastAsia="en-US"/>
    </w:rPr>
  </w:style>
  <w:style w:type="character" w:customStyle="1" w:styleId="IntenseQuoteChar">
    <w:name w:val="Intense Quote Char"/>
    <w:link w:val="Zvraznencitcia1"/>
    <w:locked/>
    <w:rsid w:val="009A6B10"/>
    <w:rPr>
      <w:rFonts w:ascii="Calibri" w:eastAsia="PMingLiU" w:hAnsi="Calibri"/>
      <w:b/>
      <w:i/>
      <w:sz w:val="24"/>
      <w:szCs w:val="22"/>
      <w:lang w:eastAsia="en-US"/>
    </w:rPr>
  </w:style>
  <w:style w:type="character" w:customStyle="1" w:styleId="Jemnzvraznenie1">
    <w:name w:val="Jemné zvýraznenie1"/>
    <w:rsid w:val="009A6B10"/>
    <w:rPr>
      <w:rFonts w:cs="Times New Roman"/>
      <w:i/>
      <w:color w:val="5A5A5A"/>
    </w:rPr>
  </w:style>
  <w:style w:type="character" w:customStyle="1" w:styleId="Intenzvnezvraznenie1">
    <w:name w:val="Intenzívne zvýraznenie1"/>
    <w:rsid w:val="009A6B10"/>
    <w:rPr>
      <w:rFonts w:cs="Times New Roman"/>
      <w:b/>
      <w:i/>
      <w:sz w:val="24"/>
      <w:szCs w:val="24"/>
      <w:u w:val="single"/>
    </w:rPr>
  </w:style>
  <w:style w:type="character" w:customStyle="1" w:styleId="Jemnodkaz1">
    <w:name w:val="Jemný odkaz1"/>
    <w:rsid w:val="009A6B10"/>
    <w:rPr>
      <w:rFonts w:cs="Times New Roman"/>
      <w:sz w:val="24"/>
      <w:szCs w:val="24"/>
      <w:u w:val="single"/>
    </w:rPr>
  </w:style>
  <w:style w:type="character" w:customStyle="1" w:styleId="Intenzvnyodkaz1">
    <w:name w:val="Intenzívny odkaz1"/>
    <w:rsid w:val="009A6B10"/>
    <w:rPr>
      <w:rFonts w:cs="Times New Roman"/>
      <w:b/>
      <w:sz w:val="24"/>
      <w:u w:val="single"/>
    </w:rPr>
  </w:style>
  <w:style w:type="character" w:customStyle="1" w:styleId="Nzovknihy1">
    <w:name w:val="Názov knihy1"/>
    <w:rsid w:val="009A6B10"/>
    <w:rPr>
      <w:rFonts w:ascii="Cambria" w:hAnsi="Cambria" w:cs="Times New Roman"/>
      <w:b/>
      <w:i/>
      <w:sz w:val="24"/>
      <w:szCs w:val="24"/>
    </w:rPr>
  </w:style>
  <w:style w:type="paragraph" w:customStyle="1" w:styleId="Hlavikaobsahu1">
    <w:name w:val="Hlavička obsahu1"/>
    <w:basedOn w:val="Nadpis1"/>
    <w:next w:val="Normlny"/>
    <w:rsid w:val="009A6B10"/>
    <w:pPr>
      <w:keepNext/>
      <w:numPr>
        <w:numId w:val="0"/>
      </w:numPr>
      <w:spacing w:before="240" w:after="60" w:line="240" w:lineRule="auto"/>
      <w:outlineLvl w:val="9"/>
    </w:pPr>
    <w:rPr>
      <w:rFonts w:ascii="Cambria" w:eastAsia="SimSun" w:hAnsi="Cambria" w:cs="Times New Roman"/>
      <w:b/>
      <w:bCs/>
      <w:smallCaps w:val="0"/>
      <w:spacing w:val="0"/>
      <w:kern w:val="32"/>
      <w:lang w:eastAsia="en-US"/>
    </w:rPr>
  </w:style>
  <w:style w:type="paragraph" w:customStyle="1" w:styleId="BodyText31">
    <w:name w:val="Body Text 31"/>
    <w:basedOn w:val="Normlny"/>
    <w:rsid w:val="009A6B10"/>
    <w:pPr>
      <w:widowControl w:val="0"/>
      <w:autoSpaceDE w:val="0"/>
      <w:autoSpaceDN w:val="0"/>
      <w:jc w:val="both"/>
    </w:pPr>
    <w:rPr>
      <w:rFonts w:ascii="Arial" w:eastAsia="SimSun" w:hAnsi="Arial" w:cs="Arial"/>
      <w:b/>
      <w:bCs/>
      <w:sz w:val="28"/>
      <w:szCs w:val="28"/>
    </w:rPr>
  </w:style>
  <w:style w:type="character" w:customStyle="1" w:styleId="BodyTextIndentChar">
    <w:name w:val="Body Text Indent Char"/>
    <w:locked/>
    <w:rsid w:val="009A6B10"/>
    <w:rPr>
      <w:rFonts w:ascii="Calibri" w:eastAsia="PMingLiU" w:hAnsi="Calibri" w:cs="Times New Roman"/>
      <w:sz w:val="24"/>
      <w:szCs w:val="24"/>
      <w:lang w:val="x-none" w:eastAsia="en-US"/>
    </w:rPr>
  </w:style>
  <w:style w:type="character" w:customStyle="1" w:styleId="BodyTextChar">
    <w:name w:val="Body Text Char"/>
    <w:locked/>
    <w:rsid w:val="009A6B10"/>
    <w:rPr>
      <w:rFonts w:ascii="Times New Roman" w:hAnsi="Times New Roman" w:cs="Times New Roman"/>
      <w:sz w:val="24"/>
      <w:szCs w:val="24"/>
      <w:lang w:val="x-none" w:eastAsia="sk-SK"/>
    </w:rPr>
  </w:style>
  <w:style w:type="paragraph" w:customStyle="1" w:styleId="titulok">
    <w:name w:val="titulok"/>
    <w:basedOn w:val="Normlny"/>
    <w:rsid w:val="009A6B10"/>
    <w:pPr>
      <w:spacing w:before="100" w:beforeAutospacing="1" w:after="100" w:afterAutospacing="1"/>
    </w:pPr>
    <w:rPr>
      <w:rFonts w:eastAsia="SimSun"/>
    </w:rPr>
  </w:style>
  <w:style w:type="paragraph" w:styleId="Pokraovaniezoznamu">
    <w:name w:val="List Continue"/>
    <w:basedOn w:val="Normlny"/>
    <w:rsid w:val="009A6B10"/>
    <w:pPr>
      <w:autoSpaceDE w:val="0"/>
      <w:autoSpaceDN w:val="0"/>
      <w:spacing w:after="120"/>
      <w:ind w:left="283"/>
    </w:pPr>
    <w:rPr>
      <w:rFonts w:eastAsia="SimSun"/>
      <w:sz w:val="20"/>
      <w:szCs w:val="20"/>
    </w:rPr>
  </w:style>
  <w:style w:type="character" w:customStyle="1" w:styleId="FootnoteTextChar">
    <w:name w:val="Footnote Text Char"/>
    <w:locked/>
    <w:rsid w:val="009A6B10"/>
    <w:rPr>
      <w:rFonts w:ascii="Times New Roman" w:hAnsi="Times New Roman" w:cs="Times New Roman"/>
      <w:sz w:val="20"/>
      <w:szCs w:val="20"/>
      <w:lang w:val="x-none" w:eastAsia="sk-SK"/>
    </w:rPr>
  </w:style>
  <w:style w:type="paragraph" w:customStyle="1" w:styleId="ListParagraph2">
    <w:name w:val="List Paragraph2"/>
    <w:basedOn w:val="Normlny"/>
    <w:rsid w:val="009A6B10"/>
    <w:pPr>
      <w:spacing w:after="200" w:line="252" w:lineRule="auto"/>
      <w:ind w:left="720"/>
    </w:pPr>
    <w:rPr>
      <w:rFonts w:ascii="Cambria" w:eastAsia="SimSun" w:hAnsi="Cambria"/>
      <w:sz w:val="22"/>
      <w:szCs w:val="22"/>
      <w:lang w:eastAsia="en-US"/>
    </w:rPr>
  </w:style>
  <w:style w:type="paragraph" w:customStyle="1" w:styleId="NoSpacing1">
    <w:name w:val="No Spacing1"/>
    <w:basedOn w:val="Normlny"/>
    <w:link w:val="NoSpacingChar"/>
    <w:rsid w:val="009A6B10"/>
    <w:rPr>
      <w:rFonts w:ascii="Cambria" w:eastAsia="SimSun" w:hAnsi="Cambria"/>
      <w:sz w:val="22"/>
      <w:szCs w:val="22"/>
      <w:lang w:eastAsia="en-US"/>
    </w:rPr>
  </w:style>
  <w:style w:type="character" w:customStyle="1" w:styleId="NoSpacingChar">
    <w:name w:val="No Spacing Char"/>
    <w:link w:val="NoSpacing1"/>
    <w:locked/>
    <w:rsid w:val="009A6B10"/>
    <w:rPr>
      <w:rFonts w:ascii="Cambria" w:eastAsia="SimSun" w:hAnsi="Cambria"/>
      <w:sz w:val="22"/>
      <w:szCs w:val="22"/>
      <w:lang w:eastAsia="en-US"/>
    </w:rPr>
  </w:style>
  <w:style w:type="paragraph" w:customStyle="1" w:styleId="Tabulka">
    <w:name w:val="Tabulka"/>
    <w:basedOn w:val="Normlny"/>
    <w:rsid w:val="009A6B10"/>
    <w:pPr>
      <w:suppressAutoHyphens/>
      <w:spacing w:before="120"/>
      <w:jc w:val="center"/>
    </w:pPr>
    <w:rPr>
      <w:rFonts w:ascii="Calibri" w:hAnsi="Calibri" w:cs="Calibri"/>
      <w:color w:val="000000"/>
      <w:sz w:val="16"/>
      <w:szCs w:val="16"/>
    </w:rPr>
  </w:style>
  <w:style w:type="paragraph" w:customStyle="1" w:styleId="Stylslovntabulek">
    <w:name w:val="Styl Číslování tabulek"/>
    <w:basedOn w:val="Normlny"/>
    <w:link w:val="StylslovntabulekChar"/>
    <w:rsid w:val="009A6B10"/>
    <w:pPr>
      <w:widowControl w:val="0"/>
      <w:tabs>
        <w:tab w:val="num" w:pos="357"/>
      </w:tabs>
      <w:adjustRightInd w:val="0"/>
      <w:spacing w:before="60" w:after="240"/>
      <w:jc w:val="center"/>
    </w:pPr>
    <w:rPr>
      <w:rFonts w:ascii="Calibri" w:hAnsi="Calibri"/>
      <w:iCs/>
      <w:color w:val="000080"/>
      <w:sz w:val="20"/>
      <w:szCs w:val="20"/>
      <w:lang w:val="cs-CZ" w:eastAsia="cs-CZ"/>
    </w:rPr>
  </w:style>
  <w:style w:type="character" w:customStyle="1" w:styleId="StylslovntabulekChar">
    <w:name w:val="Styl Číslování tabulek Char"/>
    <w:link w:val="Stylslovntabulek"/>
    <w:rsid w:val="009A6B10"/>
    <w:rPr>
      <w:rFonts w:ascii="Calibri" w:hAnsi="Calibri"/>
      <w:iCs/>
      <w:color w:val="000080"/>
      <w:lang w:val="cs-CZ" w:eastAsia="cs-CZ"/>
    </w:rPr>
  </w:style>
  <w:style w:type="paragraph" w:customStyle="1" w:styleId="phTab">
    <w:name w:val="phTab"/>
    <w:basedOn w:val="Stylslovntabulek"/>
    <w:link w:val="phTabChar"/>
    <w:qFormat/>
    <w:rsid w:val="009A6B10"/>
    <w:pPr>
      <w:numPr>
        <w:numId w:val="25"/>
      </w:numPr>
      <w:tabs>
        <w:tab w:val="left" w:pos="0"/>
        <w:tab w:val="num" w:pos="360"/>
        <w:tab w:val="left" w:pos="1134"/>
      </w:tabs>
      <w:spacing w:before="180" w:after="0"/>
      <w:ind w:left="0" w:firstLine="0"/>
      <w:jc w:val="left"/>
    </w:pPr>
    <w:rPr>
      <w:rFonts w:cs="Calibri"/>
      <w:color w:val="auto"/>
      <w:sz w:val="22"/>
      <w:szCs w:val="22"/>
      <w:lang w:val="sk-SK"/>
    </w:rPr>
  </w:style>
  <w:style w:type="character" w:customStyle="1" w:styleId="phTabChar">
    <w:name w:val="phTab Char"/>
    <w:link w:val="phTab"/>
    <w:rsid w:val="009A6B10"/>
    <w:rPr>
      <w:rFonts w:ascii="Calibri" w:hAnsi="Calibri" w:cs="Calibri"/>
      <w:iCs/>
      <w:sz w:val="22"/>
      <w:szCs w:val="22"/>
      <w:lang w:eastAsia="cs-CZ"/>
    </w:rPr>
  </w:style>
  <w:style w:type="character" w:customStyle="1" w:styleId="shorttext">
    <w:name w:val="short_text"/>
    <w:rsid w:val="009A6B10"/>
  </w:style>
  <w:style w:type="paragraph" w:customStyle="1" w:styleId="Deloittebodytext">
    <w:name w:val="Deloitte body text"/>
    <w:rsid w:val="009A6B10"/>
    <w:rPr>
      <w:rFonts w:ascii="Arial" w:hAnsi="Arial"/>
      <w:color w:val="000000"/>
      <w:sz w:val="19"/>
      <w:szCs w:val="48"/>
      <w:lang w:val="cs-CZ" w:eastAsia="en-US"/>
    </w:rPr>
  </w:style>
  <w:style w:type="paragraph" w:styleId="Revzia">
    <w:name w:val="Revision"/>
    <w:hidden/>
    <w:uiPriority w:val="99"/>
    <w:semiHidden/>
    <w:rsid w:val="000A018A"/>
    <w:rPr>
      <w:sz w:val="24"/>
      <w:szCs w:val="24"/>
    </w:rPr>
  </w:style>
  <w:style w:type="character" w:customStyle="1" w:styleId="Textzstupnhosymbolu2">
    <w:name w:val="Text zástupného symbolu2"/>
    <w:semiHidden/>
    <w:rsid w:val="00242127"/>
    <w:rPr>
      <w:rFonts w:ascii="Times New Roman" w:hAnsi="Times New Roman" w:cs="Times New Roman"/>
      <w:color w:val="808080"/>
    </w:rPr>
  </w:style>
  <w:style w:type="paragraph" w:customStyle="1" w:styleId="Bezriadkovania2">
    <w:name w:val="Bez riadkovania2"/>
    <w:rsid w:val="00242127"/>
    <w:rPr>
      <w:rFonts w:eastAsia="Calibri"/>
      <w:sz w:val="24"/>
      <w:szCs w:val="24"/>
    </w:rPr>
  </w:style>
  <w:style w:type="character" w:customStyle="1" w:styleId="CharChar40">
    <w:name w:val="Char Char4"/>
    <w:locked/>
    <w:rsid w:val="00242127"/>
    <w:rPr>
      <w:sz w:val="24"/>
      <w:szCs w:val="24"/>
      <w:lang w:val="sk-SK" w:eastAsia="sk-SK" w:bidi="ar-SA"/>
    </w:rPr>
  </w:style>
  <w:style w:type="paragraph" w:customStyle="1" w:styleId="Normlny3">
    <w:name w:val="Normálny3"/>
    <w:basedOn w:val="Normlny"/>
    <w:rsid w:val="00242127"/>
    <w:pPr>
      <w:spacing w:before="100" w:beforeAutospacing="1" w:after="100" w:afterAutospacing="1"/>
    </w:pPr>
    <w:rPr>
      <w:rFonts w:ascii="Arial Unicode MS" w:eastAsia="Arial Unicode MS" w:hAnsi="Arial Unicode MS" w:cs="Arial Unicode MS"/>
    </w:rPr>
  </w:style>
  <w:style w:type="paragraph" w:customStyle="1" w:styleId="CharCharCharCharCharCharCharCharCharCharCharChar0">
    <w:name w:val="Char Char Char Char Char Char Char Char Char Char Char Char"/>
    <w:basedOn w:val="Normlny"/>
    <w:rsid w:val="00242127"/>
    <w:rPr>
      <w:rFonts w:ascii="Verdana" w:hAnsi="Verdana"/>
      <w:sz w:val="20"/>
      <w:lang w:eastAsia="cs-CZ"/>
    </w:rPr>
  </w:style>
  <w:style w:type="paragraph" w:customStyle="1" w:styleId="CharCharCharCharCharCharChar0">
    <w:name w:val="Char Char Char Char Char Char Char"/>
    <w:basedOn w:val="Normlny"/>
    <w:rsid w:val="00242127"/>
    <w:rPr>
      <w:lang w:val="pl-PL" w:eastAsia="pl-PL"/>
    </w:rPr>
  </w:style>
  <w:style w:type="paragraph" w:customStyle="1" w:styleId="CharChar1CharCharCharChar0">
    <w:name w:val="Char Char1 Char Char Char Char"/>
    <w:basedOn w:val="Normlny"/>
    <w:rsid w:val="00242127"/>
    <w:pPr>
      <w:spacing w:after="160" w:line="240" w:lineRule="exact"/>
    </w:pPr>
    <w:rPr>
      <w:rFonts w:ascii="Tahoma" w:hAnsi="Tahoma" w:cs="Tahoma"/>
      <w:sz w:val="20"/>
      <w:szCs w:val="20"/>
      <w:lang w:val="en-US" w:eastAsia="en-US"/>
    </w:rPr>
  </w:style>
  <w:style w:type="paragraph" w:customStyle="1" w:styleId="CharCharCharCharCharCharCharCharCharChar0">
    <w:name w:val="Char Char Char Char Char Char Char Char Char Char"/>
    <w:basedOn w:val="Normlny"/>
    <w:rsid w:val="00242127"/>
    <w:rPr>
      <w:lang w:val="pl-PL" w:eastAsia="pl-PL"/>
    </w:rPr>
  </w:style>
  <w:style w:type="paragraph" w:customStyle="1" w:styleId="CharChar0">
    <w:name w:val="Char Char"/>
    <w:basedOn w:val="Normlny"/>
    <w:rsid w:val="00242127"/>
    <w:pPr>
      <w:spacing w:after="160" w:line="240" w:lineRule="exact"/>
    </w:pPr>
    <w:rPr>
      <w:rFonts w:ascii="Tahoma" w:hAnsi="Tahoma"/>
      <w:sz w:val="20"/>
      <w:szCs w:val="20"/>
      <w:lang w:val="en-US" w:eastAsia="en-US"/>
    </w:rPr>
  </w:style>
  <w:style w:type="paragraph" w:customStyle="1" w:styleId="Normlny4">
    <w:name w:val="Normálny4"/>
    <w:rsid w:val="00242127"/>
    <w:pPr>
      <w:suppressAutoHyphens/>
      <w:autoSpaceDE w:val="0"/>
    </w:pPr>
    <w:rPr>
      <w:rFonts w:ascii="Arial" w:hAnsi="Arial" w:cs="Arial"/>
      <w:color w:val="000000"/>
      <w:sz w:val="24"/>
      <w:szCs w:val="24"/>
      <w:lang w:eastAsia="zh-CN"/>
    </w:rPr>
  </w:style>
  <w:style w:type="paragraph" w:customStyle="1" w:styleId="CharCharCharCharCharCharCharCharCharCharCharCharCharCharCharCharCharCharCharCharCharCharCharCharCharChar0">
    <w:name w:val="Char Char Char Char Char Char Char Char Char Char Char Char Char Char Char Char Char Char Char Char Char Char Char Char Char Char"/>
    <w:basedOn w:val="Normlny"/>
    <w:rsid w:val="00242127"/>
    <w:rPr>
      <w:rFonts w:ascii="Verdana" w:hAnsi="Verdana"/>
      <w:sz w:val="20"/>
      <w:lang w:eastAsia="cs-CZ"/>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basedOn w:val="Normlny"/>
    <w:rsid w:val="00242127"/>
    <w:rPr>
      <w:rFonts w:ascii="Verdana" w:hAnsi="Verdana"/>
      <w:sz w:val="20"/>
      <w:lang w:eastAsia="cs-CZ"/>
    </w:rPr>
  </w:style>
  <w:style w:type="paragraph" w:customStyle="1" w:styleId="Char1">
    <w:name w:val="Char"/>
    <w:basedOn w:val="Normlny"/>
    <w:rsid w:val="00242127"/>
    <w:pPr>
      <w:spacing w:after="160" w:line="240" w:lineRule="exact"/>
    </w:pPr>
    <w:rPr>
      <w:rFonts w:ascii="Tahoma" w:hAnsi="Tahoma" w:cs="Tahoma"/>
      <w:sz w:val="20"/>
      <w:szCs w:val="20"/>
      <w:lang w:val="en-US" w:eastAsia="en-US"/>
    </w:rPr>
  </w:style>
  <w:style w:type="paragraph" w:customStyle="1" w:styleId="Citcia2">
    <w:name w:val="Citácia2"/>
    <w:basedOn w:val="Normlny"/>
    <w:next w:val="Normlny"/>
    <w:rsid w:val="00242127"/>
    <w:rPr>
      <w:rFonts w:ascii="Calibri" w:eastAsia="PMingLiU" w:hAnsi="Calibri"/>
      <w:i/>
      <w:lang w:eastAsia="en-US"/>
    </w:rPr>
  </w:style>
  <w:style w:type="paragraph" w:customStyle="1" w:styleId="Zvraznencitcia2">
    <w:name w:val="Zvýraznená citácia2"/>
    <w:basedOn w:val="Normlny"/>
    <w:next w:val="Normlny"/>
    <w:rsid w:val="00242127"/>
    <w:pPr>
      <w:ind w:left="720" w:right="720"/>
    </w:pPr>
    <w:rPr>
      <w:rFonts w:ascii="Calibri" w:eastAsia="PMingLiU" w:hAnsi="Calibri"/>
      <w:b/>
      <w:i/>
      <w:szCs w:val="22"/>
      <w:lang w:eastAsia="en-US"/>
    </w:rPr>
  </w:style>
  <w:style w:type="character" w:customStyle="1" w:styleId="Jemnzvraznenie2">
    <w:name w:val="Jemné zvýraznenie2"/>
    <w:rsid w:val="00242127"/>
    <w:rPr>
      <w:rFonts w:cs="Times New Roman"/>
      <w:i/>
      <w:color w:val="5A5A5A"/>
    </w:rPr>
  </w:style>
  <w:style w:type="character" w:customStyle="1" w:styleId="Intenzvnezvraznenie2">
    <w:name w:val="Intenzívne zvýraznenie2"/>
    <w:rsid w:val="00242127"/>
    <w:rPr>
      <w:rFonts w:cs="Times New Roman"/>
      <w:b/>
      <w:i/>
      <w:sz w:val="24"/>
      <w:szCs w:val="24"/>
      <w:u w:val="single"/>
    </w:rPr>
  </w:style>
  <w:style w:type="character" w:customStyle="1" w:styleId="Jemnodkaz2">
    <w:name w:val="Jemný odkaz2"/>
    <w:rsid w:val="00242127"/>
    <w:rPr>
      <w:rFonts w:cs="Times New Roman"/>
      <w:sz w:val="24"/>
      <w:szCs w:val="24"/>
      <w:u w:val="single"/>
    </w:rPr>
  </w:style>
  <w:style w:type="character" w:customStyle="1" w:styleId="Intenzvnyodkaz2">
    <w:name w:val="Intenzívny odkaz2"/>
    <w:rsid w:val="00242127"/>
    <w:rPr>
      <w:rFonts w:cs="Times New Roman"/>
      <w:b/>
      <w:sz w:val="24"/>
      <w:u w:val="single"/>
    </w:rPr>
  </w:style>
  <w:style w:type="character" w:customStyle="1" w:styleId="Nzovknihy2">
    <w:name w:val="Názov knihy2"/>
    <w:rsid w:val="00242127"/>
    <w:rPr>
      <w:rFonts w:ascii="Cambria" w:hAnsi="Cambria" w:cs="Times New Roman"/>
      <w:b/>
      <w:i/>
      <w:sz w:val="24"/>
      <w:szCs w:val="24"/>
    </w:rPr>
  </w:style>
  <w:style w:type="paragraph" w:customStyle="1" w:styleId="Hlavikaobsahu2">
    <w:name w:val="Hlavička obsahu2"/>
    <w:basedOn w:val="Nadpis1"/>
    <w:next w:val="Normlny"/>
    <w:rsid w:val="00242127"/>
    <w:pPr>
      <w:keepNext/>
      <w:numPr>
        <w:numId w:val="0"/>
      </w:numPr>
      <w:spacing w:before="240" w:after="60" w:line="240" w:lineRule="auto"/>
      <w:outlineLvl w:val="9"/>
    </w:pPr>
    <w:rPr>
      <w:rFonts w:ascii="Cambria" w:eastAsia="SimSun" w:hAnsi="Cambria" w:cs="Times New Roman"/>
      <w:b/>
      <w:bCs/>
      <w:smallCaps w:val="0"/>
      <w:spacing w:val="0"/>
      <w:kern w:val="32"/>
      <w:lang w:eastAsia="en-US"/>
    </w:rPr>
  </w:style>
  <w:style w:type="character" w:customStyle="1" w:styleId="Textzstupnhosymbolu3">
    <w:name w:val="Text zástupného symbolu3"/>
    <w:semiHidden/>
    <w:rsid w:val="005255F6"/>
    <w:rPr>
      <w:rFonts w:ascii="Times New Roman" w:hAnsi="Times New Roman" w:cs="Times New Roman"/>
      <w:color w:val="808080"/>
    </w:rPr>
  </w:style>
  <w:style w:type="paragraph" w:customStyle="1" w:styleId="Bezriadkovania3">
    <w:name w:val="Bez riadkovania3"/>
    <w:rsid w:val="005255F6"/>
    <w:rPr>
      <w:rFonts w:eastAsia="Calibri"/>
      <w:sz w:val="24"/>
      <w:szCs w:val="24"/>
    </w:rPr>
  </w:style>
  <w:style w:type="character" w:customStyle="1" w:styleId="CharChar41">
    <w:name w:val="Char Char4"/>
    <w:locked/>
    <w:rsid w:val="005255F6"/>
    <w:rPr>
      <w:sz w:val="24"/>
      <w:szCs w:val="24"/>
      <w:lang w:val="sk-SK" w:eastAsia="sk-SK" w:bidi="ar-SA"/>
    </w:rPr>
  </w:style>
  <w:style w:type="paragraph" w:customStyle="1" w:styleId="Normlny5">
    <w:name w:val="Normálny5"/>
    <w:basedOn w:val="Normlny"/>
    <w:rsid w:val="005255F6"/>
    <w:pPr>
      <w:spacing w:before="100" w:beforeAutospacing="1" w:after="100" w:afterAutospacing="1"/>
    </w:pPr>
    <w:rPr>
      <w:rFonts w:ascii="Arial Unicode MS" w:eastAsia="Arial Unicode MS" w:hAnsi="Arial Unicode MS" w:cs="Arial Unicode MS"/>
    </w:rPr>
  </w:style>
  <w:style w:type="paragraph" w:customStyle="1" w:styleId="CharCharCharCharCharCharCharCharCharCharCharChar1">
    <w:name w:val="Char Char Char Char Char Char Char Char Char Char Char Char"/>
    <w:basedOn w:val="Normlny"/>
    <w:rsid w:val="005255F6"/>
    <w:rPr>
      <w:rFonts w:ascii="Verdana" w:hAnsi="Verdana"/>
      <w:sz w:val="20"/>
      <w:lang w:eastAsia="cs-CZ"/>
    </w:rPr>
  </w:style>
  <w:style w:type="paragraph" w:customStyle="1" w:styleId="CharCharCharCharCharCharChar1">
    <w:name w:val="Char Char Char Char Char Char Char"/>
    <w:basedOn w:val="Normlny"/>
    <w:rsid w:val="005255F6"/>
    <w:rPr>
      <w:lang w:val="pl-PL" w:eastAsia="pl-PL"/>
    </w:rPr>
  </w:style>
  <w:style w:type="paragraph" w:customStyle="1" w:styleId="CharChar1CharCharCharChar1">
    <w:name w:val="Char Char1 Char Char Char Char"/>
    <w:basedOn w:val="Normlny"/>
    <w:rsid w:val="005255F6"/>
    <w:pPr>
      <w:spacing w:after="160" w:line="240" w:lineRule="exact"/>
    </w:pPr>
    <w:rPr>
      <w:rFonts w:ascii="Tahoma" w:hAnsi="Tahoma" w:cs="Tahoma"/>
      <w:sz w:val="20"/>
      <w:szCs w:val="20"/>
      <w:lang w:val="en-US" w:eastAsia="en-US"/>
    </w:rPr>
  </w:style>
  <w:style w:type="paragraph" w:customStyle="1" w:styleId="CharCharCharCharCharCharCharCharCharChar1">
    <w:name w:val="Char Char Char Char Char Char Char Char Char Char"/>
    <w:basedOn w:val="Normlny"/>
    <w:rsid w:val="005255F6"/>
    <w:rPr>
      <w:lang w:val="pl-PL" w:eastAsia="pl-PL"/>
    </w:rPr>
  </w:style>
  <w:style w:type="paragraph" w:customStyle="1" w:styleId="CharChar1">
    <w:name w:val="Char Char"/>
    <w:basedOn w:val="Normlny"/>
    <w:rsid w:val="005255F6"/>
    <w:pPr>
      <w:spacing w:after="160" w:line="240" w:lineRule="exact"/>
    </w:pPr>
    <w:rPr>
      <w:rFonts w:ascii="Tahoma" w:hAnsi="Tahoma"/>
      <w:sz w:val="20"/>
      <w:szCs w:val="20"/>
      <w:lang w:val="en-US" w:eastAsia="en-US"/>
    </w:rPr>
  </w:style>
  <w:style w:type="paragraph" w:customStyle="1" w:styleId="Normlny6">
    <w:name w:val="Normálny6"/>
    <w:rsid w:val="005255F6"/>
    <w:pPr>
      <w:suppressAutoHyphens/>
      <w:autoSpaceDE w:val="0"/>
    </w:pPr>
    <w:rPr>
      <w:rFonts w:ascii="Arial" w:hAnsi="Arial" w:cs="Arial"/>
      <w:color w:val="000000"/>
      <w:sz w:val="24"/>
      <w:szCs w:val="24"/>
      <w:lang w:eastAsia="zh-CN"/>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
    <w:basedOn w:val="Normlny"/>
    <w:rsid w:val="005255F6"/>
    <w:rPr>
      <w:rFonts w:ascii="Verdana" w:hAnsi="Verdana"/>
      <w:sz w:val="20"/>
      <w:lang w:eastAsia="cs-CZ"/>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basedOn w:val="Normlny"/>
    <w:rsid w:val="005255F6"/>
    <w:rPr>
      <w:rFonts w:ascii="Verdana" w:hAnsi="Verdana"/>
      <w:sz w:val="20"/>
      <w:lang w:eastAsia="cs-CZ"/>
    </w:rPr>
  </w:style>
  <w:style w:type="paragraph" w:customStyle="1" w:styleId="Char2">
    <w:name w:val="Char"/>
    <w:basedOn w:val="Normlny"/>
    <w:rsid w:val="005255F6"/>
    <w:pPr>
      <w:spacing w:after="160" w:line="240" w:lineRule="exact"/>
    </w:pPr>
    <w:rPr>
      <w:rFonts w:ascii="Tahoma" w:hAnsi="Tahoma" w:cs="Tahoma"/>
      <w:sz w:val="20"/>
      <w:szCs w:val="20"/>
      <w:lang w:val="en-US" w:eastAsia="en-US"/>
    </w:rPr>
  </w:style>
  <w:style w:type="paragraph" w:customStyle="1" w:styleId="Citcia3">
    <w:name w:val="Citácia3"/>
    <w:basedOn w:val="Normlny"/>
    <w:next w:val="Normlny"/>
    <w:rsid w:val="005255F6"/>
    <w:rPr>
      <w:rFonts w:ascii="Calibri" w:eastAsia="PMingLiU" w:hAnsi="Calibri"/>
      <w:i/>
      <w:lang w:val="x-none" w:eastAsia="en-US"/>
    </w:rPr>
  </w:style>
  <w:style w:type="paragraph" w:customStyle="1" w:styleId="Zvraznencitcia3">
    <w:name w:val="Zvýraznená citácia3"/>
    <w:basedOn w:val="Normlny"/>
    <w:next w:val="Normlny"/>
    <w:rsid w:val="005255F6"/>
    <w:pPr>
      <w:ind w:left="720" w:right="720"/>
    </w:pPr>
    <w:rPr>
      <w:rFonts w:ascii="Calibri" w:eastAsia="PMingLiU" w:hAnsi="Calibri"/>
      <w:b/>
      <w:i/>
      <w:szCs w:val="22"/>
      <w:lang w:val="x-none" w:eastAsia="en-US"/>
    </w:rPr>
  </w:style>
  <w:style w:type="character" w:customStyle="1" w:styleId="Jemnzvraznenie3">
    <w:name w:val="Jemné zvýraznenie3"/>
    <w:rsid w:val="005255F6"/>
    <w:rPr>
      <w:rFonts w:cs="Times New Roman"/>
      <w:i/>
      <w:color w:val="5A5A5A"/>
    </w:rPr>
  </w:style>
  <w:style w:type="character" w:customStyle="1" w:styleId="Intenzvnezvraznenie3">
    <w:name w:val="Intenzívne zvýraznenie3"/>
    <w:rsid w:val="005255F6"/>
    <w:rPr>
      <w:rFonts w:cs="Times New Roman"/>
      <w:b/>
      <w:i/>
      <w:sz w:val="24"/>
      <w:szCs w:val="24"/>
      <w:u w:val="single"/>
    </w:rPr>
  </w:style>
  <w:style w:type="character" w:customStyle="1" w:styleId="Jemnodkaz3">
    <w:name w:val="Jemný odkaz3"/>
    <w:rsid w:val="005255F6"/>
    <w:rPr>
      <w:rFonts w:cs="Times New Roman"/>
      <w:sz w:val="24"/>
      <w:szCs w:val="24"/>
      <w:u w:val="single"/>
    </w:rPr>
  </w:style>
  <w:style w:type="character" w:customStyle="1" w:styleId="Intenzvnyodkaz3">
    <w:name w:val="Intenzívny odkaz3"/>
    <w:rsid w:val="005255F6"/>
    <w:rPr>
      <w:rFonts w:cs="Times New Roman"/>
      <w:b/>
      <w:sz w:val="24"/>
      <w:u w:val="single"/>
    </w:rPr>
  </w:style>
  <w:style w:type="character" w:customStyle="1" w:styleId="Nzovknihy3">
    <w:name w:val="Názov knihy3"/>
    <w:rsid w:val="005255F6"/>
    <w:rPr>
      <w:rFonts w:ascii="Cambria" w:hAnsi="Cambria" w:cs="Times New Roman"/>
      <w:b/>
      <w:i/>
      <w:sz w:val="24"/>
      <w:szCs w:val="24"/>
    </w:rPr>
  </w:style>
  <w:style w:type="paragraph" w:customStyle="1" w:styleId="Hlavikaobsahu3">
    <w:name w:val="Hlavička obsahu3"/>
    <w:basedOn w:val="Nadpis1"/>
    <w:next w:val="Normlny"/>
    <w:rsid w:val="005255F6"/>
    <w:pPr>
      <w:keepNext/>
      <w:numPr>
        <w:numId w:val="0"/>
      </w:numPr>
      <w:spacing w:before="240" w:after="60" w:line="240" w:lineRule="auto"/>
      <w:outlineLvl w:val="9"/>
    </w:pPr>
    <w:rPr>
      <w:rFonts w:ascii="Cambria" w:eastAsia="SimSun" w:hAnsi="Cambria" w:cs="Times New Roman"/>
      <w:b/>
      <w:bCs/>
      <w:smallCaps w:val="0"/>
      <w:spacing w:val="0"/>
      <w:kern w:val="32"/>
      <w:lang w:val="x-none" w:eastAsia="en-US"/>
    </w:rPr>
  </w:style>
  <w:style w:type="character" w:customStyle="1" w:styleId="Textzstupnhosymbolu4">
    <w:name w:val="Text zástupného symbolu4"/>
    <w:semiHidden/>
    <w:rsid w:val="00E56B8D"/>
    <w:rPr>
      <w:rFonts w:ascii="Times New Roman" w:hAnsi="Times New Roman" w:cs="Times New Roman"/>
      <w:color w:val="808080"/>
    </w:rPr>
  </w:style>
  <w:style w:type="paragraph" w:customStyle="1" w:styleId="Bezriadkovania4">
    <w:name w:val="Bez riadkovania4"/>
    <w:rsid w:val="00E56B8D"/>
    <w:rPr>
      <w:rFonts w:eastAsia="Calibri"/>
      <w:sz w:val="24"/>
      <w:szCs w:val="24"/>
    </w:rPr>
  </w:style>
  <w:style w:type="character" w:customStyle="1" w:styleId="CharChar42">
    <w:name w:val="Char Char4"/>
    <w:locked/>
    <w:rsid w:val="00E56B8D"/>
    <w:rPr>
      <w:sz w:val="24"/>
      <w:szCs w:val="24"/>
      <w:lang w:val="sk-SK" w:eastAsia="sk-SK" w:bidi="ar-SA"/>
    </w:rPr>
  </w:style>
  <w:style w:type="paragraph" w:customStyle="1" w:styleId="Normlny7">
    <w:name w:val="Normálny7"/>
    <w:basedOn w:val="Normlny"/>
    <w:rsid w:val="00E56B8D"/>
    <w:pPr>
      <w:spacing w:before="100" w:beforeAutospacing="1" w:after="100" w:afterAutospacing="1"/>
    </w:pPr>
    <w:rPr>
      <w:rFonts w:ascii="Arial Unicode MS" w:eastAsia="Arial Unicode MS" w:hAnsi="Arial Unicode MS" w:cs="Arial Unicode MS"/>
    </w:rPr>
  </w:style>
  <w:style w:type="paragraph" w:customStyle="1" w:styleId="CharCharCharCharCharCharCharCharCharCharCharChar2">
    <w:name w:val="Char Char Char Char Char Char Char Char Char Char Char Char"/>
    <w:basedOn w:val="Normlny"/>
    <w:rsid w:val="00E56B8D"/>
    <w:rPr>
      <w:rFonts w:ascii="Verdana" w:hAnsi="Verdana"/>
      <w:sz w:val="20"/>
      <w:lang w:eastAsia="cs-CZ"/>
    </w:rPr>
  </w:style>
  <w:style w:type="paragraph" w:customStyle="1" w:styleId="CharCharCharCharCharCharChar2">
    <w:name w:val="Char Char Char Char Char Char Char"/>
    <w:basedOn w:val="Normlny"/>
    <w:rsid w:val="00E56B8D"/>
    <w:rPr>
      <w:lang w:val="pl-PL" w:eastAsia="pl-PL"/>
    </w:rPr>
  </w:style>
  <w:style w:type="paragraph" w:customStyle="1" w:styleId="CharChar1CharCharCharChar2">
    <w:name w:val="Char Char1 Char Char Char Char"/>
    <w:basedOn w:val="Normlny"/>
    <w:rsid w:val="00E56B8D"/>
    <w:pPr>
      <w:spacing w:after="160" w:line="240" w:lineRule="exact"/>
    </w:pPr>
    <w:rPr>
      <w:rFonts w:ascii="Tahoma" w:hAnsi="Tahoma" w:cs="Tahoma"/>
      <w:sz w:val="20"/>
      <w:szCs w:val="20"/>
      <w:lang w:val="en-US" w:eastAsia="en-US"/>
    </w:rPr>
  </w:style>
  <w:style w:type="paragraph" w:customStyle="1" w:styleId="CharCharCharCharCharCharCharCharCharChar2">
    <w:name w:val="Char Char Char Char Char Char Char Char Char Char"/>
    <w:basedOn w:val="Normlny"/>
    <w:rsid w:val="00E56B8D"/>
    <w:rPr>
      <w:lang w:val="pl-PL" w:eastAsia="pl-PL"/>
    </w:rPr>
  </w:style>
  <w:style w:type="paragraph" w:customStyle="1" w:styleId="CharChar2">
    <w:name w:val="Char Char"/>
    <w:basedOn w:val="Normlny"/>
    <w:rsid w:val="00E56B8D"/>
    <w:pPr>
      <w:spacing w:after="160" w:line="240" w:lineRule="exact"/>
    </w:pPr>
    <w:rPr>
      <w:rFonts w:ascii="Tahoma" w:hAnsi="Tahoma"/>
      <w:sz w:val="20"/>
      <w:szCs w:val="20"/>
      <w:lang w:val="en-US" w:eastAsia="en-US"/>
    </w:rPr>
  </w:style>
  <w:style w:type="paragraph" w:customStyle="1" w:styleId="Normlny8">
    <w:name w:val="Normálny8"/>
    <w:rsid w:val="00E56B8D"/>
    <w:pPr>
      <w:suppressAutoHyphens/>
      <w:autoSpaceDE w:val="0"/>
    </w:pPr>
    <w:rPr>
      <w:rFonts w:ascii="Arial" w:hAnsi="Arial" w:cs="Arial"/>
      <w:color w:val="000000"/>
      <w:sz w:val="24"/>
      <w:szCs w:val="24"/>
      <w:lang w:eastAsia="zh-CN"/>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
    <w:basedOn w:val="Normlny"/>
    <w:rsid w:val="00E56B8D"/>
    <w:rPr>
      <w:rFonts w:ascii="Verdana" w:hAnsi="Verdana"/>
      <w:sz w:val="20"/>
      <w:lang w:eastAsia="cs-CZ"/>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
    <w:basedOn w:val="Normlny"/>
    <w:rsid w:val="00E56B8D"/>
    <w:rPr>
      <w:rFonts w:ascii="Verdana" w:hAnsi="Verdana"/>
      <w:sz w:val="20"/>
      <w:lang w:eastAsia="cs-CZ"/>
    </w:rPr>
  </w:style>
  <w:style w:type="paragraph" w:customStyle="1" w:styleId="Char3">
    <w:name w:val="Char"/>
    <w:basedOn w:val="Normlny"/>
    <w:rsid w:val="00E56B8D"/>
    <w:pPr>
      <w:spacing w:after="160" w:line="240" w:lineRule="exact"/>
    </w:pPr>
    <w:rPr>
      <w:rFonts w:ascii="Tahoma" w:hAnsi="Tahoma" w:cs="Tahoma"/>
      <w:sz w:val="20"/>
      <w:szCs w:val="20"/>
      <w:lang w:val="en-US" w:eastAsia="en-US"/>
    </w:rPr>
  </w:style>
  <w:style w:type="paragraph" w:customStyle="1" w:styleId="Citcia4">
    <w:name w:val="Citácia4"/>
    <w:basedOn w:val="Normlny"/>
    <w:next w:val="Normlny"/>
    <w:rsid w:val="00E56B8D"/>
    <w:rPr>
      <w:rFonts w:ascii="Calibri" w:eastAsia="PMingLiU" w:hAnsi="Calibri"/>
      <w:i/>
      <w:lang w:eastAsia="en-US"/>
    </w:rPr>
  </w:style>
  <w:style w:type="paragraph" w:customStyle="1" w:styleId="Zvraznencitcia4">
    <w:name w:val="Zvýraznená citácia4"/>
    <w:basedOn w:val="Normlny"/>
    <w:next w:val="Normlny"/>
    <w:rsid w:val="00E56B8D"/>
    <w:pPr>
      <w:ind w:left="720" w:right="720"/>
    </w:pPr>
    <w:rPr>
      <w:rFonts w:ascii="Calibri" w:eastAsia="PMingLiU" w:hAnsi="Calibri"/>
      <w:b/>
      <w:i/>
      <w:szCs w:val="22"/>
      <w:lang w:eastAsia="en-US"/>
    </w:rPr>
  </w:style>
  <w:style w:type="character" w:customStyle="1" w:styleId="Jemnzvraznenie4">
    <w:name w:val="Jemné zvýraznenie4"/>
    <w:rsid w:val="00E56B8D"/>
    <w:rPr>
      <w:rFonts w:cs="Times New Roman"/>
      <w:i/>
      <w:color w:val="5A5A5A"/>
    </w:rPr>
  </w:style>
  <w:style w:type="character" w:customStyle="1" w:styleId="Intenzvnezvraznenie4">
    <w:name w:val="Intenzívne zvýraznenie4"/>
    <w:rsid w:val="00E56B8D"/>
    <w:rPr>
      <w:rFonts w:cs="Times New Roman"/>
      <w:b/>
      <w:i/>
      <w:sz w:val="24"/>
      <w:szCs w:val="24"/>
      <w:u w:val="single"/>
    </w:rPr>
  </w:style>
  <w:style w:type="character" w:customStyle="1" w:styleId="Jemnodkaz4">
    <w:name w:val="Jemný odkaz4"/>
    <w:rsid w:val="00E56B8D"/>
    <w:rPr>
      <w:rFonts w:cs="Times New Roman"/>
      <w:sz w:val="24"/>
      <w:szCs w:val="24"/>
      <w:u w:val="single"/>
    </w:rPr>
  </w:style>
  <w:style w:type="character" w:customStyle="1" w:styleId="Intenzvnyodkaz4">
    <w:name w:val="Intenzívny odkaz4"/>
    <w:rsid w:val="00E56B8D"/>
    <w:rPr>
      <w:rFonts w:cs="Times New Roman"/>
      <w:b/>
      <w:sz w:val="24"/>
      <w:u w:val="single"/>
    </w:rPr>
  </w:style>
  <w:style w:type="character" w:customStyle="1" w:styleId="Nzovknihy4">
    <w:name w:val="Názov knihy4"/>
    <w:rsid w:val="00E56B8D"/>
    <w:rPr>
      <w:rFonts w:ascii="Cambria" w:hAnsi="Cambria" w:cs="Times New Roman"/>
      <w:b/>
      <w:i/>
      <w:sz w:val="24"/>
      <w:szCs w:val="24"/>
    </w:rPr>
  </w:style>
  <w:style w:type="paragraph" w:customStyle="1" w:styleId="Hlavikaobsahu4">
    <w:name w:val="Hlavička obsahu4"/>
    <w:basedOn w:val="Nadpis1"/>
    <w:next w:val="Normlny"/>
    <w:rsid w:val="00E56B8D"/>
    <w:pPr>
      <w:keepNext/>
      <w:numPr>
        <w:numId w:val="0"/>
      </w:numPr>
      <w:spacing w:before="240" w:after="60" w:line="240" w:lineRule="auto"/>
      <w:outlineLvl w:val="9"/>
    </w:pPr>
    <w:rPr>
      <w:rFonts w:ascii="Cambria" w:eastAsia="SimSun" w:hAnsi="Cambria" w:cs="Times New Roman"/>
      <w:b/>
      <w:bCs/>
      <w:smallCaps w:val="0"/>
      <w:spacing w:val="0"/>
      <w:kern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3B0F2F"/>
    <w:rPr>
      <w:sz w:val="24"/>
      <w:szCs w:val="24"/>
    </w:rPr>
  </w:style>
  <w:style w:type="paragraph" w:styleId="Nadpis1">
    <w:name w:val="heading 1"/>
    <w:aliases w:val="Chapter,nazov1,Nadpis 1a,Nadpis 1 Char Char"/>
    <w:basedOn w:val="Normlny"/>
    <w:next w:val="Normlny"/>
    <w:link w:val="Nadpis1Char"/>
    <w:qFormat/>
    <w:rsid w:val="00DA384B"/>
    <w:pPr>
      <w:numPr>
        <w:numId w:val="5"/>
      </w:numPr>
      <w:spacing w:before="300" w:after="40" w:line="276" w:lineRule="auto"/>
      <w:outlineLvl w:val="0"/>
    </w:pPr>
    <w:rPr>
      <w:rFonts w:ascii="Calibri" w:eastAsia="Calibri" w:hAnsi="Calibri" w:cs="Calibri"/>
      <w:smallCaps/>
      <w:spacing w:val="5"/>
      <w:sz w:val="32"/>
      <w:szCs w:val="32"/>
    </w:rPr>
  </w:style>
  <w:style w:type="paragraph" w:styleId="Nadpis2">
    <w:name w:val="heading 2"/>
    <w:aliases w:val="Nadpis 2b,Nadpis 2 Char Char,Nadpis 2 Char Char Char Char Char,Nadpis 2 Char Char Char,Nadpis 2 Char Char Char Char Char Char Char Char Char,Nadpis 2 Char Char Char Char Char Char Char Char,h2"/>
    <w:basedOn w:val="Normlny"/>
    <w:next w:val="Normlny"/>
    <w:link w:val="Nadpis2Char"/>
    <w:qFormat/>
    <w:rsid w:val="00DA384B"/>
    <w:pPr>
      <w:numPr>
        <w:ilvl w:val="1"/>
        <w:numId w:val="5"/>
      </w:numPr>
      <w:spacing w:before="240" w:after="80" w:line="276" w:lineRule="auto"/>
      <w:outlineLvl w:val="1"/>
    </w:pPr>
    <w:rPr>
      <w:rFonts w:ascii="Calibri" w:eastAsia="Calibri" w:hAnsi="Calibri"/>
      <w:smallCaps/>
      <w:spacing w:val="5"/>
      <w:sz w:val="28"/>
      <w:szCs w:val="28"/>
      <w:lang w:val="x-none" w:eastAsia="x-none"/>
    </w:rPr>
  </w:style>
  <w:style w:type="paragraph" w:styleId="Nadpis3">
    <w:name w:val="heading 3"/>
    <w:aliases w:val="H3,Nadpis 3a,(1.1.1.)"/>
    <w:basedOn w:val="Nadpis2"/>
    <w:next w:val="Normlny"/>
    <w:link w:val="Nadpis3Char"/>
    <w:qFormat/>
    <w:rsid w:val="00DA384B"/>
    <w:pPr>
      <w:numPr>
        <w:ilvl w:val="2"/>
      </w:numPr>
      <w:spacing w:after="0"/>
      <w:outlineLvl w:val="2"/>
    </w:pPr>
    <w:rPr>
      <w:smallCaps w:val="0"/>
      <w:sz w:val="24"/>
      <w:szCs w:val="24"/>
    </w:rPr>
  </w:style>
  <w:style w:type="paragraph" w:styleId="Nadpis4">
    <w:name w:val="heading 4"/>
    <w:aliases w:val="H4"/>
    <w:basedOn w:val="Normlny"/>
    <w:next w:val="Normlny"/>
    <w:link w:val="Nadpis4Char"/>
    <w:qFormat/>
    <w:rsid w:val="00DA384B"/>
    <w:pPr>
      <w:numPr>
        <w:ilvl w:val="3"/>
        <w:numId w:val="5"/>
      </w:numPr>
      <w:spacing w:before="240" w:line="276" w:lineRule="auto"/>
      <w:outlineLvl w:val="3"/>
    </w:pPr>
    <w:rPr>
      <w:rFonts w:ascii="Calibri" w:eastAsia="Calibri" w:hAnsi="Calibri" w:cs="Calibri"/>
      <w:smallCaps/>
      <w:spacing w:val="10"/>
      <w:sz w:val="22"/>
      <w:szCs w:val="22"/>
    </w:rPr>
  </w:style>
  <w:style w:type="paragraph" w:styleId="Nadpis5">
    <w:name w:val="heading 5"/>
    <w:basedOn w:val="Normlny"/>
    <w:next w:val="Normlny"/>
    <w:link w:val="Nadpis5Char"/>
    <w:qFormat/>
    <w:rsid w:val="00DA384B"/>
    <w:pPr>
      <w:numPr>
        <w:ilvl w:val="4"/>
        <w:numId w:val="5"/>
      </w:numPr>
      <w:spacing w:before="200" w:line="276" w:lineRule="auto"/>
      <w:outlineLvl w:val="4"/>
    </w:pPr>
    <w:rPr>
      <w:rFonts w:ascii="Calibri" w:eastAsia="Calibri" w:hAnsi="Calibri" w:cs="Calibri"/>
      <w:smallCaps/>
      <w:color w:val="943634"/>
      <w:spacing w:val="10"/>
      <w:sz w:val="26"/>
      <w:szCs w:val="26"/>
    </w:rPr>
  </w:style>
  <w:style w:type="paragraph" w:styleId="Nadpis6">
    <w:name w:val="heading 6"/>
    <w:basedOn w:val="Normlny"/>
    <w:next w:val="Normlny"/>
    <w:link w:val="Nadpis6Char"/>
    <w:qFormat/>
    <w:rsid w:val="00DA384B"/>
    <w:pPr>
      <w:numPr>
        <w:ilvl w:val="5"/>
        <w:numId w:val="5"/>
      </w:numPr>
      <w:spacing w:line="276" w:lineRule="auto"/>
      <w:outlineLvl w:val="5"/>
    </w:pPr>
    <w:rPr>
      <w:rFonts w:ascii="Calibri" w:eastAsia="Calibri" w:hAnsi="Calibri" w:cs="Calibri"/>
      <w:smallCaps/>
      <w:color w:val="C0504D"/>
      <w:spacing w:val="5"/>
      <w:sz w:val="22"/>
      <w:szCs w:val="22"/>
    </w:rPr>
  </w:style>
  <w:style w:type="paragraph" w:styleId="Nadpis7">
    <w:name w:val="heading 7"/>
    <w:aliases w:val="Nadpis3"/>
    <w:basedOn w:val="Normlny"/>
    <w:next w:val="Normlny"/>
    <w:link w:val="Nadpis7Char"/>
    <w:qFormat/>
    <w:rsid w:val="00DA384B"/>
    <w:pPr>
      <w:numPr>
        <w:ilvl w:val="6"/>
        <w:numId w:val="5"/>
      </w:numPr>
      <w:spacing w:line="276" w:lineRule="auto"/>
      <w:outlineLvl w:val="6"/>
    </w:pPr>
    <w:rPr>
      <w:rFonts w:ascii="Calibri" w:eastAsia="Calibri" w:hAnsi="Calibri" w:cs="Calibri"/>
      <w:b/>
      <w:bCs/>
      <w:smallCaps/>
      <w:color w:val="C0504D"/>
      <w:spacing w:val="10"/>
      <w:sz w:val="20"/>
      <w:szCs w:val="20"/>
    </w:rPr>
  </w:style>
  <w:style w:type="paragraph" w:styleId="Nadpis8">
    <w:name w:val="heading 8"/>
    <w:basedOn w:val="Normlny"/>
    <w:next w:val="Normlny"/>
    <w:link w:val="Nadpis8Char"/>
    <w:qFormat/>
    <w:rsid w:val="00DA384B"/>
    <w:pPr>
      <w:numPr>
        <w:ilvl w:val="7"/>
        <w:numId w:val="5"/>
      </w:numPr>
      <w:spacing w:line="276" w:lineRule="auto"/>
      <w:outlineLvl w:val="7"/>
    </w:pPr>
    <w:rPr>
      <w:rFonts w:ascii="Calibri" w:eastAsia="Calibri" w:hAnsi="Calibri"/>
      <w:b/>
      <w:bCs/>
      <w:i/>
      <w:iCs/>
      <w:smallCaps/>
      <w:color w:val="943634"/>
      <w:sz w:val="20"/>
      <w:szCs w:val="20"/>
      <w:lang w:val="x-none" w:eastAsia="x-none"/>
    </w:rPr>
  </w:style>
  <w:style w:type="paragraph" w:styleId="Nadpis9">
    <w:name w:val="heading 9"/>
    <w:basedOn w:val="Normlny"/>
    <w:next w:val="Normlny"/>
    <w:link w:val="Nadpis9Char"/>
    <w:qFormat/>
    <w:rsid w:val="00DA384B"/>
    <w:pPr>
      <w:numPr>
        <w:ilvl w:val="8"/>
        <w:numId w:val="5"/>
      </w:numPr>
      <w:spacing w:line="276" w:lineRule="auto"/>
      <w:outlineLvl w:val="8"/>
    </w:pPr>
    <w:rPr>
      <w:rFonts w:ascii="Calibri" w:eastAsia="Calibri" w:hAnsi="Calibri" w:cs="Calibri"/>
      <w:b/>
      <w:bCs/>
      <w:i/>
      <w:iCs/>
      <w:smallCaps/>
      <w:color w:val="622423"/>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nazov1 Char,Nadpis 1a Char,Nadpis 1 Char Char Char"/>
    <w:link w:val="Nadpis1"/>
    <w:locked/>
    <w:rsid w:val="009A6B10"/>
    <w:rPr>
      <w:rFonts w:ascii="Calibri" w:eastAsia="Calibri" w:hAnsi="Calibri" w:cs="Calibri"/>
      <w:smallCaps/>
      <w:spacing w:val="5"/>
      <w:sz w:val="32"/>
      <w:szCs w:val="32"/>
    </w:rPr>
  </w:style>
  <w:style w:type="character" w:customStyle="1" w:styleId="Nadpis2Char">
    <w:name w:val="Nadpis 2 Char"/>
    <w:aliases w:val="Nadpis 2b Char,Nadpis 2 Char Char Char1,Nadpis 2 Char Char Char Char Char Char,Nadpis 2 Char Char Char Char,Nadpis 2 Char Char Char Char Char Char Char Char Char Char,Nadpis 2 Char Char Char Char Char Char Char Char Char1,h2 Char"/>
    <w:link w:val="Nadpis2"/>
    <w:locked/>
    <w:rsid w:val="007B158C"/>
    <w:rPr>
      <w:rFonts w:ascii="Calibri" w:eastAsia="Calibri" w:hAnsi="Calibri"/>
      <w:smallCaps/>
      <w:spacing w:val="5"/>
      <w:sz w:val="28"/>
      <w:szCs w:val="28"/>
      <w:lang w:val="x-none" w:eastAsia="x-none"/>
    </w:rPr>
  </w:style>
  <w:style w:type="character" w:customStyle="1" w:styleId="Nadpis3Char">
    <w:name w:val="Nadpis 3 Char"/>
    <w:aliases w:val="H3 Char,Nadpis 3a Char,(1.1.1.) Char"/>
    <w:link w:val="Nadpis3"/>
    <w:locked/>
    <w:rsid w:val="00DA384B"/>
    <w:rPr>
      <w:rFonts w:ascii="Calibri" w:eastAsia="Calibri" w:hAnsi="Calibri"/>
      <w:spacing w:val="5"/>
      <w:sz w:val="24"/>
      <w:szCs w:val="24"/>
      <w:lang w:val="x-none" w:eastAsia="x-none"/>
    </w:rPr>
  </w:style>
  <w:style w:type="character" w:customStyle="1" w:styleId="Nadpis4Char">
    <w:name w:val="Nadpis 4 Char"/>
    <w:aliases w:val="H4 Char"/>
    <w:link w:val="Nadpis4"/>
    <w:locked/>
    <w:rsid w:val="009A6B10"/>
    <w:rPr>
      <w:rFonts w:ascii="Calibri" w:eastAsia="Calibri" w:hAnsi="Calibri" w:cs="Calibri"/>
      <w:smallCaps/>
      <w:spacing w:val="10"/>
      <w:sz w:val="22"/>
      <w:szCs w:val="22"/>
    </w:rPr>
  </w:style>
  <w:style w:type="character" w:customStyle="1" w:styleId="Nadpis5Char">
    <w:name w:val="Nadpis 5 Char"/>
    <w:link w:val="Nadpis5"/>
    <w:locked/>
    <w:rsid w:val="009A6B10"/>
    <w:rPr>
      <w:rFonts w:ascii="Calibri" w:eastAsia="Calibri" w:hAnsi="Calibri" w:cs="Calibri"/>
      <w:smallCaps/>
      <w:color w:val="943634"/>
      <w:spacing w:val="10"/>
      <w:sz w:val="26"/>
      <w:szCs w:val="26"/>
    </w:rPr>
  </w:style>
  <w:style w:type="character" w:customStyle="1" w:styleId="Nadpis6Char">
    <w:name w:val="Nadpis 6 Char"/>
    <w:link w:val="Nadpis6"/>
    <w:locked/>
    <w:rsid w:val="009A6B10"/>
    <w:rPr>
      <w:rFonts w:ascii="Calibri" w:eastAsia="Calibri" w:hAnsi="Calibri" w:cs="Calibri"/>
      <w:smallCaps/>
      <w:color w:val="C0504D"/>
      <w:spacing w:val="5"/>
      <w:sz w:val="22"/>
      <w:szCs w:val="22"/>
    </w:rPr>
  </w:style>
  <w:style w:type="character" w:customStyle="1" w:styleId="Nadpis7Char">
    <w:name w:val="Nadpis 7 Char"/>
    <w:aliases w:val="Nadpis3 Char"/>
    <w:link w:val="Nadpis7"/>
    <w:locked/>
    <w:rsid w:val="009A6B10"/>
    <w:rPr>
      <w:rFonts w:ascii="Calibri" w:eastAsia="Calibri" w:hAnsi="Calibri" w:cs="Calibri"/>
      <w:b/>
      <w:bCs/>
      <w:smallCaps/>
      <w:color w:val="C0504D"/>
      <w:spacing w:val="10"/>
    </w:rPr>
  </w:style>
  <w:style w:type="character" w:customStyle="1" w:styleId="Nadpis8Char">
    <w:name w:val="Nadpis 8 Char"/>
    <w:link w:val="Nadpis8"/>
    <w:locked/>
    <w:rsid w:val="005102F4"/>
    <w:rPr>
      <w:rFonts w:ascii="Calibri" w:eastAsia="Calibri" w:hAnsi="Calibri"/>
      <w:b/>
      <w:bCs/>
      <w:i/>
      <w:iCs/>
      <w:smallCaps/>
      <w:color w:val="943634"/>
      <w:lang w:val="x-none" w:eastAsia="x-none"/>
    </w:rPr>
  </w:style>
  <w:style w:type="character" w:customStyle="1" w:styleId="Nadpis9Char">
    <w:name w:val="Nadpis 9 Char"/>
    <w:link w:val="Nadpis9"/>
    <w:locked/>
    <w:rsid w:val="009A6B10"/>
    <w:rPr>
      <w:rFonts w:ascii="Calibri" w:eastAsia="Calibri" w:hAnsi="Calibri" w:cs="Calibri"/>
      <w:b/>
      <w:bCs/>
      <w:i/>
      <w:iCs/>
      <w:smallCaps/>
      <w:color w:val="622423"/>
    </w:rPr>
  </w:style>
  <w:style w:type="paragraph" w:styleId="Hlavika">
    <w:name w:val="header"/>
    <w:basedOn w:val="Normlny"/>
    <w:link w:val="HlavikaChar"/>
    <w:rsid w:val="0022074D"/>
    <w:pPr>
      <w:tabs>
        <w:tab w:val="center" w:pos="4536"/>
        <w:tab w:val="right" w:pos="9072"/>
      </w:tabs>
    </w:pPr>
  </w:style>
  <w:style w:type="character" w:customStyle="1" w:styleId="HlavikaChar">
    <w:name w:val="Hlavička Char"/>
    <w:link w:val="Hlavika"/>
    <w:locked/>
    <w:rsid w:val="003363E1"/>
    <w:rPr>
      <w:sz w:val="24"/>
      <w:szCs w:val="24"/>
      <w:lang w:val="sk-SK" w:eastAsia="sk-SK" w:bidi="ar-SA"/>
    </w:rPr>
  </w:style>
  <w:style w:type="paragraph" w:styleId="Pta">
    <w:name w:val="footer"/>
    <w:basedOn w:val="Normlny"/>
    <w:link w:val="PtaChar"/>
    <w:uiPriority w:val="99"/>
    <w:rsid w:val="0022074D"/>
    <w:pPr>
      <w:tabs>
        <w:tab w:val="center" w:pos="4536"/>
        <w:tab w:val="right" w:pos="9072"/>
      </w:tabs>
    </w:pPr>
    <w:rPr>
      <w:lang w:val="x-none" w:eastAsia="x-none"/>
    </w:rPr>
  </w:style>
  <w:style w:type="character" w:customStyle="1" w:styleId="PtaChar">
    <w:name w:val="Päta Char"/>
    <w:link w:val="Pta"/>
    <w:uiPriority w:val="99"/>
    <w:rsid w:val="00B5359E"/>
    <w:rPr>
      <w:sz w:val="24"/>
      <w:szCs w:val="24"/>
    </w:rPr>
  </w:style>
  <w:style w:type="paragraph" w:styleId="Odsekzoznamu">
    <w:name w:val="List Paragraph"/>
    <w:basedOn w:val="Normlny"/>
    <w:link w:val="OdsekzoznamuChar"/>
    <w:qFormat/>
    <w:rsid w:val="0022074D"/>
    <w:pPr>
      <w:spacing w:after="200" w:line="276" w:lineRule="auto"/>
      <w:ind w:left="708"/>
      <w:jc w:val="both"/>
    </w:pPr>
    <w:rPr>
      <w:rFonts w:ascii="Calibri" w:hAnsi="Calibri"/>
      <w:sz w:val="20"/>
      <w:szCs w:val="20"/>
      <w:lang w:val="x-none" w:eastAsia="en-US"/>
    </w:rPr>
  </w:style>
  <w:style w:type="character" w:customStyle="1" w:styleId="OdsekzoznamuChar">
    <w:name w:val="Odsek zoznamu Char"/>
    <w:link w:val="Odsekzoznamu"/>
    <w:locked/>
    <w:rsid w:val="0022074D"/>
    <w:rPr>
      <w:rFonts w:ascii="Calibri" w:hAnsi="Calibri"/>
      <w:lang w:val="x-none" w:eastAsia="en-US" w:bidi="ar-SA"/>
    </w:rPr>
  </w:style>
  <w:style w:type="paragraph" w:styleId="Textbubliny">
    <w:name w:val="Balloon Text"/>
    <w:basedOn w:val="Normlny"/>
    <w:link w:val="TextbublinyChar"/>
    <w:semiHidden/>
    <w:rsid w:val="0022074D"/>
    <w:rPr>
      <w:rFonts w:ascii="Tahoma" w:hAnsi="Tahoma" w:cs="Tahoma"/>
      <w:sz w:val="16"/>
      <w:szCs w:val="16"/>
    </w:rPr>
  </w:style>
  <w:style w:type="character" w:customStyle="1" w:styleId="TextbublinyChar">
    <w:name w:val="Text bubliny Char"/>
    <w:link w:val="Textbubliny"/>
    <w:semiHidden/>
    <w:locked/>
    <w:rsid w:val="009A6B10"/>
    <w:rPr>
      <w:rFonts w:ascii="Tahoma" w:hAnsi="Tahoma" w:cs="Tahoma"/>
      <w:sz w:val="16"/>
      <w:szCs w:val="16"/>
    </w:rPr>
  </w:style>
  <w:style w:type="paragraph" w:styleId="Textpoznmkypodiarou">
    <w:name w:val="footnote text"/>
    <w:aliases w:val="Schriftart: 9 pt,Schriftart: 10 pt,Schriftart: 8 pt,Podrozdział,Footnote,o,Footnote text,NBP,fn,WB-Fußnot,Text poznámky pod čiarou 007,_Poznámka pod čiarou,Footnote Text Char1,Footnote Text Char Char,Fo Char Char,Fotnot Char Cha"/>
    <w:basedOn w:val="Normlny"/>
    <w:link w:val="TextpoznmkypodiarouChar"/>
    <w:semiHidden/>
    <w:rsid w:val="00DA384B"/>
    <w:rPr>
      <w:rFonts w:ascii="Calibri" w:eastAsia="Calibri" w:hAnsi="Calibri"/>
      <w:sz w:val="20"/>
      <w:szCs w:val="20"/>
      <w:lang w:val="en-US"/>
    </w:rPr>
  </w:style>
  <w:style w:type="character" w:customStyle="1" w:styleId="TextpoznmkypodiarouChar">
    <w:name w:val="Text poznámky pod čiarou Char"/>
    <w:aliases w:val="Schriftart: 9 pt Char,Schriftart: 10 pt Char,Schriftart: 8 pt Char,Podrozdział Char,Footnote Char,o Char,Footnote text Char,NBP Char,fn Char,WB-Fußnot Char,Text poznámky pod čiarou 007 Char,_Poznámka pod čiarou Char"/>
    <w:link w:val="Textpoznmkypodiarou"/>
    <w:semiHidden/>
    <w:locked/>
    <w:rsid w:val="00DA384B"/>
    <w:rPr>
      <w:rFonts w:ascii="Calibri" w:eastAsia="Calibri" w:hAnsi="Calibri"/>
      <w:lang w:val="en-US" w:eastAsia="sk-SK" w:bidi="ar-SA"/>
    </w:rPr>
  </w:style>
  <w:style w:type="character" w:styleId="Odkaznapoznmkupodiarou">
    <w:name w:val="footnote reference"/>
    <w:aliases w:val="Footnote symbol,Footnote reference number,Times 10 Point,Exposant 3 Point,Ref,de nota al pie,note TESI,SUPERS,EN Footnote text,EN Footnote Refe,Stinking Styles1,PGI Fußnote Ziffer,-E Fußnotenzeichen,number,16 Point"/>
    <w:semiHidden/>
    <w:rsid w:val="00DA384B"/>
    <w:rPr>
      <w:vertAlign w:val="superscript"/>
    </w:rPr>
  </w:style>
  <w:style w:type="paragraph" w:customStyle="1" w:styleId="Default">
    <w:name w:val="Default"/>
    <w:rsid w:val="00DA384B"/>
    <w:pPr>
      <w:autoSpaceDE w:val="0"/>
      <w:autoSpaceDN w:val="0"/>
      <w:adjustRightInd w:val="0"/>
    </w:pPr>
    <w:rPr>
      <w:rFonts w:ascii="Arial Narrow" w:eastAsia="Calibri" w:hAnsi="Arial Narrow" w:cs="Arial Narrow"/>
      <w:color w:val="000000"/>
      <w:sz w:val="24"/>
      <w:szCs w:val="24"/>
    </w:rPr>
  </w:style>
  <w:style w:type="character" w:styleId="Siln">
    <w:name w:val="Strong"/>
    <w:qFormat/>
    <w:rsid w:val="00DA384B"/>
    <w:rPr>
      <w:b/>
      <w:bCs/>
    </w:rPr>
  </w:style>
  <w:style w:type="paragraph" w:customStyle="1" w:styleId="Odsekzoznamu1">
    <w:name w:val="Odsek zoznamu1"/>
    <w:aliases w:val="body,List Paragraph1,List Paragraph"/>
    <w:basedOn w:val="Normlny"/>
    <w:link w:val="ListParagraphChar1"/>
    <w:rsid w:val="00DA384B"/>
    <w:pPr>
      <w:spacing w:after="200" w:line="276" w:lineRule="auto"/>
      <w:ind w:left="720"/>
      <w:contextualSpacing/>
      <w:jc w:val="both"/>
    </w:pPr>
    <w:rPr>
      <w:rFonts w:ascii="Calibri" w:eastAsia="Calibri" w:hAnsi="Calibri" w:cs="Calibri"/>
      <w:sz w:val="20"/>
      <w:szCs w:val="20"/>
      <w:lang w:eastAsia="en-US"/>
    </w:rPr>
  </w:style>
  <w:style w:type="character" w:customStyle="1" w:styleId="ListParagraphChar1">
    <w:name w:val="List Paragraph Char1"/>
    <w:link w:val="Odsekzoznamu1"/>
    <w:locked/>
    <w:rsid w:val="00DA384B"/>
    <w:rPr>
      <w:rFonts w:ascii="Calibri" w:eastAsia="Calibri" w:hAnsi="Calibri" w:cs="Calibri"/>
      <w:lang w:val="sk-SK" w:eastAsia="en-US" w:bidi="ar-SA"/>
    </w:rPr>
  </w:style>
  <w:style w:type="paragraph" w:styleId="Zkladntext">
    <w:name w:val="Body Text"/>
    <w:aliases w:val="b,Základní text Char,bt,heading3,Body Text - Level 2,Body"/>
    <w:basedOn w:val="Normlny"/>
    <w:link w:val="ZkladntextChar"/>
    <w:rsid w:val="005102F4"/>
    <w:pPr>
      <w:spacing w:after="120"/>
    </w:pPr>
  </w:style>
  <w:style w:type="character" w:customStyle="1" w:styleId="ZkladntextChar">
    <w:name w:val="Základný text Char"/>
    <w:aliases w:val="b Char,Základní text Char Char,bt Char,heading3 Char,Body Text - Level 2 Char,Body Char"/>
    <w:link w:val="Zkladntext"/>
    <w:locked/>
    <w:rsid w:val="007B158C"/>
    <w:rPr>
      <w:sz w:val="24"/>
      <w:szCs w:val="24"/>
      <w:lang w:val="sk-SK" w:eastAsia="sk-SK" w:bidi="ar-SA"/>
    </w:rPr>
  </w:style>
  <w:style w:type="paragraph" w:styleId="Prvzarkazkladnhotextu">
    <w:name w:val="Body Text First Indent"/>
    <w:basedOn w:val="Zkladntext"/>
    <w:rsid w:val="005102F4"/>
    <w:pPr>
      <w:ind w:firstLine="210"/>
    </w:pPr>
  </w:style>
  <w:style w:type="character" w:customStyle="1" w:styleId="Textzstupnhosymbolu1">
    <w:name w:val="Text zástupného symbolu1"/>
    <w:semiHidden/>
    <w:rsid w:val="005102F4"/>
    <w:rPr>
      <w:rFonts w:ascii="Times New Roman" w:hAnsi="Times New Roman" w:cs="Times New Roman"/>
      <w:color w:val="808080"/>
    </w:rPr>
  </w:style>
  <w:style w:type="paragraph" w:styleId="Zarkazkladnhotextu">
    <w:name w:val="Body Text Indent"/>
    <w:basedOn w:val="Normlny"/>
    <w:link w:val="ZarkazkladnhotextuChar"/>
    <w:rsid w:val="005102F4"/>
    <w:pPr>
      <w:spacing w:after="120"/>
      <w:ind w:left="283"/>
    </w:pPr>
  </w:style>
  <w:style w:type="character" w:customStyle="1" w:styleId="ZarkazkladnhotextuChar">
    <w:name w:val="Zarážka základného textu Char"/>
    <w:link w:val="Zarkazkladnhotextu"/>
    <w:rsid w:val="009A6B10"/>
    <w:rPr>
      <w:sz w:val="24"/>
      <w:szCs w:val="24"/>
    </w:rPr>
  </w:style>
  <w:style w:type="paragraph" w:customStyle="1" w:styleId="IDRRecommendationsBulletPoints">
    <w:name w:val="IDR Recommendations Bullet Points"/>
    <w:basedOn w:val="Normlny"/>
    <w:qFormat/>
    <w:rsid w:val="005102F4"/>
    <w:pPr>
      <w:numPr>
        <w:numId w:val="1"/>
      </w:numPr>
      <w:spacing w:after="120"/>
      <w:jc w:val="both"/>
    </w:pPr>
    <w:rPr>
      <w:rFonts w:ascii="Calibri" w:hAnsi="Calibri"/>
      <w:i/>
      <w:sz w:val="21"/>
      <w:szCs w:val="22"/>
      <w:lang w:val="en-GB" w:eastAsia="en-US"/>
    </w:rPr>
  </w:style>
  <w:style w:type="paragraph" w:styleId="Zkladntext2">
    <w:name w:val="Body Text 2"/>
    <w:basedOn w:val="Normlny"/>
    <w:link w:val="Zkladntext2Char"/>
    <w:rsid w:val="007B158C"/>
    <w:pPr>
      <w:spacing w:after="120" w:line="480" w:lineRule="auto"/>
    </w:pPr>
  </w:style>
  <w:style w:type="character" w:customStyle="1" w:styleId="Zkladntext2Char">
    <w:name w:val="Základný text 2 Char"/>
    <w:link w:val="Zkladntext2"/>
    <w:locked/>
    <w:rsid w:val="007B158C"/>
    <w:rPr>
      <w:sz w:val="24"/>
      <w:szCs w:val="24"/>
      <w:lang w:val="sk-SK" w:eastAsia="sk-SK" w:bidi="ar-SA"/>
    </w:rPr>
  </w:style>
  <w:style w:type="paragraph" w:styleId="Bezriadkovania">
    <w:name w:val="No Spacing"/>
    <w:qFormat/>
    <w:rsid w:val="007B158C"/>
    <w:rPr>
      <w:rFonts w:ascii="Calibri" w:eastAsia="Calibri" w:hAnsi="Calibri"/>
      <w:sz w:val="22"/>
      <w:szCs w:val="22"/>
      <w:lang w:eastAsia="en-US"/>
    </w:rPr>
  </w:style>
  <w:style w:type="paragraph" w:customStyle="1" w:styleId="3Title">
    <w:name w:val="3 Title"/>
    <w:basedOn w:val="Normlny"/>
    <w:rsid w:val="007B158C"/>
    <w:pPr>
      <w:tabs>
        <w:tab w:val="right" w:pos="9360"/>
      </w:tabs>
    </w:pPr>
    <w:rPr>
      <w:rFonts w:ascii="Arial" w:hAnsi="Arial" w:cs="Arial"/>
      <w:sz w:val="32"/>
      <w:szCs w:val="20"/>
      <w:lang w:val="en-GB" w:eastAsia="en-US"/>
    </w:rPr>
  </w:style>
  <w:style w:type="paragraph" w:customStyle="1" w:styleId="tl1">
    <w:name w:val="Štýl1"/>
    <w:basedOn w:val="Nadpis2"/>
    <w:rsid w:val="00160EEF"/>
    <w:pPr>
      <w:keepNext/>
      <w:numPr>
        <w:ilvl w:val="0"/>
        <w:numId w:val="0"/>
      </w:numPr>
      <w:spacing w:after="60" w:line="240" w:lineRule="auto"/>
    </w:pPr>
    <w:rPr>
      <w:rFonts w:ascii="Arial" w:eastAsia="Times New Roman" w:hAnsi="Arial" w:cs="Arial"/>
      <w:b/>
      <w:bCs/>
      <w:i/>
      <w:iCs/>
      <w:smallCaps w:val="0"/>
      <w:spacing w:val="0"/>
    </w:rPr>
  </w:style>
  <w:style w:type="character" w:customStyle="1" w:styleId="articletext">
    <w:name w:val="articletext"/>
    <w:rsid w:val="00160EEF"/>
  </w:style>
  <w:style w:type="paragraph" w:customStyle="1" w:styleId="Bezriadkovania1">
    <w:name w:val="Bez riadkovania1"/>
    <w:link w:val="NoSpacingChar1"/>
    <w:rsid w:val="00FE6034"/>
    <w:rPr>
      <w:rFonts w:eastAsia="Calibri"/>
      <w:sz w:val="24"/>
      <w:szCs w:val="24"/>
    </w:rPr>
  </w:style>
  <w:style w:type="character" w:customStyle="1" w:styleId="NoSpacingChar1">
    <w:name w:val="No Spacing Char1"/>
    <w:link w:val="Bezriadkovania1"/>
    <w:locked/>
    <w:rsid w:val="00FE6034"/>
    <w:rPr>
      <w:rFonts w:eastAsia="Calibri"/>
      <w:sz w:val="24"/>
      <w:szCs w:val="24"/>
      <w:lang w:val="sk-SK" w:eastAsia="sk-SK" w:bidi="ar-SA"/>
    </w:rPr>
  </w:style>
  <w:style w:type="character" w:customStyle="1" w:styleId="CharChar4">
    <w:name w:val="Char Char4"/>
    <w:locked/>
    <w:rsid w:val="00FE6034"/>
    <w:rPr>
      <w:sz w:val="24"/>
      <w:szCs w:val="24"/>
      <w:lang w:val="sk-SK" w:eastAsia="sk-SK" w:bidi="ar-SA"/>
    </w:rPr>
  </w:style>
  <w:style w:type="character" w:customStyle="1" w:styleId="ListParagraphChar">
    <w:name w:val="List Paragraph Char"/>
    <w:locked/>
    <w:rsid w:val="00E46467"/>
    <w:rPr>
      <w:rFonts w:eastAsia="Times New Roman"/>
      <w:sz w:val="20"/>
      <w:lang w:val="x-none" w:eastAsia="sk-SK"/>
    </w:rPr>
  </w:style>
  <w:style w:type="paragraph" w:customStyle="1" w:styleId="Odrky1">
    <w:name w:val="Odrážky 1"/>
    <w:basedOn w:val="Normlny"/>
    <w:rsid w:val="00C81DEC"/>
    <w:pPr>
      <w:numPr>
        <w:numId w:val="11"/>
      </w:numPr>
      <w:spacing w:before="120" w:after="120" w:line="288" w:lineRule="auto"/>
      <w:jc w:val="both"/>
    </w:pPr>
    <w:rPr>
      <w:rFonts w:ascii="Arial" w:hAnsi="Arial" w:cs="Arial"/>
      <w:sz w:val="20"/>
      <w:lang w:val="cs-CZ" w:eastAsia="cs-CZ"/>
    </w:rPr>
  </w:style>
  <w:style w:type="paragraph" w:customStyle="1" w:styleId="qwe">
    <w:name w:val="qwe"/>
    <w:basedOn w:val="Normlny"/>
    <w:rsid w:val="00AB2B30"/>
    <w:pPr>
      <w:numPr>
        <w:numId w:val="13"/>
      </w:numPr>
      <w:spacing w:line="288" w:lineRule="auto"/>
      <w:jc w:val="both"/>
    </w:pPr>
    <w:rPr>
      <w:rFonts w:eastAsia="MS Mincho"/>
      <w:sz w:val="22"/>
      <w:lang w:val="en-GB" w:eastAsia="ja-JP"/>
    </w:rPr>
  </w:style>
  <w:style w:type="character" w:customStyle="1" w:styleId="paraChar">
    <w:name w:val="para Char"/>
    <w:link w:val="para"/>
    <w:locked/>
    <w:rsid w:val="00AB2B30"/>
    <w:rPr>
      <w:rFonts w:ascii="MS Mincho" w:eastAsia="MS Mincho" w:hAnsi="MS Mincho"/>
      <w:sz w:val="24"/>
      <w:lang w:val="x-none" w:eastAsia="ja-JP"/>
    </w:rPr>
  </w:style>
  <w:style w:type="paragraph" w:customStyle="1" w:styleId="para">
    <w:name w:val="para"/>
    <w:basedOn w:val="qwe"/>
    <w:link w:val="paraChar"/>
    <w:rsid w:val="00AB2B30"/>
    <w:rPr>
      <w:rFonts w:ascii="MS Mincho" w:hAnsi="MS Mincho"/>
      <w:sz w:val="24"/>
      <w:szCs w:val="20"/>
      <w:lang w:val="x-none"/>
    </w:rPr>
  </w:style>
  <w:style w:type="character" w:customStyle="1" w:styleId="BodyText2Char">
    <w:name w:val="Body Text 2 Char"/>
    <w:semiHidden/>
    <w:locked/>
    <w:rsid w:val="00AB2B30"/>
    <w:rPr>
      <w:rFonts w:ascii="Times New Roman" w:eastAsia="Times New Roman" w:hAnsi="Times New Roman" w:cs="Times New Roman"/>
      <w:sz w:val="24"/>
      <w:szCs w:val="24"/>
      <w:lang w:val="x-none" w:eastAsia="sk-SK"/>
    </w:rPr>
  </w:style>
  <w:style w:type="paragraph" w:customStyle="1" w:styleId="msonormalcxspmiddle">
    <w:name w:val="msonormalcxspmiddle"/>
    <w:basedOn w:val="Normlny"/>
    <w:rsid w:val="00EF5421"/>
    <w:pPr>
      <w:spacing w:before="100" w:beforeAutospacing="1" w:after="100" w:afterAutospacing="1"/>
    </w:pPr>
  </w:style>
  <w:style w:type="character" w:customStyle="1" w:styleId="Textpoznmkypodiarou007CharChar">
    <w:name w:val="Text poznámky pod čiarou 007 Char Char"/>
    <w:rsid w:val="000466FB"/>
    <w:rPr>
      <w:rFonts w:ascii="Times New Roman" w:eastAsia="Times New Roman" w:hAnsi="Times New Roman"/>
      <w:lang w:val="cs-CZ" w:eastAsia="cs-CZ"/>
    </w:rPr>
  </w:style>
  <w:style w:type="character" w:styleId="Hypertextovprepojenie">
    <w:name w:val="Hyperlink"/>
    <w:rsid w:val="00D44A34"/>
    <w:rPr>
      <w:color w:val="0000FF"/>
      <w:u w:val="single"/>
    </w:rPr>
  </w:style>
  <w:style w:type="paragraph" w:customStyle="1" w:styleId="Style1">
    <w:name w:val="Style 1"/>
    <w:basedOn w:val="Normlny"/>
    <w:rsid w:val="00F41DD5"/>
    <w:pPr>
      <w:widowControl w:val="0"/>
      <w:autoSpaceDE w:val="0"/>
      <w:autoSpaceDN w:val="0"/>
      <w:spacing w:before="216" w:line="273" w:lineRule="auto"/>
      <w:jc w:val="both"/>
    </w:pPr>
    <w:rPr>
      <w:sz w:val="22"/>
      <w:szCs w:val="22"/>
    </w:rPr>
  </w:style>
  <w:style w:type="character" w:customStyle="1" w:styleId="CharacterStyle1">
    <w:name w:val="Character Style 1"/>
    <w:rsid w:val="00F41DD5"/>
    <w:rPr>
      <w:sz w:val="22"/>
    </w:rPr>
  </w:style>
  <w:style w:type="character" w:customStyle="1" w:styleId="hps">
    <w:name w:val="hps"/>
    <w:basedOn w:val="Predvolenpsmoodseku"/>
    <w:rsid w:val="00032C75"/>
  </w:style>
  <w:style w:type="character" w:customStyle="1" w:styleId="hpsatn">
    <w:name w:val="hps atn"/>
    <w:basedOn w:val="Predvolenpsmoodseku"/>
    <w:rsid w:val="00032C75"/>
  </w:style>
  <w:style w:type="paragraph" w:styleId="Zkladntext3">
    <w:name w:val="Body Text 3"/>
    <w:basedOn w:val="Normlny"/>
    <w:rsid w:val="0040040C"/>
    <w:pPr>
      <w:spacing w:after="120"/>
    </w:pPr>
    <w:rPr>
      <w:sz w:val="16"/>
      <w:szCs w:val="16"/>
    </w:rPr>
  </w:style>
  <w:style w:type="paragraph" w:styleId="Normlnywebov">
    <w:name w:val="Normal (Web)"/>
    <w:basedOn w:val="Normlny"/>
    <w:rsid w:val="00607111"/>
    <w:pPr>
      <w:spacing w:before="100" w:beforeAutospacing="1" w:after="100" w:afterAutospacing="1"/>
    </w:pPr>
    <w:rPr>
      <w:rFonts w:eastAsia="Calibri"/>
    </w:rPr>
  </w:style>
  <w:style w:type="character" w:styleId="PouitHypertextovPrepojenie">
    <w:name w:val="FollowedHyperlink"/>
    <w:rsid w:val="00315677"/>
    <w:rPr>
      <w:color w:val="800080"/>
      <w:u w:val="single"/>
    </w:rPr>
  </w:style>
  <w:style w:type="character" w:styleId="Odkaznakomentr">
    <w:name w:val="annotation reference"/>
    <w:rsid w:val="009928B2"/>
    <w:rPr>
      <w:sz w:val="16"/>
      <w:szCs w:val="16"/>
    </w:rPr>
  </w:style>
  <w:style w:type="paragraph" w:styleId="Textkomentra">
    <w:name w:val="annotation text"/>
    <w:basedOn w:val="Normlny"/>
    <w:link w:val="TextkomentraChar"/>
    <w:rsid w:val="009928B2"/>
    <w:rPr>
      <w:sz w:val="20"/>
      <w:szCs w:val="20"/>
    </w:rPr>
  </w:style>
  <w:style w:type="character" w:customStyle="1" w:styleId="TextkomentraChar">
    <w:name w:val="Text komentára Char"/>
    <w:basedOn w:val="Predvolenpsmoodseku"/>
    <w:link w:val="Textkomentra"/>
    <w:rsid w:val="009928B2"/>
  </w:style>
  <w:style w:type="paragraph" w:styleId="Predmetkomentra">
    <w:name w:val="annotation subject"/>
    <w:basedOn w:val="Textkomentra"/>
    <w:next w:val="Textkomentra"/>
    <w:link w:val="PredmetkomentraChar"/>
    <w:rsid w:val="009928B2"/>
    <w:rPr>
      <w:b/>
      <w:bCs/>
      <w:lang w:val="x-none" w:eastAsia="x-none"/>
    </w:rPr>
  </w:style>
  <w:style w:type="character" w:customStyle="1" w:styleId="PredmetkomentraChar">
    <w:name w:val="Predmet komentára Char"/>
    <w:link w:val="Predmetkomentra"/>
    <w:rsid w:val="009928B2"/>
    <w:rPr>
      <w:b/>
      <w:bCs/>
    </w:rPr>
  </w:style>
  <w:style w:type="paragraph" w:styleId="Textvysvetlivky">
    <w:name w:val="endnote text"/>
    <w:basedOn w:val="Normlny"/>
    <w:link w:val="TextvysvetlivkyChar"/>
    <w:rsid w:val="007B2DB4"/>
    <w:rPr>
      <w:sz w:val="20"/>
      <w:szCs w:val="20"/>
    </w:rPr>
  </w:style>
  <w:style w:type="character" w:customStyle="1" w:styleId="TextvysvetlivkyChar">
    <w:name w:val="Text vysvetlivky Char"/>
    <w:basedOn w:val="Predvolenpsmoodseku"/>
    <w:link w:val="Textvysvetlivky"/>
    <w:rsid w:val="007B2DB4"/>
  </w:style>
  <w:style w:type="character" w:styleId="Odkaznavysvetlivku">
    <w:name w:val="endnote reference"/>
    <w:rsid w:val="007B2DB4"/>
    <w:rPr>
      <w:vertAlign w:val="superscript"/>
    </w:rPr>
  </w:style>
  <w:style w:type="paragraph" w:customStyle="1" w:styleId="Zoznamsodrkami1">
    <w:name w:val="Zoznam s odrážkami1"/>
    <w:basedOn w:val="Normlny"/>
    <w:rsid w:val="000442E5"/>
    <w:pPr>
      <w:tabs>
        <w:tab w:val="num" w:pos="360"/>
        <w:tab w:val="left" w:pos="720"/>
      </w:tabs>
      <w:suppressAutoHyphens/>
    </w:pPr>
    <w:rPr>
      <w:lang w:eastAsia="ar-SA"/>
    </w:rPr>
  </w:style>
  <w:style w:type="table" w:styleId="Mriekatabuky">
    <w:name w:val="Table Grid"/>
    <w:basedOn w:val="Normlnatabuka"/>
    <w:uiPriority w:val="59"/>
    <w:rsid w:val="000442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2-neod">
    <w:name w:val="Ods2-neod"/>
    <w:basedOn w:val="Normlny"/>
    <w:rsid w:val="009A6B10"/>
    <w:pPr>
      <w:spacing w:before="60"/>
      <w:jc w:val="both"/>
    </w:pPr>
    <w:rPr>
      <w:kern w:val="28"/>
      <w:szCs w:val="20"/>
    </w:rPr>
  </w:style>
  <w:style w:type="paragraph" w:styleId="Popis">
    <w:name w:val="caption"/>
    <w:basedOn w:val="Normlny"/>
    <w:next w:val="Normlny"/>
    <w:qFormat/>
    <w:rsid w:val="009A6B10"/>
    <w:pPr>
      <w:ind w:right="-290" w:firstLine="180"/>
      <w:jc w:val="center"/>
    </w:pPr>
    <w:rPr>
      <w:rFonts w:ascii="Arial Narrow" w:hAnsi="Arial Narrow" w:cs="Arial"/>
      <w:b/>
      <w:bCs/>
    </w:rPr>
  </w:style>
  <w:style w:type="paragraph" w:styleId="Zoznamsodrkami">
    <w:name w:val="List Bullet"/>
    <w:basedOn w:val="Normlny"/>
    <w:rsid w:val="009A6B10"/>
    <w:pPr>
      <w:overflowPunct w:val="0"/>
      <w:autoSpaceDE w:val="0"/>
      <w:autoSpaceDN w:val="0"/>
      <w:adjustRightInd w:val="0"/>
      <w:ind w:left="283" w:hanging="283"/>
    </w:pPr>
    <w:rPr>
      <w:rFonts w:ascii="Arial Narrow" w:hAnsi="Arial Narrow"/>
      <w:szCs w:val="20"/>
    </w:rPr>
  </w:style>
  <w:style w:type="paragraph" w:customStyle="1" w:styleId="Odsek">
    <w:name w:val="Odsek"/>
    <w:basedOn w:val="Normlny"/>
    <w:rsid w:val="009A6B10"/>
    <w:pPr>
      <w:overflowPunct w:val="0"/>
      <w:autoSpaceDE w:val="0"/>
      <w:autoSpaceDN w:val="0"/>
      <w:adjustRightInd w:val="0"/>
      <w:spacing w:before="240"/>
      <w:jc w:val="both"/>
    </w:pPr>
    <w:rPr>
      <w:szCs w:val="20"/>
    </w:rPr>
  </w:style>
  <w:style w:type="paragraph" w:customStyle="1" w:styleId="BodyText21">
    <w:name w:val="Body Text 21"/>
    <w:basedOn w:val="Normlny"/>
    <w:rsid w:val="009A6B10"/>
    <w:pPr>
      <w:overflowPunct w:val="0"/>
      <w:autoSpaceDE w:val="0"/>
      <w:autoSpaceDN w:val="0"/>
      <w:adjustRightInd w:val="0"/>
      <w:ind w:firstLine="708"/>
      <w:jc w:val="both"/>
    </w:pPr>
    <w:rPr>
      <w:rFonts w:ascii="Verdana" w:hAnsi="Verdana"/>
      <w:color w:val="000000"/>
      <w:sz w:val="20"/>
      <w:szCs w:val="20"/>
    </w:rPr>
  </w:style>
  <w:style w:type="paragraph" w:customStyle="1" w:styleId="Odsadentext">
    <w:name w:val="Odsadený text"/>
    <w:basedOn w:val="Normlny"/>
    <w:rsid w:val="009A6B10"/>
    <w:pPr>
      <w:widowControl w:val="0"/>
      <w:overflowPunct w:val="0"/>
      <w:autoSpaceDE w:val="0"/>
      <w:autoSpaceDN w:val="0"/>
      <w:adjustRightInd w:val="0"/>
      <w:spacing w:after="60" w:line="276" w:lineRule="auto"/>
      <w:ind w:left="425"/>
      <w:jc w:val="both"/>
    </w:pPr>
    <w:rPr>
      <w:szCs w:val="20"/>
    </w:rPr>
  </w:style>
  <w:style w:type="paragraph" w:customStyle="1" w:styleId="Textodsaden">
    <w:name w:val="Text odsadený"/>
    <w:basedOn w:val="Normlny"/>
    <w:next w:val="Normlny"/>
    <w:rsid w:val="009A6B10"/>
    <w:pPr>
      <w:spacing w:before="120" w:line="300" w:lineRule="atLeast"/>
      <w:ind w:firstLine="624"/>
      <w:jc w:val="both"/>
    </w:pPr>
    <w:rPr>
      <w:rFonts w:ascii="Arial" w:hAnsi="Arial"/>
      <w:sz w:val="20"/>
      <w:szCs w:val="20"/>
    </w:rPr>
  </w:style>
  <w:style w:type="paragraph" w:customStyle="1" w:styleId="Odstavec">
    <w:name w:val="Odstavec"/>
    <w:basedOn w:val="Normlny"/>
    <w:rsid w:val="009A6B10"/>
    <w:pPr>
      <w:spacing w:before="80" w:after="40"/>
      <w:ind w:firstLine="567"/>
      <w:jc w:val="both"/>
    </w:pPr>
    <w:rPr>
      <w:rFonts w:ascii="Arial" w:hAnsi="Arial"/>
      <w:sz w:val="20"/>
      <w:szCs w:val="20"/>
    </w:rPr>
  </w:style>
  <w:style w:type="paragraph" w:customStyle="1" w:styleId="font5">
    <w:name w:val="font5"/>
    <w:basedOn w:val="Normlny"/>
    <w:rsid w:val="009A6B10"/>
    <w:pPr>
      <w:spacing w:before="100" w:beforeAutospacing="1" w:after="100" w:afterAutospacing="1"/>
    </w:pPr>
    <w:rPr>
      <w:rFonts w:ascii="Arial" w:eastAsia="Arial Unicode MS" w:hAnsi="Arial" w:cs="Arial"/>
      <w:b/>
      <w:bCs/>
      <w:sz w:val="20"/>
      <w:szCs w:val="20"/>
    </w:rPr>
  </w:style>
  <w:style w:type="paragraph" w:styleId="Zarkazkladnhotextu3">
    <w:name w:val="Body Text Indent 3"/>
    <w:basedOn w:val="Normlny"/>
    <w:link w:val="Zarkazkladnhotextu3Char"/>
    <w:rsid w:val="009A6B10"/>
    <w:pPr>
      <w:ind w:right="23" w:firstLine="360"/>
      <w:jc w:val="both"/>
    </w:pPr>
  </w:style>
  <w:style w:type="character" w:customStyle="1" w:styleId="Zarkazkladnhotextu3Char">
    <w:name w:val="Zarážka základného textu 3 Char"/>
    <w:link w:val="Zarkazkladnhotextu3"/>
    <w:rsid w:val="009A6B10"/>
    <w:rPr>
      <w:sz w:val="24"/>
      <w:szCs w:val="24"/>
    </w:rPr>
  </w:style>
  <w:style w:type="character" w:styleId="slostrany">
    <w:name w:val="page number"/>
    <w:basedOn w:val="Predvolenpsmoodseku"/>
    <w:rsid w:val="009A6B10"/>
  </w:style>
  <w:style w:type="paragraph" w:styleId="Zarkazkladnhotextu2">
    <w:name w:val="Body Text Indent 2"/>
    <w:basedOn w:val="Normlny"/>
    <w:link w:val="Zarkazkladnhotextu2Char"/>
    <w:rsid w:val="009A6B10"/>
    <w:pPr>
      <w:spacing w:line="360" w:lineRule="auto"/>
      <w:ind w:firstLine="709"/>
      <w:jc w:val="both"/>
    </w:pPr>
  </w:style>
  <w:style w:type="character" w:customStyle="1" w:styleId="Zarkazkladnhotextu2Char">
    <w:name w:val="Zarážka základného textu 2 Char"/>
    <w:link w:val="Zarkazkladnhotextu2"/>
    <w:rsid w:val="009A6B10"/>
    <w:rPr>
      <w:sz w:val="24"/>
      <w:szCs w:val="24"/>
    </w:rPr>
  </w:style>
  <w:style w:type="paragraph" w:customStyle="1" w:styleId="Zakladnystyl">
    <w:name w:val="Zakladny styl"/>
    <w:rsid w:val="009A6B10"/>
    <w:rPr>
      <w:sz w:val="24"/>
      <w:szCs w:val="24"/>
    </w:rPr>
  </w:style>
  <w:style w:type="paragraph" w:customStyle="1" w:styleId="Normlnyzhusten">
    <w:name w:val="Normálny zhustený"/>
    <w:basedOn w:val="Normlny"/>
    <w:rsid w:val="009A6B10"/>
    <w:pPr>
      <w:spacing w:before="120"/>
      <w:jc w:val="both"/>
    </w:pPr>
    <w:rPr>
      <w:szCs w:val="20"/>
    </w:rPr>
  </w:style>
  <w:style w:type="paragraph" w:customStyle="1" w:styleId="So0">
    <w:name w:val="So0"/>
    <w:basedOn w:val="Normlny"/>
    <w:rsid w:val="009A6B10"/>
    <w:pPr>
      <w:spacing w:line="360" w:lineRule="atLeast"/>
    </w:pPr>
    <w:rPr>
      <w:rFonts w:ascii="Arial" w:hAnsi="Arial"/>
      <w:szCs w:val="20"/>
      <w:lang w:val="de-DE" w:eastAsia="de-DE"/>
    </w:rPr>
  </w:style>
  <w:style w:type="paragraph" w:customStyle="1" w:styleId="Normlny1">
    <w:name w:val="Normálny1"/>
    <w:basedOn w:val="Normlny"/>
    <w:rsid w:val="009A6B10"/>
    <w:pPr>
      <w:spacing w:before="100" w:beforeAutospacing="1" w:after="100" w:afterAutospacing="1"/>
    </w:pPr>
    <w:rPr>
      <w:rFonts w:ascii="Arial Unicode MS" w:eastAsia="Arial Unicode MS" w:hAnsi="Arial Unicode MS" w:cs="Arial Unicode MS"/>
    </w:rPr>
  </w:style>
  <w:style w:type="paragraph" w:customStyle="1" w:styleId="mesgcontent">
    <w:name w:val="mesg_content"/>
    <w:basedOn w:val="Normlny"/>
    <w:rsid w:val="009A6B10"/>
    <w:pPr>
      <w:spacing w:before="144" w:after="144"/>
      <w:ind w:firstLine="480"/>
      <w:jc w:val="both"/>
    </w:pPr>
  </w:style>
  <w:style w:type="paragraph" w:customStyle="1" w:styleId="CharCharCharCharCharCharCharCharCharCharCharChar">
    <w:name w:val="Char Char Char Char Char Char Char Char Char Char Char Char"/>
    <w:basedOn w:val="Normlny"/>
    <w:rsid w:val="009A6B10"/>
    <w:rPr>
      <w:rFonts w:ascii="Verdana" w:hAnsi="Verdana"/>
      <w:sz w:val="20"/>
      <w:lang w:eastAsia="cs-CZ"/>
    </w:rPr>
  </w:style>
  <w:style w:type="paragraph" w:customStyle="1" w:styleId="bodytext">
    <w:name w:val="bodytext"/>
    <w:basedOn w:val="Normlny"/>
    <w:rsid w:val="009A6B10"/>
    <w:pPr>
      <w:spacing w:before="100" w:beforeAutospacing="1" w:after="100" w:afterAutospacing="1"/>
    </w:pPr>
  </w:style>
  <w:style w:type="paragraph" w:customStyle="1" w:styleId="Char0">
    <w:name w:val="Char"/>
    <w:basedOn w:val="Normlny"/>
    <w:rsid w:val="009A6B10"/>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lny"/>
    <w:rsid w:val="009A6B10"/>
    <w:pPr>
      <w:numPr>
        <w:numId w:val="3"/>
      </w:numPr>
      <w:tabs>
        <w:tab w:val="clear" w:pos="720"/>
      </w:tabs>
      <w:ind w:left="0" w:firstLine="0"/>
    </w:pPr>
    <w:rPr>
      <w:lang w:val="pl-PL" w:eastAsia="pl-PL"/>
    </w:rPr>
  </w:style>
  <w:style w:type="paragraph" w:customStyle="1" w:styleId="Vlada">
    <w:name w:val="Vlada"/>
    <w:basedOn w:val="Normlny"/>
    <w:rsid w:val="009A6B10"/>
    <w:pPr>
      <w:autoSpaceDE w:val="0"/>
      <w:autoSpaceDN w:val="0"/>
      <w:spacing w:before="480" w:after="120"/>
    </w:pPr>
    <w:rPr>
      <w:b/>
      <w:bCs/>
      <w:sz w:val="32"/>
      <w:szCs w:val="32"/>
      <w:lang w:eastAsia="en-US"/>
    </w:rPr>
  </w:style>
  <w:style w:type="paragraph" w:customStyle="1" w:styleId="CharChar1CharCharCharChar">
    <w:name w:val="Char Char1 Char Char Char Char"/>
    <w:basedOn w:val="Normlny"/>
    <w:rsid w:val="009A6B10"/>
    <w:pPr>
      <w:spacing w:after="160" w:line="240" w:lineRule="exact"/>
    </w:pPr>
    <w:rPr>
      <w:rFonts w:ascii="Tahoma" w:hAnsi="Tahoma" w:cs="Tahoma"/>
      <w:sz w:val="20"/>
      <w:szCs w:val="20"/>
      <w:lang w:val="en-US" w:eastAsia="en-US"/>
    </w:rPr>
  </w:style>
  <w:style w:type="paragraph" w:customStyle="1" w:styleId="Normln12">
    <w:name w:val="Normální 12"/>
    <w:basedOn w:val="Normlny"/>
    <w:rsid w:val="009A6B10"/>
    <w:pPr>
      <w:overflowPunct w:val="0"/>
      <w:autoSpaceDE w:val="0"/>
      <w:autoSpaceDN w:val="0"/>
      <w:adjustRightInd w:val="0"/>
      <w:ind w:firstLine="374"/>
      <w:jc w:val="both"/>
      <w:textAlignment w:val="baseline"/>
    </w:pPr>
  </w:style>
  <w:style w:type="paragraph" w:customStyle="1" w:styleId="OdstavecCOPS">
    <w:name w:val="Odstavec COPS"/>
    <w:basedOn w:val="Default"/>
    <w:next w:val="Default"/>
    <w:rsid w:val="009A6B10"/>
    <w:pPr>
      <w:numPr>
        <w:ilvl w:val="1"/>
      </w:numPr>
      <w:tabs>
        <w:tab w:val="num" w:pos="948"/>
      </w:tabs>
    </w:pPr>
    <w:rPr>
      <w:rFonts w:ascii="Times New Roman" w:eastAsia="Times New Roman" w:hAnsi="Times New Roman" w:cs="Times New Roman"/>
      <w:color w:val="auto"/>
    </w:rPr>
  </w:style>
  <w:style w:type="paragraph" w:customStyle="1" w:styleId="Normln">
    <w:name w:val="Normální"/>
    <w:basedOn w:val="Default"/>
    <w:next w:val="Default"/>
    <w:rsid w:val="009A6B10"/>
    <w:pPr>
      <w:numPr>
        <w:ilvl w:val="1"/>
      </w:numPr>
      <w:tabs>
        <w:tab w:val="num" w:pos="948"/>
      </w:tabs>
    </w:pPr>
    <w:rPr>
      <w:rFonts w:ascii="Times New Roman" w:eastAsia="Times New Roman" w:hAnsi="Times New Roman" w:cs="Times New Roman"/>
      <w:color w:val="auto"/>
    </w:rPr>
  </w:style>
  <w:style w:type="paragraph" w:customStyle="1" w:styleId="Par-number1">
    <w:name w:val="Par-number 1."/>
    <w:basedOn w:val="Default"/>
    <w:next w:val="Default"/>
    <w:rsid w:val="009A6B10"/>
    <w:pPr>
      <w:numPr>
        <w:ilvl w:val="1"/>
      </w:numPr>
      <w:tabs>
        <w:tab w:val="num" w:pos="948"/>
      </w:tabs>
    </w:pPr>
    <w:rPr>
      <w:rFonts w:ascii="Times New Roman" w:eastAsia="Times New Roman" w:hAnsi="Times New Roman" w:cs="Times New Roman"/>
      <w:color w:val="auto"/>
    </w:rPr>
  </w:style>
  <w:style w:type="paragraph" w:styleId="slovanzoznam">
    <w:name w:val="List Number"/>
    <w:basedOn w:val="Normlny"/>
    <w:rsid w:val="009A6B10"/>
    <w:pPr>
      <w:numPr>
        <w:numId w:val="22"/>
      </w:numPr>
      <w:tabs>
        <w:tab w:val="num" w:pos="709"/>
      </w:tabs>
      <w:spacing w:before="120" w:after="120"/>
      <w:ind w:left="709" w:hanging="709"/>
      <w:jc w:val="both"/>
    </w:pPr>
    <w:rPr>
      <w:lang w:eastAsia="de-DE"/>
    </w:rPr>
  </w:style>
  <w:style w:type="paragraph" w:customStyle="1" w:styleId="ListNumberLevel2">
    <w:name w:val="List Number (Level 2)"/>
    <w:basedOn w:val="Normlny"/>
    <w:rsid w:val="009A6B10"/>
    <w:pPr>
      <w:numPr>
        <w:ilvl w:val="1"/>
        <w:numId w:val="3"/>
      </w:numPr>
      <w:spacing w:before="120" w:after="120"/>
      <w:jc w:val="both"/>
    </w:pPr>
    <w:rPr>
      <w:snapToGrid w:val="0"/>
      <w:lang w:eastAsia="en-GB"/>
    </w:rPr>
  </w:style>
  <w:style w:type="paragraph" w:customStyle="1" w:styleId="ListNumberLevel3">
    <w:name w:val="List Number (Level 3)"/>
    <w:basedOn w:val="Normlny"/>
    <w:rsid w:val="009A6B10"/>
    <w:pPr>
      <w:numPr>
        <w:ilvl w:val="2"/>
        <w:numId w:val="3"/>
      </w:numPr>
      <w:spacing w:before="120" w:after="120"/>
      <w:jc w:val="both"/>
    </w:pPr>
    <w:rPr>
      <w:snapToGrid w:val="0"/>
      <w:lang w:eastAsia="en-GB"/>
    </w:rPr>
  </w:style>
  <w:style w:type="paragraph" w:customStyle="1" w:styleId="ListNumberLevel4">
    <w:name w:val="List Number (Level 4)"/>
    <w:basedOn w:val="Normlny"/>
    <w:rsid w:val="009A6B10"/>
    <w:pPr>
      <w:numPr>
        <w:ilvl w:val="3"/>
        <w:numId w:val="3"/>
      </w:numPr>
      <w:spacing w:before="120" w:after="120"/>
      <w:jc w:val="both"/>
    </w:pPr>
    <w:rPr>
      <w:snapToGrid w:val="0"/>
      <w:lang w:eastAsia="en-GB"/>
    </w:rPr>
  </w:style>
  <w:style w:type="character" w:customStyle="1" w:styleId="ft3p21">
    <w:name w:val="ft3p21"/>
    <w:rsid w:val="009A6B10"/>
    <w:rPr>
      <w:rFonts w:ascii="Times New Roman" w:hAnsi="Times New Roman" w:cs="Times New Roman" w:hint="default"/>
      <w:b/>
      <w:bCs/>
      <w:i w:val="0"/>
      <w:iCs w:val="0"/>
      <w:color w:val="000000"/>
      <w:sz w:val="20"/>
      <w:szCs w:val="20"/>
    </w:rPr>
  </w:style>
  <w:style w:type="paragraph" w:customStyle="1" w:styleId="xl99">
    <w:name w:val="xl99"/>
    <w:basedOn w:val="Normlny"/>
    <w:rsid w:val="009A6B10"/>
    <w:pPr>
      <w:spacing w:before="100" w:beforeAutospacing="1" w:after="100" w:afterAutospacing="1"/>
    </w:pPr>
    <w:rPr>
      <w:rFonts w:ascii="Arial Narrow" w:eastAsia="Arial Unicode MS" w:hAnsi="Arial Narrow" w:cs="Arial Unicode MS"/>
      <w:b/>
      <w:bCs/>
      <w:sz w:val="28"/>
      <w:szCs w:val="28"/>
    </w:rPr>
  </w:style>
  <w:style w:type="paragraph" w:customStyle="1" w:styleId="BASEFONT">
    <w:name w:val="BASEFONT"/>
    <w:basedOn w:val="Normlny"/>
    <w:autoRedefine/>
    <w:rsid w:val="009A6B10"/>
    <w:pPr>
      <w:spacing w:after="120"/>
      <w:jc w:val="both"/>
    </w:pPr>
    <w:rPr>
      <w:rFonts w:ascii="Arial" w:hAnsi="Arial" w:cs="Arial"/>
      <w:sz w:val="22"/>
      <w:szCs w:val="22"/>
    </w:rPr>
  </w:style>
  <w:style w:type="paragraph" w:customStyle="1" w:styleId="xl24">
    <w:name w:val="xl24"/>
    <w:basedOn w:val="Normlny"/>
    <w:rsid w:val="009A6B10"/>
    <w:pPr>
      <w:spacing w:before="100" w:beforeAutospacing="1" w:after="100" w:afterAutospacing="1"/>
    </w:pPr>
    <w:rPr>
      <w:rFonts w:ascii="Arial" w:eastAsia="Arial Unicode MS" w:hAnsi="Arial" w:cs="Arial"/>
      <w:sz w:val="22"/>
      <w:szCs w:val="22"/>
    </w:rPr>
  </w:style>
  <w:style w:type="character" w:customStyle="1" w:styleId="placeholdertext">
    <w:name w:val="placeholdertext"/>
    <w:rsid w:val="009A6B10"/>
    <w:rPr>
      <w:rFonts w:ascii="Times New Roman" w:hAnsi="Times New Roman" w:cs="Times New Roman" w:hint="default"/>
      <w:color w:val="808080"/>
    </w:rPr>
  </w:style>
  <w:style w:type="paragraph" w:customStyle="1" w:styleId="odrka2">
    <w:name w:val="odrážka 2"/>
    <w:basedOn w:val="odrka1"/>
    <w:rsid w:val="00E56B8D"/>
    <w:pPr>
      <w:numPr>
        <w:numId w:val="0"/>
      </w:numPr>
      <w:tabs>
        <w:tab w:val="clear" w:pos="425"/>
        <w:tab w:val="left" w:pos="851"/>
      </w:tabs>
      <w:ind w:left="1040" w:hanging="432"/>
    </w:pPr>
  </w:style>
  <w:style w:type="paragraph" w:customStyle="1" w:styleId="odrka1">
    <w:name w:val="odrážka 1"/>
    <w:basedOn w:val="Normlny"/>
    <w:rsid w:val="009A6B10"/>
    <w:pPr>
      <w:numPr>
        <w:numId w:val="23"/>
      </w:numPr>
      <w:tabs>
        <w:tab w:val="left" w:pos="425"/>
      </w:tabs>
      <w:spacing w:before="40" w:line="300" w:lineRule="exact"/>
      <w:ind w:left="360"/>
      <w:jc w:val="both"/>
    </w:pPr>
    <w:rPr>
      <w:sz w:val="22"/>
      <w:szCs w:val="22"/>
    </w:rPr>
  </w:style>
  <w:style w:type="character" w:customStyle="1" w:styleId="FontStyle19">
    <w:name w:val="Font Style19"/>
    <w:rsid w:val="009A6B10"/>
    <w:rPr>
      <w:rFonts w:ascii="Times New Roman" w:hAnsi="Times New Roman" w:cs="Times New Roman"/>
      <w:sz w:val="22"/>
      <w:szCs w:val="22"/>
    </w:rPr>
  </w:style>
  <w:style w:type="paragraph" w:customStyle="1" w:styleId="Style3">
    <w:name w:val="Style3"/>
    <w:basedOn w:val="Normlny"/>
    <w:rsid w:val="009A6B10"/>
    <w:pPr>
      <w:widowControl w:val="0"/>
      <w:autoSpaceDE w:val="0"/>
      <w:autoSpaceDN w:val="0"/>
      <w:adjustRightInd w:val="0"/>
      <w:spacing w:line="288" w:lineRule="exact"/>
      <w:ind w:firstLine="725"/>
      <w:jc w:val="both"/>
    </w:pPr>
  </w:style>
  <w:style w:type="paragraph" w:styleId="Nzov">
    <w:name w:val="Title"/>
    <w:basedOn w:val="Normlny"/>
    <w:link w:val="NzovChar"/>
    <w:qFormat/>
    <w:rsid w:val="009A6B10"/>
    <w:pPr>
      <w:jc w:val="center"/>
    </w:pPr>
    <w:rPr>
      <w:sz w:val="28"/>
      <w:szCs w:val="20"/>
    </w:rPr>
  </w:style>
  <w:style w:type="character" w:customStyle="1" w:styleId="NzovChar">
    <w:name w:val="Názov Char"/>
    <w:link w:val="Nzov"/>
    <w:rsid w:val="009A6B10"/>
    <w:rPr>
      <w:sz w:val="28"/>
    </w:rPr>
  </w:style>
  <w:style w:type="paragraph" w:customStyle="1" w:styleId="CharCharCharCharCharCharCharCharCharChar">
    <w:name w:val="Char Char Char Char Char Char Char Char Char Char"/>
    <w:basedOn w:val="Normlny"/>
    <w:rsid w:val="009A6B10"/>
    <w:rPr>
      <w:lang w:val="pl-PL" w:eastAsia="pl-PL"/>
    </w:rPr>
  </w:style>
  <w:style w:type="paragraph" w:customStyle="1" w:styleId="CM4">
    <w:name w:val="CM4"/>
    <w:basedOn w:val="Default"/>
    <w:next w:val="Default"/>
    <w:rsid w:val="009A6B10"/>
    <w:pPr>
      <w:numPr>
        <w:ilvl w:val="1"/>
      </w:numPr>
      <w:tabs>
        <w:tab w:val="num" w:pos="948"/>
      </w:tabs>
    </w:pPr>
    <w:rPr>
      <w:rFonts w:ascii="EUAlbertina" w:eastAsia="Times New Roman" w:hAnsi="EUAlbertina" w:cs="Times New Roman"/>
      <w:color w:val="auto"/>
    </w:rPr>
  </w:style>
  <w:style w:type="paragraph" w:customStyle="1" w:styleId="CharChar">
    <w:name w:val="Char Char"/>
    <w:basedOn w:val="Normlny"/>
    <w:rsid w:val="009A6B10"/>
    <w:pPr>
      <w:spacing w:after="160" w:line="240" w:lineRule="exact"/>
    </w:pPr>
    <w:rPr>
      <w:rFonts w:ascii="Tahoma" w:hAnsi="Tahoma"/>
      <w:sz w:val="20"/>
      <w:szCs w:val="20"/>
      <w:lang w:val="en-US" w:eastAsia="en-US"/>
    </w:rPr>
  </w:style>
  <w:style w:type="paragraph" w:customStyle="1" w:styleId="Numberedparagraph">
    <w:name w:val="Numbered paragraph"/>
    <w:basedOn w:val="Normlny"/>
    <w:rsid w:val="00E56B8D"/>
    <w:pPr>
      <w:numPr>
        <w:numId w:val="6"/>
      </w:numPr>
      <w:spacing w:after="240"/>
      <w:jc w:val="both"/>
    </w:pPr>
    <w:rPr>
      <w:rFonts w:eastAsia="MS Mincho"/>
      <w:sz w:val="22"/>
      <w:szCs w:val="22"/>
      <w:lang w:val="en-GB" w:eastAsia="en-US"/>
    </w:rPr>
  </w:style>
  <w:style w:type="paragraph" w:customStyle="1" w:styleId="EntEmet">
    <w:name w:val="EntEmet"/>
    <w:basedOn w:val="Normlny"/>
    <w:rsid w:val="009A6B10"/>
    <w:pPr>
      <w:widowControl w:val="0"/>
      <w:tabs>
        <w:tab w:val="left" w:pos="284"/>
        <w:tab w:val="left" w:pos="567"/>
        <w:tab w:val="left" w:pos="851"/>
        <w:tab w:val="left" w:pos="1134"/>
        <w:tab w:val="left" w:pos="1418"/>
      </w:tabs>
      <w:spacing w:before="40"/>
    </w:pPr>
    <w:rPr>
      <w:szCs w:val="20"/>
      <w:lang w:eastAsia="fr-BE"/>
    </w:rPr>
  </w:style>
  <w:style w:type="character" w:customStyle="1" w:styleId="DeltaViewInsertion">
    <w:name w:val="DeltaView Insertion"/>
    <w:rsid w:val="009A6B10"/>
    <w:rPr>
      <w:color w:val="0000FF"/>
      <w:spacing w:val="0"/>
      <w:u w:val="double"/>
    </w:rPr>
  </w:style>
  <w:style w:type="character" w:customStyle="1" w:styleId="DeltaViewDeletion">
    <w:name w:val="DeltaView Deletion"/>
    <w:rsid w:val="009A6B10"/>
    <w:rPr>
      <w:strike/>
      <w:color w:val="FF0000"/>
      <w:spacing w:val="0"/>
    </w:rPr>
  </w:style>
  <w:style w:type="paragraph" w:customStyle="1" w:styleId="Normlny10">
    <w:name w:val="Normálny1"/>
    <w:basedOn w:val="Normlny"/>
    <w:rsid w:val="009A6B10"/>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rsid w:val="009A6B10"/>
  </w:style>
  <w:style w:type="character" w:customStyle="1" w:styleId="WW8Num1z2">
    <w:name w:val="WW8Num1z2"/>
    <w:rsid w:val="009A6B10"/>
    <w:rPr>
      <w:u w:val="none"/>
    </w:rPr>
  </w:style>
  <w:style w:type="character" w:customStyle="1" w:styleId="WW8Num1z3">
    <w:name w:val="WW8Num1z3"/>
    <w:rsid w:val="009A6B10"/>
    <w:rPr>
      <w:rFonts w:ascii="Times New Roman" w:eastAsia="MS Mincho" w:hAnsi="Times New Roman" w:cs="Times New Roman"/>
    </w:rPr>
  </w:style>
  <w:style w:type="character" w:customStyle="1" w:styleId="WW8Num2z0">
    <w:name w:val="WW8Num2z0"/>
    <w:rsid w:val="009A6B10"/>
    <w:rPr>
      <w:rFonts w:ascii="Symbol" w:hAnsi="Symbol" w:cs="Symbol"/>
    </w:rPr>
  </w:style>
  <w:style w:type="character" w:customStyle="1" w:styleId="WW8Num3z0">
    <w:name w:val="WW8Num3z0"/>
    <w:rsid w:val="009A6B10"/>
    <w:rPr>
      <w:rFonts w:ascii="Symbol" w:hAnsi="Symbol" w:cs="Symbol"/>
    </w:rPr>
  </w:style>
  <w:style w:type="character" w:customStyle="1" w:styleId="WW8Num4z2">
    <w:name w:val="WW8Num4z2"/>
    <w:rsid w:val="009A6B10"/>
    <w:rPr>
      <w:rFonts w:ascii="Wingdings" w:hAnsi="Wingdings" w:cs="Wingdings"/>
    </w:rPr>
  </w:style>
  <w:style w:type="character" w:customStyle="1" w:styleId="WW8Num4z3">
    <w:name w:val="WW8Num4z3"/>
    <w:rsid w:val="009A6B10"/>
    <w:rPr>
      <w:rFonts w:ascii="Symbol" w:hAnsi="Symbol" w:cs="Symbol"/>
    </w:rPr>
  </w:style>
  <w:style w:type="character" w:customStyle="1" w:styleId="WW8Num5z0">
    <w:name w:val="WW8Num5z0"/>
    <w:rsid w:val="009A6B10"/>
    <w:rPr>
      <w:rFonts w:ascii="Symbol" w:hAnsi="Symbol" w:cs="Symbol"/>
    </w:rPr>
  </w:style>
  <w:style w:type="character" w:customStyle="1" w:styleId="WW8Num5z2">
    <w:name w:val="WW8Num5z2"/>
    <w:rsid w:val="009A6B10"/>
    <w:rPr>
      <w:rFonts w:ascii="Wingdings" w:hAnsi="Wingdings" w:cs="Wingdings"/>
    </w:rPr>
  </w:style>
  <w:style w:type="character" w:customStyle="1" w:styleId="WW8Num5z4">
    <w:name w:val="WW8Num5z4"/>
    <w:rsid w:val="009A6B10"/>
    <w:rPr>
      <w:rFonts w:ascii="Courier New" w:hAnsi="Courier New" w:cs="Courier New"/>
    </w:rPr>
  </w:style>
  <w:style w:type="character" w:customStyle="1" w:styleId="WW8Num6z0">
    <w:name w:val="WW8Num6z0"/>
    <w:rsid w:val="009A6B10"/>
    <w:rPr>
      <w:rFonts w:ascii="Times New Roman" w:eastAsia="Times New Roman" w:hAnsi="Times New Roman" w:cs="Times New Roman"/>
    </w:rPr>
  </w:style>
  <w:style w:type="character" w:customStyle="1" w:styleId="WW8Num7z0">
    <w:name w:val="WW8Num7z0"/>
    <w:rsid w:val="009A6B10"/>
    <w:rPr>
      <w:rFonts w:ascii="Symbol" w:hAnsi="Symbol" w:cs="Symbol"/>
      <w:color w:val="auto"/>
    </w:rPr>
  </w:style>
  <w:style w:type="character" w:customStyle="1" w:styleId="WW8Num8z0">
    <w:name w:val="WW8Num8z0"/>
    <w:rsid w:val="009A6B10"/>
    <w:rPr>
      <w:rFonts w:ascii="Courier New" w:hAnsi="Courier New" w:cs="Courier New"/>
    </w:rPr>
  </w:style>
  <w:style w:type="character" w:customStyle="1" w:styleId="WW8Num8z1">
    <w:name w:val="WW8Num8z1"/>
    <w:rsid w:val="009A6B10"/>
    <w:rPr>
      <w:rFonts w:ascii="Symbol" w:hAnsi="Symbol" w:cs="Symbol"/>
    </w:rPr>
  </w:style>
  <w:style w:type="character" w:customStyle="1" w:styleId="WW8Num8z2">
    <w:name w:val="WW8Num8z2"/>
    <w:rsid w:val="009A6B10"/>
    <w:rPr>
      <w:rFonts w:ascii="Wingdings" w:hAnsi="Wingdings" w:cs="Wingdings"/>
    </w:rPr>
  </w:style>
  <w:style w:type="character" w:customStyle="1" w:styleId="WW8Num9z0">
    <w:name w:val="WW8Num9z0"/>
    <w:rsid w:val="009A6B10"/>
    <w:rPr>
      <w:rFonts w:ascii="Symbol" w:hAnsi="Symbol" w:cs="Symbol"/>
    </w:rPr>
  </w:style>
  <w:style w:type="character" w:customStyle="1" w:styleId="WW8Num10z0">
    <w:name w:val="WW8Num10z0"/>
    <w:rsid w:val="009A6B10"/>
    <w:rPr>
      <w:rFonts w:ascii="Symbol" w:hAnsi="Symbol" w:cs="Symbol"/>
    </w:rPr>
  </w:style>
  <w:style w:type="character" w:customStyle="1" w:styleId="WW8Num11z0">
    <w:name w:val="WW8Num11z0"/>
    <w:rsid w:val="009A6B10"/>
    <w:rPr>
      <w:rFonts w:cs="Times New Roman"/>
    </w:rPr>
  </w:style>
  <w:style w:type="character" w:customStyle="1" w:styleId="WW8Num12z0">
    <w:name w:val="WW8Num12z0"/>
    <w:rsid w:val="009A6B10"/>
    <w:rPr>
      <w:b w:val="0"/>
    </w:rPr>
  </w:style>
  <w:style w:type="character" w:customStyle="1" w:styleId="WW8Num13z0">
    <w:name w:val="WW8Num13z0"/>
    <w:rsid w:val="009A6B10"/>
    <w:rPr>
      <w:rFonts w:ascii="Times New Roman" w:eastAsia="Times New Roman" w:hAnsi="Times New Roman" w:cs="Times New Roman"/>
    </w:rPr>
  </w:style>
  <w:style w:type="character" w:customStyle="1" w:styleId="WW8Num14z0">
    <w:name w:val="WW8Num14z0"/>
    <w:rsid w:val="009A6B10"/>
    <w:rPr>
      <w:rFonts w:ascii="Symbol" w:hAnsi="Symbol" w:cs="Symbol"/>
    </w:rPr>
  </w:style>
  <w:style w:type="character" w:customStyle="1" w:styleId="WW8Num15z0">
    <w:name w:val="WW8Num15z0"/>
    <w:rsid w:val="009A6B10"/>
    <w:rPr>
      <w:rFonts w:ascii="Times New Roman" w:eastAsia="Times New Roman" w:hAnsi="Times New Roman" w:cs="Times New Roman"/>
    </w:rPr>
  </w:style>
  <w:style w:type="character" w:customStyle="1" w:styleId="WW8Num16z0">
    <w:name w:val="WW8Num16z0"/>
    <w:rsid w:val="009A6B10"/>
    <w:rPr>
      <w:rFonts w:ascii="Wingdings" w:hAnsi="Wingdings" w:cs="Wingdings"/>
    </w:rPr>
  </w:style>
  <w:style w:type="character" w:customStyle="1" w:styleId="WW8Num18z0">
    <w:name w:val="WW8Num18z0"/>
    <w:rsid w:val="009A6B10"/>
    <w:rPr>
      <w:rFonts w:ascii="Symbol" w:hAnsi="Symbol" w:cs="Symbol"/>
    </w:rPr>
  </w:style>
  <w:style w:type="character" w:customStyle="1" w:styleId="WW8Num19z0">
    <w:name w:val="WW8Num19z0"/>
    <w:rsid w:val="009A6B10"/>
    <w:rPr>
      <w:rFonts w:ascii="Symbol" w:hAnsi="Symbol" w:cs="Symbol"/>
    </w:rPr>
  </w:style>
  <w:style w:type="character" w:customStyle="1" w:styleId="WW8Num20z0">
    <w:name w:val="WW8Num20z0"/>
    <w:rsid w:val="009A6B10"/>
    <w:rPr>
      <w:rFonts w:ascii="Symbol" w:hAnsi="Symbol" w:cs="Symbol"/>
    </w:rPr>
  </w:style>
  <w:style w:type="character" w:customStyle="1" w:styleId="WW8Num21z0">
    <w:name w:val="WW8Num21z0"/>
    <w:rsid w:val="009A6B10"/>
    <w:rPr>
      <w:rFonts w:ascii="Symbol" w:hAnsi="Symbol" w:cs="Symbol"/>
    </w:rPr>
  </w:style>
  <w:style w:type="character" w:customStyle="1" w:styleId="WW8Num22z0">
    <w:name w:val="WW8Num22z0"/>
    <w:rsid w:val="009A6B10"/>
    <w:rPr>
      <w:rFonts w:ascii="Symbol" w:hAnsi="Symbol" w:cs="Symbol"/>
    </w:rPr>
  </w:style>
  <w:style w:type="character" w:customStyle="1" w:styleId="WW8Num23z0">
    <w:name w:val="WW8Num23z0"/>
    <w:rsid w:val="009A6B10"/>
    <w:rPr>
      <w:rFonts w:ascii="Symbol" w:hAnsi="Symbol" w:cs="Symbol"/>
    </w:rPr>
  </w:style>
  <w:style w:type="character" w:customStyle="1" w:styleId="WW8Num24z0">
    <w:name w:val="WW8Num24z0"/>
    <w:rsid w:val="009A6B10"/>
    <w:rPr>
      <w:rFonts w:ascii="Symbol" w:hAnsi="Symbol" w:cs="Symbol"/>
    </w:rPr>
  </w:style>
  <w:style w:type="character" w:customStyle="1" w:styleId="WW8Num25z0">
    <w:name w:val="WW8Num25z0"/>
    <w:rsid w:val="009A6B10"/>
    <w:rPr>
      <w:rFonts w:ascii="Symbol" w:hAnsi="Symbol" w:cs="Symbol"/>
    </w:rPr>
  </w:style>
  <w:style w:type="character" w:customStyle="1" w:styleId="WW8Num26z0">
    <w:name w:val="WW8Num26z0"/>
    <w:rsid w:val="009A6B10"/>
    <w:rPr>
      <w:rFonts w:ascii="Symbol" w:hAnsi="Symbol" w:cs="Symbol"/>
    </w:rPr>
  </w:style>
  <w:style w:type="character" w:customStyle="1" w:styleId="WW8Num27z0">
    <w:name w:val="WW8Num27z0"/>
    <w:rsid w:val="009A6B10"/>
    <w:rPr>
      <w:rFonts w:ascii="Symbol" w:hAnsi="Symbol" w:cs="Symbol"/>
    </w:rPr>
  </w:style>
  <w:style w:type="character" w:customStyle="1" w:styleId="WW8Num28z0">
    <w:name w:val="WW8Num28z0"/>
    <w:rsid w:val="009A6B10"/>
    <w:rPr>
      <w:rFonts w:ascii="Symbol" w:hAnsi="Symbol" w:cs="Symbol"/>
    </w:rPr>
  </w:style>
  <w:style w:type="character" w:customStyle="1" w:styleId="WW8Num29z0">
    <w:name w:val="WW8Num29z0"/>
    <w:rsid w:val="009A6B10"/>
    <w:rPr>
      <w:rFonts w:ascii="Symbol" w:hAnsi="Symbol" w:cs="Symbol"/>
    </w:rPr>
  </w:style>
  <w:style w:type="character" w:customStyle="1" w:styleId="WW8Num30z0">
    <w:name w:val="WW8Num30z0"/>
    <w:rsid w:val="009A6B10"/>
    <w:rPr>
      <w:rFonts w:ascii="Symbol" w:hAnsi="Symbol" w:cs="Symbol"/>
    </w:rPr>
  </w:style>
  <w:style w:type="character" w:customStyle="1" w:styleId="WW8Num31z0">
    <w:name w:val="WW8Num31z0"/>
    <w:rsid w:val="009A6B10"/>
    <w:rPr>
      <w:rFonts w:ascii="Symbol" w:hAnsi="Symbol" w:cs="Symbol"/>
    </w:rPr>
  </w:style>
  <w:style w:type="character" w:customStyle="1" w:styleId="WW8Num32z0">
    <w:name w:val="WW8Num32z0"/>
    <w:rsid w:val="009A6B10"/>
    <w:rPr>
      <w:rFonts w:ascii="Wingdings" w:hAnsi="Wingdings" w:cs="Wingdings"/>
    </w:rPr>
  </w:style>
  <w:style w:type="character" w:customStyle="1" w:styleId="WW8Num33z0">
    <w:name w:val="WW8Num33z0"/>
    <w:rsid w:val="009A6B10"/>
    <w:rPr>
      <w:rFonts w:ascii="Symbol" w:hAnsi="Symbol" w:cs="Symbol"/>
      <w:color w:val="auto"/>
    </w:rPr>
  </w:style>
  <w:style w:type="character" w:customStyle="1" w:styleId="WW8Num34z0">
    <w:name w:val="WW8Num34z0"/>
    <w:rsid w:val="009A6B10"/>
    <w:rPr>
      <w:rFonts w:ascii="Symbol" w:hAnsi="Symbol" w:cs="Symbol"/>
      <w:color w:val="auto"/>
    </w:rPr>
  </w:style>
  <w:style w:type="character" w:customStyle="1" w:styleId="WW8Num35z0">
    <w:name w:val="WW8Num35z0"/>
    <w:rsid w:val="009A6B10"/>
    <w:rPr>
      <w:rFonts w:ascii="Times New Roman" w:eastAsia="Times New Roman" w:hAnsi="Times New Roman" w:cs="Times New Roman"/>
    </w:rPr>
  </w:style>
  <w:style w:type="character" w:customStyle="1" w:styleId="WW8Num36z0">
    <w:name w:val="WW8Num36z0"/>
    <w:rsid w:val="009A6B10"/>
    <w:rPr>
      <w:rFonts w:ascii="Symbol" w:hAnsi="Symbol" w:cs="Symbol"/>
    </w:rPr>
  </w:style>
  <w:style w:type="character" w:customStyle="1" w:styleId="WW8Num37z0">
    <w:name w:val="WW8Num37z0"/>
    <w:rsid w:val="009A6B10"/>
    <w:rPr>
      <w:rFonts w:ascii="Symbol" w:hAnsi="Symbol" w:cs="Symbol"/>
    </w:rPr>
  </w:style>
  <w:style w:type="character" w:customStyle="1" w:styleId="WW8Num38z0">
    <w:name w:val="WW8Num38z0"/>
    <w:rsid w:val="009A6B10"/>
    <w:rPr>
      <w:rFonts w:ascii="Symbol" w:hAnsi="Symbol" w:cs="Symbol"/>
    </w:rPr>
  </w:style>
  <w:style w:type="character" w:customStyle="1" w:styleId="WW8Num39z0">
    <w:name w:val="WW8Num39z0"/>
    <w:rsid w:val="009A6B10"/>
    <w:rPr>
      <w:rFonts w:ascii="Times New Roman" w:eastAsia="Times New Roman" w:hAnsi="Times New Roman" w:cs="Times New Roman"/>
    </w:rPr>
  </w:style>
  <w:style w:type="character" w:customStyle="1" w:styleId="WW8Num40z0">
    <w:name w:val="WW8Num40z0"/>
    <w:rsid w:val="009A6B10"/>
    <w:rPr>
      <w:rFonts w:ascii="Symbol" w:hAnsi="Symbol" w:cs="Symbol"/>
    </w:rPr>
  </w:style>
  <w:style w:type="character" w:customStyle="1" w:styleId="WW8Num41z0">
    <w:name w:val="WW8Num41z0"/>
    <w:rsid w:val="009A6B10"/>
    <w:rPr>
      <w:rFonts w:ascii="Symbol" w:hAnsi="Symbol" w:cs="Symbol"/>
    </w:rPr>
  </w:style>
  <w:style w:type="character" w:customStyle="1" w:styleId="WW8Num41z1">
    <w:name w:val="WW8Num41z1"/>
    <w:rsid w:val="009A6B10"/>
    <w:rPr>
      <w:rFonts w:ascii="Courier New" w:hAnsi="Courier New" w:cs="Courier New"/>
    </w:rPr>
  </w:style>
  <w:style w:type="character" w:customStyle="1" w:styleId="WW8Num41z2">
    <w:name w:val="WW8Num41z2"/>
    <w:rsid w:val="009A6B10"/>
    <w:rPr>
      <w:rFonts w:ascii="Wingdings" w:hAnsi="Wingdings" w:cs="Wingdings"/>
    </w:rPr>
  </w:style>
  <w:style w:type="character" w:customStyle="1" w:styleId="WW8Num41z3">
    <w:name w:val="WW8Num41z3"/>
    <w:rsid w:val="009A6B10"/>
    <w:rPr>
      <w:rFonts w:ascii="Symbol" w:hAnsi="Symbol" w:cs="Symbol"/>
    </w:rPr>
  </w:style>
  <w:style w:type="character" w:customStyle="1" w:styleId="Absatz-Standardschriftart">
    <w:name w:val="Absatz-Standardschriftart"/>
    <w:rsid w:val="009A6B10"/>
  </w:style>
  <w:style w:type="character" w:customStyle="1" w:styleId="WW-Absatz-Standardschriftart">
    <w:name w:val="WW-Absatz-Standardschriftart"/>
    <w:rsid w:val="009A6B10"/>
  </w:style>
  <w:style w:type="character" w:customStyle="1" w:styleId="WW8Num41z4">
    <w:name w:val="WW8Num41z4"/>
    <w:rsid w:val="009A6B10"/>
    <w:rPr>
      <w:rFonts w:ascii="Courier New" w:hAnsi="Courier New" w:cs="Courier New"/>
    </w:rPr>
  </w:style>
  <w:style w:type="character" w:customStyle="1" w:styleId="WW-Absatz-Standardschriftart1">
    <w:name w:val="WW-Absatz-Standardschriftart1"/>
    <w:rsid w:val="009A6B10"/>
  </w:style>
  <w:style w:type="character" w:customStyle="1" w:styleId="WW8Num1z0">
    <w:name w:val="WW8Num1z0"/>
    <w:rsid w:val="009A6B10"/>
    <w:rPr>
      <w:rFonts w:ascii="Times New Roman" w:hAnsi="Times New Roman" w:cs="Times New Roman"/>
      <w:b w:val="0"/>
      <w:i w:val="0"/>
      <w:color w:val="auto"/>
      <w:sz w:val="22"/>
      <w:szCs w:val="22"/>
    </w:rPr>
  </w:style>
  <w:style w:type="character" w:customStyle="1" w:styleId="WW8Num1z1">
    <w:name w:val="WW8Num1z1"/>
    <w:rsid w:val="009A6B10"/>
    <w:rPr>
      <w:rFonts w:ascii="Symbol" w:hAnsi="Symbol" w:cs="Symbol"/>
      <w:sz w:val="18"/>
      <w:szCs w:val="18"/>
    </w:rPr>
  </w:style>
  <w:style w:type="character" w:customStyle="1" w:styleId="WW8Num3z2">
    <w:name w:val="WW8Num3z2"/>
    <w:rsid w:val="009A6B10"/>
    <w:rPr>
      <w:rFonts w:ascii="Times New Roman" w:hAnsi="Times New Roman" w:cs="Times New Roman"/>
    </w:rPr>
  </w:style>
  <w:style w:type="character" w:customStyle="1" w:styleId="WW8Num3z3">
    <w:name w:val="WW8Num3z3"/>
    <w:rsid w:val="009A6B10"/>
    <w:rPr>
      <w:rFonts w:ascii="Symbol" w:hAnsi="Symbol" w:cs="Symbol"/>
    </w:rPr>
  </w:style>
  <w:style w:type="character" w:customStyle="1" w:styleId="WW8Num4z0">
    <w:name w:val="WW8Num4z0"/>
    <w:rsid w:val="009A6B10"/>
    <w:rPr>
      <w:rFonts w:ascii="Symbol" w:hAnsi="Symbol" w:cs="Symbol"/>
    </w:rPr>
  </w:style>
  <w:style w:type="character" w:customStyle="1" w:styleId="WW8Num4z4">
    <w:name w:val="WW8Num4z4"/>
    <w:rsid w:val="009A6B10"/>
    <w:rPr>
      <w:rFonts w:ascii="Courier New" w:hAnsi="Courier New" w:cs="Courier New"/>
    </w:rPr>
  </w:style>
  <w:style w:type="character" w:customStyle="1" w:styleId="WW8Num5z1">
    <w:name w:val="WW8Num5z1"/>
    <w:rsid w:val="009A6B10"/>
    <w:rPr>
      <w:rFonts w:ascii="Courier New" w:hAnsi="Courier New" w:cs="Courier New"/>
    </w:rPr>
  </w:style>
  <w:style w:type="character" w:customStyle="1" w:styleId="WW8Num6z1">
    <w:name w:val="WW8Num6z1"/>
    <w:rsid w:val="009A6B10"/>
    <w:rPr>
      <w:rFonts w:ascii="Courier New" w:hAnsi="Courier New" w:cs="Courier New"/>
    </w:rPr>
  </w:style>
  <w:style w:type="character" w:customStyle="1" w:styleId="WW8Num6z2">
    <w:name w:val="WW8Num6z2"/>
    <w:rsid w:val="009A6B10"/>
    <w:rPr>
      <w:rFonts w:ascii="Wingdings" w:hAnsi="Wingdings" w:cs="Wingdings"/>
    </w:rPr>
  </w:style>
  <w:style w:type="character" w:customStyle="1" w:styleId="WW8Num6z3">
    <w:name w:val="WW8Num6z3"/>
    <w:rsid w:val="009A6B10"/>
    <w:rPr>
      <w:rFonts w:ascii="Symbol" w:hAnsi="Symbol" w:cs="Symbol"/>
    </w:rPr>
  </w:style>
  <w:style w:type="character" w:customStyle="1" w:styleId="WW8Num7z1">
    <w:name w:val="WW8Num7z1"/>
    <w:rsid w:val="009A6B10"/>
    <w:rPr>
      <w:rFonts w:ascii="Courier New" w:hAnsi="Courier New" w:cs="Courier New"/>
    </w:rPr>
  </w:style>
  <w:style w:type="character" w:customStyle="1" w:styleId="WW8Num7z2">
    <w:name w:val="WW8Num7z2"/>
    <w:rsid w:val="009A6B10"/>
    <w:rPr>
      <w:rFonts w:ascii="Wingdings" w:hAnsi="Wingdings" w:cs="Wingdings"/>
    </w:rPr>
  </w:style>
  <w:style w:type="character" w:customStyle="1" w:styleId="WW8Num7z3">
    <w:name w:val="WW8Num7z3"/>
    <w:rsid w:val="009A6B10"/>
    <w:rPr>
      <w:rFonts w:ascii="Symbol" w:hAnsi="Symbol" w:cs="Symbol"/>
    </w:rPr>
  </w:style>
  <w:style w:type="character" w:customStyle="1" w:styleId="WW8Num9z1">
    <w:name w:val="WW8Num9z1"/>
    <w:rsid w:val="009A6B10"/>
    <w:rPr>
      <w:rFonts w:ascii="Wingdings" w:hAnsi="Wingdings" w:cs="Wingdings"/>
    </w:rPr>
  </w:style>
  <w:style w:type="character" w:customStyle="1" w:styleId="WW8Num9z4">
    <w:name w:val="WW8Num9z4"/>
    <w:rsid w:val="009A6B10"/>
    <w:rPr>
      <w:rFonts w:ascii="Courier New" w:hAnsi="Courier New" w:cs="Courier New"/>
    </w:rPr>
  </w:style>
  <w:style w:type="character" w:customStyle="1" w:styleId="WW8Num10z1">
    <w:name w:val="WW8Num10z1"/>
    <w:rsid w:val="009A6B10"/>
    <w:rPr>
      <w:rFonts w:ascii="Courier New" w:hAnsi="Courier New" w:cs="Courier New"/>
    </w:rPr>
  </w:style>
  <w:style w:type="character" w:customStyle="1" w:styleId="WW8Num10z2">
    <w:name w:val="WW8Num10z2"/>
    <w:rsid w:val="009A6B10"/>
    <w:rPr>
      <w:rFonts w:ascii="Wingdings" w:hAnsi="Wingdings" w:cs="Wingdings"/>
    </w:rPr>
  </w:style>
  <w:style w:type="character" w:customStyle="1" w:styleId="WW8Num11z1">
    <w:name w:val="WW8Num11z1"/>
    <w:rsid w:val="009A6B10"/>
    <w:rPr>
      <w:rFonts w:ascii="Symbol" w:hAnsi="Symbol" w:cs="Symbol"/>
    </w:rPr>
  </w:style>
  <w:style w:type="character" w:customStyle="1" w:styleId="WW8Num12z2">
    <w:name w:val="WW8Num12z2"/>
    <w:rsid w:val="009A6B10"/>
    <w:rPr>
      <w:rFonts w:ascii="Wingdings" w:hAnsi="Wingdings" w:cs="Wingdings"/>
    </w:rPr>
  </w:style>
  <w:style w:type="character" w:customStyle="1" w:styleId="WW8Num12z3">
    <w:name w:val="WW8Num12z3"/>
    <w:rsid w:val="009A6B10"/>
    <w:rPr>
      <w:rFonts w:ascii="Symbol" w:hAnsi="Symbol" w:cs="Symbol"/>
    </w:rPr>
  </w:style>
  <w:style w:type="character" w:customStyle="1" w:styleId="WW8Num12z4">
    <w:name w:val="WW8Num12z4"/>
    <w:rsid w:val="009A6B10"/>
    <w:rPr>
      <w:rFonts w:ascii="Courier New" w:hAnsi="Courier New" w:cs="Courier New"/>
    </w:rPr>
  </w:style>
  <w:style w:type="character" w:customStyle="1" w:styleId="WW8Num13z1">
    <w:name w:val="WW8Num13z1"/>
    <w:rsid w:val="009A6B10"/>
    <w:rPr>
      <w:rFonts w:ascii="Symbol" w:hAnsi="Symbol" w:cs="Symbol"/>
    </w:rPr>
  </w:style>
  <w:style w:type="character" w:customStyle="1" w:styleId="WW8Num14z1">
    <w:name w:val="WW8Num14z1"/>
    <w:rsid w:val="009A6B10"/>
    <w:rPr>
      <w:rFonts w:ascii="Courier New" w:hAnsi="Courier New" w:cs="Courier New"/>
    </w:rPr>
  </w:style>
  <w:style w:type="character" w:customStyle="1" w:styleId="WW8Num14z2">
    <w:name w:val="WW8Num14z2"/>
    <w:rsid w:val="009A6B10"/>
    <w:rPr>
      <w:rFonts w:ascii="Wingdings" w:hAnsi="Wingdings" w:cs="Wingdings"/>
    </w:rPr>
  </w:style>
  <w:style w:type="character" w:customStyle="1" w:styleId="WW8Num15z1">
    <w:name w:val="WW8Num15z1"/>
    <w:rsid w:val="009A6B10"/>
    <w:rPr>
      <w:rFonts w:ascii="Courier New" w:hAnsi="Courier New" w:cs="Courier New"/>
    </w:rPr>
  </w:style>
  <w:style w:type="character" w:customStyle="1" w:styleId="WW8Num15z2">
    <w:name w:val="WW8Num15z2"/>
    <w:rsid w:val="009A6B10"/>
    <w:rPr>
      <w:rFonts w:ascii="Wingdings" w:hAnsi="Wingdings" w:cs="Wingdings"/>
    </w:rPr>
  </w:style>
  <w:style w:type="character" w:customStyle="1" w:styleId="WW8Num15z3">
    <w:name w:val="WW8Num15z3"/>
    <w:rsid w:val="009A6B10"/>
    <w:rPr>
      <w:rFonts w:ascii="Symbol" w:hAnsi="Symbol" w:cs="Symbol"/>
    </w:rPr>
  </w:style>
  <w:style w:type="character" w:customStyle="1" w:styleId="WW8Num16z1">
    <w:name w:val="WW8Num16z1"/>
    <w:rsid w:val="009A6B10"/>
    <w:rPr>
      <w:rFonts w:ascii="Courier New" w:hAnsi="Courier New" w:cs="Courier New"/>
    </w:rPr>
  </w:style>
  <w:style w:type="character" w:customStyle="1" w:styleId="WW8Num16z3">
    <w:name w:val="WW8Num16z3"/>
    <w:rsid w:val="009A6B10"/>
    <w:rPr>
      <w:rFonts w:ascii="Symbol" w:hAnsi="Symbol" w:cs="Symbol"/>
    </w:rPr>
  </w:style>
  <w:style w:type="character" w:customStyle="1" w:styleId="WW8Num17z0">
    <w:name w:val="WW8Num17z0"/>
    <w:rsid w:val="009A6B10"/>
    <w:rPr>
      <w:rFonts w:ascii="Symbol" w:hAnsi="Symbol" w:cs="Symbol"/>
    </w:rPr>
  </w:style>
  <w:style w:type="character" w:customStyle="1" w:styleId="WW8Num17z1">
    <w:name w:val="WW8Num17z1"/>
    <w:rsid w:val="009A6B10"/>
    <w:rPr>
      <w:rFonts w:ascii="Times New Roman" w:eastAsia="Times New Roman" w:hAnsi="Times New Roman" w:cs="Times New Roman"/>
    </w:rPr>
  </w:style>
  <w:style w:type="character" w:customStyle="1" w:styleId="WW8Num17z2">
    <w:name w:val="WW8Num17z2"/>
    <w:rsid w:val="009A6B10"/>
    <w:rPr>
      <w:rFonts w:ascii="Wingdings" w:hAnsi="Wingdings" w:cs="Wingdings"/>
    </w:rPr>
  </w:style>
  <w:style w:type="character" w:customStyle="1" w:styleId="WW8Num17z4">
    <w:name w:val="WW8Num17z4"/>
    <w:rsid w:val="009A6B10"/>
    <w:rPr>
      <w:rFonts w:ascii="Courier New" w:hAnsi="Courier New" w:cs="Courier New"/>
    </w:rPr>
  </w:style>
  <w:style w:type="character" w:customStyle="1" w:styleId="WW8Num18z1">
    <w:name w:val="WW8Num18z1"/>
    <w:rsid w:val="009A6B10"/>
    <w:rPr>
      <w:rFonts w:ascii="Courier New" w:hAnsi="Courier New" w:cs="Courier New"/>
    </w:rPr>
  </w:style>
  <w:style w:type="character" w:customStyle="1" w:styleId="WW8Num18z2">
    <w:name w:val="WW8Num18z2"/>
    <w:rsid w:val="009A6B10"/>
    <w:rPr>
      <w:rFonts w:ascii="Wingdings" w:hAnsi="Wingdings" w:cs="Wingdings"/>
    </w:rPr>
  </w:style>
  <w:style w:type="character" w:customStyle="1" w:styleId="WW8Num19z1">
    <w:name w:val="WW8Num19z1"/>
    <w:rsid w:val="009A6B10"/>
    <w:rPr>
      <w:rFonts w:ascii="Courier New" w:hAnsi="Courier New" w:cs="Courier New"/>
    </w:rPr>
  </w:style>
  <w:style w:type="character" w:customStyle="1" w:styleId="WW8Num19z2">
    <w:name w:val="WW8Num19z2"/>
    <w:rsid w:val="009A6B10"/>
    <w:rPr>
      <w:rFonts w:ascii="Wingdings" w:hAnsi="Wingdings" w:cs="Wingdings"/>
    </w:rPr>
  </w:style>
  <w:style w:type="character" w:customStyle="1" w:styleId="WW8Num20z1">
    <w:name w:val="WW8Num20z1"/>
    <w:rsid w:val="009A6B10"/>
    <w:rPr>
      <w:rFonts w:ascii="Times New Roman" w:eastAsia="Times New Roman" w:hAnsi="Times New Roman" w:cs="Times New Roman"/>
    </w:rPr>
  </w:style>
  <w:style w:type="character" w:customStyle="1" w:styleId="WW8Num20z2">
    <w:name w:val="WW8Num20z2"/>
    <w:rsid w:val="009A6B10"/>
    <w:rPr>
      <w:rFonts w:ascii="Wingdings" w:hAnsi="Wingdings" w:cs="Wingdings"/>
    </w:rPr>
  </w:style>
  <w:style w:type="character" w:customStyle="1" w:styleId="WW8Num20z4">
    <w:name w:val="WW8Num20z4"/>
    <w:rsid w:val="009A6B10"/>
    <w:rPr>
      <w:rFonts w:ascii="Courier New" w:hAnsi="Courier New" w:cs="Courier New"/>
    </w:rPr>
  </w:style>
  <w:style w:type="character" w:customStyle="1" w:styleId="WW8Num22z1">
    <w:name w:val="WW8Num22z1"/>
    <w:rsid w:val="009A6B10"/>
    <w:rPr>
      <w:rFonts w:ascii="Courier New" w:hAnsi="Courier New" w:cs="Courier New"/>
    </w:rPr>
  </w:style>
  <w:style w:type="character" w:customStyle="1" w:styleId="WW8Num22z2">
    <w:name w:val="WW8Num22z2"/>
    <w:rsid w:val="009A6B10"/>
    <w:rPr>
      <w:rFonts w:ascii="Wingdings" w:hAnsi="Wingdings" w:cs="Wingdings"/>
    </w:rPr>
  </w:style>
  <w:style w:type="character" w:customStyle="1" w:styleId="WW8Num23z1">
    <w:name w:val="WW8Num23z1"/>
    <w:rsid w:val="009A6B10"/>
    <w:rPr>
      <w:rFonts w:cs="Times New Roman"/>
    </w:rPr>
  </w:style>
  <w:style w:type="character" w:customStyle="1" w:styleId="WW8Num24z1">
    <w:name w:val="WW8Num24z1"/>
    <w:rsid w:val="009A6B10"/>
    <w:rPr>
      <w:rFonts w:ascii="Times New Roman" w:eastAsia="Times New Roman" w:hAnsi="Times New Roman" w:cs="Times New Roman"/>
    </w:rPr>
  </w:style>
  <w:style w:type="character" w:customStyle="1" w:styleId="WW8Num24z2">
    <w:name w:val="WW8Num24z2"/>
    <w:rsid w:val="009A6B10"/>
    <w:rPr>
      <w:rFonts w:ascii="Wingdings" w:hAnsi="Wingdings" w:cs="Wingdings"/>
    </w:rPr>
  </w:style>
  <w:style w:type="character" w:customStyle="1" w:styleId="WW8Num24z4">
    <w:name w:val="WW8Num24z4"/>
    <w:rsid w:val="009A6B10"/>
    <w:rPr>
      <w:rFonts w:ascii="Courier New" w:hAnsi="Courier New" w:cs="Courier New"/>
    </w:rPr>
  </w:style>
  <w:style w:type="character" w:customStyle="1" w:styleId="WW8Num25z1">
    <w:name w:val="WW8Num25z1"/>
    <w:rsid w:val="009A6B10"/>
    <w:rPr>
      <w:rFonts w:ascii="Times New Roman" w:eastAsia="Times New Roman" w:hAnsi="Times New Roman" w:cs="Times New Roman"/>
    </w:rPr>
  </w:style>
  <w:style w:type="character" w:customStyle="1" w:styleId="WW8Num25z2">
    <w:name w:val="WW8Num25z2"/>
    <w:rsid w:val="009A6B10"/>
    <w:rPr>
      <w:rFonts w:ascii="Wingdings" w:hAnsi="Wingdings" w:cs="Wingdings"/>
    </w:rPr>
  </w:style>
  <w:style w:type="character" w:customStyle="1" w:styleId="WW8Num25z4">
    <w:name w:val="WW8Num25z4"/>
    <w:rsid w:val="009A6B10"/>
    <w:rPr>
      <w:rFonts w:ascii="Courier New" w:hAnsi="Courier New" w:cs="Courier New"/>
    </w:rPr>
  </w:style>
  <w:style w:type="character" w:customStyle="1" w:styleId="WW8Num26z1">
    <w:name w:val="WW8Num26z1"/>
    <w:rsid w:val="009A6B10"/>
    <w:rPr>
      <w:rFonts w:ascii="Courier New" w:hAnsi="Courier New" w:cs="Courier New"/>
    </w:rPr>
  </w:style>
  <w:style w:type="character" w:customStyle="1" w:styleId="WW8Num26z2">
    <w:name w:val="WW8Num26z2"/>
    <w:rsid w:val="009A6B10"/>
    <w:rPr>
      <w:rFonts w:ascii="Wingdings" w:hAnsi="Wingdings" w:cs="Wingdings"/>
    </w:rPr>
  </w:style>
  <w:style w:type="character" w:customStyle="1" w:styleId="WW8Num27z1">
    <w:name w:val="WW8Num27z1"/>
    <w:rsid w:val="009A6B10"/>
    <w:rPr>
      <w:rFonts w:ascii="Wingdings" w:hAnsi="Wingdings" w:cs="Wingdings"/>
    </w:rPr>
  </w:style>
  <w:style w:type="character" w:customStyle="1" w:styleId="WW8Num27z4">
    <w:name w:val="WW8Num27z4"/>
    <w:rsid w:val="009A6B10"/>
    <w:rPr>
      <w:rFonts w:ascii="Courier New" w:hAnsi="Courier New" w:cs="Courier New"/>
    </w:rPr>
  </w:style>
  <w:style w:type="character" w:customStyle="1" w:styleId="WW8Num28z1">
    <w:name w:val="WW8Num28z1"/>
    <w:rsid w:val="009A6B10"/>
    <w:rPr>
      <w:rFonts w:ascii="Courier New" w:hAnsi="Courier New" w:cs="Courier New"/>
    </w:rPr>
  </w:style>
  <w:style w:type="character" w:customStyle="1" w:styleId="WW8Num28z2">
    <w:name w:val="WW8Num28z2"/>
    <w:rsid w:val="009A6B10"/>
    <w:rPr>
      <w:rFonts w:ascii="Wingdings" w:hAnsi="Wingdings" w:cs="Wingdings"/>
    </w:rPr>
  </w:style>
  <w:style w:type="character" w:customStyle="1" w:styleId="WW8Num29z1">
    <w:name w:val="WW8Num29z1"/>
    <w:rsid w:val="009A6B10"/>
    <w:rPr>
      <w:rFonts w:ascii="Courier New" w:hAnsi="Courier New" w:cs="Courier New"/>
    </w:rPr>
  </w:style>
  <w:style w:type="character" w:customStyle="1" w:styleId="WW8Num29z2">
    <w:name w:val="WW8Num29z2"/>
    <w:rsid w:val="009A6B10"/>
    <w:rPr>
      <w:rFonts w:ascii="Wingdings" w:hAnsi="Wingdings" w:cs="Wingdings"/>
    </w:rPr>
  </w:style>
  <w:style w:type="character" w:customStyle="1" w:styleId="WW8Num30z2">
    <w:name w:val="WW8Num30z2"/>
    <w:rsid w:val="009A6B10"/>
    <w:rPr>
      <w:rFonts w:ascii="Times New Roman" w:eastAsia="Times New Roman" w:hAnsi="Times New Roman" w:cs="Times New Roman"/>
    </w:rPr>
  </w:style>
  <w:style w:type="character" w:customStyle="1" w:styleId="WW8Num30z4">
    <w:name w:val="WW8Num30z4"/>
    <w:rsid w:val="009A6B10"/>
    <w:rPr>
      <w:rFonts w:ascii="Courier New" w:hAnsi="Courier New" w:cs="Courier New"/>
    </w:rPr>
  </w:style>
  <w:style w:type="character" w:customStyle="1" w:styleId="WW8Num30z5">
    <w:name w:val="WW8Num30z5"/>
    <w:rsid w:val="009A6B10"/>
    <w:rPr>
      <w:rFonts w:ascii="Wingdings" w:hAnsi="Wingdings" w:cs="Wingdings"/>
    </w:rPr>
  </w:style>
  <w:style w:type="character" w:customStyle="1" w:styleId="WW8Num31z1">
    <w:name w:val="WW8Num31z1"/>
    <w:rsid w:val="009A6B10"/>
    <w:rPr>
      <w:rFonts w:ascii="Courier New" w:hAnsi="Courier New" w:cs="Courier New"/>
    </w:rPr>
  </w:style>
  <w:style w:type="character" w:customStyle="1" w:styleId="WW8Num31z2">
    <w:name w:val="WW8Num31z2"/>
    <w:rsid w:val="009A6B10"/>
    <w:rPr>
      <w:rFonts w:ascii="Wingdings" w:hAnsi="Wingdings" w:cs="Wingdings"/>
    </w:rPr>
  </w:style>
  <w:style w:type="character" w:customStyle="1" w:styleId="WW8Num32z1">
    <w:name w:val="WW8Num32z1"/>
    <w:rsid w:val="009A6B10"/>
    <w:rPr>
      <w:rFonts w:ascii="Symbol" w:hAnsi="Symbol" w:cs="Symbol"/>
      <w:color w:val="auto"/>
    </w:rPr>
  </w:style>
  <w:style w:type="character" w:customStyle="1" w:styleId="WW8Num32z3">
    <w:name w:val="WW8Num32z3"/>
    <w:rsid w:val="009A6B10"/>
    <w:rPr>
      <w:rFonts w:ascii="Symbol" w:hAnsi="Symbol" w:cs="Symbol"/>
    </w:rPr>
  </w:style>
  <w:style w:type="character" w:customStyle="1" w:styleId="WW8Num32z4">
    <w:name w:val="WW8Num32z4"/>
    <w:rsid w:val="009A6B10"/>
    <w:rPr>
      <w:rFonts w:ascii="Courier New" w:hAnsi="Courier New" w:cs="Courier New"/>
    </w:rPr>
  </w:style>
  <w:style w:type="character" w:customStyle="1" w:styleId="WW8Num33z1">
    <w:name w:val="WW8Num33z1"/>
    <w:rsid w:val="009A6B10"/>
    <w:rPr>
      <w:rFonts w:ascii="Courier New" w:hAnsi="Courier New" w:cs="Courier New"/>
    </w:rPr>
  </w:style>
  <w:style w:type="character" w:customStyle="1" w:styleId="WW8Num33z2">
    <w:name w:val="WW8Num33z2"/>
    <w:rsid w:val="009A6B10"/>
    <w:rPr>
      <w:rFonts w:ascii="Wingdings" w:hAnsi="Wingdings" w:cs="Wingdings"/>
    </w:rPr>
  </w:style>
  <w:style w:type="character" w:customStyle="1" w:styleId="WW8Num33z3">
    <w:name w:val="WW8Num33z3"/>
    <w:rsid w:val="009A6B10"/>
    <w:rPr>
      <w:rFonts w:ascii="Symbol" w:hAnsi="Symbol" w:cs="Symbol"/>
    </w:rPr>
  </w:style>
  <w:style w:type="character" w:customStyle="1" w:styleId="WW8Num34z1">
    <w:name w:val="WW8Num34z1"/>
    <w:rsid w:val="009A6B10"/>
    <w:rPr>
      <w:rFonts w:ascii="Courier New" w:hAnsi="Courier New" w:cs="Courier New"/>
    </w:rPr>
  </w:style>
  <w:style w:type="character" w:customStyle="1" w:styleId="WW8Num34z2">
    <w:name w:val="WW8Num34z2"/>
    <w:rsid w:val="009A6B10"/>
    <w:rPr>
      <w:rFonts w:ascii="Wingdings" w:hAnsi="Wingdings" w:cs="Wingdings"/>
    </w:rPr>
  </w:style>
  <w:style w:type="character" w:customStyle="1" w:styleId="WW8Num34z3">
    <w:name w:val="WW8Num34z3"/>
    <w:rsid w:val="009A6B10"/>
    <w:rPr>
      <w:rFonts w:ascii="Symbol" w:hAnsi="Symbol" w:cs="Symbol"/>
    </w:rPr>
  </w:style>
  <w:style w:type="character" w:customStyle="1" w:styleId="WW8Num35z1">
    <w:name w:val="WW8Num35z1"/>
    <w:rsid w:val="009A6B10"/>
    <w:rPr>
      <w:rFonts w:ascii="Courier New" w:hAnsi="Courier New" w:cs="Courier New"/>
    </w:rPr>
  </w:style>
  <w:style w:type="character" w:customStyle="1" w:styleId="WW8Num35z2">
    <w:name w:val="WW8Num35z2"/>
    <w:rsid w:val="009A6B10"/>
    <w:rPr>
      <w:rFonts w:ascii="Wingdings" w:hAnsi="Wingdings" w:cs="Wingdings"/>
    </w:rPr>
  </w:style>
  <w:style w:type="character" w:customStyle="1" w:styleId="WW8Num35z3">
    <w:name w:val="WW8Num35z3"/>
    <w:rsid w:val="009A6B10"/>
    <w:rPr>
      <w:rFonts w:ascii="Symbol" w:hAnsi="Symbol" w:cs="Symbol"/>
    </w:rPr>
  </w:style>
  <w:style w:type="character" w:customStyle="1" w:styleId="WW8Num36z1">
    <w:name w:val="WW8Num36z1"/>
    <w:rsid w:val="009A6B10"/>
    <w:rPr>
      <w:rFonts w:ascii="Courier New" w:hAnsi="Courier New" w:cs="Courier New"/>
    </w:rPr>
  </w:style>
  <w:style w:type="character" w:customStyle="1" w:styleId="WW8Num36z2">
    <w:name w:val="WW8Num36z2"/>
    <w:rsid w:val="009A6B10"/>
    <w:rPr>
      <w:rFonts w:ascii="Wingdings" w:hAnsi="Wingdings" w:cs="Wingdings"/>
    </w:rPr>
  </w:style>
  <w:style w:type="character" w:customStyle="1" w:styleId="WW8Num38z1">
    <w:name w:val="WW8Num38z1"/>
    <w:rsid w:val="009A6B10"/>
    <w:rPr>
      <w:rFonts w:ascii="Courier New" w:hAnsi="Courier New" w:cs="Courier New"/>
    </w:rPr>
  </w:style>
  <w:style w:type="character" w:customStyle="1" w:styleId="WW8Num38z2">
    <w:name w:val="WW8Num38z2"/>
    <w:rsid w:val="009A6B10"/>
    <w:rPr>
      <w:rFonts w:ascii="Wingdings" w:hAnsi="Wingdings" w:cs="Wingdings"/>
    </w:rPr>
  </w:style>
  <w:style w:type="character" w:customStyle="1" w:styleId="WW8Num39z1">
    <w:name w:val="WW8Num39z1"/>
    <w:rsid w:val="009A6B10"/>
    <w:rPr>
      <w:rFonts w:ascii="Courier New" w:hAnsi="Courier New" w:cs="Courier New"/>
    </w:rPr>
  </w:style>
  <w:style w:type="character" w:customStyle="1" w:styleId="WW8Num39z2">
    <w:name w:val="WW8Num39z2"/>
    <w:rsid w:val="009A6B10"/>
    <w:rPr>
      <w:rFonts w:ascii="Wingdings" w:hAnsi="Wingdings" w:cs="Wingdings"/>
    </w:rPr>
  </w:style>
  <w:style w:type="character" w:customStyle="1" w:styleId="WW8Num39z3">
    <w:name w:val="WW8Num39z3"/>
    <w:rsid w:val="009A6B10"/>
    <w:rPr>
      <w:rFonts w:ascii="Symbol" w:hAnsi="Symbol" w:cs="Symbol"/>
    </w:rPr>
  </w:style>
  <w:style w:type="character" w:customStyle="1" w:styleId="WW8Num40z1">
    <w:name w:val="WW8Num40z1"/>
    <w:rsid w:val="009A6B10"/>
    <w:rPr>
      <w:rFonts w:ascii="Courier New" w:hAnsi="Courier New" w:cs="Courier New"/>
    </w:rPr>
  </w:style>
  <w:style w:type="character" w:customStyle="1" w:styleId="WW8Num40z2">
    <w:name w:val="WW8Num40z2"/>
    <w:rsid w:val="009A6B10"/>
    <w:rPr>
      <w:rFonts w:ascii="Wingdings" w:hAnsi="Wingdings" w:cs="Wingdings"/>
    </w:rPr>
  </w:style>
  <w:style w:type="character" w:customStyle="1" w:styleId="WW8Num42z0">
    <w:name w:val="WW8Num42z0"/>
    <w:rsid w:val="009A6B10"/>
    <w:rPr>
      <w:rFonts w:ascii="Symbol" w:hAnsi="Symbol" w:cs="Symbol"/>
    </w:rPr>
  </w:style>
  <w:style w:type="character" w:customStyle="1" w:styleId="WW8Num42z1">
    <w:name w:val="WW8Num42z1"/>
    <w:rsid w:val="009A6B10"/>
    <w:rPr>
      <w:rFonts w:ascii="Courier New" w:hAnsi="Courier New" w:cs="Courier New"/>
    </w:rPr>
  </w:style>
  <w:style w:type="character" w:customStyle="1" w:styleId="WW8Num42z2">
    <w:name w:val="WW8Num42z2"/>
    <w:rsid w:val="009A6B10"/>
    <w:rPr>
      <w:rFonts w:ascii="Wingdings" w:hAnsi="Wingdings" w:cs="Wingdings"/>
    </w:rPr>
  </w:style>
  <w:style w:type="character" w:customStyle="1" w:styleId="WW8Num43z0">
    <w:name w:val="WW8Num43z0"/>
    <w:rsid w:val="009A6B10"/>
    <w:rPr>
      <w:rFonts w:ascii="Symbol" w:hAnsi="Symbol" w:cs="Symbol"/>
    </w:rPr>
  </w:style>
  <w:style w:type="character" w:customStyle="1" w:styleId="WW8Num43z1">
    <w:name w:val="WW8Num43z1"/>
    <w:rsid w:val="009A6B10"/>
    <w:rPr>
      <w:rFonts w:ascii="Courier New" w:hAnsi="Courier New" w:cs="Courier New"/>
    </w:rPr>
  </w:style>
  <w:style w:type="character" w:customStyle="1" w:styleId="WW8Num43z2">
    <w:name w:val="WW8Num43z2"/>
    <w:rsid w:val="009A6B10"/>
    <w:rPr>
      <w:rFonts w:ascii="Wingdings" w:hAnsi="Wingdings" w:cs="Wingdings"/>
    </w:rPr>
  </w:style>
  <w:style w:type="character" w:customStyle="1" w:styleId="WW8Num44z0">
    <w:name w:val="WW8Num44z0"/>
    <w:rsid w:val="009A6B10"/>
    <w:rPr>
      <w:rFonts w:ascii="Symbol" w:hAnsi="Symbol" w:cs="Symbol"/>
    </w:rPr>
  </w:style>
  <w:style w:type="character" w:customStyle="1" w:styleId="WW8Num44z1">
    <w:name w:val="WW8Num44z1"/>
    <w:rsid w:val="009A6B10"/>
    <w:rPr>
      <w:rFonts w:ascii="Courier New" w:hAnsi="Courier New" w:cs="Courier New"/>
    </w:rPr>
  </w:style>
  <w:style w:type="character" w:customStyle="1" w:styleId="WW8Num44z2">
    <w:name w:val="WW8Num44z2"/>
    <w:rsid w:val="009A6B10"/>
    <w:rPr>
      <w:rFonts w:ascii="Wingdings" w:hAnsi="Wingdings" w:cs="Wingdings"/>
    </w:rPr>
  </w:style>
  <w:style w:type="character" w:customStyle="1" w:styleId="WW8Num45z0">
    <w:name w:val="WW8Num45z0"/>
    <w:rsid w:val="009A6B10"/>
    <w:rPr>
      <w:rFonts w:ascii="Symbol" w:hAnsi="Symbol" w:cs="Symbol"/>
    </w:rPr>
  </w:style>
  <w:style w:type="character" w:customStyle="1" w:styleId="WW8Num45z1">
    <w:name w:val="WW8Num45z1"/>
    <w:rsid w:val="009A6B10"/>
    <w:rPr>
      <w:rFonts w:ascii="Courier New" w:hAnsi="Courier New" w:cs="Courier New"/>
    </w:rPr>
  </w:style>
  <w:style w:type="character" w:customStyle="1" w:styleId="WW8Num45z2">
    <w:name w:val="WW8Num45z2"/>
    <w:rsid w:val="009A6B10"/>
    <w:rPr>
      <w:rFonts w:ascii="Wingdings" w:hAnsi="Wingdings" w:cs="Wingdings"/>
    </w:rPr>
  </w:style>
  <w:style w:type="character" w:customStyle="1" w:styleId="WW8Num46z0">
    <w:name w:val="WW8Num46z0"/>
    <w:rsid w:val="009A6B10"/>
    <w:rPr>
      <w:rFonts w:ascii="Symbol" w:hAnsi="Symbol" w:cs="Symbol"/>
    </w:rPr>
  </w:style>
  <w:style w:type="character" w:customStyle="1" w:styleId="WW8Num46z1">
    <w:name w:val="WW8Num46z1"/>
    <w:rsid w:val="009A6B10"/>
    <w:rPr>
      <w:rFonts w:ascii="Courier New" w:hAnsi="Courier New" w:cs="Courier New"/>
    </w:rPr>
  </w:style>
  <w:style w:type="character" w:customStyle="1" w:styleId="WW8Num46z2">
    <w:name w:val="WW8Num46z2"/>
    <w:rsid w:val="009A6B10"/>
    <w:rPr>
      <w:rFonts w:ascii="Wingdings" w:hAnsi="Wingdings" w:cs="Wingdings"/>
    </w:rPr>
  </w:style>
  <w:style w:type="character" w:customStyle="1" w:styleId="WW8Num47z0">
    <w:name w:val="WW8Num47z0"/>
    <w:rsid w:val="009A6B10"/>
    <w:rPr>
      <w:rFonts w:ascii="Times New Roman" w:eastAsia="Times New Roman" w:hAnsi="Times New Roman" w:cs="Times New Roman"/>
    </w:rPr>
  </w:style>
  <w:style w:type="character" w:customStyle="1" w:styleId="WW8Num47z1">
    <w:name w:val="WW8Num47z1"/>
    <w:rsid w:val="009A6B10"/>
    <w:rPr>
      <w:rFonts w:ascii="Courier New" w:hAnsi="Courier New" w:cs="Courier New"/>
    </w:rPr>
  </w:style>
  <w:style w:type="character" w:customStyle="1" w:styleId="WW8Num47z2">
    <w:name w:val="WW8Num47z2"/>
    <w:rsid w:val="009A6B10"/>
    <w:rPr>
      <w:rFonts w:ascii="Wingdings" w:hAnsi="Wingdings" w:cs="Wingdings"/>
    </w:rPr>
  </w:style>
  <w:style w:type="character" w:customStyle="1" w:styleId="WW8Num47z3">
    <w:name w:val="WW8Num47z3"/>
    <w:rsid w:val="009A6B10"/>
    <w:rPr>
      <w:rFonts w:ascii="Symbol" w:hAnsi="Symbol" w:cs="Symbol"/>
    </w:rPr>
  </w:style>
  <w:style w:type="character" w:customStyle="1" w:styleId="WW8Num48z0">
    <w:name w:val="WW8Num48z0"/>
    <w:rsid w:val="009A6B10"/>
    <w:rPr>
      <w:rFonts w:ascii="Courier New" w:hAnsi="Courier New" w:cs="Courier New"/>
      <w:color w:val="auto"/>
    </w:rPr>
  </w:style>
  <w:style w:type="character" w:customStyle="1" w:styleId="WW8Num48z1">
    <w:name w:val="WW8Num48z1"/>
    <w:rsid w:val="009A6B10"/>
    <w:rPr>
      <w:rFonts w:ascii="Symbol" w:hAnsi="Symbol" w:cs="Symbol"/>
      <w:color w:val="auto"/>
    </w:rPr>
  </w:style>
  <w:style w:type="character" w:customStyle="1" w:styleId="WW8Num48z2">
    <w:name w:val="WW8Num48z2"/>
    <w:rsid w:val="009A6B10"/>
    <w:rPr>
      <w:rFonts w:ascii="Wingdings" w:hAnsi="Wingdings" w:cs="Wingdings"/>
    </w:rPr>
  </w:style>
  <w:style w:type="character" w:customStyle="1" w:styleId="WW8Num48z3">
    <w:name w:val="WW8Num48z3"/>
    <w:rsid w:val="009A6B10"/>
    <w:rPr>
      <w:rFonts w:ascii="Symbol" w:hAnsi="Symbol" w:cs="Symbol"/>
    </w:rPr>
  </w:style>
  <w:style w:type="character" w:customStyle="1" w:styleId="WW8Num48z4">
    <w:name w:val="WW8Num48z4"/>
    <w:rsid w:val="009A6B10"/>
    <w:rPr>
      <w:rFonts w:ascii="Courier New" w:hAnsi="Courier New" w:cs="Courier New"/>
    </w:rPr>
  </w:style>
  <w:style w:type="character" w:customStyle="1" w:styleId="Predvolenpsmoodseku1">
    <w:name w:val="Predvolené písmo odseku1"/>
    <w:rsid w:val="009A6B10"/>
  </w:style>
  <w:style w:type="character" w:customStyle="1" w:styleId="Znakyprepoznmkupodiarou">
    <w:name w:val="Znaky pre poznámku pod čiarou"/>
    <w:rsid w:val="009A6B10"/>
    <w:rPr>
      <w:vertAlign w:val="superscript"/>
    </w:rPr>
  </w:style>
  <w:style w:type="character" w:customStyle="1" w:styleId="Odkaznakomentr1">
    <w:name w:val="Odkaz na komentár1"/>
    <w:rsid w:val="009A6B10"/>
    <w:rPr>
      <w:sz w:val="16"/>
      <w:szCs w:val="16"/>
    </w:rPr>
  </w:style>
  <w:style w:type="character" w:customStyle="1" w:styleId="Znakyprevysvetlivky">
    <w:name w:val="Znaky pre vysvetlivky"/>
    <w:rsid w:val="009A6B10"/>
    <w:rPr>
      <w:vertAlign w:val="superscript"/>
    </w:rPr>
  </w:style>
  <w:style w:type="character" w:customStyle="1" w:styleId="WW-Znakyprevysvetlivky">
    <w:name w:val="WW-Znaky pre vysvetlivky"/>
    <w:rsid w:val="009A6B10"/>
  </w:style>
  <w:style w:type="paragraph" w:customStyle="1" w:styleId="Nadpis">
    <w:name w:val="Nadpis"/>
    <w:basedOn w:val="Normlny"/>
    <w:next w:val="Zkladntext"/>
    <w:rsid w:val="009A6B10"/>
    <w:pPr>
      <w:suppressAutoHyphens/>
      <w:jc w:val="center"/>
    </w:pPr>
    <w:rPr>
      <w:sz w:val="28"/>
      <w:szCs w:val="20"/>
      <w:lang w:eastAsia="zh-CN"/>
    </w:rPr>
  </w:style>
  <w:style w:type="paragraph" w:styleId="Zoznam">
    <w:name w:val="List"/>
    <w:basedOn w:val="Zkladntext"/>
    <w:rsid w:val="009A6B10"/>
    <w:pPr>
      <w:suppressAutoHyphens/>
    </w:pPr>
    <w:rPr>
      <w:rFonts w:cs="Lohit Hindi"/>
      <w:lang w:eastAsia="zh-CN"/>
    </w:rPr>
  </w:style>
  <w:style w:type="paragraph" w:customStyle="1" w:styleId="Index">
    <w:name w:val="Index"/>
    <w:basedOn w:val="Normlny"/>
    <w:rsid w:val="009A6B10"/>
    <w:pPr>
      <w:suppressLineNumbers/>
      <w:suppressAutoHyphens/>
    </w:pPr>
    <w:rPr>
      <w:rFonts w:cs="Lohit Hindi"/>
      <w:lang w:eastAsia="zh-CN"/>
    </w:rPr>
  </w:style>
  <w:style w:type="paragraph" w:customStyle="1" w:styleId="Zkladntext21">
    <w:name w:val="Základný text 21"/>
    <w:basedOn w:val="Normlny"/>
    <w:rsid w:val="009A6B10"/>
    <w:pPr>
      <w:suppressAutoHyphens/>
    </w:pPr>
    <w:rPr>
      <w:b/>
      <w:bCs/>
      <w:lang w:eastAsia="zh-CN"/>
    </w:rPr>
  </w:style>
  <w:style w:type="paragraph" w:customStyle="1" w:styleId="Zkladntext31">
    <w:name w:val="Základný text 31"/>
    <w:basedOn w:val="Normlny"/>
    <w:rsid w:val="009A6B10"/>
    <w:pPr>
      <w:suppressAutoHyphens/>
      <w:jc w:val="both"/>
    </w:pPr>
    <w:rPr>
      <w:b/>
      <w:bCs/>
      <w:lang w:eastAsia="zh-CN"/>
    </w:rPr>
  </w:style>
  <w:style w:type="paragraph" w:customStyle="1" w:styleId="Zarkazkladnhotextu31">
    <w:name w:val="Zarážka základného textu 31"/>
    <w:basedOn w:val="Normlny"/>
    <w:rsid w:val="009A6B10"/>
    <w:pPr>
      <w:suppressAutoHyphens/>
      <w:ind w:right="23" w:firstLine="360"/>
      <w:jc w:val="both"/>
    </w:pPr>
    <w:rPr>
      <w:lang w:eastAsia="zh-CN"/>
    </w:rPr>
  </w:style>
  <w:style w:type="paragraph" w:customStyle="1" w:styleId="Zarkazkladnhotextu21">
    <w:name w:val="Zarážka základného textu 21"/>
    <w:basedOn w:val="Normlny"/>
    <w:rsid w:val="009A6B10"/>
    <w:pPr>
      <w:suppressAutoHyphens/>
      <w:spacing w:line="360" w:lineRule="auto"/>
      <w:ind w:firstLine="709"/>
      <w:jc w:val="both"/>
    </w:pPr>
    <w:rPr>
      <w:lang w:eastAsia="zh-CN"/>
    </w:rPr>
  </w:style>
  <w:style w:type="paragraph" w:customStyle="1" w:styleId="Textkomentra1">
    <w:name w:val="Text komentára1"/>
    <w:basedOn w:val="Normlny"/>
    <w:rsid w:val="009A6B10"/>
    <w:pPr>
      <w:suppressAutoHyphens/>
    </w:pPr>
    <w:rPr>
      <w:sz w:val="20"/>
      <w:szCs w:val="20"/>
      <w:lang w:val="cs-CZ" w:eastAsia="zh-CN"/>
    </w:rPr>
  </w:style>
  <w:style w:type="paragraph" w:customStyle="1" w:styleId="Normlny2">
    <w:name w:val="Normálny2"/>
    <w:rsid w:val="009A6B10"/>
    <w:pPr>
      <w:suppressAutoHyphens/>
      <w:autoSpaceDE w:val="0"/>
    </w:pPr>
    <w:rPr>
      <w:rFonts w:ascii="Arial" w:hAnsi="Arial" w:cs="Arial"/>
      <w:color w:val="000000"/>
      <w:sz w:val="24"/>
      <w:szCs w:val="24"/>
      <w:lang w:eastAsia="zh-CN"/>
    </w:rPr>
  </w:style>
  <w:style w:type="paragraph" w:customStyle="1" w:styleId="slovanzoznam1">
    <w:name w:val="Číslovaný zoznam1"/>
    <w:basedOn w:val="Normlny"/>
    <w:rsid w:val="009A6B10"/>
    <w:pPr>
      <w:numPr>
        <w:numId w:val="2"/>
      </w:numPr>
      <w:suppressAutoHyphens/>
      <w:spacing w:before="120" w:after="120"/>
      <w:jc w:val="both"/>
    </w:pPr>
    <w:rPr>
      <w:lang w:eastAsia="zh-CN"/>
    </w:rPr>
  </w:style>
  <w:style w:type="paragraph" w:customStyle="1" w:styleId="Obsahtabuky">
    <w:name w:val="Obsah tabuľky"/>
    <w:basedOn w:val="Normlny"/>
    <w:rsid w:val="009A6B10"/>
    <w:pPr>
      <w:suppressLineNumbers/>
      <w:suppressAutoHyphens/>
    </w:pPr>
    <w:rPr>
      <w:lang w:eastAsia="zh-CN"/>
    </w:rPr>
  </w:style>
  <w:style w:type="paragraph" w:customStyle="1" w:styleId="Nadpistabuky">
    <w:name w:val="Nadpis tabuľky"/>
    <w:basedOn w:val="Obsahtabuky"/>
    <w:rsid w:val="009A6B10"/>
    <w:pPr>
      <w:jc w:val="center"/>
    </w:pPr>
    <w:rPr>
      <w:b/>
      <w:bCs/>
    </w:rPr>
  </w:style>
  <w:style w:type="paragraph" w:customStyle="1" w:styleId="Obsahrmca">
    <w:name w:val="Obsah rámca"/>
    <w:basedOn w:val="Zkladntext"/>
    <w:rsid w:val="009A6B10"/>
    <w:pPr>
      <w:suppressAutoHyphens/>
    </w:pPr>
    <w:rPr>
      <w:lang w:eastAsia="zh-CN"/>
    </w:rPr>
  </w:style>
  <w:style w:type="paragraph" w:customStyle="1" w:styleId="Odsekzoznamu10">
    <w:name w:val="Odsek zoznamu1"/>
    <w:basedOn w:val="Normlny"/>
    <w:qFormat/>
    <w:rsid w:val="009A6B10"/>
    <w:pPr>
      <w:ind w:left="708"/>
    </w:pPr>
  </w:style>
  <w:style w:type="character" w:customStyle="1" w:styleId="atn">
    <w:name w:val="atn"/>
    <w:rsid w:val="009A6B10"/>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lny"/>
    <w:rsid w:val="009A6B10"/>
    <w:rPr>
      <w:rFonts w:ascii="Verdana" w:hAnsi="Verdana"/>
      <w:sz w:val="20"/>
      <w:lang w:eastAsia="cs-CZ"/>
    </w:rPr>
  </w:style>
  <w:style w:type="paragraph" w:customStyle="1" w:styleId="Style5">
    <w:name w:val="Style5"/>
    <w:basedOn w:val="Normlny"/>
    <w:rsid w:val="009A6B10"/>
    <w:pPr>
      <w:autoSpaceDE w:val="0"/>
      <w:autoSpaceDN w:val="0"/>
      <w:spacing w:line="279" w:lineRule="exact"/>
      <w:ind w:hanging="706"/>
      <w:jc w:val="both"/>
    </w:pPr>
    <w:rPr>
      <w:rFonts w:ascii="Georgia" w:hAnsi="Georgia"/>
    </w:rPr>
  </w:style>
  <w:style w:type="character" w:customStyle="1" w:styleId="FontStyle18">
    <w:name w:val="Font Style18"/>
    <w:rsid w:val="009A6B10"/>
    <w:rPr>
      <w:rFonts w:ascii="Times New Roman" w:hAnsi="Times New Roman" w:cs="Times New Roman" w:hint="default"/>
      <w:color w:val="00000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lny"/>
    <w:rsid w:val="009A6B10"/>
    <w:rPr>
      <w:rFonts w:ascii="Verdana" w:hAnsi="Verdana"/>
      <w:sz w:val="20"/>
      <w:lang w:eastAsia="cs-CZ"/>
    </w:rPr>
  </w:style>
  <w:style w:type="character" w:customStyle="1" w:styleId="mesghilite21">
    <w:name w:val="mesg_hilite21"/>
    <w:rsid w:val="009A6B10"/>
    <w:rPr>
      <w:sz w:val="18"/>
      <w:szCs w:val="18"/>
      <w:shd w:val="clear" w:color="auto" w:fill="FFA0A0"/>
    </w:rPr>
  </w:style>
  <w:style w:type="paragraph" w:customStyle="1" w:styleId="Char">
    <w:name w:val="Char"/>
    <w:basedOn w:val="Normlny"/>
    <w:rsid w:val="005255F6"/>
    <w:pPr>
      <w:numPr>
        <w:numId w:val="24"/>
      </w:numPr>
      <w:tabs>
        <w:tab w:val="clear" w:pos="1417"/>
      </w:tabs>
      <w:spacing w:after="160" w:line="240" w:lineRule="exact"/>
      <w:ind w:left="0" w:firstLine="0"/>
    </w:pPr>
    <w:rPr>
      <w:rFonts w:ascii="Tahoma" w:hAnsi="Tahoma" w:cs="Tahoma"/>
      <w:sz w:val="20"/>
      <w:szCs w:val="20"/>
      <w:lang w:val="en-US" w:eastAsia="en-US"/>
    </w:rPr>
  </w:style>
  <w:style w:type="paragraph" w:customStyle="1" w:styleId="NormalPROEN">
    <w:name w:val="Normal PROEN"/>
    <w:basedOn w:val="Normlny"/>
    <w:rsid w:val="009A6B10"/>
    <w:pPr>
      <w:spacing w:before="120"/>
      <w:jc w:val="both"/>
    </w:pPr>
    <w:rPr>
      <w:rFonts w:eastAsia="Calibri"/>
      <w:szCs w:val="20"/>
      <w:lang w:eastAsia="cs-CZ"/>
    </w:rPr>
  </w:style>
  <w:style w:type="paragraph" w:customStyle="1" w:styleId="Text1">
    <w:name w:val="Text 1"/>
    <w:basedOn w:val="Normlny"/>
    <w:rsid w:val="009A6B10"/>
    <w:pPr>
      <w:spacing w:before="120" w:after="120" w:line="360" w:lineRule="auto"/>
      <w:ind w:left="850"/>
    </w:pPr>
    <w:rPr>
      <w:lang w:eastAsia="en-US"/>
    </w:rPr>
  </w:style>
  <w:style w:type="paragraph" w:customStyle="1" w:styleId="CM1">
    <w:name w:val="CM1"/>
    <w:basedOn w:val="Normlny"/>
    <w:next w:val="Normlny"/>
    <w:rsid w:val="009A6B10"/>
    <w:pPr>
      <w:autoSpaceDE w:val="0"/>
      <w:autoSpaceDN w:val="0"/>
      <w:adjustRightInd w:val="0"/>
    </w:pPr>
    <w:rPr>
      <w:rFonts w:ascii="EUAlbertina" w:hAnsi="EUAlbertina"/>
    </w:rPr>
  </w:style>
  <w:style w:type="paragraph" w:customStyle="1" w:styleId="CM3">
    <w:name w:val="CM3"/>
    <w:basedOn w:val="Normlny"/>
    <w:next w:val="Normlny"/>
    <w:rsid w:val="009A6B10"/>
    <w:pPr>
      <w:autoSpaceDE w:val="0"/>
      <w:autoSpaceDN w:val="0"/>
      <w:adjustRightInd w:val="0"/>
    </w:pPr>
    <w:rPr>
      <w:rFonts w:ascii="EUAlbertina" w:hAnsi="EUAlbertina"/>
    </w:rPr>
  </w:style>
  <w:style w:type="paragraph" w:customStyle="1" w:styleId="Bullet1">
    <w:name w:val="Bullet 1"/>
    <w:basedOn w:val="Normlny"/>
    <w:rsid w:val="009A6B10"/>
    <w:pPr>
      <w:numPr>
        <w:numId w:val="8"/>
      </w:numPr>
      <w:spacing w:before="120" w:after="120"/>
      <w:jc w:val="both"/>
    </w:pPr>
    <w:rPr>
      <w:lang w:eastAsia="en-US"/>
    </w:rPr>
  </w:style>
  <w:style w:type="paragraph" w:styleId="Obyajntext">
    <w:name w:val="Plain Text"/>
    <w:basedOn w:val="Normlny"/>
    <w:link w:val="ObyajntextChar"/>
    <w:unhideWhenUsed/>
    <w:rsid w:val="009A6B10"/>
    <w:rPr>
      <w:rFonts w:ascii="Consolas" w:eastAsia="Calibri" w:hAnsi="Consolas"/>
      <w:sz w:val="21"/>
      <w:szCs w:val="21"/>
      <w:lang w:eastAsia="en-US"/>
    </w:rPr>
  </w:style>
  <w:style w:type="character" w:customStyle="1" w:styleId="ObyajntextChar">
    <w:name w:val="Obyčajný text Char"/>
    <w:link w:val="Obyajntext"/>
    <w:rsid w:val="009A6B10"/>
    <w:rPr>
      <w:rFonts w:ascii="Consolas" w:eastAsia="Calibri" w:hAnsi="Consolas"/>
      <w:sz w:val="21"/>
      <w:szCs w:val="21"/>
      <w:lang w:eastAsia="en-US"/>
    </w:rPr>
  </w:style>
  <w:style w:type="character" w:customStyle="1" w:styleId="Heading1Char">
    <w:name w:val="Heading 1 Char"/>
    <w:locked/>
    <w:rsid w:val="009A6B10"/>
    <w:rPr>
      <w:rFonts w:ascii="Cambria" w:hAnsi="Cambria" w:cs="Arial"/>
      <w:b/>
      <w:bCs/>
      <w:kern w:val="32"/>
      <w:sz w:val="32"/>
      <w:szCs w:val="32"/>
      <w:lang w:val="x-none" w:eastAsia="en-US"/>
    </w:rPr>
  </w:style>
  <w:style w:type="character" w:customStyle="1" w:styleId="TitleChar">
    <w:name w:val="Title Char"/>
    <w:locked/>
    <w:rsid w:val="009A6B10"/>
    <w:rPr>
      <w:rFonts w:ascii="Cambria" w:hAnsi="Cambria" w:cs="Times New Roman"/>
      <w:b/>
      <w:bCs/>
      <w:kern w:val="28"/>
      <w:sz w:val="32"/>
      <w:szCs w:val="32"/>
      <w:lang w:val="x-none" w:eastAsia="en-US"/>
    </w:rPr>
  </w:style>
  <w:style w:type="paragraph" w:styleId="Podtitul">
    <w:name w:val="Subtitle"/>
    <w:basedOn w:val="Normlny"/>
    <w:next w:val="Normlny"/>
    <w:link w:val="PodtitulChar"/>
    <w:qFormat/>
    <w:rsid w:val="009A6B10"/>
    <w:pPr>
      <w:spacing w:after="60"/>
      <w:jc w:val="center"/>
      <w:outlineLvl w:val="1"/>
    </w:pPr>
    <w:rPr>
      <w:rFonts w:ascii="Cambria" w:eastAsia="SimSun" w:hAnsi="Cambria"/>
      <w:lang w:eastAsia="en-US"/>
    </w:rPr>
  </w:style>
  <w:style w:type="character" w:customStyle="1" w:styleId="PodtitulChar">
    <w:name w:val="Podtitul Char"/>
    <w:link w:val="Podtitul"/>
    <w:rsid w:val="009A6B10"/>
    <w:rPr>
      <w:rFonts w:ascii="Cambria" w:eastAsia="SimSun" w:hAnsi="Cambria"/>
      <w:sz w:val="24"/>
      <w:szCs w:val="24"/>
      <w:lang w:eastAsia="en-US"/>
    </w:rPr>
  </w:style>
  <w:style w:type="character" w:styleId="Zvraznenie">
    <w:name w:val="Emphasis"/>
    <w:qFormat/>
    <w:rsid w:val="009A6B10"/>
    <w:rPr>
      <w:rFonts w:ascii="Calibri" w:hAnsi="Calibri" w:cs="Times New Roman"/>
      <w:b/>
      <w:i/>
      <w:iCs/>
    </w:rPr>
  </w:style>
  <w:style w:type="paragraph" w:customStyle="1" w:styleId="Citcia1">
    <w:name w:val="Citácia1"/>
    <w:basedOn w:val="Normlny"/>
    <w:next w:val="Normlny"/>
    <w:link w:val="QuoteChar"/>
    <w:rsid w:val="009A6B10"/>
    <w:rPr>
      <w:rFonts w:ascii="Calibri" w:eastAsia="PMingLiU" w:hAnsi="Calibri"/>
      <w:i/>
      <w:lang w:eastAsia="en-US"/>
    </w:rPr>
  </w:style>
  <w:style w:type="character" w:customStyle="1" w:styleId="QuoteChar">
    <w:name w:val="Quote Char"/>
    <w:link w:val="Citcia1"/>
    <w:locked/>
    <w:rsid w:val="009A6B10"/>
    <w:rPr>
      <w:rFonts w:ascii="Calibri" w:eastAsia="PMingLiU" w:hAnsi="Calibri"/>
      <w:i/>
      <w:sz w:val="24"/>
      <w:szCs w:val="24"/>
      <w:lang w:eastAsia="en-US"/>
    </w:rPr>
  </w:style>
  <w:style w:type="paragraph" w:customStyle="1" w:styleId="Zvraznencitcia1">
    <w:name w:val="Zvýraznená citácia1"/>
    <w:basedOn w:val="Normlny"/>
    <w:next w:val="Normlny"/>
    <w:link w:val="IntenseQuoteChar"/>
    <w:rsid w:val="009A6B10"/>
    <w:pPr>
      <w:ind w:left="720" w:right="720"/>
    </w:pPr>
    <w:rPr>
      <w:rFonts w:ascii="Calibri" w:eastAsia="PMingLiU" w:hAnsi="Calibri"/>
      <w:b/>
      <w:i/>
      <w:szCs w:val="22"/>
      <w:lang w:eastAsia="en-US"/>
    </w:rPr>
  </w:style>
  <w:style w:type="character" w:customStyle="1" w:styleId="IntenseQuoteChar">
    <w:name w:val="Intense Quote Char"/>
    <w:link w:val="Zvraznencitcia1"/>
    <w:locked/>
    <w:rsid w:val="009A6B10"/>
    <w:rPr>
      <w:rFonts w:ascii="Calibri" w:eastAsia="PMingLiU" w:hAnsi="Calibri"/>
      <w:b/>
      <w:i/>
      <w:sz w:val="24"/>
      <w:szCs w:val="22"/>
      <w:lang w:eastAsia="en-US"/>
    </w:rPr>
  </w:style>
  <w:style w:type="character" w:customStyle="1" w:styleId="Jemnzvraznenie1">
    <w:name w:val="Jemné zvýraznenie1"/>
    <w:rsid w:val="009A6B10"/>
    <w:rPr>
      <w:rFonts w:cs="Times New Roman"/>
      <w:i/>
      <w:color w:val="5A5A5A"/>
    </w:rPr>
  </w:style>
  <w:style w:type="character" w:customStyle="1" w:styleId="Intenzvnezvraznenie1">
    <w:name w:val="Intenzívne zvýraznenie1"/>
    <w:rsid w:val="009A6B10"/>
    <w:rPr>
      <w:rFonts w:cs="Times New Roman"/>
      <w:b/>
      <w:i/>
      <w:sz w:val="24"/>
      <w:szCs w:val="24"/>
      <w:u w:val="single"/>
    </w:rPr>
  </w:style>
  <w:style w:type="character" w:customStyle="1" w:styleId="Jemnodkaz1">
    <w:name w:val="Jemný odkaz1"/>
    <w:rsid w:val="009A6B10"/>
    <w:rPr>
      <w:rFonts w:cs="Times New Roman"/>
      <w:sz w:val="24"/>
      <w:szCs w:val="24"/>
      <w:u w:val="single"/>
    </w:rPr>
  </w:style>
  <w:style w:type="character" w:customStyle="1" w:styleId="Intenzvnyodkaz1">
    <w:name w:val="Intenzívny odkaz1"/>
    <w:rsid w:val="009A6B10"/>
    <w:rPr>
      <w:rFonts w:cs="Times New Roman"/>
      <w:b/>
      <w:sz w:val="24"/>
      <w:u w:val="single"/>
    </w:rPr>
  </w:style>
  <w:style w:type="character" w:customStyle="1" w:styleId="Nzovknihy1">
    <w:name w:val="Názov knihy1"/>
    <w:rsid w:val="009A6B10"/>
    <w:rPr>
      <w:rFonts w:ascii="Cambria" w:hAnsi="Cambria" w:cs="Times New Roman"/>
      <w:b/>
      <w:i/>
      <w:sz w:val="24"/>
      <w:szCs w:val="24"/>
    </w:rPr>
  </w:style>
  <w:style w:type="paragraph" w:customStyle="1" w:styleId="Hlavikaobsahu1">
    <w:name w:val="Hlavička obsahu1"/>
    <w:basedOn w:val="Nadpis1"/>
    <w:next w:val="Normlny"/>
    <w:rsid w:val="009A6B10"/>
    <w:pPr>
      <w:keepNext/>
      <w:numPr>
        <w:numId w:val="0"/>
      </w:numPr>
      <w:spacing w:before="240" w:after="60" w:line="240" w:lineRule="auto"/>
      <w:outlineLvl w:val="9"/>
    </w:pPr>
    <w:rPr>
      <w:rFonts w:ascii="Cambria" w:eastAsia="SimSun" w:hAnsi="Cambria" w:cs="Times New Roman"/>
      <w:b/>
      <w:bCs/>
      <w:smallCaps w:val="0"/>
      <w:spacing w:val="0"/>
      <w:kern w:val="32"/>
      <w:lang w:eastAsia="en-US"/>
    </w:rPr>
  </w:style>
  <w:style w:type="paragraph" w:customStyle="1" w:styleId="BodyText31">
    <w:name w:val="Body Text 31"/>
    <w:basedOn w:val="Normlny"/>
    <w:rsid w:val="009A6B10"/>
    <w:pPr>
      <w:widowControl w:val="0"/>
      <w:autoSpaceDE w:val="0"/>
      <w:autoSpaceDN w:val="0"/>
      <w:jc w:val="both"/>
    </w:pPr>
    <w:rPr>
      <w:rFonts w:ascii="Arial" w:eastAsia="SimSun" w:hAnsi="Arial" w:cs="Arial"/>
      <w:b/>
      <w:bCs/>
      <w:sz w:val="28"/>
      <w:szCs w:val="28"/>
    </w:rPr>
  </w:style>
  <w:style w:type="character" w:customStyle="1" w:styleId="BodyTextIndentChar">
    <w:name w:val="Body Text Indent Char"/>
    <w:locked/>
    <w:rsid w:val="009A6B10"/>
    <w:rPr>
      <w:rFonts w:ascii="Calibri" w:eastAsia="PMingLiU" w:hAnsi="Calibri" w:cs="Times New Roman"/>
      <w:sz w:val="24"/>
      <w:szCs w:val="24"/>
      <w:lang w:val="x-none" w:eastAsia="en-US"/>
    </w:rPr>
  </w:style>
  <w:style w:type="character" w:customStyle="1" w:styleId="BodyTextChar">
    <w:name w:val="Body Text Char"/>
    <w:locked/>
    <w:rsid w:val="009A6B10"/>
    <w:rPr>
      <w:rFonts w:ascii="Times New Roman" w:hAnsi="Times New Roman" w:cs="Times New Roman"/>
      <w:sz w:val="24"/>
      <w:szCs w:val="24"/>
      <w:lang w:val="x-none" w:eastAsia="sk-SK"/>
    </w:rPr>
  </w:style>
  <w:style w:type="paragraph" w:customStyle="1" w:styleId="titulok">
    <w:name w:val="titulok"/>
    <w:basedOn w:val="Normlny"/>
    <w:rsid w:val="009A6B10"/>
    <w:pPr>
      <w:spacing w:before="100" w:beforeAutospacing="1" w:after="100" w:afterAutospacing="1"/>
    </w:pPr>
    <w:rPr>
      <w:rFonts w:eastAsia="SimSun"/>
    </w:rPr>
  </w:style>
  <w:style w:type="paragraph" w:styleId="Pokraovaniezoznamu">
    <w:name w:val="List Continue"/>
    <w:basedOn w:val="Normlny"/>
    <w:rsid w:val="009A6B10"/>
    <w:pPr>
      <w:autoSpaceDE w:val="0"/>
      <w:autoSpaceDN w:val="0"/>
      <w:spacing w:after="120"/>
      <w:ind w:left="283"/>
    </w:pPr>
    <w:rPr>
      <w:rFonts w:eastAsia="SimSun"/>
      <w:sz w:val="20"/>
      <w:szCs w:val="20"/>
    </w:rPr>
  </w:style>
  <w:style w:type="character" w:customStyle="1" w:styleId="FootnoteTextChar">
    <w:name w:val="Footnote Text Char"/>
    <w:locked/>
    <w:rsid w:val="009A6B10"/>
    <w:rPr>
      <w:rFonts w:ascii="Times New Roman" w:hAnsi="Times New Roman" w:cs="Times New Roman"/>
      <w:sz w:val="20"/>
      <w:szCs w:val="20"/>
      <w:lang w:val="x-none" w:eastAsia="sk-SK"/>
    </w:rPr>
  </w:style>
  <w:style w:type="paragraph" w:customStyle="1" w:styleId="ListParagraph2">
    <w:name w:val="List Paragraph2"/>
    <w:basedOn w:val="Normlny"/>
    <w:rsid w:val="009A6B10"/>
    <w:pPr>
      <w:spacing w:after="200" w:line="252" w:lineRule="auto"/>
      <w:ind w:left="720"/>
    </w:pPr>
    <w:rPr>
      <w:rFonts w:ascii="Cambria" w:eastAsia="SimSun" w:hAnsi="Cambria"/>
      <w:sz w:val="22"/>
      <w:szCs w:val="22"/>
      <w:lang w:eastAsia="en-US"/>
    </w:rPr>
  </w:style>
  <w:style w:type="paragraph" w:customStyle="1" w:styleId="NoSpacing1">
    <w:name w:val="No Spacing1"/>
    <w:basedOn w:val="Normlny"/>
    <w:link w:val="NoSpacingChar"/>
    <w:rsid w:val="009A6B10"/>
    <w:rPr>
      <w:rFonts w:ascii="Cambria" w:eastAsia="SimSun" w:hAnsi="Cambria"/>
      <w:sz w:val="22"/>
      <w:szCs w:val="22"/>
      <w:lang w:eastAsia="en-US"/>
    </w:rPr>
  </w:style>
  <w:style w:type="character" w:customStyle="1" w:styleId="NoSpacingChar">
    <w:name w:val="No Spacing Char"/>
    <w:link w:val="NoSpacing1"/>
    <w:locked/>
    <w:rsid w:val="009A6B10"/>
    <w:rPr>
      <w:rFonts w:ascii="Cambria" w:eastAsia="SimSun" w:hAnsi="Cambria"/>
      <w:sz w:val="22"/>
      <w:szCs w:val="22"/>
      <w:lang w:eastAsia="en-US"/>
    </w:rPr>
  </w:style>
  <w:style w:type="paragraph" w:customStyle="1" w:styleId="Tabulka">
    <w:name w:val="Tabulka"/>
    <w:basedOn w:val="Normlny"/>
    <w:rsid w:val="009A6B10"/>
    <w:pPr>
      <w:suppressAutoHyphens/>
      <w:spacing w:before="120"/>
      <w:jc w:val="center"/>
    </w:pPr>
    <w:rPr>
      <w:rFonts w:ascii="Calibri" w:hAnsi="Calibri" w:cs="Calibri"/>
      <w:color w:val="000000"/>
      <w:sz w:val="16"/>
      <w:szCs w:val="16"/>
    </w:rPr>
  </w:style>
  <w:style w:type="paragraph" w:customStyle="1" w:styleId="Stylslovntabulek">
    <w:name w:val="Styl Číslování tabulek"/>
    <w:basedOn w:val="Normlny"/>
    <w:link w:val="StylslovntabulekChar"/>
    <w:rsid w:val="009A6B10"/>
    <w:pPr>
      <w:widowControl w:val="0"/>
      <w:tabs>
        <w:tab w:val="num" w:pos="357"/>
      </w:tabs>
      <w:adjustRightInd w:val="0"/>
      <w:spacing w:before="60" w:after="240"/>
      <w:jc w:val="center"/>
    </w:pPr>
    <w:rPr>
      <w:rFonts w:ascii="Calibri" w:hAnsi="Calibri"/>
      <w:iCs/>
      <w:color w:val="000080"/>
      <w:sz w:val="20"/>
      <w:szCs w:val="20"/>
      <w:lang w:val="cs-CZ" w:eastAsia="cs-CZ"/>
    </w:rPr>
  </w:style>
  <w:style w:type="character" w:customStyle="1" w:styleId="StylslovntabulekChar">
    <w:name w:val="Styl Číslování tabulek Char"/>
    <w:link w:val="Stylslovntabulek"/>
    <w:rsid w:val="009A6B10"/>
    <w:rPr>
      <w:rFonts w:ascii="Calibri" w:hAnsi="Calibri"/>
      <w:iCs/>
      <w:color w:val="000080"/>
      <w:lang w:val="cs-CZ" w:eastAsia="cs-CZ"/>
    </w:rPr>
  </w:style>
  <w:style w:type="paragraph" w:customStyle="1" w:styleId="phTab">
    <w:name w:val="phTab"/>
    <w:basedOn w:val="Stylslovntabulek"/>
    <w:link w:val="phTabChar"/>
    <w:qFormat/>
    <w:rsid w:val="009A6B10"/>
    <w:pPr>
      <w:numPr>
        <w:numId w:val="25"/>
      </w:numPr>
      <w:tabs>
        <w:tab w:val="left" w:pos="0"/>
        <w:tab w:val="num" w:pos="360"/>
        <w:tab w:val="left" w:pos="1134"/>
      </w:tabs>
      <w:spacing w:before="180" w:after="0"/>
      <w:ind w:left="0" w:firstLine="0"/>
      <w:jc w:val="left"/>
    </w:pPr>
    <w:rPr>
      <w:rFonts w:cs="Calibri"/>
      <w:color w:val="auto"/>
      <w:sz w:val="22"/>
      <w:szCs w:val="22"/>
      <w:lang w:val="sk-SK"/>
    </w:rPr>
  </w:style>
  <w:style w:type="character" w:customStyle="1" w:styleId="phTabChar">
    <w:name w:val="phTab Char"/>
    <w:link w:val="phTab"/>
    <w:rsid w:val="009A6B10"/>
    <w:rPr>
      <w:rFonts w:ascii="Calibri" w:hAnsi="Calibri" w:cs="Calibri"/>
      <w:iCs/>
      <w:sz w:val="22"/>
      <w:szCs w:val="22"/>
      <w:lang w:eastAsia="cs-CZ"/>
    </w:rPr>
  </w:style>
  <w:style w:type="character" w:customStyle="1" w:styleId="shorttext">
    <w:name w:val="short_text"/>
    <w:rsid w:val="009A6B10"/>
  </w:style>
  <w:style w:type="paragraph" w:customStyle="1" w:styleId="Deloittebodytext">
    <w:name w:val="Deloitte body text"/>
    <w:rsid w:val="009A6B10"/>
    <w:rPr>
      <w:rFonts w:ascii="Arial" w:hAnsi="Arial"/>
      <w:color w:val="000000"/>
      <w:sz w:val="19"/>
      <w:szCs w:val="48"/>
      <w:lang w:val="cs-CZ" w:eastAsia="en-US"/>
    </w:rPr>
  </w:style>
  <w:style w:type="paragraph" w:styleId="Revzia">
    <w:name w:val="Revision"/>
    <w:hidden/>
    <w:uiPriority w:val="99"/>
    <w:semiHidden/>
    <w:rsid w:val="000A018A"/>
    <w:rPr>
      <w:sz w:val="24"/>
      <w:szCs w:val="24"/>
    </w:rPr>
  </w:style>
  <w:style w:type="character" w:customStyle="1" w:styleId="Textzstupnhosymbolu2">
    <w:name w:val="Text zástupného symbolu2"/>
    <w:semiHidden/>
    <w:rsid w:val="00242127"/>
    <w:rPr>
      <w:rFonts w:ascii="Times New Roman" w:hAnsi="Times New Roman" w:cs="Times New Roman"/>
      <w:color w:val="808080"/>
    </w:rPr>
  </w:style>
  <w:style w:type="paragraph" w:customStyle="1" w:styleId="Bezriadkovania2">
    <w:name w:val="Bez riadkovania2"/>
    <w:rsid w:val="00242127"/>
    <w:rPr>
      <w:rFonts w:eastAsia="Calibri"/>
      <w:sz w:val="24"/>
      <w:szCs w:val="24"/>
    </w:rPr>
  </w:style>
  <w:style w:type="character" w:customStyle="1" w:styleId="CharChar40">
    <w:name w:val="Char Char4"/>
    <w:locked/>
    <w:rsid w:val="00242127"/>
    <w:rPr>
      <w:sz w:val="24"/>
      <w:szCs w:val="24"/>
      <w:lang w:val="sk-SK" w:eastAsia="sk-SK" w:bidi="ar-SA"/>
    </w:rPr>
  </w:style>
  <w:style w:type="paragraph" w:customStyle="1" w:styleId="Normlny3">
    <w:name w:val="Normálny3"/>
    <w:basedOn w:val="Normlny"/>
    <w:rsid w:val="00242127"/>
    <w:pPr>
      <w:spacing w:before="100" w:beforeAutospacing="1" w:after="100" w:afterAutospacing="1"/>
    </w:pPr>
    <w:rPr>
      <w:rFonts w:ascii="Arial Unicode MS" w:eastAsia="Arial Unicode MS" w:hAnsi="Arial Unicode MS" w:cs="Arial Unicode MS"/>
    </w:rPr>
  </w:style>
  <w:style w:type="paragraph" w:customStyle="1" w:styleId="CharCharCharCharCharCharCharCharCharCharCharChar0">
    <w:name w:val="Char Char Char Char Char Char Char Char Char Char Char Char"/>
    <w:basedOn w:val="Normlny"/>
    <w:rsid w:val="00242127"/>
    <w:rPr>
      <w:rFonts w:ascii="Verdana" w:hAnsi="Verdana"/>
      <w:sz w:val="20"/>
      <w:lang w:eastAsia="cs-CZ"/>
    </w:rPr>
  </w:style>
  <w:style w:type="paragraph" w:customStyle="1" w:styleId="CharCharCharCharCharCharChar0">
    <w:name w:val="Char Char Char Char Char Char Char"/>
    <w:basedOn w:val="Normlny"/>
    <w:rsid w:val="00242127"/>
    <w:rPr>
      <w:lang w:val="pl-PL" w:eastAsia="pl-PL"/>
    </w:rPr>
  </w:style>
  <w:style w:type="paragraph" w:customStyle="1" w:styleId="CharChar1CharCharCharChar0">
    <w:name w:val="Char Char1 Char Char Char Char"/>
    <w:basedOn w:val="Normlny"/>
    <w:rsid w:val="00242127"/>
    <w:pPr>
      <w:spacing w:after="160" w:line="240" w:lineRule="exact"/>
    </w:pPr>
    <w:rPr>
      <w:rFonts w:ascii="Tahoma" w:hAnsi="Tahoma" w:cs="Tahoma"/>
      <w:sz w:val="20"/>
      <w:szCs w:val="20"/>
      <w:lang w:val="en-US" w:eastAsia="en-US"/>
    </w:rPr>
  </w:style>
  <w:style w:type="paragraph" w:customStyle="1" w:styleId="CharCharCharCharCharCharCharCharCharChar0">
    <w:name w:val="Char Char Char Char Char Char Char Char Char Char"/>
    <w:basedOn w:val="Normlny"/>
    <w:rsid w:val="00242127"/>
    <w:rPr>
      <w:lang w:val="pl-PL" w:eastAsia="pl-PL"/>
    </w:rPr>
  </w:style>
  <w:style w:type="paragraph" w:customStyle="1" w:styleId="CharChar0">
    <w:name w:val="Char Char"/>
    <w:basedOn w:val="Normlny"/>
    <w:rsid w:val="00242127"/>
    <w:pPr>
      <w:spacing w:after="160" w:line="240" w:lineRule="exact"/>
    </w:pPr>
    <w:rPr>
      <w:rFonts w:ascii="Tahoma" w:hAnsi="Tahoma"/>
      <w:sz w:val="20"/>
      <w:szCs w:val="20"/>
      <w:lang w:val="en-US" w:eastAsia="en-US"/>
    </w:rPr>
  </w:style>
  <w:style w:type="paragraph" w:customStyle="1" w:styleId="Normlny4">
    <w:name w:val="Normálny4"/>
    <w:rsid w:val="00242127"/>
    <w:pPr>
      <w:suppressAutoHyphens/>
      <w:autoSpaceDE w:val="0"/>
    </w:pPr>
    <w:rPr>
      <w:rFonts w:ascii="Arial" w:hAnsi="Arial" w:cs="Arial"/>
      <w:color w:val="000000"/>
      <w:sz w:val="24"/>
      <w:szCs w:val="24"/>
      <w:lang w:eastAsia="zh-CN"/>
    </w:rPr>
  </w:style>
  <w:style w:type="paragraph" w:customStyle="1" w:styleId="CharCharCharCharCharCharCharCharCharCharCharCharCharCharCharCharCharCharCharCharCharCharCharCharCharChar0">
    <w:name w:val="Char Char Char Char Char Char Char Char Char Char Char Char Char Char Char Char Char Char Char Char Char Char Char Char Char Char"/>
    <w:basedOn w:val="Normlny"/>
    <w:rsid w:val="00242127"/>
    <w:rPr>
      <w:rFonts w:ascii="Verdana" w:hAnsi="Verdana"/>
      <w:sz w:val="20"/>
      <w:lang w:eastAsia="cs-CZ"/>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basedOn w:val="Normlny"/>
    <w:rsid w:val="00242127"/>
    <w:rPr>
      <w:rFonts w:ascii="Verdana" w:hAnsi="Verdana"/>
      <w:sz w:val="20"/>
      <w:lang w:eastAsia="cs-CZ"/>
    </w:rPr>
  </w:style>
  <w:style w:type="paragraph" w:customStyle="1" w:styleId="Char1">
    <w:name w:val="Char"/>
    <w:basedOn w:val="Normlny"/>
    <w:rsid w:val="00242127"/>
    <w:pPr>
      <w:spacing w:after="160" w:line="240" w:lineRule="exact"/>
    </w:pPr>
    <w:rPr>
      <w:rFonts w:ascii="Tahoma" w:hAnsi="Tahoma" w:cs="Tahoma"/>
      <w:sz w:val="20"/>
      <w:szCs w:val="20"/>
      <w:lang w:val="en-US" w:eastAsia="en-US"/>
    </w:rPr>
  </w:style>
  <w:style w:type="paragraph" w:customStyle="1" w:styleId="Citcia2">
    <w:name w:val="Citácia2"/>
    <w:basedOn w:val="Normlny"/>
    <w:next w:val="Normlny"/>
    <w:rsid w:val="00242127"/>
    <w:rPr>
      <w:rFonts w:ascii="Calibri" w:eastAsia="PMingLiU" w:hAnsi="Calibri"/>
      <w:i/>
      <w:lang w:eastAsia="en-US"/>
    </w:rPr>
  </w:style>
  <w:style w:type="paragraph" w:customStyle="1" w:styleId="Zvraznencitcia2">
    <w:name w:val="Zvýraznená citácia2"/>
    <w:basedOn w:val="Normlny"/>
    <w:next w:val="Normlny"/>
    <w:rsid w:val="00242127"/>
    <w:pPr>
      <w:ind w:left="720" w:right="720"/>
    </w:pPr>
    <w:rPr>
      <w:rFonts w:ascii="Calibri" w:eastAsia="PMingLiU" w:hAnsi="Calibri"/>
      <w:b/>
      <w:i/>
      <w:szCs w:val="22"/>
      <w:lang w:eastAsia="en-US"/>
    </w:rPr>
  </w:style>
  <w:style w:type="character" w:customStyle="1" w:styleId="Jemnzvraznenie2">
    <w:name w:val="Jemné zvýraznenie2"/>
    <w:rsid w:val="00242127"/>
    <w:rPr>
      <w:rFonts w:cs="Times New Roman"/>
      <w:i/>
      <w:color w:val="5A5A5A"/>
    </w:rPr>
  </w:style>
  <w:style w:type="character" w:customStyle="1" w:styleId="Intenzvnezvraznenie2">
    <w:name w:val="Intenzívne zvýraznenie2"/>
    <w:rsid w:val="00242127"/>
    <w:rPr>
      <w:rFonts w:cs="Times New Roman"/>
      <w:b/>
      <w:i/>
      <w:sz w:val="24"/>
      <w:szCs w:val="24"/>
      <w:u w:val="single"/>
    </w:rPr>
  </w:style>
  <w:style w:type="character" w:customStyle="1" w:styleId="Jemnodkaz2">
    <w:name w:val="Jemný odkaz2"/>
    <w:rsid w:val="00242127"/>
    <w:rPr>
      <w:rFonts w:cs="Times New Roman"/>
      <w:sz w:val="24"/>
      <w:szCs w:val="24"/>
      <w:u w:val="single"/>
    </w:rPr>
  </w:style>
  <w:style w:type="character" w:customStyle="1" w:styleId="Intenzvnyodkaz2">
    <w:name w:val="Intenzívny odkaz2"/>
    <w:rsid w:val="00242127"/>
    <w:rPr>
      <w:rFonts w:cs="Times New Roman"/>
      <w:b/>
      <w:sz w:val="24"/>
      <w:u w:val="single"/>
    </w:rPr>
  </w:style>
  <w:style w:type="character" w:customStyle="1" w:styleId="Nzovknihy2">
    <w:name w:val="Názov knihy2"/>
    <w:rsid w:val="00242127"/>
    <w:rPr>
      <w:rFonts w:ascii="Cambria" w:hAnsi="Cambria" w:cs="Times New Roman"/>
      <w:b/>
      <w:i/>
      <w:sz w:val="24"/>
      <w:szCs w:val="24"/>
    </w:rPr>
  </w:style>
  <w:style w:type="paragraph" w:customStyle="1" w:styleId="Hlavikaobsahu2">
    <w:name w:val="Hlavička obsahu2"/>
    <w:basedOn w:val="Nadpis1"/>
    <w:next w:val="Normlny"/>
    <w:rsid w:val="00242127"/>
    <w:pPr>
      <w:keepNext/>
      <w:numPr>
        <w:numId w:val="0"/>
      </w:numPr>
      <w:spacing w:before="240" w:after="60" w:line="240" w:lineRule="auto"/>
      <w:outlineLvl w:val="9"/>
    </w:pPr>
    <w:rPr>
      <w:rFonts w:ascii="Cambria" w:eastAsia="SimSun" w:hAnsi="Cambria" w:cs="Times New Roman"/>
      <w:b/>
      <w:bCs/>
      <w:smallCaps w:val="0"/>
      <w:spacing w:val="0"/>
      <w:kern w:val="32"/>
      <w:lang w:eastAsia="en-US"/>
    </w:rPr>
  </w:style>
  <w:style w:type="character" w:customStyle="1" w:styleId="Textzstupnhosymbolu3">
    <w:name w:val="Text zástupného symbolu3"/>
    <w:semiHidden/>
    <w:rsid w:val="005255F6"/>
    <w:rPr>
      <w:rFonts w:ascii="Times New Roman" w:hAnsi="Times New Roman" w:cs="Times New Roman"/>
      <w:color w:val="808080"/>
    </w:rPr>
  </w:style>
  <w:style w:type="paragraph" w:customStyle="1" w:styleId="Bezriadkovania3">
    <w:name w:val="Bez riadkovania3"/>
    <w:rsid w:val="005255F6"/>
    <w:rPr>
      <w:rFonts w:eastAsia="Calibri"/>
      <w:sz w:val="24"/>
      <w:szCs w:val="24"/>
    </w:rPr>
  </w:style>
  <w:style w:type="character" w:customStyle="1" w:styleId="CharChar41">
    <w:name w:val="Char Char4"/>
    <w:locked/>
    <w:rsid w:val="005255F6"/>
    <w:rPr>
      <w:sz w:val="24"/>
      <w:szCs w:val="24"/>
      <w:lang w:val="sk-SK" w:eastAsia="sk-SK" w:bidi="ar-SA"/>
    </w:rPr>
  </w:style>
  <w:style w:type="paragraph" w:customStyle="1" w:styleId="Normlny5">
    <w:name w:val="Normálny5"/>
    <w:basedOn w:val="Normlny"/>
    <w:rsid w:val="005255F6"/>
    <w:pPr>
      <w:spacing w:before="100" w:beforeAutospacing="1" w:after="100" w:afterAutospacing="1"/>
    </w:pPr>
    <w:rPr>
      <w:rFonts w:ascii="Arial Unicode MS" w:eastAsia="Arial Unicode MS" w:hAnsi="Arial Unicode MS" w:cs="Arial Unicode MS"/>
    </w:rPr>
  </w:style>
  <w:style w:type="paragraph" w:customStyle="1" w:styleId="CharCharCharCharCharCharCharCharCharCharCharChar1">
    <w:name w:val="Char Char Char Char Char Char Char Char Char Char Char Char"/>
    <w:basedOn w:val="Normlny"/>
    <w:rsid w:val="005255F6"/>
    <w:rPr>
      <w:rFonts w:ascii="Verdana" w:hAnsi="Verdana"/>
      <w:sz w:val="20"/>
      <w:lang w:eastAsia="cs-CZ"/>
    </w:rPr>
  </w:style>
  <w:style w:type="paragraph" w:customStyle="1" w:styleId="CharCharCharCharCharCharChar1">
    <w:name w:val="Char Char Char Char Char Char Char"/>
    <w:basedOn w:val="Normlny"/>
    <w:rsid w:val="005255F6"/>
    <w:rPr>
      <w:lang w:val="pl-PL" w:eastAsia="pl-PL"/>
    </w:rPr>
  </w:style>
  <w:style w:type="paragraph" w:customStyle="1" w:styleId="CharChar1CharCharCharChar1">
    <w:name w:val="Char Char1 Char Char Char Char"/>
    <w:basedOn w:val="Normlny"/>
    <w:rsid w:val="005255F6"/>
    <w:pPr>
      <w:spacing w:after="160" w:line="240" w:lineRule="exact"/>
    </w:pPr>
    <w:rPr>
      <w:rFonts w:ascii="Tahoma" w:hAnsi="Tahoma" w:cs="Tahoma"/>
      <w:sz w:val="20"/>
      <w:szCs w:val="20"/>
      <w:lang w:val="en-US" w:eastAsia="en-US"/>
    </w:rPr>
  </w:style>
  <w:style w:type="paragraph" w:customStyle="1" w:styleId="CharCharCharCharCharCharCharCharCharChar1">
    <w:name w:val="Char Char Char Char Char Char Char Char Char Char"/>
    <w:basedOn w:val="Normlny"/>
    <w:rsid w:val="005255F6"/>
    <w:rPr>
      <w:lang w:val="pl-PL" w:eastAsia="pl-PL"/>
    </w:rPr>
  </w:style>
  <w:style w:type="paragraph" w:customStyle="1" w:styleId="CharChar1">
    <w:name w:val="Char Char"/>
    <w:basedOn w:val="Normlny"/>
    <w:rsid w:val="005255F6"/>
    <w:pPr>
      <w:spacing w:after="160" w:line="240" w:lineRule="exact"/>
    </w:pPr>
    <w:rPr>
      <w:rFonts w:ascii="Tahoma" w:hAnsi="Tahoma"/>
      <w:sz w:val="20"/>
      <w:szCs w:val="20"/>
      <w:lang w:val="en-US" w:eastAsia="en-US"/>
    </w:rPr>
  </w:style>
  <w:style w:type="paragraph" w:customStyle="1" w:styleId="Normlny6">
    <w:name w:val="Normálny6"/>
    <w:rsid w:val="005255F6"/>
    <w:pPr>
      <w:suppressAutoHyphens/>
      <w:autoSpaceDE w:val="0"/>
    </w:pPr>
    <w:rPr>
      <w:rFonts w:ascii="Arial" w:hAnsi="Arial" w:cs="Arial"/>
      <w:color w:val="000000"/>
      <w:sz w:val="24"/>
      <w:szCs w:val="24"/>
      <w:lang w:eastAsia="zh-CN"/>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
    <w:basedOn w:val="Normlny"/>
    <w:rsid w:val="005255F6"/>
    <w:rPr>
      <w:rFonts w:ascii="Verdana" w:hAnsi="Verdana"/>
      <w:sz w:val="20"/>
      <w:lang w:eastAsia="cs-CZ"/>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basedOn w:val="Normlny"/>
    <w:rsid w:val="005255F6"/>
    <w:rPr>
      <w:rFonts w:ascii="Verdana" w:hAnsi="Verdana"/>
      <w:sz w:val="20"/>
      <w:lang w:eastAsia="cs-CZ"/>
    </w:rPr>
  </w:style>
  <w:style w:type="paragraph" w:customStyle="1" w:styleId="Char2">
    <w:name w:val="Char"/>
    <w:basedOn w:val="Normlny"/>
    <w:rsid w:val="005255F6"/>
    <w:pPr>
      <w:spacing w:after="160" w:line="240" w:lineRule="exact"/>
    </w:pPr>
    <w:rPr>
      <w:rFonts w:ascii="Tahoma" w:hAnsi="Tahoma" w:cs="Tahoma"/>
      <w:sz w:val="20"/>
      <w:szCs w:val="20"/>
      <w:lang w:val="en-US" w:eastAsia="en-US"/>
    </w:rPr>
  </w:style>
  <w:style w:type="paragraph" w:customStyle="1" w:styleId="Citcia3">
    <w:name w:val="Citácia3"/>
    <w:basedOn w:val="Normlny"/>
    <w:next w:val="Normlny"/>
    <w:rsid w:val="005255F6"/>
    <w:rPr>
      <w:rFonts w:ascii="Calibri" w:eastAsia="PMingLiU" w:hAnsi="Calibri"/>
      <w:i/>
      <w:lang w:val="x-none" w:eastAsia="en-US"/>
    </w:rPr>
  </w:style>
  <w:style w:type="paragraph" w:customStyle="1" w:styleId="Zvraznencitcia3">
    <w:name w:val="Zvýraznená citácia3"/>
    <w:basedOn w:val="Normlny"/>
    <w:next w:val="Normlny"/>
    <w:rsid w:val="005255F6"/>
    <w:pPr>
      <w:ind w:left="720" w:right="720"/>
    </w:pPr>
    <w:rPr>
      <w:rFonts w:ascii="Calibri" w:eastAsia="PMingLiU" w:hAnsi="Calibri"/>
      <w:b/>
      <w:i/>
      <w:szCs w:val="22"/>
      <w:lang w:val="x-none" w:eastAsia="en-US"/>
    </w:rPr>
  </w:style>
  <w:style w:type="character" w:customStyle="1" w:styleId="Jemnzvraznenie3">
    <w:name w:val="Jemné zvýraznenie3"/>
    <w:rsid w:val="005255F6"/>
    <w:rPr>
      <w:rFonts w:cs="Times New Roman"/>
      <w:i/>
      <w:color w:val="5A5A5A"/>
    </w:rPr>
  </w:style>
  <w:style w:type="character" w:customStyle="1" w:styleId="Intenzvnezvraznenie3">
    <w:name w:val="Intenzívne zvýraznenie3"/>
    <w:rsid w:val="005255F6"/>
    <w:rPr>
      <w:rFonts w:cs="Times New Roman"/>
      <w:b/>
      <w:i/>
      <w:sz w:val="24"/>
      <w:szCs w:val="24"/>
      <w:u w:val="single"/>
    </w:rPr>
  </w:style>
  <w:style w:type="character" w:customStyle="1" w:styleId="Jemnodkaz3">
    <w:name w:val="Jemný odkaz3"/>
    <w:rsid w:val="005255F6"/>
    <w:rPr>
      <w:rFonts w:cs="Times New Roman"/>
      <w:sz w:val="24"/>
      <w:szCs w:val="24"/>
      <w:u w:val="single"/>
    </w:rPr>
  </w:style>
  <w:style w:type="character" w:customStyle="1" w:styleId="Intenzvnyodkaz3">
    <w:name w:val="Intenzívny odkaz3"/>
    <w:rsid w:val="005255F6"/>
    <w:rPr>
      <w:rFonts w:cs="Times New Roman"/>
      <w:b/>
      <w:sz w:val="24"/>
      <w:u w:val="single"/>
    </w:rPr>
  </w:style>
  <w:style w:type="character" w:customStyle="1" w:styleId="Nzovknihy3">
    <w:name w:val="Názov knihy3"/>
    <w:rsid w:val="005255F6"/>
    <w:rPr>
      <w:rFonts w:ascii="Cambria" w:hAnsi="Cambria" w:cs="Times New Roman"/>
      <w:b/>
      <w:i/>
      <w:sz w:val="24"/>
      <w:szCs w:val="24"/>
    </w:rPr>
  </w:style>
  <w:style w:type="paragraph" w:customStyle="1" w:styleId="Hlavikaobsahu3">
    <w:name w:val="Hlavička obsahu3"/>
    <w:basedOn w:val="Nadpis1"/>
    <w:next w:val="Normlny"/>
    <w:rsid w:val="005255F6"/>
    <w:pPr>
      <w:keepNext/>
      <w:numPr>
        <w:numId w:val="0"/>
      </w:numPr>
      <w:spacing w:before="240" w:after="60" w:line="240" w:lineRule="auto"/>
      <w:outlineLvl w:val="9"/>
    </w:pPr>
    <w:rPr>
      <w:rFonts w:ascii="Cambria" w:eastAsia="SimSun" w:hAnsi="Cambria" w:cs="Times New Roman"/>
      <w:b/>
      <w:bCs/>
      <w:smallCaps w:val="0"/>
      <w:spacing w:val="0"/>
      <w:kern w:val="32"/>
      <w:lang w:val="x-none" w:eastAsia="en-US"/>
    </w:rPr>
  </w:style>
  <w:style w:type="character" w:customStyle="1" w:styleId="Textzstupnhosymbolu4">
    <w:name w:val="Text zástupného symbolu4"/>
    <w:semiHidden/>
    <w:rsid w:val="00E56B8D"/>
    <w:rPr>
      <w:rFonts w:ascii="Times New Roman" w:hAnsi="Times New Roman" w:cs="Times New Roman"/>
      <w:color w:val="808080"/>
    </w:rPr>
  </w:style>
  <w:style w:type="paragraph" w:customStyle="1" w:styleId="Bezriadkovania4">
    <w:name w:val="Bez riadkovania4"/>
    <w:rsid w:val="00E56B8D"/>
    <w:rPr>
      <w:rFonts w:eastAsia="Calibri"/>
      <w:sz w:val="24"/>
      <w:szCs w:val="24"/>
    </w:rPr>
  </w:style>
  <w:style w:type="character" w:customStyle="1" w:styleId="CharChar42">
    <w:name w:val="Char Char4"/>
    <w:locked/>
    <w:rsid w:val="00E56B8D"/>
    <w:rPr>
      <w:sz w:val="24"/>
      <w:szCs w:val="24"/>
      <w:lang w:val="sk-SK" w:eastAsia="sk-SK" w:bidi="ar-SA"/>
    </w:rPr>
  </w:style>
  <w:style w:type="paragraph" w:customStyle="1" w:styleId="Normlny7">
    <w:name w:val="Normálny7"/>
    <w:basedOn w:val="Normlny"/>
    <w:rsid w:val="00E56B8D"/>
    <w:pPr>
      <w:spacing w:before="100" w:beforeAutospacing="1" w:after="100" w:afterAutospacing="1"/>
    </w:pPr>
    <w:rPr>
      <w:rFonts w:ascii="Arial Unicode MS" w:eastAsia="Arial Unicode MS" w:hAnsi="Arial Unicode MS" w:cs="Arial Unicode MS"/>
    </w:rPr>
  </w:style>
  <w:style w:type="paragraph" w:customStyle="1" w:styleId="CharCharCharCharCharCharCharCharCharCharCharChar2">
    <w:name w:val="Char Char Char Char Char Char Char Char Char Char Char Char"/>
    <w:basedOn w:val="Normlny"/>
    <w:rsid w:val="00E56B8D"/>
    <w:rPr>
      <w:rFonts w:ascii="Verdana" w:hAnsi="Verdana"/>
      <w:sz w:val="20"/>
      <w:lang w:eastAsia="cs-CZ"/>
    </w:rPr>
  </w:style>
  <w:style w:type="paragraph" w:customStyle="1" w:styleId="CharCharCharCharCharCharChar2">
    <w:name w:val="Char Char Char Char Char Char Char"/>
    <w:basedOn w:val="Normlny"/>
    <w:rsid w:val="00E56B8D"/>
    <w:rPr>
      <w:lang w:val="pl-PL" w:eastAsia="pl-PL"/>
    </w:rPr>
  </w:style>
  <w:style w:type="paragraph" w:customStyle="1" w:styleId="CharChar1CharCharCharChar2">
    <w:name w:val="Char Char1 Char Char Char Char"/>
    <w:basedOn w:val="Normlny"/>
    <w:rsid w:val="00E56B8D"/>
    <w:pPr>
      <w:spacing w:after="160" w:line="240" w:lineRule="exact"/>
    </w:pPr>
    <w:rPr>
      <w:rFonts w:ascii="Tahoma" w:hAnsi="Tahoma" w:cs="Tahoma"/>
      <w:sz w:val="20"/>
      <w:szCs w:val="20"/>
      <w:lang w:val="en-US" w:eastAsia="en-US"/>
    </w:rPr>
  </w:style>
  <w:style w:type="paragraph" w:customStyle="1" w:styleId="CharCharCharCharCharCharCharCharCharChar2">
    <w:name w:val="Char Char Char Char Char Char Char Char Char Char"/>
    <w:basedOn w:val="Normlny"/>
    <w:rsid w:val="00E56B8D"/>
    <w:rPr>
      <w:lang w:val="pl-PL" w:eastAsia="pl-PL"/>
    </w:rPr>
  </w:style>
  <w:style w:type="paragraph" w:customStyle="1" w:styleId="CharChar2">
    <w:name w:val="Char Char"/>
    <w:basedOn w:val="Normlny"/>
    <w:rsid w:val="00E56B8D"/>
    <w:pPr>
      <w:spacing w:after="160" w:line="240" w:lineRule="exact"/>
    </w:pPr>
    <w:rPr>
      <w:rFonts w:ascii="Tahoma" w:hAnsi="Tahoma"/>
      <w:sz w:val="20"/>
      <w:szCs w:val="20"/>
      <w:lang w:val="en-US" w:eastAsia="en-US"/>
    </w:rPr>
  </w:style>
  <w:style w:type="paragraph" w:customStyle="1" w:styleId="Normlny8">
    <w:name w:val="Normálny8"/>
    <w:rsid w:val="00E56B8D"/>
    <w:pPr>
      <w:suppressAutoHyphens/>
      <w:autoSpaceDE w:val="0"/>
    </w:pPr>
    <w:rPr>
      <w:rFonts w:ascii="Arial" w:hAnsi="Arial" w:cs="Arial"/>
      <w:color w:val="000000"/>
      <w:sz w:val="24"/>
      <w:szCs w:val="24"/>
      <w:lang w:eastAsia="zh-CN"/>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
    <w:basedOn w:val="Normlny"/>
    <w:rsid w:val="00E56B8D"/>
    <w:rPr>
      <w:rFonts w:ascii="Verdana" w:hAnsi="Verdana"/>
      <w:sz w:val="20"/>
      <w:lang w:eastAsia="cs-CZ"/>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
    <w:basedOn w:val="Normlny"/>
    <w:rsid w:val="00E56B8D"/>
    <w:rPr>
      <w:rFonts w:ascii="Verdana" w:hAnsi="Verdana"/>
      <w:sz w:val="20"/>
      <w:lang w:eastAsia="cs-CZ"/>
    </w:rPr>
  </w:style>
  <w:style w:type="paragraph" w:customStyle="1" w:styleId="Char3">
    <w:name w:val="Char"/>
    <w:basedOn w:val="Normlny"/>
    <w:rsid w:val="00E56B8D"/>
    <w:pPr>
      <w:spacing w:after="160" w:line="240" w:lineRule="exact"/>
    </w:pPr>
    <w:rPr>
      <w:rFonts w:ascii="Tahoma" w:hAnsi="Tahoma" w:cs="Tahoma"/>
      <w:sz w:val="20"/>
      <w:szCs w:val="20"/>
      <w:lang w:val="en-US" w:eastAsia="en-US"/>
    </w:rPr>
  </w:style>
  <w:style w:type="paragraph" w:customStyle="1" w:styleId="Citcia4">
    <w:name w:val="Citácia4"/>
    <w:basedOn w:val="Normlny"/>
    <w:next w:val="Normlny"/>
    <w:rsid w:val="00E56B8D"/>
    <w:rPr>
      <w:rFonts w:ascii="Calibri" w:eastAsia="PMingLiU" w:hAnsi="Calibri"/>
      <w:i/>
      <w:lang w:eastAsia="en-US"/>
    </w:rPr>
  </w:style>
  <w:style w:type="paragraph" w:customStyle="1" w:styleId="Zvraznencitcia4">
    <w:name w:val="Zvýraznená citácia4"/>
    <w:basedOn w:val="Normlny"/>
    <w:next w:val="Normlny"/>
    <w:rsid w:val="00E56B8D"/>
    <w:pPr>
      <w:ind w:left="720" w:right="720"/>
    </w:pPr>
    <w:rPr>
      <w:rFonts w:ascii="Calibri" w:eastAsia="PMingLiU" w:hAnsi="Calibri"/>
      <w:b/>
      <w:i/>
      <w:szCs w:val="22"/>
      <w:lang w:eastAsia="en-US"/>
    </w:rPr>
  </w:style>
  <w:style w:type="character" w:customStyle="1" w:styleId="Jemnzvraznenie4">
    <w:name w:val="Jemné zvýraznenie4"/>
    <w:rsid w:val="00E56B8D"/>
    <w:rPr>
      <w:rFonts w:cs="Times New Roman"/>
      <w:i/>
      <w:color w:val="5A5A5A"/>
    </w:rPr>
  </w:style>
  <w:style w:type="character" w:customStyle="1" w:styleId="Intenzvnezvraznenie4">
    <w:name w:val="Intenzívne zvýraznenie4"/>
    <w:rsid w:val="00E56B8D"/>
    <w:rPr>
      <w:rFonts w:cs="Times New Roman"/>
      <w:b/>
      <w:i/>
      <w:sz w:val="24"/>
      <w:szCs w:val="24"/>
      <w:u w:val="single"/>
    </w:rPr>
  </w:style>
  <w:style w:type="character" w:customStyle="1" w:styleId="Jemnodkaz4">
    <w:name w:val="Jemný odkaz4"/>
    <w:rsid w:val="00E56B8D"/>
    <w:rPr>
      <w:rFonts w:cs="Times New Roman"/>
      <w:sz w:val="24"/>
      <w:szCs w:val="24"/>
      <w:u w:val="single"/>
    </w:rPr>
  </w:style>
  <w:style w:type="character" w:customStyle="1" w:styleId="Intenzvnyodkaz4">
    <w:name w:val="Intenzívny odkaz4"/>
    <w:rsid w:val="00E56B8D"/>
    <w:rPr>
      <w:rFonts w:cs="Times New Roman"/>
      <w:b/>
      <w:sz w:val="24"/>
      <w:u w:val="single"/>
    </w:rPr>
  </w:style>
  <w:style w:type="character" w:customStyle="1" w:styleId="Nzovknihy4">
    <w:name w:val="Názov knihy4"/>
    <w:rsid w:val="00E56B8D"/>
    <w:rPr>
      <w:rFonts w:ascii="Cambria" w:hAnsi="Cambria" w:cs="Times New Roman"/>
      <w:b/>
      <w:i/>
      <w:sz w:val="24"/>
      <w:szCs w:val="24"/>
    </w:rPr>
  </w:style>
  <w:style w:type="paragraph" w:customStyle="1" w:styleId="Hlavikaobsahu4">
    <w:name w:val="Hlavička obsahu4"/>
    <w:basedOn w:val="Nadpis1"/>
    <w:next w:val="Normlny"/>
    <w:rsid w:val="00E56B8D"/>
    <w:pPr>
      <w:keepNext/>
      <w:numPr>
        <w:numId w:val="0"/>
      </w:numPr>
      <w:spacing w:before="240" w:after="60" w:line="240" w:lineRule="auto"/>
      <w:outlineLvl w:val="9"/>
    </w:pPr>
    <w:rPr>
      <w:rFonts w:ascii="Cambria" w:eastAsia="SimSun" w:hAnsi="Cambria" w:cs="Times New Roman"/>
      <w:b/>
      <w:bCs/>
      <w:smallCaps w:val="0"/>
      <w:spacing w:val="0"/>
      <w:kern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1406">
      <w:bodyDiv w:val="1"/>
      <w:marLeft w:val="0"/>
      <w:marRight w:val="0"/>
      <w:marTop w:val="0"/>
      <w:marBottom w:val="0"/>
      <w:divBdr>
        <w:top w:val="none" w:sz="0" w:space="0" w:color="auto"/>
        <w:left w:val="none" w:sz="0" w:space="0" w:color="auto"/>
        <w:bottom w:val="none" w:sz="0" w:space="0" w:color="auto"/>
        <w:right w:val="none" w:sz="0" w:space="0" w:color="auto"/>
      </w:divBdr>
    </w:div>
    <w:div w:id="64494188">
      <w:bodyDiv w:val="1"/>
      <w:marLeft w:val="0"/>
      <w:marRight w:val="0"/>
      <w:marTop w:val="0"/>
      <w:marBottom w:val="0"/>
      <w:divBdr>
        <w:top w:val="none" w:sz="0" w:space="0" w:color="auto"/>
        <w:left w:val="none" w:sz="0" w:space="0" w:color="auto"/>
        <w:bottom w:val="none" w:sz="0" w:space="0" w:color="auto"/>
        <w:right w:val="none" w:sz="0" w:space="0" w:color="auto"/>
      </w:divBdr>
    </w:div>
    <w:div w:id="100611364">
      <w:bodyDiv w:val="1"/>
      <w:marLeft w:val="0"/>
      <w:marRight w:val="0"/>
      <w:marTop w:val="0"/>
      <w:marBottom w:val="0"/>
      <w:divBdr>
        <w:top w:val="none" w:sz="0" w:space="0" w:color="auto"/>
        <w:left w:val="none" w:sz="0" w:space="0" w:color="auto"/>
        <w:bottom w:val="none" w:sz="0" w:space="0" w:color="auto"/>
        <w:right w:val="none" w:sz="0" w:space="0" w:color="auto"/>
      </w:divBdr>
      <w:divsChild>
        <w:div w:id="111438990">
          <w:marLeft w:val="0"/>
          <w:marRight w:val="0"/>
          <w:marTop w:val="0"/>
          <w:marBottom w:val="0"/>
          <w:divBdr>
            <w:top w:val="none" w:sz="0" w:space="0" w:color="auto"/>
            <w:left w:val="none" w:sz="0" w:space="0" w:color="auto"/>
            <w:bottom w:val="none" w:sz="0" w:space="0" w:color="auto"/>
            <w:right w:val="none" w:sz="0" w:space="0" w:color="auto"/>
          </w:divBdr>
        </w:div>
        <w:div w:id="275798293">
          <w:marLeft w:val="0"/>
          <w:marRight w:val="0"/>
          <w:marTop w:val="0"/>
          <w:marBottom w:val="0"/>
          <w:divBdr>
            <w:top w:val="none" w:sz="0" w:space="0" w:color="auto"/>
            <w:left w:val="none" w:sz="0" w:space="0" w:color="auto"/>
            <w:bottom w:val="none" w:sz="0" w:space="0" w:color="auto"/>
            <w:right w:val="none" w:sz="0" w:space="0" w:color="auto"/>
          </w:divBdr>
        </w:div>
        <w:div w:id="380709274">
          <w:marLeft w:val="0"/>
          <w:marRight w:val="0"/>
          <w:marTop w:val="0"/>
          <w:marBottom w:val="0"/>
          <w:divBdr>
            <w:top w:val="none" w:sz="0" w:space="0" w:color="auto"/>
            <w:left w:val="none" w:sz="0" w:space="0" w:color="auto"/>
            <w:bottom w:val="none" w:sz="0" w:space="0" w:color="auto"/>
            <w:right w:val="none" w:sz="0" w:space="0" w:color="auto"/>
          </w:divBdr>
        </w:div>
        <w:div w:id="579338430">
          <w:marLeft w:val="0"/>
          <w:marRight w:val="0"/>
          <w:marTop w:val="0"/>
          <w:marBottom w:val="0"/>
          <w:divBdr>
            <w:top w:val="none" w:sz="0" w:space="0" w:color="auto"/>
            <w:left w:val="none" w:sz="0" w:space="0" w:color="auto"/>
            <w:bottom w:val="none" w:sz="0" w:space="0" w:color="auto"/>
            <w:right w:val="none" w:sz="0" w:space="0" w:color="auto"/>
          </w:divBdr>
        </w:div>
        <w:div w:id="697774653">
          <w:marLeft w:val="0"/>
          <w:marRight w:val="0"/>
          <w:marTop w:val="0"/>
          <w:marBottom w:val="0"/>
          <w:divBdr>
            <w:top w:val="none" w:sz="0" w:space="0" w:color="auto"/>
            <w:left w:val="none" w:sz="0" w:space="0" w:color="auto"/>
            <w:bottom w:val="none" w:sz="0" w:space="0" w:color="auto"/>
            <w:right w:val="none" w:sz="0" w:space="0" w:color="auto"/>
          </w:divBdr>
        </w:div>
        <w:div w:id="841819082">
          <w:marLeft w:val="0"/>
          <w:marRight w:val="0"/>
          <w:marTop w:val="0"/>
          <w:marBottom w:val="0"/>
          <w:divBdr>
            <w:top w:val="none" w:sz="0" w:space="0" w:color="auto"/>
            <w:left w:val="none" w:sz="0" w:space="0" w:color="auto"/>
            <w:bottom w:val="none" w:sz="0" w:space="0" w:color="auto"/>
            <w:right w:val="none" w:sz="0" w:space="0" w:color="auto"/>
          </w:divBdr>
        </w:div>
        <w:div w:id="871653767">
          <w:marLeft w:val="0"/>
          <w:marRight w:val="0"/>
          <w:marTop w:val="0"/>
          <w:marBottom w:val="0"/>
          <w:divBdr>
            <w:top w:val="none" w:sz="0" w:space="0" w:color="auto"/>
            <w:left w:val="none" w:sz="0" w:space="0" w:color="auto"/>
            <w:bottom w:val="none" w:sz="0" w:space="0" w:color="auto"/>
            <w:right w:val="none" w:sz="0" w:space="0" w:color="auto"/>
          </w:divBdr>
        </w:div>
        <w:div w:id="884171973">
          <w:marLeft w:val="0"/>
          <w:marRight w:val="0"/>
          <w:marTop w:val="0"/>
          <w:marBottom w:val="0"/>
          <w:divBdr>
            <w:top w:val="none" w:sz="0" w:space="0" w:color="auto"/>
            <w:left w:val="none" w:sz="0" w:space="0" w:color="auto"/>
            <w:bottom w:val="none" w:sz="0" w:space="0" w:color="auto"/>
            <w:right w:val="none" w:sz="0" w:space="0" w:color="auto"/>
          </w:divBdr>
        </w:div>
        <w:div w:id="941452253">
          <w:marLeft w:val="0"/>
          <w:marRight w:val="0"/>
          <w:marTop w:val="0"/>
          <w:marBottom w:val="0"/>
          <w:divBdr>
            <w:top w:val="none" w:sz="0" w:space="0" w:color="auto"/>
            <w:left w:val="none" w:sz="0" w:space="0" w:color="auto"/>
            <w:bottom w:val="none" w:sz="0" w:space="0" w:color="auto"/>
            <w:right w:val="none" w:sz="0" w:space="0" w:color="auto"/>
          </w:divBdr>
        </w:div>
        <w:div w:id="1928298313">
          <w:marLeft w:val="0"/>
          <w:marRight w:val="0"/>
          <w:marTop w:val="0"/>
          <w:marBottom w:val="0"/>
          <w:divBdr>
            <w:top w:val="none" w:sz="0" w:space="0" w:color="auto"/>
            <w:left w:val="none" w:sz="0" w:space="0" w:color="auto"/>
            <w:bottom w:val="none" w:sz="0" w:space="0" w:color="auto"/>
            <w:right w:val="none" w:sz="0" w:space="0" w:color="auto"/>
          </w:divBdr>
        </w:div>
        <w:div w:id="1964538683">
          <w:marLeft w:val="0"/>
          <w:marRight w:val="0"/>
          <w:marTop w:val="0"/>
          <w:marBottom w:val="0"/>
          <w:divBdr>
            <w:top w:val="none" w:sz="0" w:space="0" w:color="auto"/>
            <w:left w:val="none" w:sz="0" w:space="0" w:color="auto"/>
            <w:bottom w:val="none" w:sz="0" w:space="0" w:color="auto"/>
            <w:right w:val="none" w:sz="0" w:space="0" w:color="auto"/>
          </w:divBdr>
        </w:div>
      </w:divsChild>
    </w:div>
    <w:div w:id="189026328">
      <w:bodyDiv w:val="1"/>
      <w:marLeft w:val="0"/>
      <w:marRight w:val="0"/>
      <w:marTop w:val="0"/>
      <w:marBottom w:val="0"/>
      <w:divBdr>
        <w:top w:val="none" w:sz="0" w:space="0" w:color="auto"/>
        <w:left w:val="none" w:sz="0" w:space="0" w:color="auto"/>
        <w:bottom w:val="none" w:sz="0" w:space="0" w:color="auto"/>
        <w:right w:val="none" w:sz="0" w:space="0" w:color="auto"/>
      </w:divBdr>
    </w:div>
    <w:div w:id="227813740">
      <w:bodyDiv w:val="1"/>
      <w:marLeft w:val="0"/>
      <w:marRight w:val="0"/>
      <w:marTop w:val="0"/>
      <w:marBottom w:val="0"/>
      <w:divBdr>
        <w:top w:val="none" w:sz="0" w:space="0" w:color="auto"/>
        <w:left w:val="none" w:sz="0" w:space="0" w:color="auto"/>
        <w:bottom w:val="none" w:sz="0" w:space="0" w:color="auto"/>
        <w:right w:val="none" w:sz="0" w:space="0" w:color="auto"/>
      </w:divBdr>
    </w:div>
    <w:div w:id="235749418">
      <w:bodyDiv w:val="1"/>
      <w:marLeft w:val="0"/>
      <w:marRight w:val="0"/>
      <w:marTop w:val="0"/>
      <w:marBottom w:val="0"/>
      <w:divBdr>
        <w:top w:val="none" w:sz="0" w:space="0" w:color="auto"/>
        <w:left w:val="none" w:sz="0" w:space="0" w:color="auto"/>
        <w:bottom w:val="none" w:sz="0" w:space="0" w:color="auto"/>
        <w:right w:val="none" w:sz="0" w:space="0" w:color="auto"/>
      </w:divBdr>
    </w:div>
    <w:div w:id="325861725">
      <w:bodyDiv w:val="1"/>
      <w:marLeft w:val="0"/>
      <w:marRight w:val="0"/>
      <w:marTop w:val="0"/>
      <w:marBottom w:val="0"/>
      <w:divBdr>
        <w:top w:val="none" w:sz="0" w:space="0" w:color="auto"/>
        <w:left w:val="none" w:sz="0" w:space="0" w:color="auto"/>
        <w:bottom w:val="none" w:sz="0" w:space="0" w:color="auto"/>
        <w:right w:val="none" w:sz="0" w:space="0" w:color="auto"/>
      </w:divBdr>
    </w:div>
    <w:div w:id="380524546">
      <w:bodyDiv w:val="1"/>
      <w:marLeft w:val="0"/>
      <w:marRight w:val="0"/>
      <w:marTop w:val="0"/>
      <w:marBottom w:val="0"/>
      <w:divBdr>
        <w:top w:val="none" w:sz="0" w:space="0" w:color="auto"/>
        <w:left w:val="none" w:sz="0" w:space="0" w:color="auto"/>
        <w:bottom w:val="none" w:sz="0" w:space="0" w:color="auto"/>
        <w:right w:val="none" w:sz="0" w:space="0" w:color="auto"/>
      </w:divBdr>
      <w:divsChild>
        <w:div w:id="89937150">
          <w:marLeft w:val="0"/>
          <w:marRight w:val="0"/>
          <w:marTop w:val="0"/>
          <w:marBottom w:val="0"/>
          <w:divBdr>
            <w:top w:val="none" w:sz="0" w:space="0" w:color="auto"/>
            <w:left w:val="none" w:sz="0" w:space="0" w:color="auto"/>
            <w:bottom w:val="none" w:sz="0" w:space="0" w:color="auto"/>
            <w:right w:val="none" w:sz="0" w:space="0" w:color="auto"/>
          </w:divBdr>
        </w:div>
        <w:div w:id="191503485">
          <w:marLeft w:val="0"/>
          <w:marRight w:val="0"/>
          <w:marTop w:val="0"/>
          <w:marBottom w:val="0"/>
          <w:divBdr>
            <w:top w:val="none" w:sz="0" w:space="0" w:color="auto"/>
            <w:left w:val="none" w:sz="0" w:space="0" w:color="auto"/>
            <w:bottom w:val="none" w:sz="0" w:space="0" w:color="auto"/>
            <w:right w:val="none" w:sz="0" w:space="0" w:color="auto"/>
          </w:divBdr>
        </w:div>
        <w:div w:id="484398326">
          <w:marLeft w:val="0"/>
          <w:marRight w:val="0"/>
          <w:marTop w:val="0"/>
          <w:marBottom w:val="0"/>
          <w:divBdr>
            <w:top w:val="none" w:sz="0" w:space="0" w:color="auto"/>
            <w:left w:val="none" w:sz="0" w:space="0" w:color="auto"/>
            <w:bottom w:val="none" w:sz="0" w:space="0" w:color="auto"/>
            <w:right w:val="none" w:sz="0" w:space="0" w:color="auto"/>
          </w:divBdr>
        </w:div>
        <w:div w:id="491261053">
          <w:marLeft w:val="0"/>
          <w:marRight w:val="0"/>
          <w:marTop w:val="0"/>
          <w:marBottom w:val="0"/>
          <w:divBdr>
            <w:top w:val="none" w:sz="0" w:space="0" w:color="auto"/>
            <w:left w:val="none" w:sz="0" w:space="0" w:color="auto"/>
            <w:bottom w:val="none" w:sz="0" w:space="0" w:color="auto"/>
            <w:right w:val="none" w:sz="0" w:space="0" w:color="auto"/>
          </w:divBdr>
        </w:div>
        <w:div w:id="519784090">
          <w:marLeft w:val="0"/>
          <w:marRight w:val="0"/>
          <w:marTop w:val="0"/>
          <w:marBottom w:val="0"/>
          <w:divBdr>
            <w:top w:val="none" w:sz="0" w:space="0" w:color="auto"/>
            <w:left w:val="none" w:sz="0" w:space="0" w:color="auto"/>
            <w:bottom w:val="none" w:sz="0" w:space="0" w:color="auto"/>
            <w:right w:val="none" w:sz="0" w:space="0" w:color="auto"/>
          </w:divBdr>
        </w:div>
        <w:div w:id="610167658">
          <w:marLeft w:val="0"/>
          <w:marRight w:val="0"/>
          <w:marTop w:val="0"/>
          <w:marBottom w:val="0"/>
          <w:divBdr>
            <w:top w:val="none" w:sz="0" w:space="0" w:color="auto"/>
            <w:left w:val="none" w:sz="0" w:space="0" w:color="auto"/>
            <w:bottom w:val="none" w:sz="0" w:space="0" w:color="auto"/>
            <w:right w:val="none" w:sz="0" w:space="0" w:color="auto"/>
          </w:divBdr>
        </w:div>
        <w:div w:id="685061549">
          <w:marLeft w:val="0"/>
          <w:marRight w:val="0"/>
          <w:marTop w:val="0"/>
          <w:marBottom w:val="0"/>
          <w:divBdr>
            <w:top w:val="none" w:sz="0" w:space="0" w:color="auto"/>
            <w:left w:val="none" w:sz="0" w:space="0" w:color="auto"/>
            <w:bottom w:val="none" w:sz="0" w:space="0" w:color="auto"/>
            <w:right w:val="none" w:sz="0" w:space="0" w:color="auto"/>
          </w:divBdr>
        </w:div>
        <w:div w:id="848373932">
          <w:marLeft w:val="0"/>
          <w:marRight w:val="0"/>
          <w:marTop w:val="0"/>
          <w:marBottom w:val="0"/>
          <w:divBdr>
            <w:top w:val="none" w:sz="0" w:space="0" w:color="auto"/>
            <w:left w:val="none" w:sz="0" w:space="0" w:color="auto"/>
            <w:bottom w:val="none" w:sz="0" w:space="0" w:color="auto"/>
            <w:right w:val="none" w:sz="0" w:space="0" w:color="auto"/>
          </w:divBdr>
        </w:div>
        <w:div w:id="958872319">
          <w:marLeft w:val="0"/>
          <w:marRight w:val="0"/>
          <w:marTop w:val="0"/>
          <w:marBottom w:val="0"/>
          <w:divBdr>
            <w:top w:val="none" w:sz="0" w:space="0" w:color="auto"/>
            <w:left w:val="none" w:sz="0" w:space="0" w:color="auto"/>
            <w:bottom w:val="none" w:sz="0" w:space="0" w:color="auto"/>
            <w:right w:val="none" w:sz="0" w:space="0" w:color="auto"/>
          </w:divBdr>
        </w:div>
        <w:div w:id="1002048221">
          <w:marLeft w:val="0"/>
          <w:marRight w:val="0"/>
          <w:marTop w:val="0"/>
          <w:marBottom w:val="0"/>
          <w:divBdr>
            <w:top w:val="none" w:sz="0" w:space="0" w:color="auto"/>
            <w:left w:val="none" w:sz="0" w:space="0" w:color="auto"/>
            <w:bottom w:val="none" w:sz="0" w:space="0" w:color="auto"/>
            <w:right w:val="none" w:sz="0" w:space="0" w:color="auto"/>
          </w:divBdr>
        </w:div>
        <w:div w:id="1132360595">
          <w:marLeft w:val="0"/>
          <w:marRight w:val="0"/>
          <w:marTop w:val="0"/>
          <w:marBottom w:val="0"/>
          <w:divBdr>
            <w:top w:val="none" w:sz="0" w:space="0" w:color="auto"/>
            <w:left w:val="none" w:sz="0" w:space="0" w:color="auto"/>
            <w:bottom w:val="none" w:sz="0" w:space="0" w:color="auto"/>
            <w:right w:val="none" w:sz="0" w:space="0" w:color="auto"/>
          </w:divBdr>
        </w:div>
        <w:div w:id="1368602944">
          <w:marLeft w:val="0"/>
          <w:marRight w:val="0"/>
          <w:marTop w:val="0"/>
          <w:marBottom w:val="0"/>
          <w:divBdr>
            <w:top w:val="none" w:sz="0" w:space="0" w:color="auto"/>
            <w:left w:val="none" w:sz="0" w:space="0" w:color="auto"/>
            <w:bottom w:val="none" w:sz="0" w:space="0" w:color="auto"/>
            <w:right w:val="none" w:sz="0" w:space="0" w:color="auto"/>
          </w:divBdr>
        </w:div>
        <w:div w:id="1387799024">
          <w:marLeft w:val="0"/>
          <w:marRight w:val="0"/>
          <w:marTop w:val="0"/>
          <w:marBottom w:val="0"/>
          <w:divBdr>
            <w:top w:val="none" w:sz="0" w:space="0" w:color="auto"/>
            <w:left w:val="none" w:sz="0" w:space="0" w:color="auto"/>
            <w:bottom w:val="none" w:sz="0" w:space="0" w:color="auto"/>
            <w:right w:val="none" w:sz="0" w:space="0" w:color="auto"/>
          </w:divBdr>
        </w:div>
        <w:div w:id="1456100962">
          <w:marLeft w:val="0"/>
          <w:marRight w:val="0"/>
          <w:marTop w:val="0"/>
          <w:marBottom w:val="0"/>
          <w:divBdr>
            <w:top w:val="none" w:sz="0" w:space="0" w:color="auto"/>
            <w:left w:val="none" w:sz="0" w:space="0" w:color="auto"/>
            <w:bottom w:val="none" w:sz="0" w:space="0" w:color="auto"/>
            <w:right w:val="none" w:sz="0" w:space="0" w:color="auto"/>
          </w:divBdr>
        </w:div>
        <w:div w:id="1485318637">
          <w:marLeft w:val="0"/>
          <w:marRight w:val="0"/>
          <w:marTop w:val="0"/>
          <w:marBottom w:val="0"/>
          <w:divBdr>
            <w:top w:val="none" w:sz="0" w:space="0" w:color="auto"/>
            <w:left w:val="none" w:sz="0" w:space="0" w:color="auto"/>
            <w:bottom w:val="none" w:sz="0" w:space="0" w:color="auto"/>
            <w:right w:val="none" w:sz="0" w:space="0" w:color="auto"/>
          </w:divBdr>
        </w:div>
        <w:div w:id="1502112920">
          <w:marLeft w:val="0"/>
          <w:marRight w:val="0"/>
          <w:marTop w:val="0"/>
          <w:marBottom w:val="0"/>
          <w:divBdr>
            <w:top w:val="none" w:sz="0" w:space="0" w:color="auto"/>
            <w:left w:val="none" w:sz="0" w:space="0" w:color="auto"/>
            <w:bottom w:val="none" w:sz="0" w:space="0" w:color="auto"/>
            <w:right w:val="none" w:sz="0" w:space="0" w:color="auto"/>
          </w:divBdr>
        </w:div>
        <w:div w:id="1557398219">
          <w:marLeft w:val="0"/>
          <w:marRight w:val="0"/>
          <w:marTop w:val="0"/>
          <w:marBottom w:val="0"/>
          <w:divBdr>
            <w:top w:val="none" w:sz="0" w:space="0" w:color="auto"/>
            <w:left w:val="none" w:sz="0" w:space="0" w:color="auto"/>
            <w:bottom w:val="none" w:sz="0" w:space="0" w:color="auto"/>
            <w:right w:val="none" w:sz="0" w:space="0" w:color="auto"/>
          </w:divBdr>
        </w:div>
        <w:div w:id="1794785541">
          <w:marLeft w:val="0"/>
          <w:marRight w:val="0"/>
          <w:marTop w:val="0"/>
          <w:marBottom w:val="0"/>
          <w:divBdr>
            <w:top w:val="none" w:sz="0" w:space="0" w:color="auto"/>
            <w:left w:val="none" w:sz="0" w:space="0" w:color="auto"/>
            <w:bottom w:val="none" w:sz="0" w:space="0" w:color="auto"/>
            <w:right w:val="none" w:sz="0" w:space="0" w:color="auto"/>
          </w:divBdr>
        </w:div>
        <w:div w:id="1807119408">
          <w:marLeft w:val="0"/>
          <w:marRight w:val="0"/>
          <w:marTop w:val="0"/>
          <w:marBottom w:val="0"/>
          <w:divBdr>
            <w:top w:val="none" w:sz="0" w:space="0" w:color="auto"/>
            <w:left w:val="none" w:sz="0" w:space="0" w:color="auto"/>
            <w:bottom w:val="none" w:sz="0" w:space="0" w:color="auto"/>
            <w:right w:val="none" w:sz="0" w:space="0" w:color="auto"/>
          </w:divBdr>
        </w:div>
        <w:div w:id="1877161140">
          <w:marLeft w:val="0"/>
          <w:marRight w:val="0"/>
          <w:marTop w:val="0"/>
          <w:marBottom w:val="0"/>
          <w:divBdr>
            <w:top w:val="none" w:sz="0" w:space="0" w:color="auto"/>
            <w:left w:val="none" w:sz="0" w:space="0" w:color="auto"/>
            <w:bottom w:val="none" w:sz="0" w:space="0" w:color="auto"/>
            <w:right w:val="none" w:sz="0" w:space="0" w:color="auto"/>
          </w:divBdr>
        </w:div>
        <w:div w:id="1992558634">
          <w:marLeft w:val="0"/>
          <w:marRight w:val="0"/>
          <w:marTop w:val="0"/>
          <w:marBottom w:val="0"/>
          <w:divBdr>
            <w:top w:val="none" w:sz="0" w:space="0" w:color="auto"/>
            <w:left w:val="none" w:sz="0" w:space="0" w:color="auto"/>
            <w:bottom w:val="none" w:sz="0" w:space="0" w:color="auto"/>
            <w:right w:val="none" w:sz="0" w:space="0" w:color="auto"/>
          </w:divBdr>
        </w:div>
        <w:div w:id="2093041457">
          <w:marLeft w:val="0"/>
          <w:marRight w:val="0"/>
          <w:marTop w:val="0"/>
          <w:marBottom w:val="0"/>
          <w:divBdr>
            <w:top w:val="none" w:sz="0" w:space="0" w:color="auto"/>
            <w:left w:val="none" w:sz="0" w:space="0" w:color="auto"/>
            <w:bottom w:val="none" w:sz="0" w:space="0" w:color="auto"/>
            <w:right w:val="none" w:sz="0" w:space="0" w:color="auto"/>
          </w:divBdr>
        </w:div>
        <w:div w:id="2099595641">
          <w:marLeft w:val="0"/>
          <w:marRight w:val="0"/>
          <w:marTop w:val="0"/>
          <w:marBottom w:val="0"/>
          <w:divBdr>
            <w:top w:val="none" w:sz="0" w:space="0" w:color="auto"/>
            <w:left w:val="none" w:sz="0" w:space="0" w:color="auto"/>
            <w:bottom w:val="none" w:sz="0" w:space="0" w:color="auto"/>
            <w:right w:val="none" w:sz="0" w:space="0" w:color="auto"/>
          </w:divBdr>
        </w:div>
        <w:div w:id="2101290194">
          <w:marLeft w:val="0"/>
          <w:marRight w:val="0"/>
          <w:marTop w:val="0"/>
          <w:marBottom w:val="0"/>
          <w:divBdr>
            <w:top w:val="none" w:sz="0" w:space="0" w:color="auto"/>
            <w:left w:val="none" w:sz="0" w:space="0" w:color="auto"/>
            <w:bottom w:val="none" w:sz="0" w:space="0" w:color="auto"/>
            <w:right w:val="none" w:sz="0" w:space="0" w:color="auto"/>
          </w:divBdr>
        </w:div>
      </w:divsChild>
    </w:div>
    <w:div w:id="592514841">
      <w:bodyDiv w:val="1"/>
      <w:marLeft w:val="0"/>
      <w:marRight w:val="0"/>
      <w:marTop w:val="0"/>
      <w:marBottom w:val="0"/>
      <w:divBdr>
        <w:top w:val="none" w:sz="0" w:space="0" w:color="auto"/>
        <w:left w:val="none" w:sz="0" w:space="0" w:color="auto"/>
        <w:bottom w:val="none" w:sz="0" w:space="0" w:color="auto"/>
        <w:right w:val="none" w:sz="0" w:space="0" w:color="auto"/>
      </w:divBdr>
    </w:div>
    <w:div w:id="648944557">
      <w:bodyDiv w:val="1"/>
      <w:marLeft w:val="0"/>
      <w:marRight w:val="0"/>
      <w:marTop w:val="0"/>
      <w:marBottom w:val="0"/>
      <w:divBdr>
        <w:top w:val="none" w:sz="0" w:space="0" w:color="auto"/>
        <w:left w:val="none" w:sz="0" w:space="0" w:color="auto"/>
        <w:bottom w:val="none" w:sz="0" w:space="0" w:color="auto"/>
        <w:right w:val="none" w:sz="0" w:space="0" w:color="auto"/>
      </w:divBdr>
    </w:div>
    <w:div w:id="650602278">
      <w:bodyDiv w:val="1"/>
      <w:marLeft w:val="0"/>
      <w:marRight w:val="0"/>
      <w:marTop w:val="0"/>
      <w:marBottom w:val="0"/>
      <w:divBdr>
        <w:top w:val="none" w:sz="0" w:space="0" w:color="auto"/>
        <w:left w:val="none" w:sz="0" w:space="0" w:color="auto"/>
        <w:bottom w:val="none" w:sz="0" w:space="0" w:color="auto"/>
        <w:right w:val="none" w:sz="0" w:space="0" w:color="auto"/>
      </w:divBdr>
      <w:divsChild>
        <w:div w:id="189924697">
          <w:marLeft w:val="0"/>
          <w:marRight w:val="0"/>
          <w:marTop w:val="0"/>
          <w:marBottom w:val="0"/>
          <w:divBdr>
            <w:top w:val="none" w:sz="0" w:space="0" w:color="auto"/>
            <w:left w:val="none" w:sz="0" w:space="0" w:color="auto"/>
            <w:bottom w:val="none" w:sz="0" w:space="0" w:color="auto"/>
            <w:right w:val="none" w:sz="0" w:space="0" w:color="auto"/>
          </w:divBdr>
        </w:div>
      </w:divsChild>
    </w:div>
    <w:div w:id="659313394">
      <w:bodyDiv w:val="1"/>
      <w:marLeft w:val="0"/>
      <w:marRight w:val="0"/>
      <w:marTop w:val="0"/>
      <w:marBottom w:val="0"/>
      <w:divBdr>
        <w:top w:val="none" w:sz="0" w:space="0" w:color="auto"/>
        <w:left w:val="none" w:sz="0" w:space="0" w:color="auto"/>
        <w:bottom w:val="none" w:sz="0" w:space="0" w:color="auto"/>
        <w:right w:val="none" w:sz="0" w:space="0" w:color="auto"/>
      </w:divBdr>
    </w:div>
    <w:div w:id="692151677">
      <w:bodyDiv w:val="1"/>
      <w:marLeft w:val="0"/>
      <w:marRight w:val="0"/>
      <w:marTop w:val="0"/>
      <w:marBottom w:val="0"/>
      <w:divBdr>
        <w:top w:val="none" w:sz="0" w:space="0" w:color="auto"/>
        <w:left w:val="none" w:sz="0" w:space="0" w:color="auto"/>
        <w:bottom w:val="none" w:sz="0" w:space="0" w:color="auto"/>
        <w:right w:val="none" w:sz="0" w:space="0" w:color="auto"/>
      </w:divBdr>
    </w:div>
    <w:div w:id="794061157">
      <w:bodyDiv w:val="1"/>
      <w:marLeft w:val="0"/>
      <w:marRight w:val="0"/>
      <w:marTop w:val="0"/>
      <w:marBottom w:val="0"/>
      <w:divBdr>
        <w:top w:val="none" w:sz="0" w:space="0" w:color="auto"/>
        <w:left w:val="none" w:sz="0" w:space="0" w:color="auto"/>
        <w:bottom w:val="none" w:sz="0" w:space="0" w:color="auto"/>
        <w:right w:val="none" w:sz="0" w:space="0" w:color="auto"/>
      </w:divBdr>
    </w:div>
    <w:div w:id="1025978380">
      <w:bodyDiv w:val="1"/>
      <w:marLeft w:val="0"/>
      <w:marRight w:val="0"/>
      <w:marTop w:val="0"/>
      <w:marBottom w:val="0"/>
      <w:divBdr>
        <w:top w:val="none" w:sz="0" w:space="0" w:color="auto"/>
        <w:left w:val="none" w:sz="0" w:space="0" w:color="auto"/>
        <w:bottom w:val="none" w:sz="0" w:space="0" w:color="auto"/>
        <w:right w:val="none" w:sz="0" w:space="0" w:color="auto"/>
      </w:divBdr>
    </w:div>
    <w:div w:id="1070466536">
      <w:bodyDiv w:val="1"/>
      <w:marLeft w:val="0"/>
      <w:marRight w:val="0"/>
      <w:marTop w:val="0"/>
      <w:marBottom w:val="0"/>
      <w:divBdr>
        <w:top w:val="none" w:sz="0" w:space="0" w:color="auto"/>
        <w:left w:val="none" w:sz="0" w:space="0" w:color="auto"/>
        <w:bottom w:val="none" w:sz="0" w:space="0" w:color="auto"/>
        <w:right w:val="none" w:sz="0" w:space="0" w:color="auto"/>
      </w:divBdr>
    </w:div>
    <w:div w:id="1206061044">
      <w:bodyDiv w:val="1"/>
      <w:marLeft w:val="0"/>
      <w:marRight w:val="0"/>
      <w:marTop w:val="0"/>
      <w:marBottom w:val="0"/>
      <w:divBdr>
        <w:top w:val="none" w:sz="0" w:space="0" w:color="auto"/>
        <w:left w:val="none" w:sz="0" w:space="0" w:color="auto"/>
        <w:bottom w:val="none" w:sz="0" w:space="0" w:color="auto"/>
        <w:right w:val="none" w:sz="0" w:space="0" w:color="auto"/>
      </w:divBdr>
      <w:divsChild>
        <w:div w:id="9768339">
          <w:marLeft w:val="0"/>
          <w:marRight w:val="0"/>
          <w:marTop w:val="0"/>
          <w:marBottom w:val="0"/>
          <w:divBdr>
            <w:top w:val="none" w:sz="0" w:space="0" w:color="auto"/>
            <w:left w:val="none" w:sz="0" w:space="0" w:color="auto"/>
            <w:bottom w:val="none" w:sz="0" w:space="0" w:color="auto"/>
            <w:right w:val="none" w:sz="0" w:space="0" w:color="auto"/>
          </w:divBdr>
        </w:div>
        <w:div w:id="23867359">
          <w:marLeft w:val="0"/>
          <w:marRight w:val="0"/>
          <w:marTop w:val="0"/>
          <w:marBottom w:val="0"/>
          <w:divBdr>
            <w:top w:val="none" w:sz="0" w:space="0" w:color="auto"/>
            <w:left w:val="none" w:sz="0" w:space="0" w:color="auto"/>
            <w:bottom w:val="none" w:sz="0" w:space="0" w:color="auto"/>
            <w:right w:val="none" w:sz="0" w:space="0" w:color="auto"/>
          </w:divBdr>
        </w:div>
        <w:div w:id="28067740">
          <w:marLeft w:val="0"/>
          <w:marRight w:val="0"/>
          <w:marTop w:val="0"/>
          <w:marBottom w:val="0"/>
          <w:divBdr>
            <w:top w:val="none" w:sz="0" w:space="0" w:color="auto"/>
            <w:left w:val="none" w:sz="0" w:space="0" w:color="auto"/>
            <w:bottom w:val="none" w:sz="0" w:space="0" w:color="auto"/>
            <w:right w:val="none" w:sz="0" w:space="0" w:color="auto"/>
          </w:divBdr>
        </w:div>
        <w:div w:id="36047041">
          <w:marLeft w:val="0"/>
          <w:marRight w:val="0"/>
          <w:marTop w:val="0"/>
          <w:marBottom w:val="0"/>
          <w:divBdr>
            <w:top w:val="none" w:sz="0" w:space="0" w:color="auto"/>
            <w:left w:val="none" w:sz="0" w:space="0" w:color="auto"/>
            <w:bottom w:val="none" w:sz="0" w:space="0" w:color="auto"/>
            <w:right w:val="none" w:sz="0" w:space="0" w:color="auto"/>
          </w:divBdr>
        </w:div>
        <w:div w:id="79104700">
          <w:marLeft w:val="0"/>
          <w:marRight w:val="0"/>
          <w:marTop w:val="0"/>
          <w:marBottom w:val="0"/>
          <w:divBdr>
            <w:top w:val="none" w:sz="0" w:space="0" w:color="auto"/>
            <w:left w:val="none" w:sz="0" w:space="0" w:color="auto"/>
            <w:bottom w:val="none" w:sz="0" w:space="0" w:color="auto"/>
            <w:right w:val="none" w:sz="0" w:space="0" w:color="auto"/>
          </w:divBdr>
        </w:div>
        <w:div w:id="79183834">
          <w:marLeft w:val="0"/>
          <w:marRight w:val="0"/>
          <w:marTop w:val="0"/>
          <w:marBottom w:val="0"/>
          <w:divBdr>
            <w:top w:val="none" w:sz="0" w:space="0" w:color="auto"/>
            <w:left w:val="none" w:sz="0" w:space="0" w:color="auto"/>
            <w:bottom w:val="none" w:sz="0" w:space="0" w:color="auto"/>
            <w:right w:val="none" w:sz="0" w:space="0" w:color="auto"/>
          </w:divBdr>
        </w:div>
        <w:div w:id="136263006">
          <w:marLeft w:val="0"/>
          <w:marRight w:val="0"/>
          <w:marTop w:val="0"/>
          <w:marBottom w:val="0"/>
          <w:divBdr>
            <w:top w:val="none" w:sz="0" w:space="0" w:color="auto"/>
            <w:left w:val="none" w:sz="0" w:space="0" w:color="auto"/>
            <w:bottom w:val="none" w:sz="0" w:space="0" w:color="auto"/>
            <w:right w:val="none" w:sz="0" w:space="0" w:color="auto"/>
          </w:divBdr>
        </w:div>
        <w:div w:id="161698987">
          <w:marLeft w:val="0"/>
          <w:marRight w:val="0"/>
          <w:marTop w:val="0"/>
          <w:marBottom w:val="0"/>
          <w:divBdr>
            <w:top w:val="none" w:sz="0" w:space="0" w:color="auto"/>
            <w:left w:val="none" w:sz="0" w:space="0" w:color="auto"/>
            <w:bottom w:val="none" w:sz="0" w:space="0" w:color="auto"/>
            <w:right w:val="none" w:sz="0" w:space="0" w:color="auto"/>
          </w:divBdr>
        </w:div>
        <w:div w:id="162866226">
          <w:marLeft w:val="0"/>
          <w:marRight w:val="0"/>
          <w:marTop w:val="0"/>
          <w:marBottom w:val="0"/>
          <w:divBdr>
            <w:top w:val="none" w:sz="0" w:space="0" w:color="auto"/>
            <w:left w:val="none" w:sz="0" w:space="0" w:color="auto"/>
            <w:bottom w:val="none" w:sz="0" w:space="0" w:color="auto"/>
            <w:right w:val="none" w:sz="0" w:space="0" w:color="auto"/>
          </w:divBdr>
        </w:div>
        <w:div w:id="163471132">
          <w:marLeft w:val="0"/>
          <w:marRight w:val="0"/>
          <w:marTop w:val="0"/>
          <w:marBottom w:val="0"/>
          <w:divBdr>
            <w:top w:val="none" w:sz="0" w:space="0" w:color="auto"/>
            <w:left w:val="none" w:sz="0" w:space="0" w:color="auto"/>
            <w:bottom w:val="none" w:sz="0" w:space="0" w:color="auto"/>
            <w:right w:val="none" w:sz="0" w:space="0" w:color="auto"/>
          </w:divBdr>
        </w:div>
        <w:div w:id="171334096">
          <w:marLeft w:val="0"/>
          <w:marRight w:val="0"/>
          <w:marTop w:val="0"/>
          <w:marBottom w:val="0"/>
          <w:divBdr>
            <w:top w:val="none" w:sz="0" w:space="0" w:color="auto"/>
            <w:left w:val="none" w:sz="0" w:space="0" w:color="auto"/>
            <w:bottom w:val="none" w:sz="0" w:space="0" w:color="auto"/>
            <w:right w:val="none" w:sz="0" w:space="0" w:color="auto"/>
          </w:divBdr>
        </w:div>
        <w:div w:id="198276571">
          <w:marLeft w:val="0"/>
          <w:marRight w:val="0"/>
          <w:marTop w:val="0"/>
          <w:marBottom w:val="0"/>
          <w:divBdr>
            <w:top w:val="none" w:sz="0" w:space="0" w:color="auto"/>
            <w:left w:val="none" w:sz="0" w:space="0" w:color="auto"/>
            <w:bottom w:val="none" w:sz="0" w:space="0" w:color="auto"/>
            <w:right w:val="none" w:sz="0" w:space="0" w:color="auto"/>
          </w:divBdr>
        </w:div>
        <w:div w:id="227542479">
          <w:marLeft w:val="0"/>
          <w:marRight w:val="0"/>
          <w:marTop w:val="0"/>
          <w:marBottom w:val="0"/>
          <w:divBdr>
            <w:top w:val="none" w:sz="0" w:space="0" w:color="auto"/>
            <w:left w:val="none" w:sz="0" w:space="0" w:color="auto"/>
            <w:bottom w:val="none" w:sz="0" w:space="0" w:color="auto"/>
            <w:right w:val="none" w:sz="0" w:space="0" w:color="auto"/>
          </w:divBdr>
        </w:div>
        <w:div w:id="243998272">
          <w:marLeft w:val="0"/>
          <w:marRight w:val="0"/>
          <w:marTop w:val="0"/>
          <w:marBottom w:val="0"/>
          <w:divBdr>
            <w:top w:val="none" w:sz="0" w:space="0" w:color="auto"/>
            <w:left w:val="none" w:sz="0" w:space="0" w:color="auto"/>
            <w:bottom w:val="none" w:sz="0" w:space="0" w:color="auto"/>
            <w:right w:val="none" w:sz="0" w:space="0" w:color="auto"/>
          </w:divBdr>
        </w:div>
        <w:div w:id="266086728">
          <w:marLeft w:val="0"/>
          <w:marRight w:val="0"/>
          <w:marTop w:val="0"/>
          <w:marBottom w:val="0"/>
          <w:divBdr>
            <w:top w:val="none" w:sz="0" w:space="0" w:color="auto"/>
            <w:left w:val="none" w:sz="0" w:space="0" w:color="auto"/>
            <w:bottom w:val="none" w:sz="0" w:space="0" w:color="auto"/>
            <w:right w:val="none" w:sz="0" w:space="0" w:color="auto"/>
          </w:divBdr>
        </w:div>
        <w:div w:id="267930072">
          <w:marLeft w:val="0"/>
          <w:marRight w:val="0"/>
          <w:marTop w:val="0"/>
          <w:marBottom w:val="0"/>
          <w:divBdr>
            <w:top w:val="none" w:sz="0" w:space="0" w:color="auto"/>
            <w:left w:val="none" w:sz="0" w:space="0" w:color="auto"/>
            <w:bottom w:val="none" w:sz="0" w:space="0" w:color="auto"/>
            <w:right w:val="none" w:sz="0" w:space="0" w:color="auto"/>
          </w:divBdr>
        </w:div>
        <w:div w:id="280235059">
          <w:marLeft w:val="0"/>
          <w:marRight w:val="0"/>
          <w:marTop w:val="0"/>
          <w:marBottom w:val="0"/>
          <w:divBdr>
            <w:top w:val="none" w:sz="0" w:space="0" w:color="auto"/>
            <w:left w:val="none" w:sz="0" w:space="0" w:color="auto"/>
            <w:bottom w:val="none" w:sz="0" w:space="0" w:color="auto"/>
            <w:right w:val="none" w:sz="0" w:space="0" w:color="auto"/>
          </w:divBdr>
        </w:div>
        <w:div w:id="284581263">
          <w:marLeft w:val="0"/>
          <w:marRight w:val="0"/>
          <w:marTop w:val="0"/>
          <w:marBottom w:val="0"/>
          <w:divBdr>
            <w:top w:val="none" w:sz="0" w:space="0" w:color="auto"/>
            <w:left w:val="none" w:sz="0" w:space="0" w:color="auto"/>
            <w:bottom w:val="none" w:sz="0" w:space="0" w:color="auto"/>
            <w:right w:val="none" w:sz="0" w:space="0" w:color="auto"/>
          </w:divBdr>
        </w:div>
        <w:div w:id="285938492">
          <w:marLeft w:val="0"/>
          <w:marRight w:val="0"/>
          <w:marTop w:val="0"/>
          <w:marBottom w:val="0"/>
          <w:divBdr>
            <w:top w:val="none" w:sz="0" w:space="0" w:color="auto"/>
            <w:left w:val="none" w:sz="0" w:space="0" w:color="auto"/>
            <w:bottom w:val="none" w:sz="0" w:space="0" w:color="auto"/>
            <w:right w:val="none" w:sz="0" w:space="0" w:color="auto"/>
          </w:divBdr>
        </w:div>
        <w:div w:id="332075096">
          <w:marLeft w:val="0"/>
          <w:marRight w:val="0"/>
          <w:marTop w:val="0"/>
          <w:marBottom w:val="0"/>
          <w:divBdr>
            <w:top w:val="none" w:sz="0" w:space="0" w:color="auto"/>
            <w:left w:val="none" w:sz="0" w:space="0" w:color="auto"/>
            <w:bottom w:val="none" w:sz="0" w:space="0" w:color="auto"/>
            <w:right w:val="none" w:sz="0" w:space="0" w:color="auto"/>
          </w:divBdr>
        </w:div>
        <w:div w:id="341904767">
          <w:marLeft w:val="0"/>
          <w:marRight w:val="0"/>
          <w:marTop w:val="0"/>
          <w:marBottom w:val="0"/>
          <w:divBdr>
            <w:top w:val="none" w:sz="0" w:space="0" w:color="auto"/>
            <w:left w:val="none" w:sz="0" w:space="0" w:color="auto"/>
            <w:bottom w:val="none" w:sz="0" w:space="0" w:color="auto"/>
            <w:right w:val="none" w:sz="0" w:space="0" w:color="auto"/>
          </w:divBdr>
        </w:div>
        <w:div w:id="346643896">
          <w:marLeft w:val="0"/>
          <w:marRight w:val="0"/>
          <w:marTop w:val="0"/>
          <w:marBottom w:val="0"/>
          <w:divBdr>
            <w:top w:val="none" w:sz="0" w:space="0" w:color="auto"/>
            <w:left w:val="none" w:sz="0" w:space="0" w:color="auto"/>
            <w:bottom w:val="none" w:sz="0" w:space="0" w:color="auto"/>
            <w:right w:val="none" w:sz="0" w:space="0" w:color="auto"/>
          </w:divBdr>
        </w:div>
        <w:div w:id="358547902">
          <w:marLeft w:val="0"/>
          <w:marRight w:val="0"/>
          <w:marTop w:val="0"/>
          <w:marBottom w:val="0"/>
          <w:divBdr>
            <w:top w:val="none" w:sz="0" w:space="0" w:color="auto"/>
            <w:left w:val="none" w:sz="0" w:space="0" w:color="auto"/>
            <w:bottom w:val="none" w:sz="0" w:space="0" w:color="auto"/>
            <w:right w:val="none" w:sz="0" w:space="0" w:color="auto"/>
          </w:divBdr>
        </w:div>
        <w:div w:id="401560936">
          <w:marLeft w:val="0"/>
          <w:marRight w:val="0"/>
          <w:marTop w:val="0"/>
          <w:marBottom w:val="0"/>
          <w:divBdr>
            <w:top w:val="none" w:sz="0" w:space="0" w:color="auto"/>
            <w:left w:val="none" w:sz="0" w:space="0" w:color="auto"/>
            <w:bottom w:val="none" w:sz="0" w:space="0" w:color="auto"/>
            <w:right w:val="none" w:sz="0" w:space="0" w:color="auto"/>
          </w:divBdr>
        </w:div>
        <w:div w:id="426077744">
          <w:marLeft w:val="0"/>
          <w:marRight w:val="0"/>
          <w:marTop w:val="0"/>
          <w:marBottom w:val="0"/>
          <w:divBdr>
            <w:top w:val="none" w:sz="0" w:space="0" w:color="auto"/>
            <w:left w:val="none" w:sz="0" w:space="0" w:color="auto"/>
            <w:bottom w:val="none" w:sz="0" w:space="0" w:color="auto"/>
            <w:right w:val="none" w:sz="0" w:space="0" w:color="auto"/>
          </w:divBdr>
        </w:div>
        <w:div w:id="446003541">
          <w:marLeft w:val="0"/>
          <w:marRight w:val="0"/>
          <w:marTop w:val="0"/>
          <w:marBottom w:val="0"/>
          <w:divBdr>
            <w:top w:val="none" w:sz="0" w:space="0" w:color="auto"/>
            <w:left w:val="none" w:sz="0" w:space="0" w:color="auto"/>
            <w:bottom w:val="none" w:sz="0" w:space="0" w:color="auto"/>
            <w:right w:val="none" w:sz="0" w:space="0" w:color="auto"/>
          </w:divBdr>
        </w:div>
        <w:div w:id="460807143">
          <w:marLeft w:val="0"/>
          <w:marRight w:val="0"/>
          <w:marTop w:val="0"/>
          <w:marBottom w:val="0"/>
          <w:divBdr>
            <w:top w:val="none" w:sz="0" w:space="0" w:color="auto"/>
            <w:left w:val="none" w:sz="0" w:space="0" w:color="auto"/>
            <w:bottom w:val="none" w:sz="0" w:space="0" w:color="auto"/>
            <w:right w:val="none" w:sz="0" w:space="0" w:color="auto"/>
          </w:divBdr>
        </w:div>
        <w:div w:id="467935987">
          <w:marLeft w:val="0"/>
          <w:marRight w:val="0"/>
          <w:marTop w:val="0"/>
          <w:marBottom w:val="0"/>
          <w:divBdr>
            <w:top w:val="none" w:sz="0" w:space="0" w:color="auto"/>
            <w:left w:val="none" w:sz="0" w:space="0" w:color="auto"/>
            <w:bottom w:val="none" w:sz="0" w:space="0" w:color="auto"/>
            <w:right w:val="none" w:sz="0" w:space="0" w:color="auto"/>
          </w:divBdr>
        </w:div>
        <w:div w:id="541096053">
          <w:marLeft w:val="0"/>
          <w:marRight w:val="0"/>
          <w:marTop w:val="0"/>
          <w:marBottom w:val="0"/>
          <w:divBdr>
            <w:top w:val="none" w:sz="0" w:space="0" w:color="auto"/>
            <w:left w:val="none" w:sz="0" w:space="0" w:color="auto"/>
            <w:bottom w:val="none" w:sz="0" w:space="0" w:color="auto"/>
            <w:right w:val="none" w:sz="0" w:space="0" w:color="auto"/>
          </w:divBdr>
        </w:div>
        <w:div w:id="546572025">
          <w:marLeft w:val="0"/>
          <w:marRight w:val="0"/>
          <w:marTop w:val="0"/>
          <w:marBottom w:val="0"/>
          <w:divBdr>
            <w:top w:val="none" w:sz="0" w:space="0" w:color="auto"/>
            <w:left w:val="none" w:sz="0" w:space="0" w:color="auto"/>
            <w:bottom w:val="none" w:sz="0" w:space="0" w:color="auto"/>
            <w:right w:val="none" w:sz="0" w:space="0" w:color="auto"/>
          </w:divBdr>
        </w:div>
        <w:div w:id="577131987">
          <w:marLeft w:val="0"/>
          <w:marRight w:val="0"/>
          <w:marTop w:val="0"/>
          <w:marBottom w:val="0"/>
          <w:divBdr>
            <w:top w:val="none" w:sz="0" w:space="0" w:color="auto"/>
            <w:left w:val="none" w:sz="0" w:space="0" w:color="auto"/>
            <w:bottom w:val="none" w:sz="0" w:space="0" w:color="auto"/>
            <w:right w:val="none" w:sz="0" w:space="0" w:color="auto"/>
          </w:divBdr>
        </w:div>
        <w:div w:id="579799242">
          <w:marLeft w:val="0"/>
          <w:marRight w:val="0"/>
          <w:marTop w:val="0"/>
          <w:marBottom w:val="0"/>
          <w:divBdr>
            <w:top w:val="none" w:sz="0" w:space="0" w:color="auto"/>
            <w:left w:val="none" w:sz="0" w:space="0" w:color="auto"/>
            <w:bottom w:val="none" w:sz="0" w:space="0" w:color="auto"/>
            <w:right w:val="none" w:sz="0" w:space="0" w:color="auto"/>
          </w:divBdr>
        </w:div>
        <w:div w:id="581179581">
          <w:marLeft w:val="0"/>
          <w:marRight w:val="0"/>
          <w:marTop w:val="0"/>
          <w:marBottom w:val="0"/>
          <w:divBdr>
            <w:top w:val="none" w:sz="0" w:space="0" w:color="auto"/>
            <w:left w:val="none" w:sz="0" w:space="0" w:color="auto"/>
            <w:bottom w:val="none" w:sz="0" w:space="0" w:color="auto"/>
            <w:right w:val="none" w:sz="0" w:space="0" w:color="auto"/>
          </w:divBdr>
        </w:div>
        <w:div w:id="591863706">
          <w:marLeft w:val="0"/>
          <w:marRight w:val="0"/>
          <w:marTop w:val="0"/>
          <w:marBottom w:val="0"/>
          <w:divBdr>
            <w:top w:val="none" w:sz="0" w:space="0" w:color="auto"/>
            <w:left w:val="none" w:sz="0" w:space="0" w:color="auto"/>
            <w:bottom w:val="none" w:sz="0" w:space="0" w:color="auto"/>
            <w:right w:val="none" w:sz="0" w:space="0" w:color="auto"/>
          </w:divBdr>
        </w:div>
        <w:div w:id="620847532">
          <w:marLeft w:val="0"/>
          <w:marRight w:val="0"/>
          <w:marTop w:val="0"/>
          <w:marBottom w:val="0"/>
          <w:divBdr>
            <w:top w:val="none" w:sz="0" w:space="0" w:color="auto"/>
            <w:left w:val="none" w:sz="0" w:space="0" w:color="auto"/>
            <w:bottom w:val="none" w:sz="0" w:space="0" w:color="auto"/>
            <w:right w:val="none" w:sz="0" w:space="0" w:color="auto"/>
          </w:divBdr>
        </w:div>
        <w:div w:id="653334249">
          <w:marLeft w:val="0"/>
          <w:marRight w:val="0"/>
          <w:marTop w:val="0"/>
          <w:marBottom w:val="0"/>
          <w:divBdr>
            <w:top w:val="none" w:sz="0" w:space="0" w:color="auto"/>
            <w:left w:val="none" w:sz="0" w:space="0" w:color="auto"/>
            <w:bottom w:val="none" w:sz="0" w:space="0" w:color="auto"/>
            <w:right w:val="none" w:sz="0" w:space="0" w:color="auto"/>
          </w:divBdr>
        </w:div>
        <w:div w:id="658845240">
          <w:marLeft w:val="0"/>
          <w:marRight w:val="0"/>
          <w:marTop w:val="0"/>
          <w:marBottom w:val="0"/>
          <w:divBdr>
            <w:top w:val="none" w:sz="0" w:space="0" w:color="auto"/>
            <w:left w:val="none" w:sz="0" w:space="0" w:color="auto"/>
            <w:bottom w:val="none" w:sz="0" w:space="0" w:color="auto"/>
            <w:right w:val="none" w:sz="0" w:space="0" w:color="auto"/>
          </w:divBdr>
        </w:div>
        <w:div w:id="670135637">
          <w:marLeft w:val="0"/>
          <w:marRight w:val="0"/>
          <w:marTop w:val="0"/>
          <w:marBottom w:val="0"/>
          <w:divBdr>
            <w:top w:val="none" w:sz="0" w:space="0" w:color="auto"/>
            <w:left w:val="none" w:sz="0" w:space="0" w:color="auto"/>
            <w:bottom w:val="none" w:sz="0" w:space="0" w:color="auto"/>
            <w:right w:val="none" w:sz="0" w:space="0" w:color="auto"/>
          </w:divBdr>
        </w:div>
        <w:div w:id="672679953">
          <w:marLeft w:val="0"/>
          <w:marRight w:val="0"/>
          <w:marTop w:val="0"/>
          <w:marBottom w:val="0"/>
          <w:divBdr>
            <w:top w:val="none" w:sz="0" w:space="0" w:color="auto"/>
            <w:left w:val="none" w:sz="0" w:space="0" w:color="auto"/>
            <w:bottom w:val="none" w:sz="0" w:space="0" w:color="auto"/>
            <w:right w:val="none" w:sz="0" w:space="0" w:color="auto"/>
          </w:divBdr>
        </w:div>
        <w:div w:id="680199603">
          <w:marLeft w:val="0"/>
          <w:marRight w:val="0"/>
          <w:marTop w:val="0"/>
          <w:marBottom w:val="0"/>
          <w:divBdr>
            <w:top w:val="none" w:sz="0" w:space="0" w:color="auto"/>
            <w:left w:val="none" w:sz="0" w:space="0" w:color="auto"/>
            <w:bottom w:val="none" w:sz="0" w:space="0" w:color="auto"/>
            <w:right w:val="none" w:sz="0" w:space="0" w:color="auto"/>
          </w:divBdr>
        </w:div>
        <w:div w:id="686250922">
          <w:marLeft w:val="0"/>
          <w:marRight w:val="0"/>
          <w:marTop w:val="0"/>
          <w:marBottom w:val="0"/>
          <w:divBdr>
            <w:top w:val="none" w:sz="0" w:space="0" w:color="auto"/>
            <w:left w:val="none" w:sz="0" w:space="0" w:color="auto"/>
            <w:bottom w:val="none" w:sz="0" w:space="0" w:color="auto"/>
            <w:right w:val="none" w:sz="0" w:space="0" w:color="auto"/>
          </w:divBdr>
        </w:div>
        <w:div w:id="706684732">
          <w:marLeft w:val="0"/>
          <w:marRight w:val="0"/>
          <w:marTop w:val="0"/>
          <w:marBottom w:val="0"/>
          <w:divBdr>
            <w:top w:val="none" w:sz="0" w:space="0" w:color="auto"/>
            <w:left w:val="none" w:sz="0" w:space="0" w:color="auto"/>
            <w:bottom w:val="none" w:sz="0" w:space="0" w:color="auto"/>
            <w:right w:val="none" w:sz="0" w:space="0" w:color="auto"/>
          </w:divBdr>
        </w:div>
        <w:div w:id="709456837">
          <w:marLeft w:val="0"/>
          <w:marRight w:val="0"/>
          <w:marTop w:val="0"/>
          <w:marBottom w:val="0"/>
          <w:divBdr>
            <w:top w:val="none" w:sz="0" w:space="0" w:color="auto"/>
            <w:left w:val="none" w:sz="0" w:space="0" w:color="auto"/>
            <w:bottom w:val="none" w:sz="0" w:space="0" w:color="auto"/>
            <w:right w:val="none" w:sz="0" w:space="0" w:color="auto"/>
          </w:divBdr>
        </w:div>
        <w:div w:id="789664974">
          <w:marLeft w:val="0"/>
          <w:marRight w:val="0"/>
          <w:marTop w:val="0"/>
          <w:marBottom w:val="0"/>
          <w:divBdr>
            <w:top w:val="none" w:sz="0" w:space="0" w:color="auto"/>
            <w:left w:val="none" w:sz="0" w:space="0" w:color="auto"/>
            <w:bottom w:val="none" w:sz="0" w:space="0" w:color="auto"/>
            <w:right w:val="none" w:sz="0" w:space="0" w:color="auto"/>
          </w:divBdr>
        </w:div>
        <w:div w:id="791630596">
          <w:marLeft w:val="0"/>
          <w:marRight w:val="0"/>
          <w:marTop w:val="0"/>
          <w:marBottom w:val="0"/>
          <w:divBdr>
            <w:top w:val="none" w:sz="0" w:space="0" w:color="auto"/>
            <w:left w:val="none" w:sz="0" w:space="0" w:color="auto"/>
            <w:bottom w:val="none" w:sz="0" w:space="0" w:color="auto"/>
            <w:right w:val="none" w:sz="0" w:space="0" w:color="auto"/>
          </w:divBdr>
        </w:div>
        <w:div w:id="792330768">
          <w:marLeft w:val="0"/>
          <w:marRight w:val="0"/>
          <w:marTop w:val="0"/>
          <w:marBottom w:val="0"/>
          <w:divBdr>
            <w:top w:val="none" w:sz="0" w:space="0" w:color="auto"/>
            <w:left w:val="none" w:sz="0" w:space="0" w:color="auto"/>
            <w:bottom w:val="none" w:sz="0" w:space="0" w:color="auto"/>
            <w:right w:val="none" w:sz="0" w:space="0" w:color="auto"/>
          </w:divBdr>
        </w:div>
        <w:div w:id="793719964">
          <w:marLeft w:val="0"/>
          <w:marRight w:val="0"/>
          <w:marTop w:val="0"/>
          <w:marBottom w:val="0"/>
          <w:divBdr>
            <w:top w:val="none" w:sz="0" w:space="0" w:color="auto"/>
            <w:left w:val="none" w:sz="0" w:space="0" w:color="auto"/>
            <w:bottom w:val="none" w:sz="0" w:space="0" w:color="auto"/>
            <w:right w:val="none" w:sz="0" w:space="0" w:color="auto"/>
          </w:divBdr>
        </w:div>
        <w:div w:id="796604725">
          <w:marLeft w:val="0"/>
          <w:marRight w:val="0"/>
          <w:marTop w:val="0"/>
          <w:marBottom w:val="0"/>
          <w:divBdr>
            <w:top w:val="none" w:sz="0" w:space="0" w:color="auto"/>
            <w:left w:val="none" w:sz="0" w:space="0" w:color="auto"/>
            <w:bottom w:val="none" w:sz="0" w:space="0" w:color="auto"/>
            <w:right w:val="none" w:sz="0" w:space="0" w:color="auto"/>
          </w:divBdr>
        </w:div>
        <w:div w:id="807018101">
          <w:marLeft w:val="0"/>
          <w:marRight w:val="0"/>
          <w:marTop w:val="0"/>
          <w:marBottom w:val="0"/>
          <w:divBdr>
            <w:top w:val="none" w:sz="0" w:space="0" w:color="auto"/>
            <w:left w:val="none" w:sz="0" w:space="0" w:color="auto"/>
            <w:bottom w:val="none" w:sz="0" w:space="0" w:color="auto"/>
            <w:right w:val="none" w:sz="0" w:space="0" w:color="auto"/>
          </w:divBdr>
        </w:div>
        <w:div w:id="810513193">
          <w:marLeft w:val="0"/>
          <w:marRight w:val="0"/>
          <w:marTop w:val="0"/>
          <w:marBottom w:val="0"/>
          <w:divBdr>
            <w:top w:val="none" w:sz="0" w:space="0" w:color="auto"/>
            <w:left w:val="none" w:sz="0" w:space="0" w:color="auto"/>
            <w:bottom w:val="none" w:sz="0" w:space="0" w:color="auto"/>
            <w:right w:val="none" w:sz="0" w:space="0" w:color="auto"/>
          </w:divBdr>
        </w:div>
        <w:div w:id="813375819">
          <w:marLeft w:val="0"/>
          <w:marRight w:val="0"/>
          <w:marTop w:val="0"/>
          <w:marBottom w:val="0"/>
          <w:divBdr>
            <w:top w:val="none" w:sz="0" w:space="0" w:color="auto"/>
            <w:left w:val="none" w:sz="0" w:space="0" w:color="auto"/>
            <w:bottom w:val="none" w:sz="0" w:space="0" w:color="auto"/>
            <w:right w:val="none" w:sz="0" w:space="0" w:color="auto"/>
          </w:divBdr>
        </w:div>
        <w:div w:id="814567214">
          <w:marLeft w:val="0"/>
          <w:marRight w:val="0"/>
          <w:marTop w:val="0"/>
          <w:marBottom w:val="0"/>
          <w:divBdr>
            <w:top w:val="none" w:sz="0" w:space="0" w:color="auto"/>
            <w:left w:val="none" w:sz="0" w:space="0" w:color="auto"/>
            <w:bottom w:val="none" w:sz="0" w:space="0" w:color="auto"/>
            <w:right w:val="none" w:sz="0" w:space="0" w:color="auto"/>
          </w:divBdr>
        </w:div>
        <w:div w:id="824735360">
          <w:marLeft w:val="0"/>
          <w:marRight w:val="0"/>
          <w:marTop w:val="0"/>
          <w:marBottom w:val="0"/>
          <w:divBdr>
            <w:top w:val="none" w:sz="0" w:space="0" w:color="auto"/>
            <w:left w:val="none" w:sz="0" w:space="0" w:color="auto"/>
            <w:bottom w:val="none" w:sz="0" w:space="0" w:color="auto"/>
            <w:right w:val="none" w:sz="0" w:space="0" w:color="auto"/>
          </w:divBdr>
        </w:div>
        <w:div w:id="829179072">
          <w:marLeft w:val="0"/>
          <w:marRight w:val="0"/>
          <w:marTop w:val="0"/>
          <w:marBottom w:val="0"/>
          <w:divBdr>
            <w:top w:val="none" w:sz="0" w:space="0" w:color="auto"/>
            <w:left w:val="none" w:sz="0" w:space="0" w:color="auto"/>
            <w:bottom w:val="none" w:sz="0" w:space="0" w:color="auto"/>
            <w:right w:val="none" w:sz="0" w:space="0" w:color="auto"/>
          </w:divBdr>
        </w:div>
        <w:div w:id="842550940">
          <w:marLeft w:val="0"/>
          <w:marRight w:val="0"/>
          <w:marTop w:val="0"/>
          <w:marBottom w:val="0"/>
          <w:divBdr>
            <w:top w:val="none" w:sz="0" w:space="0" w:color="auto"/>
            <w:left w:val="none" w:sz="0" w:space="0" w:color="auto"/>
            <w:bottom w:val="none" w:sz="0" w:space="0" w:color="auto"/>
            <w:right w:val="none" w:sz="0" w:space="0" w:color="auto"/>
          </w:divBdr>
        </w:div>
        <w:div w:id="864633984">
          <w:marLeft w:val="0"/>
          <w:marRight w:val="0"/>
          <w:marTop w:val="0"/>
          <w:marBottom w:val="0"/>
          <w:divBdr>
            <w:top w:val="none" w:sz="0" w:space="0" w:color="auto"/>
            <w:left w:val="none" w:sz="0" w:space="0" w:color="auto"/>
            <w:bottom w:val="none" w:sz="0" w:space="0" w:color="auto"/>
            <w:right w:val="none" w:sz="0" w:space="0" w:color="auto"/>
          </w:divBdr>
        </w:div>
        <w:div w:id="886844511">
          <w:marLeft w:val="0"/>
          <w:marRight w:val="0"/>
          <w:marTop w:val="0"/>
          <w:marBottom w:val="0"/>
          <w:divBdr>
            <w:top w:val="none" w:sz="0" w:space="0" w:color="auto"/>
            <w:left w:val="none" w:sz="0" w:space="0" w:color="auto"/>
            <w:bottom w:val="none" w:sz="0" w:space="0" w:color="auto"/>
            <w:right w:val="none" w:sz="0" w:space="0" w:color="auto"/>
          </w:divBdr>
        </w:div>
        <w:div w:id="894197022">
          <w:marLeft w:val="0"/>
          <w:marRight w:val="0"/>
          <w:marTop w:val="0"/>
          <w:marBottom w:val="0"/>
          <w:divBdr>
            <w:top w:val="none" w:sz="0" w:space="0" w:color="auto"/>
            <w:left w:val="none" w:sz="0" w:space="0" w:color="auto"/>
            <w:bottom w:val="none" w:sz="0" w:space="0" w:color="auto"/>
            <w:right w:val="none" w:sz="0" w:space="0" w:color="auto"/>
          </w:divBdr>
        </w:div>
        <w:div w:id="903180731">
          <w:marLeft w:val="0"/>
          <w:marRight w:val="0"/>
          <w:marTop w:val="0"/>
          <w:marBottom w:val="0"/>
          <w:divBdr>
            <w:top w:val="none" w:sz="0" w:space="0" w:color="auto"/>
            <w:left w:val="none" w:sz="0" w:space="0" w:color="auto"/>
            <w:bottom w:val="none" w:sz="0" w:space="0" w:color="auto"/>
            <w:right w:val="none" w:sz="0" w:space="0" w:color="auto"/>
          </w:divBdr>
        </w:div>
        <w:div w:id="906258210">
          <w:marLeft w:val="0"/>
          <w:marRight w:val="0"/>
          <w:marTop w:val="0"/>
          <w:marBottom w:val="0"/>
          <w:divBdr>
            <w:top w:val="none" w:sz="0" w:space="0" w:color="auto"/>
            <w:left w:val="none" w:sz="0" w:space="0" w:color="auto"/>
            <w:bottom w:val="none" w:sz="0" w:space="0" w:color="auto"/>
            <w:right w:val="none" w:sz="0" w:space="0" w:color="auto"/>
          </w:divBdr>
        </w:div>
        <w:div w:id="926692478">
          <w:marLeft w:val="0"/>
          <w:marRight w:val="0"/>
          <w:marTop w:val="0"/>
          <w:marBottom w:val="0"/>
          <w:divBdr>
            <w:top w:val="none" w:sz="0" w:space="0" w:color="auto"/>
            <w:left w:val="none" w:sz="0" w:space="0" w:color="auto"/>
            <w:bottom w:val="none" w:sz="0" w:space="0" w:color="auto"/>
            <w:right w:val="none" w:sz="0" w:space="0" w:color="auto"/>
          </w:divBdr>
        </w:div>
        <w:div w:id="930890608">
          <w:marLeft w:val="0"/>
          <w:marRight w:val="0"/>
          <w:marTop w:val="0"/>
          <w:marBottom w:val="0"/>
          <w:divBdr>
            <w:top w:val="none" w:sz="0" w:space="0" w:color="auto"/>
            <w:left w:val="none" w:sz="0" w:space="0" w:color="auto"/>
            <w:bottom w:val="none" w:sz="0" w:space="0" w:color="auto"/>
            <w:right w:val="none" w:sz="0" w:space="0" w:color="auto"/>
          </w:divBdr>
        </w:div>
        <w:div w:id="936790921">
          <w:marLeft w:val="0"/>
          <w:marRight w:val="0"/>
          <w:marTop w:val="0"/>
          <w:marBottom w:val="0"/>
          <w:divBdr>
            <w:top w:val="none" w:sz="0" w:space="0" w:color="auto"/>
            <w:left w:val="none" w:sz="0" w:space="0" w:color="auto"/>
            <w:bottom w:val="none" w:sz="0" w:space="0" w:color="auto"/>
            <w:right w:val="none" w:sz="0" w:space="0" w:color="auto"/>
          </w:divBdr>
        </w:div>
        <w:div w:id="962536792">
          <w:marLeft w:val="0"/>
          <w:marRight w:val="0"/>
          <w:marTop w:val="0"/>
          <w:marBottom w:val="0"/>
          <w:divBdr>
            <w:top w:val="none" w:sz="0" w:space="0" w:color="auto"/>
            <w:left w:val="none" w:sz="0" w:space="0" w:color="auto"/>
            <w:bottom w:val="none" w:sz="0" w:space="0" w:color="auto"/>
            <w:right w:val="none" w:sz="0" w:space="0" w:color="auto"/>
          </w:divBdr>
        </w:div>
        <w:div w:id="967197097">
          <w:marLeft w:val="0"/>
          <w:marRight w:val="0"/>
          <w:marTop w:val="0"/>
          <w:marBottom w:val="0"/>
          <w:divBdr>
            <w:top w:val="none" w:sz="0" w:space="0" w:color="auto"/>
            <w:left w:val="none" w:sz="0" w:space="0" w:color="auto"/>
            <w:bottom w:val="none" w:sz="0" w:space="0" w:color="auto"/>
            <w:right w:val="none" w:sz="0" w:space="0" w:color="auto"/>
          </w:divBdr>
        </w:div>
        <w:div w:id="984164755">
          <w:marLeft w:val="0"/>
          <w:marRight w:val="0"/>
          <w:marTop w:val="0"/>
          <w:marBottom w:val="0"/>
          <w:divBdr>
            <w:top w:val="none" w:sz="0" w:space="0" w:color="auto"/>
            <w:left w:val="none" w:sz="0" w:space="0" w:color="auto"/>
            <w:bottom w:val="none" w:sz="0" w:space="0" w:color="auto"/>
            <w:right w:val="none" w:sz="0" w:space="0" w:color="auto"/>
          </w:divBdr>
        </w:div>
        <w:div w:id="984895685">
          <w:marLeft w:val="0"/>
          <w:marRight w:val="0"/>
          <w:marTop w:val="0"/>
          <w:marBottom w:val="0"/>
          <w:divBdr>
            <w:top w:val="none" w:sz="0" w:space="0" w:color="auto"/>
            <w:left w:val="none" w:sz="0" w:space="0" w:color="auto"/>
            <w:bottom w:val="none" w:sz="0" w:space="0" w:color="auto"/>
            <w:right w:val="none" w:sz="0" w:space="0" w:color="auto"/>
          </w:divBdr>
        </w:div>
        <w:div w:id="985162206">
          <w:marLeft w:val="0"/>
          <w:marRight w:val="0"/>
          <w:marTop w:val="0"/>
          <w:marBottom w:val="0"/>
          <w:divBdr>
            <w:top w:val="none" w:sz="0" w:space="0" w:color="auto"/>
            <w:left w:val="none" w:sz="0" w:space="0" w:color="auto"/>
            <w:bottom w:val="none" w:sz="0" w:space="0" w:color="auto"/>
            <w:right w:val="none" w:sz="0" w:space="0" w:color="auto"/>
          </w:divBdr>
        </w:div>
        <w:div w:id="988093141">
          <w:marLeft w:val="0"/>
          <w:marRight w:val="0"/>
          <w:marTop w:val="0"/>
          <w:marBottom w:val="0"/>
          <w:divBdr>
            <w:top w:val="none" w:sz="0" w:space="0" w:color="auto"/>
            <w:left w:val="none" w:sz="0" w:space="0" w:color="auto"/>
            <w:bottom w:val="none" w:sz="0" w:space="0" w:color="auto"/>
            <w:right w:val="none" w:sz="0" w:space="0" w:color="auto"/>
          </w:divBdr>
        </w:div>
        <w:div w:id="1002854563">
          <w:marLeft w:val="0"/>
          <w:marRight w:val="0"/>
          <w:marTop w:val="0"/>
          <w:marBottom w:val="0"/>
          <w:divBdr>
            <w:top w:val="none" w:sz="0" w:space="0" w:color="auto"/>
            <w:left w:val="none" w:sz="0" w:space="0" w:color="auto"/>
            <w:bottom w:val="none" w:sz="0" w:space="0" w:color="auto"/>
            <w:right w:val="none" w:sz="0" w:space="0" w:color="auto"/>
          </w:divBdr>
        </w:div>
        <w:div w:id="1032068945">
          <w:marLeft w:val="0"/>
          <w:marRight w:val="0"/>
          <w:marTop w:val="0"/>
          <w:marBottom w:val="0"/>
          <w:divBdr>
            <w:top w:val="none" w:sz="0" w:space="0" w:color="auto"/>
            <w:left w:val="none" w:sz="0" w:space="0" w:color="auto"/>
            <w:bottom w:val="none" w:sz="0" w:space="0" w:color="auto"/>
            <w:right w:val="none" w:sz="0" w:space="0" w:color="auto"/>
          </w:divBdr>
        </w:div>
        <w:div w:id="1036153452">
          <w:marLeft w:val="0"/>
          <w:marRight w:val="0"/>
          <w:marTop w:val="0"/>
          <w:marBottom w:val="0"/>
          <w:divBdr>
            <w:top w:val="none" w:sz="0" w:space="0" w:color="auto"/>
            <w:left w:val="none" w:sz="0" w:space="0" w:color="auto"/>
            <w:bottom w:val="none" w:sz="0" w:space="0" w:color="auto"/>
            <w:right w:val="none" w:sz="0" w:space="0" w:color="auto"/>
          </w:divBdr>
        </w:div>
        <w:div w:id="1038894054">
          <w:marLeft w:val="0"/>
          <w:marRight w:val="0"/>
          <w:marTop w:val="0"/>
          <w:marBottom w:val="0"/>
          <w:divBdr>
            <w:top w:val="none" w:sz="0" w:space="0" w:color="auto"/>
            <w:left w:val="none" w:sz="0" w:space="0" w:color="auto"/>
            <w:bottom w:val="none" w:sz="0" w:space="0" w:color="auto"/>
            <w:right w:val="none" w:sz="0" w:space="0" w:color="auto"/>
          </w:divBdr>
        </w:div>
        <w:div w:id="1041903152">
          <w:marLeft w:val="0"/>
          <w:marRight w:val="0"/>
          <w:marTop w:val="0"/>
          <w:marBottom w:val="0"/>
          <w:divBdr>
            <w:top w:val="none" w:sz="0" w:space="0" w:color="auto"/>
            <w:left w:val="none" w:sz="0" w:space="0" w:color="auto"/>
            <w:bottom w:val="none" w:sz="0" w:space="0" w:color="auto"/>
            <w:right w:val="none" w:sz="0" w:space="0" w:color="auto"/>
          </w:divBdr>
        </w:div>
        <w:div w:id="1051417248">
          <w:marLeft w:val="0"/>
          <w:marRight w:val="0"/>
          <w:marTop w:val="0"/>
          <w:marBottom w:val="0"/>
          <w:divBdr>
            <w:top w:val="none" w:sz="0" w:space="0" w:color="auto"/>
            <w:left w:val="none" w:sz="0" w:space="0" w:color="auto"/>
            <w:bottom w:val="none" w:sz="0" w:space="0" w:color="auto"/>
            <w:right w:val="none" w:sz="0" w:space="0" w:color="auto"/>
          </w:divBdr>
        </w:div>
        <w:div w:id="1058934930">
          <w:marLeft w:val="0"/>
          <w:marRight w:val="0"/>
          <w:marTop w:val="0"/>
          <w:marBottom w:val="0"/>
          <w:divBdr>
            <w:top w:val="none" w:sz="0" w:space="0" w:color="auto"/>
            <w:left w:val="none" w:sz="0" w:space="0" w:color="auto"/>
            <w:bottom w:val="none" w:sz="0" w:space="0" w:color="auto"/>
            <w:right w:val="none" w:sz="0" w:space="0" w:color="auto"/>
          </w:divBdr>
        </w:div>
        <w:div w:id="1059013835">
          <w:marLeft w:val="0"/>
          <w:marRight w:val="0"/>
          <w:marTop w:val="0"/>
          <w:marBottom w:val="0"/>
          <w:divBdr>
            <w:top w:val="none" w:sz="0" w:space="0" w:color="auto"/>
            <w:left w:val="none" w:sz="0" w:space="0" w:color="auto"/>
            <w:bottom w:val="none" w:sz="0" w:space="0" w:color="auto"/>
            <w:right w:val="none" w:sz="0" w:space="0" w:color="auto"/>
          </w:divBdr>
        </w:div>
        <w:div w:id="1066220785">
          <w:marLeft w:val="0"/>
          <w:marRight w:val="0"/>
          <w:marTop w:val="0"/>
          <w:marBottom w:val="0"/>
          <w:divBdr>
            <w:top w:val="none" w:sz="0" w:space="0" w:color="auto"/>
            <w:left w:val="none" w:sz="0" w:space="0" w:color="auto"/>
            <w:bottom w:val="none" w:sz="0" w:space="0" w:color="auto"/>
            <w:right w:val="none" w:sz="0" w:space="0" w:color="auto"/>
          </w:divBdr>
        </w:div>
        <w:div w:id="1085300222">
          <w:marLeft w:val="0"/>
          <w:marRight w:val="0"/>
          <w:marTop w:val="0"/>
          <w:marBottom w:val="0"/>
          <w:divBdr>
            <w:top w:val="none" w:sz="0" w:space="0" w:color="auto"/>
            <w:left w:val="none" w:sz="0" w:space="0" w:color="auto"/>
            <w:bottom w:val="none" w:sz="0" w:space="0" w:color="auto"/>
            <w:right w:val="none" w:sz="0" w:space="0" w:color="auto"/>
          </w:divBdr>
        </w:div>
        <w:div w:id="1087195904">
          <w:marLeft w:val="0"/>
          <w:marRight w:val="0"/>
          <w:marTop w:val="0"/>
          <w:marBottom w:val="0"/>
          <w:divBdr>
            <w:top w:val="none" w:sz="0" w:space="0" w:color="auto"/>
            <w:left w:val="none" w:sz="0" w:space="0" w:color="auto"/>
            <w:bottom w:val="none" w:sz="0" w:space="0" w:color="auto"/>
            <w:right w:val="none" w:sz="0" w:space="0" w:color="auto"/>
          </w:divBdr>
        </w:div>
        <w:div w:id="1089426096">
          <w:marLeft w:val="0"/>
          <w:marRight w:val="0"/>
          <w:marTop w:val="0"/>
          <w:marBottom w:val="0"/>
          <w:divBdr>
            <w:top w:val="none" w:sz="0" w:space="0" w:color="auto"/>
            <w:left w:val="none" w:sz="0" w:space="0" w:color="auto"/>
            <w:bottom w:val="none" w:sz="0" w:space="0" w:color="auto"/>
            <w:right w:val="none" w:sz="0" w:space="0" w:color="auto"/>
          </w:divBdr>
        </w:div>
        <w:div w:id="1091271411">
          <w:marLeft w:val="0"/>
          <w:marRight w:val="0"/>
          <w:marTop w:val="0"/>
          <w:marBottom w:val="0"/>
          <w:divBdr>
            <w:top w:val="none" w:sz="0" w:space="0" w:color="auto"/>
            <w:left w:val="none" w:sz="0" w:space="0" w:color="auto"/>
            <w:bottom w:val="none" w:sz="0" w:space="0" w:color="auto"/>
            <w:right w:val="none" w:sz="0" w:space="0" w:color="auto"/>
          </w:divBdr>
        </w:div>
        <w:div w:id="1120758588">
          <w:marLeft w:val="0"/>
          <w:marRight w:val="0"/>
          <w:marTop w:val="0"/>
          <w:marBottom w:val="0"/>
          <w:divBdr>
            <w:top w:val="none" w:sz="0" w:space="0" w:color="auto"/>
            <w:left w:val="none" w:sz="0" w:space="0" w:color="auto"/>
            <w:bottom w:val="none" w:sz="0" w:space="0" w:color="auto"/>
            <w:right w:val="none" w:sz="0" w:space="0" w:color="auto"/>
          </w:divBdr>
        </w:div>
        <w:div w:id="1129394920">
          <w:marLeft w:val="0"/>
          <w:marRight w:val="0"/>
          <w:marTop w:val="0"/>
          <w:marBottom w:val="0"/>
          <w:divBdr>
            <w:top w:val="none" w:sz="0" w:space="0" w:color="auto"/>
            <w:left w:val="none" w:sz="0" w:space="0" w:color="auto"/>
            <w:bottom w:val="none" w:sz="0" w:space="0" w:color="auto"/>
            <w:right w:val="none" w:sz="0" w:space="0" w:color="auto"/>
          </w:divBdr>
        </w:div>
        <w:div w:id="1156845443">
          <w:marLeft w:val="0"/>
          <w:marRight w:val="0"/>
          <w:marTop w:val="0"/>
          <w:marBottom w:val="0"/>
          <w:divBdr>
            <w:top w:val="none" w:sz="0" w:space="0" w:color="auto"/>
            <w:left w:val="none" w:sz="0" w:space="0" w:color="auto"/>
            <w:bottom w:val="none" w:sz="0" w:space="0" w:color="auto"/>
            <w:right w:val="none" w:sz="0" w:space="0" w:color="auto"/>
          </w:divBdr>
        </w:div>
        <w:div w:id="1163353206">
          <w:marLeft w:val="0"/>
          <w:marRight w:val="0"/>
          <w:marTop w:val="0"/>
          <w:marBottom w:val="0"/>
          <w:divBdr>
            <w:top w:val="none" w:sz="0" w:space="0" w:color="auto"/>
            <w:left w:val="none" w:sz="0" w:space="0" w:color="auto"/>
            <w:bottom w:val="none" w:sz="0" w:space="0" w:color="auto"/>
            <w:right w:val="none" w:sz="0" w:space="0" w:color="auto"/>
          </w:divBdr>
        </w:div>
        <w:div w:id="1169909880">
          <w:marLeft w:val="0"/>
          <w:marRight w:val="0"/>
          <w:marTop w:val="0"/>
          <w:marBottom w:val="0"/>
          <w:divBdr>
            <w:top w:val="none" w:sz="0" w:space="0" w:color="auto"/>
            <w:left w:val="none" w:sz="0" w:space="0" w:color="auto"/>
            <w:bottom w:val="none" w:sz="0" w:space="0" w:color="auto"/>
            <w:right w:val="none" w:sz="0" w:space="0" w:color="auto"/>
          </w:divBdr>
        </w:div>
        <w:div w:id="1218516402">
          <w:marLeft w:val="0"/>
          <w:marRight w:val="0"/>
          <w:marTop w:val="0"/>
          <w:marBottom w:val="0"/>
          <w:divBdr>
            <w:top w:val="none" w:sz="0" w:space="0" w:color="auto"/>
            <w:left w:val="none" w:sz="0" w:space="0" w:color="auto"/>
            <w:bottom w:val="none" w:sz="0" w:space="0" w:color="auto"/>
            <w:right w:val="none" w:sz="0" w:space="0" w:color="auto"/>
          </w:divBdr>
        </w:div>
        <w:div w:id="1245722022">
          <w:marLeft w:val="0"/>
          <w:marRight w:val="0"/>
          <w:marTop w:val="0"/>
          <w:marBottom w:val="0"/>
          <w:divBdr>
            <w:top w:val="none" w:sz="0" w:space="0" w:color="auto"/>
            <w:left w:val="none" w:sz="0" w:space="0" w:color="auto"/>
            <w:bottom w:val="none" w:sz="0" w:space="0" w:color="auto"/>
            <w:right w:val="none" w:sz="0" w:space="0" w:color="auto"/>
          </w:divBdr>
        </w:div>
        <w:div w:id="1248877600">
          <w:marLeft w:val="0"/>
          <w:marRight w:val="0"/>
          <w:marTop w:val="0"/>
          <w:marBottom w:val="0"/>
          <w:divBdr>
            <w:top w:val="none" w:sz="0" w:space="0" w:color="auto"/>
            <w:left w:val="none" w:sz="0" w:space="0" w:color="auto"/>
            <w:bottom w:val="none" w:sz="0" w:space="0" w:color="auto"/>
            <w:right w:val="none" w:sz="0" w:space="0" w:color="auto"/>
          </w:divBdr>
        </w:div>
        <w:div w:id="1258908959">
          <w:marLeft w:val="0"/>
          <w:marRight w:val="0"/>
          <w:marTop w:val="0"/>
          <w:marBottom w:val="0"/>
          <w:divBdr>
            <w:top w:val="none" w:sz="0" w:space="0" w:color="auto"/>
            <w:left w:val="none" w:sz="0" w:space="0" w:color="auto"/>
            <w:bottom w:val="none" w:sz="0" w:space="0" w:color="auto"/>
            <w:right w:val="none" w:sz="0" w:space="0" w:color="auto"/>
          </w:divBdr>
        </w:div>
        <w:div w:id="1284313173">
          <w:marLeft w:val="0"/>
          <w:marRight w:val="0"/>
          <w:marTop w:val="0"/>
          <w:marBottom w:val="0"/>
          <w:divBdr>
            <w:top w:val="none" w:sz="0" w:space="0" w:color="auto"/>
            <w:left w:val="none" w:sz="0" w:space="0" w:color="auto"/>
            <w:bottom w:val="none" w:sz="0" w:space="0" w:color="auto"/>
            <w:right w:val="none" w:sz="0" w:space="0" w:color="auto"/>
          </w:divBdr>
        </w:div>
        <w:div w:id="1311014727">
          <w:marLeft w:val="0"/>
          <w:marRight w:val="0"/>
          <w:marTop w:val="0"/>
          <w:marBottom w:val="0"/>
          <w:divBdr>
            <w:top w:val="none" w:sz="0" w:space="0" w:color="auto"/>
            <w:left w:val="none" w:sz="0" w:space="0" w:color="auto"/>
            <w:bottom w:val="none" w:sz="0" w:space="0" w:color="auto"/>
            <w:right w:val="none" w:sz="0" w:space="0" w:color="auto"/>
          </w:divBdr>
        </w:div>
        <w:div w:id="1315795972">
          <w:marLeft w:val="0"/>
          <w:marRight w:val="0"/>
          <w:marTop w:val="0"/>
          <w:marBottom w:val="0"/>
          <w:divBdr>
            <w:top w:val="none" w:sz="0" w:space="0" w:color="auto"/>
            <w:left w:val="none" w:sz="0" w:space="0" w:color="auto"/>
            <w:bottom w:val="none" w:sz="0" w:space="0" w:color="auto"/>
            <w:right w:val="none" w:sz="0" w:space="0" w:color="auto"/>
          </w:divBdr>
        </w:div>
        <w:div w:id="1317221608">
          <w:marLeft w:val="0"/>
          <w:marRight w:val="0"/>
          <w:marTop w:val="0"/>
          <w:marBottom w:val="0"/>
          <w:divBdr>
            <w:top w:val="none" w:sz="0" w:space="0" w:color="auto"/>
            <w:left w:val="none" w:sz="0" w:space="0" w:color="auto"/>
            <w:bottom w:val="none" w:sz="0" w:space="0" w:color="auto"/>
            <w:right w:val="none" w:sz="0" w:space="0" w:color="auto"/>
          </w:divBdr>
        </w:div>
        <w:div w:id="1335575304">
          <w:marLeft w:val="0"/>
          <w:marRight w:val="0"/>
          <w:marTop w:val="0"/>
          <w:marBottom w:val="0"/>
          <w:divBdr>
            <w:top w:val="none" w:sz="0" w:space="0" w:color="auto"/>
            <w:left w:val="none" w:sz="0" w:space="0" w:color="auto"/>
            <w:bottom w:val="none" w:sz="0" w:space="0" w:color="auto"/>
            <w:right w:val="none" w:sz="0" w:space="0" w:color="auto"/>
          </w:divBdr>
        </w:div>
        <w:div w:id="1356465541">
          <w:marLeft w:val="0"/>
          <w:marRight w:val="0"/>
          <w:marTop w:val="0"/>
          <w:marBottom w:val="0"/>
          <w:divBdr>
            <w:top w:val="none" w:sz="0" w:space="0" w:color="auto"/>
            <w:left w:val="none" w:sz="0" w:space="0" w:color="auto"/>
            <w:bottom w:val="none" w:sz="0" w:space="0" w:color="auto"/>
            <w:right w:val="none" w:sz="0" w:space="0" w:color="auto"/>
          </w:divBdr>
        </w:div>
        <w:div w:id="1361511512">
          <w:marLeft w:val="0"/>
          <w:marRight w:val="0"/>
          <w:marTop w:val="0"/>
          <w:marBottom w:val="0"/>
          <w:divBdr>
            <w:top w:val="none" w:sz="0" w:space="0" w:color="auto"/>
            <w:left w:val="none" w:sz="0" w:space="0" w:color="auto"/>
            <w:bottom w:val="none" w:sz="0" w:space="0" w:color="auto"/>
            <w:right w:val="none" w:sz="0" w:space="0" w:color="auto"/>
          </w:divBdr>
        </w:div>
        <w:div w:id="1378168502">
          <w:marLeft w:val="0"/>
          <w:marRight w:val="0"/>
          <w:marTop w:val="0"/>
          <w:marBottom w:val="0"/>
          <w:divBdr>
            <w:top w:val="none" w:sz="0" w:space="0" w:color="auto"/>
            <w:left w:val="none" w:sz="0" w:space="0" w:color="auto"/>
            <w:bottom w:val="none" w:sz="0" w:space="0" w:color="auto"/>
            <w:right w:val="none" w:sz="0" w:space="0" w:color="auto"/>
          </w:divBdr>
        </w:div>
        <w:div w:id="1402481536">
          <w:marLeft w:val="0"/>
          <w:marRight w:val="0"/>
          <w:marTop w:val="0"/>
          <w:marBottom w:val="0"/>
          <w:divBdr>
            <w:top w:val="none" w:sz="0" w:space="0" w:color="auto"/>
            <w:left w:val="none" w:sz="0" w:space="0" w:color="auto"/>
            <w:bottom w:val="none" w:sz="0" w:space="0" w:color="auto"/>
            <w:right w:val="none" w:sz="0" w:space="0" w:color="auto"/>
          </w:divBdr>
        </w:div>
        <w:div w:id="1403329746">
          <w:marLeft w:val="0"/>
          <w:marRight w:val="0"/>
          <w:marTop w:val="0"/>
          <w:marBottom w:val="0"/>
          <w:divBdr>
            <w:top w:val="none" w:sz="0" w:space="0" w:color="auto"/>
            <w:left w:val="none" w:sz="0" w:space="0" w:color="auto"/>
            <w:bottom w:val="none" w:sz="0" w:space="0" w:color="auto"/>
            <w:right w:val="none" w:sz="0" w:space="0" w:color="auto"/>
          </w:divBdr>
        </w:div>
        <w:div w:id="1408846349">
          <w:marLeft w:val="0"/>
          <w:marRight w:val="0"/>
          <w:marTop w:val="0"/>
          <w:marBottom w:val="0"/>
          <w:divBdr>
            <w:top w:val="none" w:sz="0" w:space="0" w:color="auto"/>
            <w:left w:val="none" w:sz="0" w:space="0" w:color="auto"/>
            <w:bottom w:val="none" w:sz="0" w:space="0" w:color="auto"/>
            <w:right w:val="none" w:sz="0" w:space="0" w:color="auto"/>
          </w:divBdr>
        </w:div>
        <w:div w:id="1412043312">
          <w:marLeft w:val="0"/>
          <w:marRight w:val="0"/>
          <w:marTop w:val="0"/>
          <w:marBottom w:val="0"/>
          <w:divBdr>
            <w:top w:val="none" w:sz="0" w:space="0" w:color="auto"/>
            <w:left w:val="none" w:sz="0" w:space="0" w:color="auto"/>
            <w:bottom w:val="none" w:sz="0" w:space="0" w:color="auto"/>
            <w:right w:val="none" w:sz="0" w:space="0" w:color="auto"/>
          </w:divBdr>
        </w:div>
        <w:div w:id="1417626995">
          <w:marLeft w:val="0"/>
          <w:marRight w:val="0"/>
          <w:marTop w:val="0"/>
          <w:marBottom w:val="0"/>
          <w:divBdr>
            <w:top w:val="none" w:sz="0" w:space="0" w:color="auto"/>
            <w:left w:val="none" w:sz="0" w:space="0" w:color="auto"/>
            <w:bottom w:val="none" w:sz="0" w:space="0" w:color="auto"/>
            <w:right w:val="none" w:sz="0" w:space="0" w:color="auto"/>
          </w:divBdr>
        </w:div>
        <w:div w:id="1426072214">
          <w:marLeft w:val="0"/>
          <w:marRight w:val="0"/>
          <w:marTop w:val="0"/>
          <w:marBottom w:val="0"/>
          <w:divBdr>
            <w:top w:val="none" w:sz="0" w:space="0" w:color="auto"/>
            <w:left w:val="none" w:sz="0" w:space="0" w:color="auto"/>
            <w:bottom w:val="none" w:sz="0" w:space="0" w:color="auto"/>
            <w:right w:val="none" w:sz="0" w:space="0" w:color="auto"/>
          </w:divBdr>
        </w:div>
        <w:div w:id="1430157242">
          <w:marLeft w:val="0"/>
          <w:marRight w:val="0"/>
          <w:marTop w:val="0"/>
          <w:marBottom w:val="0"/>
          <w:divBdr>
            <w:top w:val="none" w:sz="0" w:space="0" w:color="auto"/>
            <w:left w:val="none" w:sz="0" w:space="0" w:color="auto"/>
            <w:bottom w:val="none" w:sz="0" w:space="0" w:color="auto"/>
            <w:right w:val="none" w:sz="0" w:space="0" w:color="auto"/>
          </w:divBdr>
        </w:div>
        <w:div w:id="1440569086">
          <w:marLeft w:val="0"/>
          <w:marRight w:val="0"/>
          <w:marTop w:val="0"/>
          <w:marBottom w:val="0"/>
          <w:divBdr>
            <w:top w:val="none" w:sz="0" w:space="0" w:color="auto"/>
            <w:left w:val="none" w:sz="0" w:space="0" w:color="auto"/>
            <w:bottom w:val="none" w:sz="0" w:space="0" w:color="auto"/>
            <w:right w:val="none" w:sz="0" w:space="0" w:color="auto"/>
          </w:divBdr>
        </w:div>
        <w:div w:id="1448087858">
          <w:marLeft w:val="0"/>
          <w:marRight w:val="0"/>
          <w:marTop w:val="0"/>
          <w:marBottom w:val="0"/>
          <w:divBdr>
            <w:top w:val="none" w:sz="0" w:space="0" w:color="auto"/>
            <w:left w:val="none" w:sz="0" w:space="0" w:color="auto"/>
            <w:bottom w:val="none" w:sz="0" w:space="0" w:color="auto"/>
            <w:right w:val="none" w:sz="0" w:space="0" w:color="auto"/>
          </w:divBdr>
        </w:div>
        <w:div w:id="1481996077">
          <w:marLeft w:val="0"/>
          <w:marRight w:val="0"/>
          <w:marTop w:val="0"/>
          <w:marBottom w:val="0"/>
          <w:divBdr>
            <w:top w:val="none" w:sz="0" w:space="0" w:color="auto"/>
            <w:left w:val="none" w:sz="0" w:space="0" w:color="auto"/>
            <w:bottom w:val="none" w:sz="0" w:space="0" w:color="auto"/>
            <w:right w:val="none" w:sz="0" w:space="0" w:color="auto"/>
          </w:divBdr>
        </w:div>
        <w:div w:id="1494176066">
          <w:marLeft w:val="0"/>
          <w:marRight w:val="0"/>
          <w:marTop w:val="0"/>
          <w:marBottom w:val="0"/>
          <w:divBdr>
            <w:top w:val="none" w:sz="0" w:space="0" w:color="auto"/>
            <w:left w:val="none" w:sz="0" w:space="0" w:color="auto"/>
            <w:bottom w:val="none" w:sz="0" w:space="0" w:color="auto"/>
            <w:right w:val="none" w:sz="0" w:space="0" w:color="auto"/>
          </w:divBdr>
        </w:div>
        <w:div w:id="1495685276">
          <w:marLeft w:val="0"/>
          <w:marRight w:val="0"/>
          <w:marTop w:val="0"/>
          <w:marBottom w:val="0"/>
          <w:divBdr>
            <w:top w:val="none" w:sz="0" w:space="0" w:color="auto"/>
            <w:left w:val="none" w:sz="0" w:space="0" w:color="auto"/>
            <w:bottom w:val="none" w:sz="0" w:space="0" w:color="auto"/>
            <w:right w:val="none" w:sz="0" w:space="0" w:color="auto"/>
          </w:divBdr>
        </w:div>
        <w:div w:id="1496611172">
          <w:marLeft w:val="0"/>
          <w:marRight w:val="0"/>
          <w:marTop w:val="0"/>
          <w:marBottom w:val="0"/>
          <w:divBdr>
            <w:top w:val="none" w:sz="0" w:space="0" w:color="auto"/>
            <w:left w:val="none" w:sz="0" w:space="0" w:color="auto"/>
            <w:bottom w:val="none" w:sz="0" w:space="0" w:color="auto"/>
            <w:right w:val="none" w:sz="0" w:space="0" w:color="auto"/>
          </w:divBdr>
        </w:div>
        <w:div w:id="1511724631">
          <w:marLeft w:val="0"/>
          <w:marRight w:val="0"/>
          <w:marTop w:val="0"/>
          <w:marBottom w:val="0"/>
          <w:divBdr>
            <w:top w:val="none" w:sz="0" w:space="0" w:color="auto"/>
            <w:left w:val="none" w:sz="0" w:space="0" w:color="auto"/>
            <w:bottom w:val="none" w:sz="0" w:space="0" w:color="auto"/>
            <w:right w:val="none" w:sz="0" w:space="0" w:color="auto"/>
          </w:divBdr>
        </w:div>
        <w:div w:id="1521775205">
          <w:marLeft w:val="0"/>
          <w:marRight w:val="0"/>
          <w:marTop w:val="0"/>
          <w:marBottom w:val="0"/>
          <w:divBdr>
            <w:top w:val="none" w:sz="0" w:space="0" w:color="auto"/>
            <w:left w:val="none" w:sz="0" w:space="0" w:color="auto"/>
            <w:bottom w:val="none" w:sz="0" w:space="0" w:color="auto"/>
            <w:right w:val="none" w:sz="0" w:space="0" w:color="auto"/>
          </w:divBdr>
        </w:div>
        <w:div w:id="1543907133">
          <w:marLeft w:val="0"/>
          <w:marRight w:val="0"/>
          <w:marTop w:val="0"/>
          <w:marBottom w:val="0"/>
          <w:divBdr>
            <w:top w:val="none" w:sz="0" w:space="0" w:color="auto"/>
            <w:left w:val="none" w:sz="0" w:space="0" w:color="auto"/>
            <w:bottom w:val="none" w:sz="0" w:space="0" w:color="auto"/>
            <w:right w:val="none" w:sz="0" w:space="0" w:color="auto"/>
          </w:divBdr>
        </w:div>
        <w:div w:id="1547722693">
          <w:marLeft w:val="0"/>
          <w:marRight w:val="0"/>
          <w:marTop w:val="0"/>
          <w:marBottom w:val="0"/>
          <w:divBdr>
            <w:top w:val="none" w:sz="0" w:space="0" w:color="auto"/>
            <w:left w:val="none" w:sz="0" w:space="0" w:color="auto"/>
            <w:bottom w:val="none" w:sz="0" w:space="0" w:color="auto"/>
            <w:right w:val="none" w:sz="0" w:space="0" w:color="auto"/>
          </w:divBdr>
        </w:div>
        <w:div w:id="1552183657">
          <w:marLeft w:val="0"/>
          <w:marRight w:val="0"/>
          <w:marTop w:val="0"/>
          <w:marBottom w:val="0"/>
          <w:divBdr>
            <w:top w:val="none" w:sz="0" w:space="0" w:color="auto"/>
            <w:left w:val="none" w:sz="0" w:space="0" w:color="auto"/>
            <w:bottom w:val="none" w:sz="0" w:space="0" w:color="auto"/>
            <w:right w:val="none" w:sz="0" w:space="0" w:color="auto"/>
          </w:divBdr>
        </w:div>
        <w:div w:id="1559706546">
          <w:marLeft w:val="0"/>
          <w:marRight w:val="0"/>
          <w:marTop w:val="0"/>
          <w:marBottom w:val="0"/>
          <w:divBdr>
            <w:top w:val="none" w:sz="0" w:space="0" w:color="auto"/>
            <w:left w:val="none" w:sz="0" w:space="0" w:color="auto"/>
            <w:bottom w:val="none" w:sz="0" w:space="0" w:color="auto"/>
            <w:right w:val="none" w:sz="0" w:space="0" w:color="auto"/>
          </w:divBdr>
        </w:div>
        <w:div w:id="1566456177">
          <w:marLeft w:val="0"/>
          <w:marRight w:val="0"/>
          <w:marTop w:val="0"/>
          <w:marBottom w:val="0"/>
          <w:divBdr>
            <w:top w:val="none" w:sz="0" w:space="0" w:color="auto"/>
            <w:left w:val="none" w:sz="0" w:space="0" w:color="auto"/>
            <w:bottom w:val="none" w:sz="0" w:space="0" w:color="auto"/>
            <w:right w:val="none" w:sz="0" w:space="0" w:color="auto"/>
          </w:divBdr>
        </w:div>
        <w:div w:id="1609198168">
          <w:marLeft w:val="0"/>
          <w:marRight w:val="0"/>
          <w:marTop w:val="0"/>
          <w:marBottom w:val="0"/>
          <w:divBdr>
            <w:top w:val="none" w:sz="0" w:space="0" w:color="auto"/>
            <w:left w:val="none" w:sz="0" w:space="0" w:color="auto"/>
            <w:bottom w:val="none" w:sz="0" w:space="0" w:color="auto"/>
            <w:right w:val="none" w:sz="0" w:space="0" w:color="auto"/>
          </w:divBdr>
        </w:div>
        <w:div w:id="1609392353">
          <w:marLeft w:val="0"/>
          <w:marRight w:val="0"/>
          <w:marTop w:val="0"/>
          <w:marBottom w:val="0"/>
          <w:divBdr>
            <w:top w:val="none" w:sz="0" w:space="0" w:color="auto"/>
            <w:left w:val="none" w:sz="0" w:space="0" w:color="auto"/>
            <w:bottom w:val="none" w:sz="0" w:space="0" w:color="auto"/>
            <w:right w:val="none" w:sz="0" w:space="0" w:color="auto"/>
          </w:divBdr>
        </w:div>
        <w:div w:id="1621375482">
          <w:marLeft w:val="0"/>
          <w:marRight w:val="0"/>
          <w:marTop w:val="0"/>
          <w:marBottom w:val="0"/>
          <w:divBdr>
            <w:top w:val="none" w:sz="0" w:space="0" w:color="auto"/>
            <w:left w:val="none" w:sz="0" w:space="0" w:color="auto"/>
            <w:bottom w:val="none" w:sz="0" w:space="0" w:color="auto"/>
            <w:right w:val="none" w:sz="0" w:space="0" w:color="auto"/>
          </w:divBdr>
        </w:div>
        <w:div w:id="1627347889">
          <w:marLeft w:val="0"/>
          <w:marRight w:val="0"/>
          <w:marTop w:val="0"/>
          <w:marBottom w:val="0"/>
          <w:divBdr>
            <w:top w:val="none" w:sz="0" w:space="0" w:color="auto"/>
            <w:left w:val="none" w:sz="0" w:space="0" w:color="auto"/>
            <w:bottom w:val="none" w:sz="0" w:space="0" w:color="auto"/>
            <w:right w:val="none" w:sz="0" w:space="0" w:color="auto"/>
          </w:divBdr>
        </w:div>
        <w:div w:id="1636526483">
          <w:marLeft w:val="0"/>
          <w:marRight w:val="0"/>
          <w:marTop w:val="0"/>
          <w:marBottom w:val="0"/>
          <w:divBdr>
            <w:top w:val="none" w:sz="0" w:space="0" w:color="auto"/>
            <w:left w:val="none" w:sz="0" w:space="0" w:color="auto"/>
            <w:bottom w:val="none" w:sz="0" w:space="0" w:color="auto"/>
            <w:right w:val="none" w:sz="0" w:space="0" w:color="auto"/>
          </w:divBdr>
        </w:div>
        <w:div w:id="1639148891">
          <w:marLeft w:val="0"/>
          <w:marRight w:val="0"/>
          <w:marTop w:val="0"/>
          <w:marBottom w:val="0"/>
          <w:divBdr>
            <w:top w:val="none" w:sz="0" w:space="0" w:color="auto"/>
            <w:left w:val="none" w:sz="0" w:space="0" w:color="auto"/>
            <w:bottom w:val="none" w:sz="0" w:space="0" w:color="auto"/>
            <w:right w:val="none" w:sz="0" w:space="0" w:color="auto"/>
          </w:divBdr>
        </w:div>
        <w:div w:id="1647738019">
          <w:marLeft w:val="0"/>
          <w:marRight w:val="0"/>
          <w:marTop w:val="0"/>
          <w:marBottom w:val="0"/>
          <w:divBdr>
            <w:top w:val="none" w:sz="0" w:space="0" w:color="auto"/>
            <w:left w:val="none" w:sz="0" w:space="0" w:color="auto"/>
            <w:bottom w:val="none" w:sz="0" w:space="0" w:color="auto"/>
            <w:right w:val="none" w:sz="0" w:space="0" w:color="auto"/>
          </w:divBdr>
        </w:div>
        <w:div w:id="1672175963">
          <w:marLeft w:val="0"/>
          <w:marRight w:val="0"/>
          <w:marTop w:val="0"/>
          <w:marBottom w:val="0"/>
          <w:divBdr>
            <w:top w:val="none" w:sz="0" w:space="0" w:color="auto"/>
            <w:left w:val="none" w:sz="0" w:space="0" w:color="auto"/>
            <w:bottom w:val="none" w:sz="0" w:space="0" w:color="auto"/>
            <w:right w:val="none" w:sz="0" w:space="0" w:color="auto"/>
          </w:divBdr>
        </w:div>
        <w:div w:id="1696692634">
          <w:marLeft w:val="0"/>
          <w:marRight w:val="0"/>
          <w:marTop w:val="0"/>
          <w:marBottom w:val="0"/>
          <w:divBdr>
            <w:top w:val="none" w:sz="0" w:space="0" w:color="auto"/>
            <w:left w:val="none" w:sz="0" w:space="0" w:color="auto"/>
            <w:bottom w:val="none" w:sz="0" w:space="0" w:color="auto"/>
            <w:right w:val="none" w:sz="0" w:space="0" w:color="auto"/>
          </w:divBdr>
        </w:div>
        <w:div w:id="1709523009">
          <w:marLeft w:val="0"/>
          <w:marRight w:val="0"/>
          <w:marTop w:val="0"/>
          <w:marBottom w:val="0"/>
          <w:divBdr>
            <w:top w:val="none" w:sz="0" w:space="0" w:color="auto"/>
            <w:left w:val="none" w:sz="0" w:space="0" w:color="auto"/>
            <w:bottom w:val="none" w:sz="0" w:space="0" w:color="auto"/>
            <w:right w:val="none" w:sz="0" w:space="0" w:color="auto"/>
          </w:divBdr>
        </w:div>
        <w:div w:id="1737626116">
          <w:marLeft w:val="0"/>
          <w:marRight w:val="0"/>
          <w:marTop w:val="0"/>
          <w:marBottom w:val="0"/>
          <w:divBdr>
            <w:top w:val="none" w:sz="0" w:space="0" w:color="auto"/>
            <w:left w:val="none" w:sz="0" w:space="0" w:color="auto"/>
            <w:bottom w:val="none" w:sz="0" w:space="0" w:color="auto"/>
            <w:right w:val="none" w:sz="0" w:space="0" w:color="auto"/>
          </w:divBdr>
        </w:div>
        <w:div w:id="1757243304">
          <w:marLeft w:val="0"/>
          <w:marRight w:val="0"/>
          <w:marTop w:val="0"/>
          <w:marBottom w:val="0"/>
          <w:divBdr>
            <w:top w:val="none" w:sz="0" w:space="0" w:color="auto"/>
            <w:left w:val="none" w:sz="0" w:space="0" w:color="auto"/>
            <w:bottom w:val="none" w:sz="0" w:space="0" w:color="auto"/>
            <w:right w:val="none" w:sz="0" w:space="0" w:color="auto"/>
          </w:divBdr>
        </w:div>
        <w:div w:id="1803227508">
          <w:marLeft w:val="0"/>
          <w:marRight w:val="0"/>
          <w:marTop w:val="0"/>
          <w:marBottom w:val="0"/>
          <w:divBdr>
            <w:top w:val="none" w:sz="0" w:space="0" w:color="auto"/>
            <w:left w:val="none" w:sz="0" w:space="0" w:color="auto"/>
            <w:bottom w:val="none" w:sz="0" w:space="0" w:color="auto"/>
            <w:right w:val="none" w:sz="0" w:space="0" w:color="auto"/>
          </w:divBdr>
        </w:div>
        <w:div w:id="1811243879">
          <w:marLeft w:val="0"/>
          <w:marRight w:val="0"/>
          <w:marTop w:val="0"/>
          <w:marBottom w:val="0"/>
          <w:divBdr>
            <w:top w:val="none" w:sz="0" w:space="0" w:color="auto"/>
            <w:left w:val="none" w:sz="0" w:space="0" w:color="auto"/>
            <w:bottom w:val="none" w:sz="0" w:space="0" w:color="auto"/>
            <w:right w:val="none" w:sz="0" w:space="0" w:color="auto"/>
          </w:divBdr>
        </w:div>
        <w:div w:id="1811752446">
          <w:marLeft w:val="0"/>
          <w:marRight w:val="0"/>
          <w:marTop w:val="0"/>
          <w:marBottom w:val="0"/>
          <w:divBdr>
            <w:top w:val="none" w:sz="0" w:space="0" w:color="auto"/>
            <w:left w:val="none" w:sz="0" w:space="0" w:color="auto"/>
            <w:bottom w:val="none" w:sz="0" w:space="0" w:color="auto"/>
            <w:right w:val="none" w:sz="0" w:space="0" w:color="auto"/>
          </w:divBdr>
        </w:div>
        <w:div w:id="1827087597">
          <w:marLeft w:val="0"/>
          <w:marRight w:val="0"/>
          <w:marTop w:val="0"/>
          <w:marBottom w:val="0"/>
          <w:divBdr>
            <w:top w:val="none" w:sz="0" w:space="0" w:color="auto"/>
            <w:left w:val="none" w:sz="0" w:space="0" w:color="auto"/>
            <w:bottom w:val="none" w:sz="0" w:space="0" w:color="auto"/>
            <w:right w:val="none" w:sz="0" w:space="0" w:color="auto"/>
          </w:divBdr>
        </w:div>
        <w:div w:id="1849517134">
          <w:marLeft w:val="0"/>
          <w:marRight w:val="0"/>
          <w:marTop w:val="0"/>
          <w:marBottom w:val="0"/>
          <w:divBdr>
            <w:top w:val="none" w:sz="0" w:space="0" w:color="auto"/>
            <w:left w:val="none" w:sz="0" w:space="0" w:color="auto"/>
            <w:bottom w:val="none" w:sz="0" w:space="0" w:color="auto"/>
            <w:right w:val="none" w:sz="0" w:space="0" w:color="auto"/>
          </w:divBdr>
        </w:div>
        <w:div w:id="1872456082">
          <w:marLeft w:val="0"/>
          <w:marRight w:val="0"/>
          <w:marTop w:val="0"/>
          <w:marBottom w:val="0"/>
          <w:divBdr>
            <w:top w:val="none" w:sz="0" w:space="0" w:color="auto"/>
            <w:left w:val="none" w:sz="0" w:space="0" w:color="auto"/>
            <w:bottom w:val="none" w:sz="0" w:space="0" w:color="auto"/>
            <w:right w:val="none" w:sz="0" w:space="0" w:color="auto"/>
          </w:divBdr>
        </w:div>
        <w:div w:id="1898130143">
          <w:marLeft w:val="0"/>
          <w:marRight w:val="0"/>
          <w:marTop w:val="0"/>
          <w:marBottom w:val="0"/>
          <w:divBdr>
            <w:top w:val="none" w:sz="0" w:space="0" w:color="auto"/>
            <w:left w:val="none" w:sz="0" w:space="0" w:color="auto"/>
            <w:bottom w:val="none" w:sz="0" w:space="0" w:color="auto"/>
            <w:right w:val="none" w:sz="0" w:space="0" w:color="auto"/>
          </w:divBdr>
        </w:div>
        <w:div w:id="1926719312">
          <w:marLeft w:val="0"/>
          <w:marRight w:val="0"/>
          <w:marTop w:val="0"/>
          <w:marBottom w:val="0"/>
          <w:divBdr>
            <w:top w:val="none" w:sz="0" w:space="0" w:color="auto"/>
            <w:left w:val="none" w:sz="0" w:space="0" w:color="auto"/>
            <w:bottom w:val="none" w:sz="0" w:space="0" w:color="auto"/>
            <w:right w:val="none" w:sz="0" w:space="0" w:color="auto"/>
          </w:divBdr>
        </w:div>
        <w:div w:id="1933735513">
          <w:marLeft w:val="0"/>
          <w:marRight w:val="0"/>
          <w:marTop w:val="0"/>
          <w:marBottom w:val="0"/>
          <w:divBdr>
            <w:top w:val="none" w:sz="0" w:space="0" w:color="auto"/>
            <w:left w:val="none" w:sz="0" w:space="0" w:color="auto"/>
            <w:bottom w:val="none" w:sz="0" w:space="0" w:color="auto"/>
            <w:right w:val="none" w:sz="0" w:space="0" w:color="auto"/>
          </w:divBdr>
        </w:div>
        <w:div w:id="1941335713">
          <w:marLeft w:val="0"/>
          <w:marRight w:val="0"/>
          <w:marTop w:val="0"/>
          <w:marBottom w:val="0"/>
          <w:divBdr>
            <w:top w:val="none" w:sz="0" w:space="0" w:color="auto"/>
            <w:left w:val="none" w:sz="0" w:space="0" w:color="auto"/>
            <w:bottom w:val="none" w:sz="0" w:space="0" w:color="auto"/>
            <w:right w:val="none" w:sz="0" w:space="0" w:color="auto"/>
          </w:divBdr>
        </w:div>
        <w:div w:id="1943799081">
          <w:marLeft w:val="0"/>
          <w:marRight w:val="0"/>
          <w:marTop w:val="0"/>
          <w:marBottom w:val="0"/>
          <w:divBdr>
            <w:top w:val="none" w:sz="0" w:space="0" w:color="auto"/>
            <w:left w:val="none" w:sz="0" w:space="0" w:color="auto"/>
            <w:bottom w:val="none" w:sz="0" w:space="0" w:color="auto"/>
            <w:right w:val="none" w:sz="0" w:space="0" w:color="auto"/>
          </w:divBdr>
        </w:div>
        <w:div w:id="1944725995">
          <w:marLeft w:val="0"/>
          <w:marRight w:val="0"/>
          <w:marTop w:val="0"/>
          <w:marBottom w:val="0"/>
          <w:divBdr>
            <w:top w:val="none" w:sz="0" w:space="0" w:color="auto"/>
            <w:left w:val="none" w:sz="0" w:space="0" w:color="auto"/>
            <w:bottom w:val="none" w:sz="0" w:space="0" w:color="auto"/>
            <w:right w:val="none" w:sz="0" w:space="0" w:color="auto"/>
          </w:divBdr>
        </w:div>
        <w:div w:id="1974674639">
          <w:marLeft w:val="0"/>
          <w:marRight w:val="0"/>
          <w:marTop w:val="0"/>
          <w:marBottom w:val="0"/>
          <w:divBdr>
            <w:top w:val="none" w:sz="0" w:space="0" w:color="auto"/>
            <w:left w:val="none" w:sz="0" w:space="0" w:color="auto"/>
            <w:bottom w:val="none" w:sz="0" w:space="0" w:color="auto"/>
            <w:right w:val="none" w:sz="0" w:space="0" w:color="auto"/>
          </w:divBdr>
        </w:div>
        <w:div w:id="1991518867">
          <w:marLeft w:val="0"/>
          <w:marRight w:val="0"/>
          <w:marTop w:val="0"/>
          <w:marBottom w:val="0"/>
          <w:divBdr>
            <w:top w:val="none" w:sz="0" w:space="0" w:color="auto"/>
            <w:left w:val="none" w:sz="0" w:space="0" w:color="auto"/>
            <w:bottom w:val="none" w:sz="0" w:space="0" w:color="auto"/>
            <w:right w:val="none" w:sz="0" w:space="0" w:color="auto"/>
          </w:divBdr>
        </w:div>
        <w:div w:id="1994681079">
          <w:marLeft w:val="0"/>
          <w:marRight w:val="0"/>
          <w:marTop w:val="0"/>
          <w:marBottom w:val="0"/>
          <w:divBdr>
            <w:top w:val="none" w:sz="0" w:space="0" w:color="auto"/>
            <w:left w:val="none" w:sz="0" w:space="0" w:color="auto"/>
            <w:bottom w:val="none" w:sz="0" w:space="0" w:color="auto"/>
            <w:right w:val="none" w:sz="0" w:space="0" w:color="auto"/>
          </w:divBdr>
        </w:div>
        <w:div w:id="2000110484">
          <w:marLeft w:val="0"/>
          <w:marRight w:val="0"/>
          <w:marTop w:val="0"/>
          <w:marBottom w:val="0"/>
          <w:divBdr>
            <w:top w:val="none" w:sz="0" w:space="0" w:color="auto"/>
            <w:left w:val="none" w:sz="0" w:space="0" w:color="auto"/>
            <w:bottom w:val="none" w:sz="0" w:space="0" w:color="auto"/>
            <w:right w:val="none" w:sz="0" w:space="0" w:color="auto"/>
          </w:divBdr>
        </w:div>
        <w:div w:id="2001079805">
          <w:marLeft w:val="0"/>
          <w:marRight w:val="0"/>
          <w:marTop w:val="0"/>
          <w:marBottom w:val="0"/>
          <w:divBdr>
            <w:top w:val="none" w:sz="0" w:space="0" w:color="auto"/>
            <w:left w:val="none" w:sz="0" w:space="0" w:color="auto"/>
            <w:bottom w:val="none" w:sz="0" w:space="0" w:color="auto"/>
            <w:right w:val="none" w:sz="0" w:space="0" w:color="auto"/>
          </w:divBdr>
        </w:div>
        <w:div w:id="2030764151">
          <w:marLeft w:val="0"/>
          <w:marRight w:val="0"/>
          <w:marTop w:val="0"/>
          <w:marBottom w:val="0"/>
          <w:divBdr>
            <w:top w:val="none" w:sz="0" w:space="0" w:color="auto"/>
            <w:left w:val="none" w:sz="0" w:space="0" w:color="auto"/>
            <w:bottom w:val="none" w:sz="0" w:space="0" w:color="auto"/>
            <w:right w:val="none" w:sz="0" w:space="0" w:color="auto"/>
          </w:divBdr>
        </w:div>
        <w:div w:id="2044672622">
          <w:marLeft w:val="0"/>
          <w:marRight w:val="0"/>
          <w:marTop w:val="0"/>
          <w:marBottom w:val="0"/>
          <w:divBdr>
            <w:top w:val="none" w:sz="0" w:space="0" w:color="auto"/>
            <w:left w:val="none" w:sz="0" w:space="0" w:color="auto"/>
            <w:bottom w:val="none" w:sz="0" w:space="0" w:color="auto"/>
            <w:right w:val="none" w:sz="0" w:space="0" w:color="auto"/>
          </w:divBdr>
        </w:div>
        <w:div w:id="2048985498">
          <w:marLeft w:val="0"/>
          <w:marRight w:val="0"/>
          <w:marTop w:val="0"/>
          <w:marBottom w:val="0"/>
          <w:divBdr>
            <w:top w:val="none" w:sz="0" w:space="0" w:color="auto"/>
            <w:left w:val="none" w:sz="0" w:space="0" w:color="auto"/>
            <w:bottom w:val="none" w:sz="0" w:space="0" w:color="auto"/>
            <w:right w:val="none" w:sz="0" w:space="0" w:color="auto"/>
          </w:divBdr>
        </w:div>
        <w:div w:id="2065981648">
          <w:marLeft w:val="0"/>
          <w:marRight w:val="0"/>
          <w:marTop w:val="0"/>
          <w:marBottom w:val="0"/>
          <w:divBdr>
            <w:top w:val="none" w:sz="0" w:space="0" w:color="auto"/>
            <w:left w:val="none" w:sz="0" w:space="0" w:color="auto"/>
            <w:bottom w:val="none" w:sz="0" w:space="0" w:color="auto"/>
            <w:right w:val="none" w:sz="0" w:space="0" w:color="auto"/>
          </w:divBdr>
        </w:div>
        <w:div w:id="2073766928">
          <w:marLeft w:val="0"/>
          <w:marRight w:val="0"/>
          <w:marTop w:val="0"/>
          <w:marBottom w:val="0"/>
          <w:divBdr>
            <w:top w:val="none" w:sz="0" w:space="0" w:color="auto"/>
            <w:left w:val="none" w:sz="0" w:space="0" w:color="auto"/>
            <w:bottom w:val="none" w:sz="0" w:space="0" w:color="auto"/>
            <w:right w:val="none" w:sz="0" w:space="0" w:color="auto"/>
          </w:divBdr>
        </w:div>
        <w:div w:id="2079160007">
          <w:marLeft w:val="0"/>
          <w:marRight w:val="0"/>
          <w:marTop w:val="0"/>
          <w:marBottom w:val="0"/>
          <w:divBdr>
            <w:top w:val="none" w:sz="0" w:space="0" w:color="auto"/>
            <w:left w:val="none" w:sz="0" w:space="0" w:color="auto"/>
            <w:bottom w:val="none" w:sz="0" w:space="0" w:color="auto"/>
            <w:right w:val="none" w:sz="0" w:space="0" w:color="auto"/>
          </w:divBdr>
        </w:div>
        <w:div w:id="2139645964">
          <w:marLeft w:val="0"/>
          <w:marRight w:val="0"/>
          <w:marTop w:val="0"/>
          <w:marBottom w:val="0"/>
          <w:divBdr>
            <w:top w:val="none" w:sz="0" w:space="0" w:color="auto"/>
            <w:left w:val="none" w:sz="0" w:space="0" w:color="auto"/>
            <w:bottom w:val="none" w:sz="0" w:space="0" w:color="auto"/>
            <w:right w:val="none" w:sz="0" w:space="0" w:color="auto"/>
          </w:divBdr>
        </w:div>
        <w:div w:id="2142378787">
          <w:marLeft w:val="0"/>
          <w:marRight w:val="0"/>
          <w:marTop w:val="0"/>
          <w:marBottom w:val="0"/>
          <w:divBdr>
            <w:top w:val="none" w:sz="0" w:space="0" w:color="auto"/>
            <w:left w:val="none" w:sz="0" w:space="0" w:color="auto"/>
            <w:bottom w:val="none" w:sz="0" w:space="0" w:color="auto"/>
            <w:right w:val="none" w:sz="0" w:space="0" w:color="auto"/>
          </w:divBdr>
        </w:div>
      </w:divsChild>
    </w:div>
    <w:div w:id="1251353576">
      <w:bodyDiv w:val="1"/>
      <w:marLeft w:val="0"/>
      <w:marRight w:val="0"/>
      <w:marTop w:val="0"/>
      <w:marBottom w:val="0"/>
      <w:divBdr>
        <w:top w:val="none" w:sz="0" w:space="0" w:color="auto"/>
        <w:left w:val="none" w:sz="0" w:space="0" w:color="auto"/>
        <w:bottom w:val="none" w:sz="0" w:space="0" w:color="auto"/>
        <w:right w:val="none" w:sz="0" w:space="0" w:color="auto"/>
      </w:divBdr>
    </w:div>
    <w:div w:id="1358966690">
      <w:bodyDiv w:val="1"/>
      <w:marLeft w:val="0"/>
      <w:marRight w:val="0"/>
      <w:marTop w:val="0"/>
      <w:marBottom w:val="0"/>
      <w:divBdr>
        <w:top w:val="none" w:sz="0" w:space="0" w:color="auto"/>
        <w:left w:val="none" w:sz="0" w:space="0" w:color="auto"/>
        <w:bottom w:val="none" w:sz="0" w:space="0" w:color="auto"/>
        <w:right w:val="none" w:sz="0" w:space="0" w:color="auto"/>
      </w:divBdr>
    </w:div>
    <w:div w:id="1389303708">
      <w:bodyDiv w:val="1"/>
      <w:marLeft w:val="0"/>
      <w:marRight w:val="0"/>
      <w:marTop w:val="0"/>
      <w:marBottom w:val="0"/>
      <w:divBdr>
        <w:top w:val="none" w:sz="0" w:space="0" w:color="auto"/>
        <w:left w:val="none" w:sz="0" w:space="0" w:color="auto"/>
        <w:bottom w:val="none" w:sz="0" w:space="0" w:color="auto"/>
        <w:right w:val="none" w:sz="0" w:space="0" w:color="auto"/>
      </w:divBdr>
    </w:div>
    <w:div w:id="1420639401">
      <w:bodyDiv w:val="1"/>
      <w:marLeft w:val="0"/>
      <w:marRight w:val="0"/>
      <w:marTop w:val="0"/>
      <w:marBottom w:val="0"/>
      <w:divBdr>
        <w:top w:val="none" w:sz="0" w:space="0" w:color="auto"/>
        <w:left w:val="none" w:sz="0" w:space="0" w:color="auto"/>
        <w:bottom w:val="none" w:sz="0" w:space="0" w:color="auto"/>
        <w:right w:val="none" w:sz="0" w:space="0" w:color="auto"/>
      </w:divBdr>
    </w:div>
    <w:div w:id="1466191881">
      <w:bodyDiv w:val="1"/>
      <w:marLeft w:val="0"/>
      <w:marRight w:val="0"/>
      <w:marTop w:val="0"/>
      <w:marBottom w:val="0"/>
      <w:divBdr>
        <w:top w:val="none" w:sz="0" w:space="0" w:color="auto"/>
        <w:left w:val="none" w:sz="0" w:space="0" w:color="auto"/>
        <w:bottom w:val="none" w:sz="0" w:space="0" w:color="auto"/>
        <w:right w:val="none" w:sz="0" w:space="0" w:color="auto"/>
      </w:divBdr>
    </w:div>
    <w:div w:id="1510831609">
      <w:bodyDiv w:val="1"/>
      <w:marLeft w:val="0"/>
      <w:marRight w:val="0"/>
      <w:marTop w:val="0"/>
      <w:marBottom w:val="0"/>
      <w:divBdr>
        <w:top w:val="none" w:sz="0" w:space="0" w:color="auto"/>
        <w:left w:val="none" w:sz="0" w:space="0" w:color="auto"/>
        <w:bottom w:val="none" w:sz="0" w:space="0" w:color="auto"/>
        <w:right w:val="none" w:sz="0" w:space="0" w:color="auto"/>
      </w:divBdr>
    </w:div>
    <w:div w:id="1514493769">
      <w:bodyDiv w:val="1"/>
      <w:marLeft w:val="0"/>
      <w:marRight w:val="0"/>
      <w:marTop w:val="0"/>
      <w:marBottom w:val="0"/>
      <w:divBdr>
        <w:top w:val="none" w:sz="0" w:space="0" w:color="auto"/>
        <w:left w:val="none" w:sz="0" w:space="0" w:color="auto"/>
        <w:bottom w:val="none" w:sz="0" w:space="0" w:color="auto"/>
        <w:right w:val="none" w:sz="0" w:space="0" w:color="auto"/>
      </w:divBdr>
    </w:div>
    <w:div w:id="1550872068">
      <w:bodyDiv w:val="1"/>
      <w:marLeft w:val="0"/>
      <w:marRight w:val="0"/>
      <w:marTop w:val="0"/>
      <w:marBottom w:val="0"/>
      <w:divBdr>
        <w:top w:val="none" w:sz="0" w:space="0" w:color="auto"/>
        <w:left w:val="none" w:sz="0" w:space="0" w:color="auto"/>
        <w:bottom w:val="none" w:sz="0" w:space="0" w:color="auto"/>
        <w:right w:val="none" w:sz="0" w:space="0" w:color="auto"/>
      </w:divBdr>
    </w:div>
    <w:div w:id="1566841500">
      <w:bodyDiv w:val="1"/>
      <w:marLeft w:val="0"/>
      <w:marRight w:val="0"/>
      <w:marTop w:val="0"/>
      <w:marBottom w:val="0"/>
      <w:divBdr>
        <w:top w:val="none" w:sz="0" w:space="0" w:color="auto"/>
        <w:left w:val="none" w:sz="0" w:space="0" w:color="auto"/>
        <w:bottom w:val="none" w:sz="0" w:space="0" w:color="auto"/>
        <w:right w:val="none" w:sz="0" w:space="0" w:color="auto"/>
      </w:divBdr>
    </w:div>
    <w:div w:id="1578132088">
      <w:bodyDiv w:val="1"/>
      <w:marLeft w:val="0"/>
      <w:marRight w:val="0"/>
      <w:marTop w:val="0"/>
      <w:marBottom w:val="0"/>
      <w:divBdr>
        <w:top w:val="none" w:sz="0" w:space="0" w:color="auto"/>
        <w:left w:val="none" w:sz="0" w:space="0" w:color="auto"/>
        <w:bottom w:val="none" w:sz="0" w:space="0" w:color="auto"/>
        <w:right w:val="none" w:sz="0" w:space="0" w:color="auto"/>
      </w:divBdr>
    </w:div>
    <w:div w:id="1582105400">
      <w:bodyDiv w:val="1"/>
      <w:marLeft w:val="0"/>
      <w:marRight w:val="0"/>
      <w:marTop w:val="0"/>
      <w:marBottom w:val="0"/>
      <w:divBdr>
        <w:top w:val="none" w:sz="0" w:space="0" w:color="auto"/>
        <w:left w:val="none" w:sz="0" w:space="0" w:color="auto"/>
        <w:bottom w:val="none" w:sz="0" w:space="0" w:color="auto"/>
        <w:right w:val="none" w:sz="0" w:space="0" w:color="auto"/>
      </w:divBdr>
    </w:div>
    <w:div w:id="1606687586">
      <w:bodyDiv w:val="1"/>
      <w:marLeft w:val="0"/>
      <w:marRight w:val="0"/>
      <w:marTop w:val="0"/>
      <w:marBottom w:val="0"/>
      <w:divBdr>
        <w:top w:val="none" w:sz="0" w:space="0" w:color="auto"/>
        <w:left w:val="none" w:sz="0" w:space="0" w:color="auto"/>
        <w:bottom w:val="none" w:sz="0" w:space="0" w:color="auto"/>
        <w:right w:val="none" w:sz="0" w:space="0" w:color="auto"/>
      </w:divBdr>
    </w:div>
    <w:div w:id="1953778979">
      <w:bodyDiv w:val="1"/>
      <w:marLeft w:val="0"/>
      <w:marRight w:val="0"/>
      <w:marTop w:val="0"/>
      <w:marBottom w:val="0"/>
      <w:divBdr>
        <w:top w:val="none" w:sz="0" w:space="0" w:color="auto"/>
        <w:left w:val="none" w:sz="0" w:space="0" w:color="auto"/>
        <w:bottom w:val="none" w:sz="0" w:space="0" w:color="auto"/>
        <w:right w:val="none" w:sz="0" w:space="0" w:color="auto"/>
      </w:divBdr>
      <w:divsChild>
        <w:div w:id="51124677">
          <w:marLeft w:val="0"/>
          <w:marRight w:val="0"/>
          <w:marTop w:val="0"/>
          <w:marBottom w:val="0"/>
          <w:divBdr>
            <w:top w:val="none" w:sz="0" w:space="0" w:color="auto"/>
            <w:left w:val="none" w:sz="0" w:space="0" w:color="auto"/>
            <w:bottom w:val="none" w:sz="0" w:space="0" w:color="auto"/>
            <w:right w:val="none" w:sz="0" w:space="0" w:color="auto"/>
          </w:divBdr>
        </w:div>
        <w:div w:id="82187517">
          <w:marLeft w:val="0"/>
          <w:marRight w:val="0"/>
          <w:marTop w:val="0"/>
          <w:marBottom w:val="0"/>
          <w:divBdr>
            <w:top w:val="none" w:sz="0" w:space="0" w:color="auto"/>
            <w:left w:val="none" w:sz="0" w:space="0" w:color="auto"/>
            <w:bottom w:val="none" w:sz="0" w:space="0" w:color="auto"/>
            <w:right w:val="none" w:sz="0" w:space="0" w:color="auto"/>
          </w:divBdr>
        </w:div>
        <w:div w:id="82646380">
          <w:marLeft w:val="0"/>
          <w:marRight w:val="0"/>
          <w:marTop w:val="0"/>
          <w:marBottom w:val="0"/>
          <w:divBdr>
            <w:top w:val="none" w:sz="0" w:space="0" w:color="auto"/>
            <w:left w:val="none" w:sz="0" w:space="0" w:color="auto"/>
            <w:bottom w:val="none" w:sz="0" w:space="0" w:color="auto"/>
            <w:right w:val="none" w:sz="0" w:space="0" w:color="auto"/>
          </w:divBdr>
        </w:div>
        <w:div w:id="86579029">
          <w:marLeft w:val="0"/>
          <w:marRight w:val="0"/>
          <w:marTop w:val="0"/>
          <w:marBottom w:val="0"/>
          <w:divBdr>
            <w:top w:val="none" w:sz="0" w:space="0" w:color="auto"/>
            <w:left w:val="none" w:sz="0" w:space="0" w:color="auto"/>
            <w:bottom w:val="none" w:sz="0" w:space="0" w:color="auto"/>
            <w:right w:val="none" w:sz="0" w:space="0" w:color="auto"/>
          </w:divBdr>
        </w:div>
        <w:div w:id="98255555">
          <w:marLeft w:val="0"/>
          <w:marRight w:val="0"/>
          <w:marTop w:val="0"/>
          <w:marBottom w:val="0"/>
          <w:divBdr>
            <w:top w:val="none" w:sz="0" w:space="0" w:color="auto"/>
            <w:left w:val="none" w:sz="0" w:space="0" w:color="auto"/>
            <w:bottom w:val="none" w:sz="0" w:space="0" w:color="auto"/>
            <w:right w:val="none" w:sz="0" w:space="0" w:color="auto"/>
          </w:divBdr>
        </w:div>
        <w:div w:id="109936338">
          <w:marLeft w:val="0"/>
          <w:marRight w:val="0"/>
          <w:marTop w:val="0"/>
          <w:marBottom w:val="0"/>
          <w:divBdr>
            <w:top w:val="none" w:sz="0" w:space="0" w:color="auto"/>
            <w:left w:val="none" w:sz="0" w:space="0" w:color="auto"/>
            <w:bottom w:val="none" w:sz="0" w:space="0" w:color="auto"/>
            <w:right w:val="none" w:sz="0" w:space="0" w:color="auto"/>
          </w:divBdr>
        </w:div>
        <w:div w:id="127673653">
          <w:marLeft w:val="0"/>
          <w:marRight w:val="0"/>
          <w:marTop w:val="0"/>
          <w:marBottom w:val="0"/>
          <w:divBdr>
            <w:top w:val="none" w:sz="0" w:space="0" w:color="auto"/>
            <w:left w:val="none" w:sz="0" w:space="0" w:color="auto"/>
            <w:bottom w:val="none" w:sz="0" w:space="0" w:color="auto"/>
            <w:right w:val="none" w:sz="0" w:space="0" w:color="auto"/>
          </w:divBdr>
        </w:div>
        <w:div w:id="138503867">
          <w:marLeft w:val="0"/>
          <w:marRight w:val="0"/>
          <w:marTop w:val="0"/>
          <w:marBottom w:val="0"/>
          <w:divBdr>
            <w:top w:val="none" w:sz="0" w:space="0" w:color="auto"/>
            <w:left w:val="none" w:sz="0" w:space="0" w:color="auto"/>
            <w:bottom w:val="none" w:sz="0" w:space="0" w:color="auto"/>
            <w:right w:val="none" w:sz="0" w:space="0" w:color="auto"/>
          </w:divBdr>
        </w:div>
        <w:div w:id="172036938">
          <w:marLeft w:val="0"/>
          <w:marRight w:val="0"/>
          <w:marTop w:val="0"/>
          <w:marBottom w:val="0"/>
          <w:divBdr>
            <w:top w:val="none" w:sz="0" w:space="0" w:color="auto"/>
            <w:left w:val="none" w:sz="0" w:space="0" w:color="auto"/>
            <w:bottom w:val="none" w:sz="0" w:space="0" w:color="auto"/>
            <w:right w:val="none" w:sz="0" w:space="0" w:color="auto"/>
          </w:divBdr>
        </w:div>
        <w:div w:id="178087216">
          <w:marLeft w:val="0"/>
          <w:marRight w:val="0"/>
          <w:marTop w:val="0"/>
          <w:marBottom w:val="0"/>
          <w:divBdr>
            <w:top w:val="none" w:sz="0" w:space="0" w:color="auto"/>
            <w:left w:val="none" w:sz="0" w:space="0" w:color="auto"/>
            <w:bottom w:val="none" w:sz="0" w:space="0" w:color="auto"/>
            <w:right w:val="none" w:sz="0" w:space="0" w:color="auto"/>
          </w:divBdr>
        </w:div>
        <w:div w:id="186065554">
          <w:marLeft w:val="0"/>
          <w:marRight w:val="0"/>
          <w:marTop w:val="0"/>
          <w:marBottom w:val="0"/>
          <w:divBdr>
            <w:top w:val="none" w:sz="0" w:space="0" w:color="auto"/>
            <w:left w:val="none" w:sz="0" w:space="0" w:color="auto"/>
            <w:bottom w:val="none" w:sz="0" w:space="0" w:color="auto"/>
            <w:right w:val="none" w:sz="0" w:space="0" w:color="auto"/>
          </w:divBdr>
        </w:div>
        <w:div w:id="189684247">
          <w:marLeft w:val="0"/>
          <w:marRight w:val="0"/>
          <w:marTop w:val="0"/>
          <w:marBottom w:val="0"/>
          <w:divBdr>
            <w:top w:val="none" w:sz="0" w:space="0" w:color="auto"/>
            <w:left w:val="none" w:sz="0" w:space="0" w:color="auto"/>
            <w:bottom w:val="none" w:sz="0" w:space="0" w:color="auto"/>
            <w:right w:val="none" w:sz="0" w:space="0" w:color="auto"/>
          </w:divBdr>
        </w:div>
        <w:div w:id="196243019">
          <w:marLeft w:val="0"/>
          <w:marRight w:val="0"/>
          <w:marTop w:val="0"/>
          <w:marBottom w:val="0"/>
          <w:divBdr>
            <w:top w:val="none" w:sz="0" w:space="0" w:color="auto"/>
            <w:left w:val="none" w:sz="0" w:space="0" w:color="auto"/>
            <w:bottom w:val="none" w:sz="0" w:space="0" w:color="auto"/>
            <w:right w:val="none" w:sz="0" w:space="0" w:color="auto"/>
          </w:divBdr>
        </w:div>
        <w:div w:id="197666870">
          <w:marLeft w:val="0"/>
          <w:marRight w:val="0"/>
          <w:marTop w:val="0"/>
          <w:marBottom w:val="0"/>
          <w:divBdr>
            <w:top w:val="none" w:sz="0" w:space="0" w:color="auto"/>
            <w:left w:val="none" w:sz="0" w:space="0" w:color="auto"/>
            <w:bottom w:val="none" w:sz="0" w:space="0" w:color="auto"/>
            <w:right w:val="none" w:sz="0" w:space="0" w:color="auto"/>
          </w:divBdr>
        </w:div>
        <w:div w:id="198053423">
          <w:marLeft w:val="0"/>
          <w:marRight w:val="0"/>
          <w:marTop w:val="0"/>
          <w:marBottom w:val="0"/>
          <w:divBdr>
            <w:top w:val="none" w:sz="0" w:space="0" w:color="auto"/>
            <w:left w:val="none" w:sz="0" w:space="0" w:color="auto"/>
            <w:bottom w:val="none" w:sz="0" w:space="0" w:color="auto"/>
            <w:right w:val="none" w:sz="0" w:space="0" w:color="auto"/>
          </w:divBdr>
        </w:div>
        <w:div w:id="202327645">
          <w:marLeft w:val="0"/>
          <w:marRight w:val="0"/>
          <w:marTop w:val="0"/>
          <w:marBottom w:val="0"/>
          <w:divBdr>
            <w:top w:val="none" w:sz="0" w:space="0" w:color="auto"/>
            <w:left w:val="none" w:sz="0" w:space="0" w:color="auto"/>
            <w:bottom w:val="none" w:sz="0" w:space="0" w:color="auto"/>
            <w:right w:val="none" w:sz="0" w:space="0" w:color="auto"/>
          </w:divBdr>
        </w:div>
        <w:div w:id="205802879">
          <w:marLeft w:val="0"/>
          <w:marRight w:val="0"/>
          <w:marTop w:val="0"/>
          <w:marBottom w:val="0"/>
          <w:divBdr>
            <w:top w:val="none" w:sz="0" w:space="0" w:color="auto"/>
            <w:left w:val="none" w:sz="0" w:space="0" w:color="auto"/>
            <w:bottom w:val="none" w:sz="0" w:space="0" w:color="auto"/>
            <w:right w:val="none" w:sz="0" w:space="0" w:color="auto"/>
          </w:divBdr>
        </w:div>
        <w:div w:id="244069869">
          <w:marLeft w:val="0"/>
          <w:marRight w:val="0"/>
          <w:marTop w:val="0"/>
          <w:marBottom w:val="0"/>
          <w:divBdr>
            <w:top w:val="none" w:sz="0" w:space="0" w:color="auto"/>
            <w:left w:val="none" w:sz="0" w:space="0" w:color="auto"/>
            <w:bottom w:val="none" w:sz="0" w:space="0" w:color="auto"/>
            <w:right w:val="none" w:sz="0" w:space="0" w:color="auto"/>
          </w:divBdr>
        </w:div>
        <w:div w:id="259067663">
          <w:marLeft w:val="0"/>
          <w:marRight w:val="0"/>
          <w:marTop w:val="0"/>
          <w:marBottom w:val="0"/>
          <w:divBdr>
            <w:top w:val="none" w:sz="0" w:space="0" w:color="auto"/>
            <w:left w:val="none" w:sz="0" w:space="0" w:color="auto"/>
            <w:bottom w:val="none" w:sz="0" w:space="0" w:color="auto"/>
            <w:right w:val="none" w:sz="0" w:space="0" w:color="auto"/>
          </w:divBdr>
        </w:div>
        <w:div w:id="272636014">
          <w:marLeft w:val="0"/>
          <w:marRight w:val="0"/>
          <w:marTop w:val="0"/>
          <w:marBottom w:val="0"/>
          <w:divBdr>
            <w:top w:val="none" w:sz="0" w:space="0" w:color="auto"/>
            <w:left w:val="none" w:sz="0" w:space="0" w:color="auto"/>
            <w:bottom w:val="none" w:sz="0" w:space="0" w:color="auto"/>
            <w:right w:val="none" w:sz="0" w:space="0" w:color="auto"/>
          </w:divBdr>
        </w:div>
        <w:div w:id="289551496">
          <w:marLeft w:val="0"/>
          <w:marRight w:val="0"/>
          <w:marTop w:val="0"/>
          <w:marBottom w:val="0"/>
          <w:divBdr>
            <w:top w:val="none" w:sz="0" w:space="0" w:color="auto"/>
            <w:left w:val="none" w:sz="0" w:space="0" w:color="auto"/>
            <w:bottom w:val="none" w:sz="0" w:space="0" w:color="auto"/>
            <w:right w:val="none" w:sz="0" w:space="0" w:color="auto"/>
          </w:divBdr>
        </w:div>
        <w:div w:id="296181300">
          <w:marLeft w:val="0"/>
          <w:marRight w:val="0"/>
          <w:marTop w:val="0"/>
          <w:marBottom w:val="0"/>
          <w:divBdr>
            <w:top w:val="none" w:sz="0" w:space="0" w:color="auto"/>
            <w:left w:val="none" w:sz="0" w:space="0" w:color="auto"/>
            <w:bottom w:val="none" w:sz="0" w:space="0" w:color="auto"/>
            <w:right w:val="none" w:sz="0" w:space="0" w:color="auto"/>
          </w:divBdr>
        </w:div>
        <w:div w:id="300119290">
          <w:marLeft w:val="0"/>
          <w:marRight w:val="0"/>
          <w:marTop w:val="0"/>
          <w:marBottom w:val="0"/>
          <w:divBdr>
            <w:top w:val="none" w:sz="0" w:space="0" w:color="auto"/>
            <w:left w:val="none" w:sz="0" w:space="0" w:color="auto"/>
            <w:bottom w:val="none" w:sz="0" w:space="0" w:color="auto"/>
            <w:right w:val="none" w:sz="0" w:space="0" w:color="auto"/>
          </w:divBdr>
        </w:div>
        <w:div w:id="304239113">
          <w:marLeft w:val="0"/>
          <w:marRight w:val="0"/>
          <w:marTop w:val="0"/>
          <w:marBottom w:val="0"/>
          <w:divBdr>
            <w:top w:val="none" w:sz="0" w:space="0" w:color="auto"/>
            <w:left w:val="none" w:sz="0" w:space="0" w:color="auto"/>
            <w:bottom w:val="none" w:sz="0" w:space="0" w:color="auto"/>
            <w:right w:val="none" w:sz="0" w:space="0" w:color="auto"/>
          </w:divBdr>
        </w:div>
        <w:div w:id="304507379">
          <w:marLeft w:val="0"/>
          <w:marRight w:val="0"/>
          <w:marTop w:val="0"/>
          <w:marBottom w:val="0"/>
          <w:divBdr>
            <w:top w:val="none" w:sz="0" w:space="0" w:color="auto"/>
            <w:left w:val="none" w:sz="0" w:space="0" w:color="auto"/>
            <w:bottom w:val="none" w:sz="0" w:space="0" w:color="auto"/>
            <w:right w:val="none" w:sz="0" w:space="0" w:color="auto"/>
          </w:divBdr>
        </w:div>
        <w:div w:id="310408715">
          <w:marLeft w:val="0"/>
          <w:marRight w:val="0"/>
          <w:marTop w:val="0"/>
          <w:marBottom w:val="0"/>
          <w:divBdr>
            <w:top w:val="none" w:sz="0" w:space="0" w:color="auto"/>
            <w:left w:val="none" w:sz="0" w:space="0" w:color="auto"/>
            <w:bottom w:val="none" w:sz="0" w:space="0" w:color="auto"/>
            <w:right w:val="none" w:sz="0" w:space="0" w:color="auto"/>
          </w:divBdr>
        </w:div>
        <w:div w:id="310448438">
          <w:marLeft w:val="0"/>
          <w:marRight w:val="0"/>
          <w:marTop w:val="0"/>
          <w:marBottom w:val="0"/>
          <w:divBdr>
            <w:top w:val="none" w:sz="0" w:space="0" w:color="auto"/>
            <w:left w:val="none" w:sz="0" w:space="0" w:color="auto"/>
            <w:bottom w:val="none" w:sz="0" w:space="0" w:color="auto"/>
            <w:right w:val="none" w:sz="0" w:space="0" w:color="auto"/>
          </w:divBdr>
        </w:div>
        <w:div w:id="312804266">
          <w:marLeft w:val="0"/>
          <w:marRight w:val="0"/>
          <w:marTop w:val="0"/>
          <w:marBottom w:val="0"/>
          <w:divBdr>
            <w:top w:val="none" w:sz="0" w:space="0" w:color="auto"/>
            <w:left w:val="none" w:sz="0" w:space="0" w:color="auto"/>
            <w:bottom w:val="none" w:sz="0" w:space="0" w:color="auto"/>
            <w:right w:val="none" w:sz="0" w:space="0" w:color="auto"/>
          </w:divBdr>
        </w:div>
        <w:div w:id="316998666">
          <w:marLeft w:val="0"/>
          <w:marRight w:val="0"/>
          <w:marTop w:val="0"/>
          <w:marBottom w:val="0"/>
          <w:divBdr>
            <w:top w:val="none" w:sz="0" w:space="0" w:color="auto"/>
            <w:left w:val="none" w:sz="0" w:space="0" w:color="auto"/>
            <w:bottom w:val="none" w:sz="0" w:space="0" w:color="auto"/>
            <w:right w:val="none" w:sz="0" w:space="0" w:color="auto"/>
          </w:divBdr>
        </w:div>
        <w:div w:id="317274772">
          <w:marLeft w:val="0"/>
          <w:marRight w:val="0"/>
          <w:marTop w:val="0"/>
          <w:marBottom w:val="0"/>
          <w:divBdr>
            <w:top w:val="none" w:sz="0" w:space="0" w:color="auto"/>
            <w:left w:val="none" w:sz="0" w:space="0" w:color="auto"/>
            <w:bottom w:val="none" w:sz="0" w:space="0" w:color="auto"/>
            <w:right w:val="none" w:sz="0" w:space="0" w:color="auto"/>
          </w:divBdr>
        </w:div>
        <w:div w:id="339744336">
          <w:marLeft w:val="0"/>
          <w:marRight w:val="0"/>
          <w:marTop w:val="0"/>
          <w:marBottom w:val="0"/>
          <w:divBdr>
            <w:top w:val="none" w:sz="0" w:space="0" w:color="auto"/>
            <w:left w:val="none" w:sz="0" w:space="0" w:color="auto"/>
            <w:bottom w:val="none" w:sz="0" w:space="0" w:color="auto"/>
            <w:right w:val="none" w:sz="0" w:space="0" w:color="auto"/>
          </w:divBdr>
        </w:div>
        <w:div w:id="341396967">
          <w:marLeft w:val="0"/>
          <w:marRight w:val="0"/>
          <w:marTop w:val="0"/>
          <w:marBottom w:val="0"/>
          <w:divBdr>
            <w:top w:val="none" w:sz="0" w:space="0" w:color="auto"/>
            <w:left w:val="none" w:sz="0" w:space="0" w:color="auto"/>
            <w:bottom w:val="none" w:sz="0" w:space="0" w:color="auto"/>
            <w:right w:val="none" w:sz="0" w:space="0" w:color="auto"/>
          </w:divBdr>
        </w:div>
        <w:div w:id="351687616">
          <w:marLeft w:val="0"/>
          <w:marRight w:val="0"/>
          <w:marTop w:val="0"/>
          <w:marBottom w:val="0"/>
          <w:divBdr>
            <w:top w:val="none" w:sz="0" w:space="0" w:color="auto"/>
            <w:left w:val="none" w:sz="0" w:space="0" w:color="auto"/>
            <w:bottom w:val="none" w:sz="0" w:space="0" w:color="auto"/>
            <w:right w:val="none" w:sz="0" w:space="0" w:color="auto"/>
          </w:divBdr>
        </w:div>
        <w:div w:id="366490238">
          <w:marLeft w:val="0"/>
          <w:marRight w:val="0"/>
          <w:marTop w:val="0"/>
          <w:marBottom w:val="0"/>
          <w:divBdr>
            <w:top w:val="none" w:sz="0" w:space="0" w:color="auto"/>
            <w:left w:val="none" w:sz="0" w:space="0" w:color="auto"/>
            <w:bottom w:val="none" w:sz="0" w:space="0" w:color="auto"/>
            <w:right w:val="none" w:sz="0" w:space="0" w:color="auto"/>
          </w:divBdr>
        </w:div>
        <w:div w:id="369578413">
          <w:marLeft w:val="0"/>
          <w:marRight w:val="0"/>
          <w:marTop w:val="0"/>
          <w:marBottom w:val="0"/>
          <w:divBdr>
            <w:top w:val="none" w:sz="0" w:space="0" w:color="auto"/>
            <w:left w:val="none" w:sz="0" w:space="0" w:color="auto"/>
            <w:bottom w:val="none" w:sz="0" w:space="0" w:color="auto"/>
            <w:right w:val="none" w:sz="0" w:space="0" w:color="auto"/>
          </w:divBdr>
        </w:div>
        <w:div w:id="378012647">
          <w:marLeft w:val="0"/>
          <w:marRight w:val="0"/>
          <w:marTop w:val="0"/>
          <w:marBottom w:val="0"/>
          <w:divBdr>
            <w:top w:val="none" w:sz="0" w:space="0" w:color="auto"/>
            <w:left w:val="none" w:sz="0" w:space="0" w:color="auto"/>
            <w:bottom w:val="none" w:sz="0" w:space="0" w:color="auto"/>
            <w:right w:val="none" w:sz="0" w:space="0" w:color="auto"/>
          </w:divBdr>
        </w:div>
        <w:div w:id="410589318">
          <w:marLeft w:val="0"/>
          <w:marRight w:val="0"/>
          <w:marTop w:val="0"/>
          <w:marBottom w:val="0"/>
          <w:divBdr>
            <w:top w:val="none" w:sz="0" w:space="0" w:color="auto"/>
            <w:left w:val="none" w:sz="0" w:space="0" w:color="auto"/>
            <w:bottom w:val="none" w:sz="0" w:space="0" w:color="auto"/>
            <w:right w:val="none" w:sz="0" w:space="0" w:color="auto"/>
          </w:divBdr>
        </w:div>
        <w:div w:id="416899706">
          <w:marLeft w:val="0"/>
          <w:marRight w:val="0"/>
          <w:marTop w:val="0"/>
          <w:marBottom w:val="0"/>
          <w:divBdr>
            <w:top w:val="none" w:sz="0" w:space="0" w:color="auto"/>
            <w:left w:val="none" w:sz="0" w:space="0" w:color="auto"/>
            <w:bottom w:val="none" w:sz="0" w:space="0" w:color="auto"/>
            <w:right w:val="none" w:sz="0" w:space="0" w:color="auto"/>
          </w:divBdr>
        </w:div>
        <w:div w:id="441919828">
          <w:marLeft w:val="0"/>
          <w:marRight w:val="0"/>
          <w:marTop w:val="0"/>
          <w:marBottom w:val="0"/>
          <w:divBdr>
            <w:top w:val="none" w:sz="0" w:space="0" w:color="auto"/>
            <w:left w:val="none" w:sz="0" w:space="0" w:color="auto"/>
            <w:bottom w:val="none" w:sz="0" w:space="0" w:color="auto"/>
            <w:right w:val="none" w:sz="0" w:space="0" w:color="auto"/>
          </w:divBdr>
        </w:div>
        <w:div w:id="455411530">
          <w:marLeft w:val="0"/>
          <w:marRight w:val="0"/>
          <w:marTop w:val="0"/>
          <w:marBottom w:val="0"/>
          <w:divBdr>
            <w:top w:val="none" w:sz="0" w:space="0" w:color="auto"/>
            <w:left w:val="none" w:sz="0" w:space="0" w:color="auto"/>
            <w:bottom w:val="none" w:sz="0" w:space="0" w:color="auto"/>
            <w:right w:val="none" w:sz="0" w:space="0" w:color="auto"/>
          </w:divBdr>
        </w:div>
        <w:div w:id="472525109">
          <w:marLeft w:val="0"/>
          <w:marRight w:val="0"/>
          <w:marTop w:val="0"/>
          <w:marBottom w:val="0"/>
          <w:divBdr>
            <w:top w:val="none" w:sz="0" w:space="0" w:color="auto"/>
            <w:left w:val="none" w:sz="0" w:space="0" w:color="auto"/>
            <w:bottom w:val="none" w:sz="0" w:space="0" w:color="auto"/>
            <w:right w:val="none" w:sz="0" w:space="0" w:color="auto"/>
          </w:divBdr>
        </w:div>
        <w:div w:id="479464927">
          <w:marLeft w:val="0"/>
          <w:marRight w:val="0"/>
          <w:marTop w:val="0"/>
          <w:marBottom w:val="0"/>
          <w:divBdr>
            <w:top w:val="none" w:sz="0" w:space="0" w:color="auto"/>
            <w:left w:val="none" w:sz="0" w:space="0" w:color="auto"/>
            <w:bottom w:val="none" w:sz="0" w:space="0" w:color="auto"/>
            <w:right w:val="none" w:sz="0" w:space="0" w:color="auto"/>
          </w:divBdr>
        </w:div>
        <w:div w:id="487677522">
          <w:marLeft w:val="0"/>
          <w:marRight w:val="0"/>
          <w:marTop w:val="0"/>
          <w:marBottom w:val="0"/>
          <w:divBdr>
            <w:top w:val="none" w:sz="0" w:space="0" w:color="auto"/>
            <w:left w:val="none" w:sz="0" w:space="0" w:color="auto"/>
            <w:bottom w:val="none" w:sz="0" w:space="0" w:color="auto"/>
            <w:right w:val="none" w:sz="0" w:space="0" w:color="auto"/>
          </w:divBdr>
        </w:div>
        <w:div w:id="502168541">
          <w:marLeft w:val="0"/>
          <w:marRight w:val="0"/>
          <w:marTop w:val="0"/>
          <w:marBottom w:val="0"/>
          <w:divBdr>
            <w:top w:val="none" w:sz="0" w:space="0" w:color="auto"/>
            <w:left w:val="none" w:sz="0" w:space="0" w:color="auto"/>
            <w:bottom w:val="none" w:sz="0" w:space="0" w:color="auto"/>
            <w:right w:val="none" w:sz="0" w:space="0" w:color="auto"/>
          </w:divBdr>
        </w:div>
        <w:div w:id="506023215">
          <w:marLeft w:val="0"/>
          <w:marRight w:val="0"/>
          <w:marTop w:val="0"/>
          <w:marBottom w:val="0"/>
          <w:divBdr>
            <w:top w:val="none" w:sz="0" w:space="0" w:color="auto"/>
            <w:left w:val="none" w:sz="0" w:space="0" w:color="auto"/>
            <w:bottom w:val="none" w:sz="0" w:space="0" w:color="auto"/>
            <w:right w:val="none" w:sz="0" w:space="0" w:color="auto"/>
          </w:divBdr>
        </w:div>
        <w:div w:id="507409502">
          <w:marLeft w:val="0"/>
          <w:marRight w:val="0"/>
          <w:marTop w:val="0"/>
          <w:marBottom w:val="0"/>
          <w:divBdr>
            <w:top w:val="none" w:sz="0" w:space="0" w:color="auto"/>
            <w:left w:val="none" w:sz="0" w:space="0" w:color="auto"/>
            <w:bottom w:val="none" w:sz="0" w:space="0" w:color="auto"/>
            <w:right w:val="none" w:sz="0" w:space="0" w:color="auto"/>
          </w:divBdr>
        </w:div>
        <w:div w:id="512645276">
          <w:marLeft w:val="0"/>
          <w:marRight w:val="0"/>
          <w:marTop w:val="0"/>
          <w:marBottom w:val="0"/>
          <w:divBdr>
            <w:top w:val="none" w:sz="0" w:space="0" w:color="auto"/>
            <w:left w:val="none" w:sz="0" w:space="0" w:color="auto"/>
            <w:bottom w:val="none" w:sz="0" w:space="0" w:color="auto"/>
            <w:right w:val="none" w:sz="0" w:space="0" w:color="auto"/>
          </w:divBdr>
        </w:div>
        <w:div w:id="521019285">
          <w:marLeft w:val="0"/>
          <w:marRight w:val="0"/>
          <w:marTop w:val="0"/>
          <w:marBottom w:val="0"/>
          <w:divBdr>
            <w:top w:val="none" w:sz="0" w:space="0" w:color="auto"/>
            <w:left w:val="none" w:sz="0" w:space="0" w:color="auto"/>
            <w:bottom w:val="none" w:sz="0" w:space="0" w:color="auto"/>
            <w:right w:val="none" w:sz="0" w:space="0" w:color="auto"/>
          </w:divBdr>
        </w:div>
        <w:div w:id="537858994">
          <w:marLeft w:val="0"/>
          <w:marRight w:val="0"/>
          <w:marTop w:val="0"/>
          <w:marBottom w:val="0"/>
          <w:divBdr>
            <w:top w:val="none" w:sz="0" w:space="0" w:color="auto"/>
            <w:left w:val="none" w:sz="0" w:space="0" w:color="auto"/>
            <w:bottom w:val="none" w:sz="0" w:space="0" w:color="auto"/>
            <w:right w:val="none" w:sz="0" w:space="0" w:color="auto"/>
          </w:divBdr>
        </w:div>
        <w:div w:id="540285051">
          <w:marLeft w:val="0"/>
          <w:marRight w:val="0"/>
          <w:marTop w:val="0"/>
          <w:marBottom w:val="0"/>
          <w:divBdr>
            <w:top w:val="none" w:sz="0" w:space="0" w:color="auto"/>
            <w:left w:val="none" w:sz="0" w:space="0" w:color="auto"/>
            <w:bottom w:val="none" w:sz="0" w:space="0" w:color="auto"/>
            <w:right w:val="none" w:sz="0" w:space="0" w:color="auto"/>
          </w:divBdr>
        </w:div>
        <w:div w:id="577642027">
          <w:marLeft w:val="0"/>
          <w:marRight w:val="0"/>
          <w:marTop w:val="0"/>
          <w:marBottom w:val="0"/>
          <w:divBdr>
            <w:top w:val="none" w:sz="0" w:space="0" w:color="auto"/>
            <w:left w:val="none" w:sz="0" w:space="0" w:color="auto"/>
            <w:bottom w:val="none" w:sz="0" w:space="0" w:color="auto"/>
            <w:right w:val="none" w:sz="0" w:space="0" w:color="auto"/>
          </w:divBdr>
        </w:div>
        <w:div w:id="584531203">
          <w:marLeft w:val="0"/>
          <w:marRight w:val="0"/>
          <w:marTop w:val="0"/>
          <w:marBottom w:val="0"/>
          <w:divBdr>
            <w:top w:val="none" w:sz="0" w:space="0" w:color="auto"/>
            <w:left w:val="none" w:sz="0" w:space="0" w:color="auto"/>
            <w:bottom w:val="none" w:sz="0" w:space="0" w:color="auto"/>
            <w:right w:val="none" w:sz="0" w:space="0" w:color="auto"/>
          </w:divBdr>
        </w:div>
        <w:div w:id="587468110">
          <w:marLeft w:val="0"/>
          <w:marRight w:val="0"/>
          <w:marTop w:val="0"/>
          <w:marBottom w:val="0"/>
          <w:divBdr>
            <w:top w:val="none" w:sz="0" w:space="0" w:color="auto"/>
            <w:left w:val="none" w:sz="0" w:space="0" w:color="auto"/>
            <w:bottom w:val="none" w:sz="0" w:space="0" w:color="auto"/>
            <w:right w:val="none" w:sz="0" w:space="0" w:color="auto"/>
          </w:divBdr>
        </w:div>
        <w:div w:id="620261679">
          <w:marLeft w:val="0"/>
          <w:marRight w:val="0"/>
          <w:marTop w:val="0"/>
          <w:marBottom w:val="0"/>
          <w:divBdr>
            <w:top w:val="none" w:sz="0" w:space="0" w:color="auto"/>
            <w:left w:val="none" w:sz="0" w:space="0" w:color="auto"/>
            <w:bottom w:val="none" w:sz="0" w:space="0" w:color="auto"/>
            <w:right w:val="none" w:sz="0" w:space="0" w:color="auto"/>
          </w:divBdr>
        </w:div>
        <w:div w:id="624120057">
          <w:marLeft w:val="0"/>
          <w:marRight w:val="0"/>
          <w:marTop w:val="0"/>
          <w:marBottom w:val="0"/>
          <w:divBdr>
            <w:top w:val="none" w:sz="0" w:space="0" w:color="auto"/>
            <w:left w:val="none" w:sz="0" w:space="0" w:color="auto"/>
            <w:bottom w:val="none" w:sz="0" w:space="0" w:color="auto"/>
            <w:right w:val="none" w:sz="0" w:space="0" w:color="auto"/>
          </w:divBdr>
        </w:div>
        <w:div w:id="655500508">
          <w:marLeft w:val="0"/>
          <w:marRight w:val="0"/>
          <w:marTop w:val="0"/>
          <w:marBottom w:val="0"/>
          <w:divBdr>
            <w:top w:val="none" w:sz="0" w:space="0" w:color="auto"/>
            <w:left w:val="none" w:sz="0" w:space="0" w:color="auto"/>
            <w:bottom w:val="none" w:sz="0" w:space="0" w:color="auto"/>
            <w:right w:val="none" w:sz="0" w:space="0" w:color="auto"/>
          </w:divBdr>
        </w:div>
        <w:div w:id="661279247">
          <w:marLeft w:val="0"/>
          <w:marRight w:val="0"/>
          <w:marTop w:val="0"/>
          <w:marBottom w:val="0"/>
          <w:divBdr>
            <w:top w:val="none" w:sz="0" w:space="0" w:color="auto"/>
            <w:left w:val="none" w:sz="0" w:space="0" w:color="auto"/>
            <w:bottom w:val="none" w:sz="0" w:space="0" w:color="auto"/>
            <w:right w:val="none" w:sz="0" w:space="0" w:color="auto"/>
          </w:divBdr>
        </w:div>
        <w:div w:id="674461264">
          <w:marLeft w:val="0"/>
          <w:marRight w:val="0"/>
          <w:marTop w:val="0"/>
          <w:marBottom w:val="0"/>
          <w:divBdr>
            <w:top w:val="none" w:sz="0" w:space="0" w:color="auto"/>
            <w:left w:val="none" w:sz="0" w:space="0" w:color="auto"/>
            <w:bottom w:val="none" w:sz="0" w:space="0" w:color="auto"/>
            <w:right w:val="none" w:sz="0" w:space="0" w:color="auto"/>
          </w:divBdr>
        </w:div>
        <w:div w:id="674889931">
          <w:marLeft w:val="0"/>
          <w:marRight w:val="0"/>
          <w:marTop w:val="0"/>
          <w:marBottom w:val="0"/>
          <w:divBdr>
            <w:top w:val="none" w:sz="0" w:space="0" w:color="auto"/>
            <w:left w:val="none" w:sz="0" w:space="0" w:color="auto"/>
            <w:bottom w:val="none" w:sz="0" w:space="0" w:color="auto"/>
            <w:right w:val="none" w:sz="0" w:space="0" w:color="auto"/>
          </w:divBdr>
        </w:div>
        <w:div w:id="683827343">
          <w:marLeft w:val="0"/>
          <w:marRight w:val="0"/>
          <w:marTop w:val="0"/>
          <w:marBottom w:val="0"/>
          <w:divBdr>
            <w:top w:val="none" w:sz="0" w:space="0" w:color="auto"/>
            <w:left w:val="none" w:sz="0" w:space="0" w:color="auto"/>
            <w:bottom w:val="none" w:sz="0" w:space="0" w:color="auto"/>
            <w:right w:val="none" w:sz="0" w:space="0" w:color="auto"/>
          </w:divBdr>
        </w:div>
        <w:div w:id="703944099">
          <w:marLeft w:val="0"/>
          <w:marRight w:val="0"/>
          <w:marTop w:val="0"/>
          <w:marBottom w:val="0"/>
          <w:divBdr>
            <w:top w:val="none" w:sz="0" w:space="0" w:color="auto"/>
            <w:left w:val="none" w:sz="0" w:space="0" w:color="auto"/>
            <w:bottom w:val="none" w:sz="0" w:space="0" w:color="auto"/>
            <w:right w:val="none" w:sz="0" w:space="0" w:color="auto"/>
          </w:divBdr>
        </w:div>
        <w:div w:id="721054071">
          <w:marLeft w:val="0"/>
          <w:marRight w:val="0"/>
          <w:marTop w:val="0"/>
          <w:marBottom w:val="0"/>
          <w:divBdr>
            <w:top w:val="none" w:sz="0" w:space="0" w:color="auto"/>
            <w:left w:val="none" w:sz="0" w:space="0" w:color="auto"/>
            <w:bottom w:val="none" w:sz="0" w:space="0" w:color="auto"/>
            <w:right w:val="none" w:sz="0" w:space="0" w:color="auto"/>
          </w:divBdr>
        </w:div>
        <w:div w:id="741221056">
          <w:marLeft w:val="0"/>
          <w:marRight w:val="0"/>
          <w:marTop w:val="0"/>
          <w:marBottom w:val="0"/>
          <w:divBdr>
            <w:top w:val="none" w:sz="0" w:space="0" w:color="auto"/>
            <w:left w:val="none" w:sz="0" w:space="0" w:color="auto"/>
            <w:bottom w:val="none" w:sz="0" w:space="0" w:color="auto"/>
            <w:right w:val="none" w:sz="0" w:space="0" w:color="auto"/>
          </w:divBdr>
        </w:div>
        <w:div w:id="753085986">
          <w:marLeft w:val="0"/>
          <w:marRight w:val="0"/>
          <w:marTop w:val="0"/>
          <w:marBottom w:val="0"/>
          <w:divBdr>
            <w:top w:val="none" w:sz="0" w:space="0" w:color="auto"/>
            <w:left w:val="none" w:sz="0" w:space="0" w:color="auto"/>
            <w:bottom w:val="none" w:sz="0" w:space="0" w:color="auto"/>
            <w:right w:val="none" w:sz="0" w:space="0" w:color="auto"/>
          </w:divBdr>
        </w:div>
        <w:div w:id="763959103">
          <w:marLeft w:val="0"/>
          <w:marRight w:val="0"/>
          <w:marTop w:val="0"/>
          <w:marBottom w:val="0"/>
          <w:divBdr>
            <w:top w:val="none" w:sz="0" w:space="0" w:color="auto"/>
            <w:left w:val="none" w:sz="0" w:space="0" w:color="auto"/>
            <w:bottom w:val="none" w:sz="0" w:space="0" w:color="auto"/>
            <w:right w:val="none" w:sz="0" w:space="0" w:color="auto"/>
          </w:divBdr>
        </w:div>
        <w:div w:id="780146679">
          <w:marLeft w:val="0"/>
          <w:marRight w:val="0"/>
          <w:marTop w:val="0"/>
          <w:marBottom w:val="0"/>
          <w:divBdr>
            <w:top w:val="none" w:sz="0" w:space="0" w:color="auto"/>
            <w:left w:val="none" w:sz="0" w:space="0" w:color="auto"/>
            <w:bottom w:val="none" w:sz="0" w:space="0" w:color="auto"/>
            <w:right w:val="none" w:sz="0" w:space="0" w:color="auto"/>
          </w:divBdr>
        </w:div>
        <w:div w:id="787506997">
          <w:marLeft w:val="0"/>
          <w:marRight w:val="0"/>
          <w:marTop w:val="0"/>
          <w:marBottom w:val="0"/>
          <w:divBdr>
            <w:top w:val="none" w:sz="0" w:space="0" w:color="auto"/>
            <w:left w:val="none" w:sz="0" w:space="0" w:color="auto"/>
            <w:bottom w:val="none" w:sz="0" w:space="0" w:color="auto"/>
            <w:right w:val="none" w:sz="0" w:space="0" w:color="auto"/>
          </w:divBdr>
        </w:div>
        <w:div w:id="796262840">
          <w:marLeft w:val="0"/>
          <w:marRight w:val="0"/>
          <w:marTop w:val="0"/>
          <w:marBottom w:val="0"/>
          <w:divBdr>
            <w:top w:val="none" w:sz="0" w:space="0" w:color="auto"/>
            <w:left w:val="none" w:sz="0" w:space="0" w:color="auto"/>
            <w:bottom w:val="none" w:sz="0" w:space="0" w:color="auto"/>
            <w:right w:val="none" w:sz="0" w:space="0" w:color="auto"/>
          </w:divBdr>
        </w:div>
        <w:div w:id="799112955">
          <w:marLeft w:val="0"/>
          <w:marRight w:val="0"/>
          <w:marTop w:val="0"/>
          <w:marBottom w:val="0"/>
          <w:divBdr>
            <w:top w:val="none" w:sz="0" w:space="0" w:color="auto"/>
            <w:left w:val="none" w:sz="0" w:space="0" w:color="auto"/>
            <w:bottom w:val="none" w:sz="0" w:space="0" w:color="auto"/>
            <w:right w:val="none" w:sz="0" w:space="0" w:color="auto"/>
          </w:divBdr>
        </w:div>
        <w:div w:id="828210739">
          <w:marLeft w:val="0"/>
          <w:marRight w:val="0"/>
          <w:marTop w:val="0"/>
          <w:marBottom w:val="0"/>
          <w:divBdr>
            <w:top w:val="none" w:sz="0" w:space="0" w:color="auto"/>
            <w:left w:val="none" w:sz="0" w:space="0" w:color="auto"/>
            <w:bottom w:val="none" w:sz="0" w:space="0" w:color="auto"/>
            <w:right w:val="none" w:sz="0" w:space="0" w:color="auto"/>
          </w:divBdr>
        </w:div>
        <w:div w:id="828792501">
          <w:marLeft w:val="0"/>
          <w:marRight w:val="0"/>
          <w:marTop w:val="0"/>
          <w:marBottom w:val="0"/>
          <w:divBdr>
            <w:top w:val="none" w:sz="0" w:space="0" w:color="auto"/>
            <w:left w:val="none" w:sz="0" w:space="0" w:color="auto"/>
            <w:bottom w:val="none" w:sz="0" w:space="0" w:color="auto"/>
            <w:right w:val="none" w:sz="0" w:space="0" w:color="auto"/>
          </w:divBdr>
        </w:div>
        <w:div w:id="830298170">
          <w:marLeft w:val="0"/>
          <w:marRight w:val="0"/>
          <w:marTop w:val="0"/>
          <w:marBottom w:val="0"/>
          <w:divBdr>
            <w:top w:val="none" w:sz="0" w:space="0" w:color="auto"/>
            <w:left w:val="none" w:sz="0" w:space="0" w:color="auto"/>
            <w:bottom w:val="none" w:sz="0" w:space="0" w:color="auto"/>
            <w:right w:val="none" w:sz="0" w:space="0" w:color="auto"/>
          </w:divBdr>
        </w:div>
        <w:div w:id="835071274">
          <w:marLeft w:val="0"/>
          <w:marRight w:val="0"/>
          <w:marTop w:val="0"/>
          <w:marBottom w:val="0"/>
          <w:divBdr>
            <w:top w:val="none" w:sz="0" w:space="0" w:color="auto"/>
            <w:left w:val="none" w:sz="0" w:space="0" w:color="auto"/>
            <w:bottom w:val="none" w:sz="0" w:space="0" w:color="auto"/>
            <w:right w:val="none" w:sz="0" w:space="0" w:color="auto"/>
          </w:divBdr>
        </w:div>
        <w:div w:id="864098541">
          <w:marLeft w:val="0"/>
          <w:marRight w:val="0"/>
          <w:marTop w:val="0"/>
          <w:marBottom w:val="0"/>
          <w:divBdr>
            <w:top w:val="none" w:sz="0" w:space="0" w:color="auto"/>
            <w:left w:val="none" w:sz="0" w:space="0" w:color="auto"/>
            <w:bottom w:val="none" w:sz="0" w:space="0" w:color="auto"/>
            <w:right w:val="none" w:sz="0" w:space="0" w:color="auto"/>
          </w:divBdr>
        </w:div>
        <w:div w:id="865866910">
          <w:marLeft w:val="0"/>
          <w:marRight w:val="0"/>
          <w:marTop w:val="0"/>
          <w:marBottom w:val="0"/>
          <w:divBdr>
            <w:top w:val="none" w:sz="0" w:space="0" w:color="auto"/>
            <w:left w:val="none" w:sz="0" w:space="0" w:color="auto"/>
            <w:bottom w:val="none" w:sz="0" w:space="0" w:color="auto"/>
            <w:right w:val="none" w:sz="0" w:space="0" w:color="auto"/>
          </w:divBdr>
        </w:div>
        <w:div w:id="917136366">
          <w:marLeft w:val="0"/>
          <w:marRight w:val="0"/>
          <w:marTop w:val="0"/>
          <w:marBottom w:val="0"/>
          <w:divBdr>
            <w:top w:val="none" w:sz="0" w:space="0" w:color="auto"/>
            <w:left w:val="none" w:sz="0" w:space="0" w:color="auto"/>
            <w:bottom w:val="none" w:sz="0" w:space="0" w:color="auto"/>
            <w:right w:val="none" w:sz="0" w:space="0" w:color="auto"/>
          </w:divBdr>
        </w:div>
        <w:div w:id="965236122">
          <w:marLeft w:val="0"/>
          <w:marRight w:val="0"/>
          <w:marTop w:val="0"/>
          <w:marBottom w:val="0"/>
          <w:divBdr>
            <w:top w:val="none" w:sz="0" w:space="0" w:color="auto"/>
            <w:left w:val="none" w:sz="0" w:space="0" w:color="auto"/>
            <w:bottom w:val="none" w:sz="0" w:space="0" w:color="auto"/>
            <w:right w:val="none" w:sz="0" w:space="0" w:color="auto"/>
          </w:divBdr>
        </w:div>
        <w:div w:id="966010892">
          <w:marLeft w:val="0"/>
          <w:marRight w:val="0"/>
          <w:marTop w:val="0"/>
          <w:marBottom w:val="0"/>
          <w:divBdr>
            <w:top w:val="none" w:sz="0" w:space="0" w:color="auto"/>
            <w:left w:val="none" w:sz="0" w:space="0" w:color="auto"/>
            <w:bottom w:val="none" w:sz="0" w:space="0" w:color="auto"/>
            <w:right w:val="none" w:sz="0" w:space="0" w:color="auto"/>
          </w:divBdr>
        </w:div>
        <w:div w:id="977959337">
          <w:marLeft w:val="0"/>
          <w:marRight w:val="0"/>
          <w:marTop w:val="0"/>
          <w:marBottom w:val="0"/>
          <w:divBdr>
            <w:top w:val="none" w:sz="0" w:space="0" w:color="auto"/>
            <w:left w:val="none" w:sz="0" w:space="0" w:color="auto"/>
            <w:bottom w:val="none" w:sz="0" w:space="0" w:color="auto"/>
            <w:right w:val="none" w:sz="0" w:space="0" w:color="auto"/>
          </w:divBdr>
        </w:div>
        <w:div w:id="1011491338">
          <w:marLeft w:val="0"/>
          <w:marRight w:val="0"/>
          <w:marTop w:val="0"/>
          <w:marBottom w:val="0"/>
          <w:divBdr>
            <w:top w:val="none" w:sz="0" w:space="0" w:color="auto"/>
            <w:left w:val="none" w:sz="0" w:space="0" w:color="auto"/>
            <w:bottom w:val="none" w:sz="0" w:space="0" w:color="auto"/>
            <w:right w:val="none" w:sz="0" w:space="0" w:color="auto"/>
          </w:divBdr>
        </w:div>
        <w:div w:id="1031420531">
          <w:marLeft w:val="0"/>
          <w:marRight w:val="0"/>
          <w:marTop w:val="0"/>
          <w:marBottom w:val="0"/>
          <w:divBdr>
            <w:top w:val="none" w:sz="0" w:space="0" w:color="auto"/>
            <w:left w:val="none" w:sz="0" w:space="0" w:color="auto"/>
            <w:bottom w:val="none" w:sz="0" w:space="0" w:color="auto"/>
            <w:right w:val="none" w:sz="0" w:space="0" w:color="auto"/>
          </w:divBdr>
        </w:div>
        <w:div w:id="1049299659">
          <w:marLeft w:val="0"/>
          <w:marRight w:val="0"/>
          <w:marTop w:val="0"/>
          <w:marBottom w:val="0"/>
          <w:divBdr>
            <w:top w:val="none" w:sz="0" w:space="0" w:color="auto"/>
            <w:left w:val="none" w:sz="0" w:space="0" w:color="auto"/>
            <w:bottom w:val="none" w:sz="0" w:space="0" w:color="auto"/>
            <w:right w:val="none" w:sz="0" w:space="0" w:color="auto"/>
          </w:divBdr>
        </w:div>
        <w:div w:id="1055659489">
          <w:marLeft w:val="0"/>
          <w:marRight w:val="0"/>
          <w:marTop w:val="0"/>
          <w:marBottom w:val="0"/>
          <w:divBdr>
            <w:top w:val="none" w:sz="0" w:space="0" w:color="auto"/>
            <w:left w:val="none" w:sz="0" w:space="0" w:color="auto"/>
            <w:bottom w:val="none" w:sz="0" w:space="0" w:color="auto"/>
            <w:right w:val="none" w:sz="0" w:space="0" w:color="auto"/>
          </w:divBdr>
        </w:div>
        <w:div w:id="1063217681">
          <w:marLeft w:val="0"/>
          <w:marRight w:val="0"/>
          <w:marTop w:val="0"/>
          <w:marBottom w:val="0"/>
          <w:divBdr>
            <w:top w:val="none" w:sz="0" w:space="0" w:color="auto"/>
            <w:left w:val="none" w:sz="0" w:space="0" w:color="auto"/>
            <w:bottom w:val="none" w:sz="0" w:space="0" w:color="auto"/>
            <w:right w:val="none" w:sz="0" w:space="0" w:color="auto"/>
          </w:divBdr>
        </w:div>
        <w:div w:id="1081297694">
          <w:marLeft w:val="0"/>
          <w:marRight w:val="0"/>
          <w:marTop w:val="0"/>
          <w:marBottom w:val="0"/>
          <w:divBdr>
            <w:top w:val="none" w:sz="0" w:space="0" w:color="auto"/>
            <w:left w:val="none" w:sz="0" w:space="0" w:color="auto"/>
            <w:bottom w:val="none" w:sz="0" w:space="0" w:color="auto"/>
            <w:right w:val="none" w:sz="0" w:space="0" w:color="auto"/>
          </w:divBdr>
        </w:div>
        <w:div w:id="1084572953">
          <w:marLeft w:val="0"/>
          <w:marRight w:val="0"/>
          <w:marTop w:val="0"/>
          <w:marBottom w:val="0"/>
          <w:divBdr>
            <w:top w:val="none" w:sz="0" w:space="0" w:color="auto"/>
            <w:left w:val="none" w:sz="0" w:space="0" w:color="auto"/>
            <w:bottom w:val="none" w:sz="0" w:space="0" w:color="auto"/>
            <w:right w:val="none" w:sz="0" w:space="0" w:color="auto"/>
          </w:divBdr>
        </w:div>
        <w:div w:id="1107114943">
          <w:marLeft w:val="0"/>
          <w:marRight w:val="0"/>
          <w:marTop w:val="0"/>
          <w:marBottom w:val="0"/>
          <w:divBdr>
            <w:top w:val="none" w:sz="0" w:space="0" w:color="auto"/>
            <w:left w:val="none" w:sz="0" w:space="0" w:color="auto"/>
            <w:bottom w:val="none" w:sz="0" w:space="0" w:color="auto"/>
            <w:right w:val="none" w:sz="0" w:space="0" w:color="auto"/>
          </w:divBdr>
        </w:div>
        <w:div w:id="1113018597">
          <w:marLeft w:val="0"/>
          <w:marRight w:val="0"/>
          <w:marTop w:val="0"/>
          <w:marBottom w:val="0"/>
          <w:divBdr>
            <w:top w:val="none" w:sz="0" w:space="0" w:color="auto"/>
            <w:left w:val="none" w:sz="0" w:space="0" w:color="auto"/>
            <w:bottom w:val="none" w:sz="0" w:space="0" w:color="auto"/>
            <w:right w:val="none" w:sz="0" w:space="0" w:color="auto"/>
          </w:divBdr>
        </w:div>
        <w:div w:id="1122991711">
          <w:marLeft w:val="0"/>
          <w:marRight w:val="0"/>
          <w:marTop w:val="0"/>
          <w:marBottom w:val="0"/>
          <w:divBdr>
            <w:top w:val="none" w:sz="0" w:space="0" w:color="auto"/>
            <w:left w:val="none" w:sz="0" w:space="0" w:color="auto"/>
            <w:bottom w:val="none" w:sz="0" w:space="0" w:color="auto"/>
            <w:right w:val="none" w:sz="0" w:space="0" w:color="auto"/>
          </w:divBdr>
        </w:div>
        <w:div w:id="1190413154">
          <w:marLeft w:val="0"/>
          <w:marRight w:val="0"/>
          <w:marTop w:val="0"/>
          <w:marBottom w:val="0"/>
          <w:divBdr>
            <w:top w:val="none" w:sz="0" w:space="0" w:color="auto"/>
            <w:left w:val="none" w:sz="0" w:space="0" w:color="auto"/>
            <w:bottom w:val="none" w:sz="0" w:space="0" w:color="auto"/>
            <w:right w:val="none" w:sz="0" w:space="0" w:color="auto"/>
          </w:divBdr>
        </w:div>
        <w:div w:id="1216892199">
          <w:marLeft w:val="0"/>
          <w:marRight w:val="0"/>
          <w:marTop w:val="0"/>
          <w:marBottom w:val="0"/>
          <w:divBdr>
            <w:top w:val="none" w:sz="0" w:space="0" w:color="auto"/>
            <w:left w:val="none" w:sz="0" w:space="0" w:color="auto"/>
            <w:bottom w:val="none" w:sz="0" w:space="0" w:color="auto"/>
            <w:right w:val="none" w:sz="0" w:space="0" w:color="auto"/>
          </w:divBdr>
        </w:div>
        <w:div w:id="1217931787">
          <w:marLeft w:val="0"/>
          <w:marRight w:val="0"/>
          <w:marTop w:val="0"/>
          <w:marBottom w:val="0"/>
          <w:divBdr>
            <w:top w:val="none" w:sz="0" w:space="0" w:color="auto"/>
            <w:left w:val="none" w:sz="0" w:space="0" w:color="auto"/>
            <w:bottom w:val="none" w:sz="0" w:space="0" w:color="auto"/>
            <w:right w:val="none" w:sz="0" w:space="0" w:color="auto"/>
          </w:divBdr>
        </w:div>
        <w:div w:id="1250895456">
          <w:marLeft w:val="0"/>
          <w:marRight w:val="0"/>
          <w:marTop w:val="0"/>
          <w:marBottom w:val="0"/>
          <w:divBdr>
            <w:top w:val="none" w:sz="0" w:space="0" w:color="auto"/>
            <w:left w:val="none" w:sz="0" w:space="0" w:color="auto"/>
            <w:bottom w:val="none" w:sz="0" w:space="0" w:color="auto"/>
            <w:right w:val="none" w:sz="0" w:space="0" w:color="auto"/>
          </w:divBdr>
        </w:div>
        <w:div w:id="1262452594">
          <w:marLeft w:val="0"/>
          <w:marRight w:val="0"/>
          <w:marTop w:val="0"/>
          <w:marBottom w:val="0"/>
          <w:divBdr>
            <w:top w:val="none" w:sz="0" w:space="0" w:color="auto"/>
            <w:left w:val="none" w:sz="0" w:space="0" w:color="auto"/>
            <w:bottom w:val="none" w:sz="0" w:space="0" w:color="auto"/>
            <w:right w:val="none" w:sz="0" w:space="0" w:color="auto"/>
          </w:divBdr>
        </w:div>
        <w:div w:id="1288776327">
          <w:marLeft w:val="0"/>
          <w:marRight w:val="0"/>
          <w:marTop w:val="0"/>
          <w:marBottom w:val="0"/>
          <w:divBdr>
            <w:top w:val="none" w:sz="0" w:space="0" w:color="auto"/>
            <w:left w:val="none" w:sz="0" w:space="0" w:color="auto"/>
            <w:bottom w:val="none" w:sz="0" w:space="0" w:color="auto"/>
            <w:right w:val="none" w:sz="0" w:space="0" w:color="auto"/>
          </w:divBdr>
        </w:div>
        <w:div w:id="1293562791">
          <w:marLeft w:val="0"/>
          <w:marRight w:val="0"/>
          <w:marTop w:val="0"/>
          <w:marBottom w:val="0"/>
          <w:divBdr>
            <w:top w:val="none" w:sz="0" w:space="0" w:color="auto"/>
            <w:left w:val="none" w:sz="0" w:space="0" w:color="auto"/>
            <w:bottom w:val="none" w:sz="0" w:space="0" w:color="auto"/>
            <w:right w:val="none" w:sz="0" w:space="0" w:color="auto"/>
          </w:divBdr>
        </w:div>
        <w:div w:id="1294556362">
          <w:marLeft w:val="0"/>
          <w:marRight w:val="0"/>
          <w:marTop w:val="0"/>
          <w:marBottom w:val="0"/>
          <w:divBdr>
            <w:top w:val="none" w:sz="0" w:space="0" w:color="auto"/>
            <w:left w:val="none" w:sz="0" w:space="0" w:color="auto"/>
            <w:bottom w:val="none" w:sz="0" w:space="0" w:color="auto"/>
            <w:right w:val="none" w:sz="0" w:space="0" w:color="auto"/>
          </w:divBdr>
        </w:div>
        <w:div w:id="1300693376">
          <w:marLeft w:val="0"/>
          <w:marRight w:val="0"/>
          <w:marTop w:val="0"/>
          <w:marBottom w:val="0"/>
          <w:divBdr>
            <w:top w:val="none" w:sz="0" w:space="0" w:color="auto"/>
            <w:left w:val="none" w:sz="0" w:space="0" w:color="auto"/>
            <w:bottom w:val="none" w:sz="0" w:space="0" w:color="auto"/>
            <w:right w:val="none" w:sz="0" w:space="0" w:color="auto"/>
          </w:divBdr>
        </w:div>
        <w:div w:id="1331637666">
          <w:marLeft w:val="0"/>
          <w:marRight w:val="0"/>
          <w:marTop w:val="0"/>
          <w:marBottom w:val="0"/>
          <w:divBdr>
            <w:top w:val="none" w:sz="0" w:space="0" w:color="auto"/>
            <w:left w:val="none" w:sz="0" w:space="0" w:color="auto"/>
            <w:bottom w:val="none" w:sz="0" w:space="0" w:color="auto"/>
            <w:right w:val="none" w:sz="0" w:space="0" w:color="auto"/>
          </w:divBdr>
        </w:div>
        <w:div w:id="1364019848">
          <w:marLeft w:val="0"/>
          <w:marRight w:val="0"/>
          <w:marTop w:val="0"/>
          <w:marBottom w:val="0"/>
          <w:divBdr>
            <w:top w:val="none" w:sz="0" w:space="0" w:color="auto"/>
            <w:left w:val="none" w:sz="0" w:space="0" w:color="auto"/>
            <w:bottom w:val="none" w:sz="0" w:space="0" w:color="auto"/>
            <w:right w:val="none" w:sz="0" w:space="0" w:color="auto"/>
          </w:divBdr>
        </w:div>
        <w:div w:id="1374303405">
          <w:marLeft w:val="0"/>
          <w:marRight w:val="0"/>
          <w:marTop w:val="0"/>
          <w:marBottom w:val="0"/>
          <w:divBdr>
            <w:top w:val="none" w:sz="0" w:space="0" w:color="auto"/>
            <w:left w:val="none" w:sz="0" w:space="0" w:color="auto"/>
            <w:bottom w:val="none" w:sz="0" w:space="0" w:color="auto"/>
            <w:right w:val="none" w:sz="0" w:space="0" w:color="auto"/>
          </w:divBdr>
        </w:div>
        <w:div w:id="1375152002">
          <w:marLeft w:val="0"/>
          <w:marRight w:val="0"/>
          <w:marTop w:val="0"/>
          <w:marBottom w:val="0"/>
          <w:divBdr>
            <w:top w:val="none" w:sz="0" w:space="0" w:color="auto"/>
            <w:left w:val="none" w:sz="0" w:space="0" w:color="auto"/>
            <w:bottom w:val="none" w:sz="0" w:space="0" w:color="auto"/>
            <w:right w:val="none" w:sz="0" w:space="0" w:color="auto"/>
          </w:divBdr>
        </w:div>
        <w:div w:id="1376075374">
          <w:marLeft w:val="0"/>
          <w:marRight w:val="0"/>
          <w:marTop w:val="0"/>
          <w:marBottom w:val="0"/>
          <w:divBdr>
            <w:top w:val="none" w:sz="0" w:space="0" w:color="auto"/>
            <w:left w:val="none" w:sz="0" w:space="0" w:color="auto"/>
            <w:bottom w:val="none" w:sz="0" w:space="0" w:color="auto"/>
            <w:right w:val="none" w:sz="0" w:space="0" w:color="auto"/>
          </w:divBdr>
        </w:div>
        <w:div w:id="1379549459">
          <w:marLeft w:val="0"/>
          <w:marRight w:val="0"/>
          <w:marTop w:val="0"/>
          <w:marBottom w:val="0"/>
          <w:divBdr>
            <w:top w:val="none" w:sz="0" w:space="0" w:color="auto"/>
            <w:left w:val="none" w:sz="0" w:space="0" w:color="auto"/>
            <w:bottom w:val="none" w:sz="0" w:space="0" w:color="auto"/>
            <w:right w:val="none" w:sz="0" w:space="0" w:color="auto"/>
          </w:divBdr>
        </w:div>
        <w:div w:id="1389455339">
          <w:marLeft w:val="0"/>
          <w:marRight w:val="0"/>
          <w:marTop w:val="0"/>
          <w:marBottom w:val="0"/>
          <w:divBdr>
            <w:top w:val="none" w:sz="0" w:space="0" w:color="auto"/>
            <w:left w:val="none" w:sz="0" w:space="0" w:color="auto"/>
            <w:bottom w:val="none" w:sz="0" w:space="0" w:color="auto"/>
            <w:right w:val="none" w:sz="0" w:space="0" w:color="auto"/>
          </w:divBdr>
        </w:div>
        <w:div w:id="1393237741">
          <w:marLeft w:val="0"/>
          <w:marRight w:val="0"/>
          <w:marTop w:val="0"/>
          <w:marBottom w:val="0"/>
          <w:divBdr>
            <w:top w:val="none" w:sz="0" w:space="0" w:color="auto"/>
            <w:left w:val="none" w:sz="0" w:space="0" w:color="auto"/>
            <w:bottom w:val="none" w:sz="0" w:space="0" w:color="auto"/>
            <w:right w:val="none" w:sz="0" w:space="0" w:color="auto"/>
          </w:divBdr>
        </w:div>
        <w:div w:id="1395590818">
          <w:marLeft w:val="0"/>
          <w:marRight w:val="0"/>
          <w:marTop w:val="0"/>
          <w:marBottom w:val="0"/>
          <w:divBdr>
            <w:top w:val="none" w:sz="0" w:space="0" w:color="auto"/>
            <w:left w:val="none" w:sz="0" w:space="0" w:color="auto"/>
            <w:bottom w:val="none" w:sz="0" w:space="0" w:color="auto"/>
            <w:right w:val="none" w:sz="0" w:space="0" w:color="auto"/>
          </w:divBdr>
        </w:div>
        <w:div w:id="1403798687">
          <w:marLeft w:val="0"/>
          <w:marRight w:val="0"/>
          <w:marTop w:val="0"/>
          <w:marBottom w:val="0"/>
          <w:divBdr>
            <w:top w:val="none" w:sz="0" w:space="0" w:color="auto"/>
            <w:left w:val="none" w:sz="0" w:space="0" w:color="auto"/>
            <w:bottom w:val="none" w:sz="0" w:space="0" w:color="auto"/>
            <w:right w:val="none" w:sz="0" w:space="0" w:color="auto"/>
          </w:divBdr>
        </w:div>
        <w:div w:id="1407650636">
          <w:marLeft w:val="0"/>
          <w:marRight w:val="0"/>
          <w:marTop w:val="0"/>
          <w:marBottom w:val="0"/>
          <w:divBdr>
            <w:top w:val="none" w:sz="0" w:space="0" w:color="auto"/>
            <w:left w:val="none" w:sz="0" w:space="0" w:color="auto"/>
            <w:bottom w:val="none" w:sz="0" w:space="0" w:color="auto"/>
            <w:right w:val="none" w:sz="0" w:space="0" w:color="auto"/>
          </w:divBdr>
        </w:div>
        <w:div w:id="1417819516">
          <w:marLeft w:val="0"/>
          <w:marRight w:val="0"/>
          <w:marTop w:val="0"/>
          <w:marBottom w:val="0"/>
          <w:divBdr>
            <w:top w:val="none" w:sz="0" w:space="0" w:color="auto"/>
            <w:left w:val="none" w:sz="0" w:space="0" w:color="auto"/>
            <w:bottom w:val="none" w:sz="0" w:space="0" w:color="auto"/>
            <w:right w:val="none" w:sz="0" w:space="0" w:color="auto"/>
          </w:divBdr>
        </w:div>
        <w:div w:id="1426271045">
          <w:marLeft w:val="0"/>
          <w:marRight w:val="0"/>
          <w:marTop w:val="0"/>
          <w:marBottom w:val="0"/>
          <w:divBdr>
            <w:top w:val="none" w:sz="0" w:space="0" w:color="auto"/>
            <w:left w:val="none" w:sz="0" w:space="0" w:color="auto"/>
            <w:bottom w:val="none" w:sz="0" w:space="0" w:color="auto"/>
            <w:right w:val="none" w:sz="0" w:space="0" w:color="auto"/>
          </w:divBdr>
        </w:div>
        <w:div w:id="1439373010">
          <w:marLeft w:val="0"/>
          <w:marRight w:val="0"/>
          <w:marTop w:val="0"/>
          <w:marBottom w:val="0"/>
          <w:divBdr>
            <w:top w:val="none" w:sz="0" w:space="0" w:color="auto"/>
            <w:left w:val="none" w:sz="0" w:space="0" w:color="auto"/>
            <w:bottom w:val="none" w:sz="0" w:space="0" w:color="auto"/>
            <w:right w:val="none" w:sz="0" w:space="0" w:color="auto"/>
          </w:divBdr>
        </w:div>
        <w:div w:id="1445615519">
          <w:marLeft w:val="0"/>
          <w:marRight w:val="0"/>
          <w:marTop w:val="0"/>
          <w:marBottom w:val="0"/>
          <w:divBdr>
            <w:top w:val="none" w:sz="0" w:space="0" w:color="auto"/>
            <w:left w:val="none" w:sz="0" w:space="0" w:color="auto"/>
            <w:bottom w:val="none" w:sz="0" w:space="0" w:color="auto"/>
            <w:right w:val="none" w:sz="0" w:space="0" w:color="auto"/>
          </w:divBdr>
        </w:div>
        <w:div w:id="1454710404">
          <w:marLeft w:val="0"/>
          <w:marRight w:val="0"/>
          <w:marTop w:val="0"/>
          <w:marBottom w:val="0"/>
          <w:divBdr>
            <w:top w:val="none" w:sz="0" w:space="0" w:color="auto"/>
            <w:left w:val="none" w:sz="0" w:space="0" w:color="auto"/>
            <w:bottom w:val="none" w:sz="0" w:space="0" w:color="auto"/>
            <w:right w:val="none" w:sz="0" w:space="0" w:color="auto"/>
          </w:divBdr>
        </w:div>
        <w:div w:id="1483935637">
          <w:marLeft w:val="0"/>
          <w:marRight w:val="0"/>
          <w:marTop w:val="0"/>
          <w:marBottom w:val="0"/>
          <w:divBdr>
            <w:top w:val="none" w:sz="0" w:space="0" w:color="auto"/>
            <w:left w:val="none" w:sz="0" w:space="0" w:color="auto"/>
            <w:bottom w:val="none" w:sz="0" w:space="0" w:color="auto"/>
            <w:right w:val="none" w:sz="0" w:space="0" w:color="auto"/>
          </w:divBdr>
        </w:div>
        <w:div w:id="1491599892">
          <w:marLeft w:val="0"/>
          <w:marRight w:val="0"/>
          <w:marTop w:val="0"/>
          <w:marBottom w:val="0"/>
          <w:divBdr>
            <w:top w:val="none" w:sz="0" w:space="0" w:color="auto"/>
            <w:left w:val="none" w:sz="0" w:space="0" w:color="auto"/>
            <w:bottom w:val="none" w:sz="0" w:space="0" w:color="auto"/>
            <w:right w:val="none" w:sz="0" w:space="0" w:color="auto"/>
          </w:divBdr>
        </w:div>
        <w:div w:id="1494759296">
          <w:marLeft w:val="0"/>
          <w:marRight w:val="0"/>
          <w:marTop w:val="0"/>
          <w:marBottom w:val="0"/>
          <w:divBdr>
            <w:top w:val="none" w:sz="0" w:space="0" w:color="auto"/>
            <w:left w:val="none" w:sz="0" w:space="0" w:color="auto"/>
            <w:bottom w:val="none" w:sz="0" w:space="0" w:color="auto"/>
            <w:right w:val="none" w:sz="0" w:space="0" w:color="auto"/>
          </w:divBdr>
        </w:div>
        <w:div w:id="1496334569">
          <w:marLeft w:val="0"/>
          <w:marRight w:val="0"/>
          <w:marTop w:val="0"/>
          <w:marBottom w:val="0"/>
          <w:divBdr>
            <w:top w:val="none" w:sz="0" w:space="0" w:color="auto"/>
            <w:left w:val="none" w:sz="0" w:space="0" w:color="auto"/>
            <w:bottom w:val="none" w:sz="0" w:space="0" w:color="auto"/>
            <w:right w:val="none" w:sz="0" w:space="0" w:color="auto"/>
          </w:divBdr>
        </w:div>
        <w:div w:id="1503204305">
          <w:marLeft w:val="0"/>
          <w:marRight w:val="0"/>
          <w:marTop w:val="0"/>
          <w:marBottom w:val="0"/>
          <w:divBdr>
            <w:top w:val="none" w:sz="0" w:space="0" w:color="auto"/>
            <w:left w:val="none" w:sz="0" w:space="0" w:color="auto"/>
            <w:bottom w:val="none" w:sz="0" w:space="0" w:color="auto"/>
            <w:right w:val="none" w:sz="0" w:space="0" w:color="auto"/>
          </w:divBdr>
        </w:div>
        <w:div w:id="1515536040">
          <w:marLeft w:val="0"/>
          <w:marRight w:val="0"/>
          <w:marTop w:val="0"/>
          <w:marBottom w:val="0"/>
          <w:divBdr>
            <w:top w:val="none" w:sz="0" w:space="0" w:color="auto"/>
            <w:left w:val="none" w:sz="0" w:space="0" w:color="auto"/>
            <w:bottom w:val="none" w:sz="0" w:space="0" w:color="auto"/>
            <w:right w:val="none" w:sz="0" w:space="0" w:color="auto"/>
          </w:divBdr>
        </w:div>
        <w:div w:id="1526552495">
          <w:marLeft w:val="0"/>
          <w:marRight w:val="0"/>
          <w:marTop w:val="0"/>
          <w:marBottom w:val="0"/>
          <w:divBdr>
            <w:top w:val="none" w:sz="0" w:space="0" w:color="auto"/>
            <w:left w:val="none" w:sz="0" w:space="0" w:color="auto"/>
            <w:bottom w:val="none" w:sz="0" w:space="0" w:color="auto"/>
            <w:right w:val="none" w:sz="0" w:space="0" w:color="auto"/>
          </w:divBdr>
        </w:div>
        <w:div w:id="1526602839">
          <w:marLeft w:val="0"/>
          <w:marRight w:val="0"/>
          <w:marTop w:val="0"/>
          <w:marBottom w:val="0"/>
          <w:divBdr>
            <w:top w:val="none" w:sz="0" w:space="0" w:color="auto"/>
            <w:left w:val="none" w:sz="0" w:space="0" w:color="auto"/>
            <w:bottom w:val="none" w:sz="0" w:space="0" w:color="auto"/>
            <w:right w:val="none" w:sz="0" w:space="0" w:color="auto"/>
          </w:divBdr>
        </w:div>
        <w:div w:id="1533377461">
          <w:marLeft w:val="0"/>
          <w:marRight w:val="0"/>
          <w:marTop w:val="0"/>
          <w:marBottom w:val="0"/>
          <w:divBdr>
            <w:top w:val="none" w:sz="0" w:space="0" w:color="auto"/>
            <w:left w:val="none" w:sz="0" w:space="0" w:color="auto"/>
            <w:bottom w:val="none" w:sz="0" w:space="0" w:color="auto"/>
            <w:right w:val="none" w:sz="0" w:space="0" w:color="auto"/>
          </w:divBdr>
        </w:div>
        <w:div w:id="1534657790">
          <w:marLeft w:val="0"/>
          <w:marRight w:val="0"/>
          <w:marTop w:val="0"/>
          <w:marBottom w:val="0"/>
          <w:divBdr>
            <w:top w:val="none" w:sz="0" w:space="0" w:color="auto"/>
            <w:left w:val="none" w:sz="0" w:space="0" w:color="auto"/>
            <w:bottom w:val="none" w:sz="0" w:space="0" w:color="auto"/>
            <w:right w:val="none" w:sz="0" w:space="0" w:color="auto"/>
          </w:divBdr>
        </w:div>
        <w:div w:id="1537424674">
          <w:marLeft w:val="0"/>
          <w:marRight w:val="0"/>
          <w:marTop w:val="0"/>
          <w:marBottom w:val="0"/>
          <w:divBdr>
            <w:top w:val="none" w:sz="0" w:space="0" w:color="auto"/>
            <w:left w:val="none" w:sz="0" w:space="0" w:color="auto"/>
            <w:bottom w:val="none" w:sz="0" w:space="0" w:color="auto"/>
            <w:right w:val="none" w:sz="0" w:space="0" w:color="auto"/>
          </w:divBdr>
        </w:div>
        <w:div w:id="1544321987">
          <w:marLeft w:val="0"/>
          <w:marRight w:val="0"/>
          <w:marTop w:val="0"/>
          <w:marBottom w:val="0"/>
          <w:divBdr>
            <w:top w:val="none" w:sz="0" w:space="0" w:color="auto"/>
            <w:left w:val="none" w:sz="0" w:space="0" w:color="auto"/>
            <w:bottom w:val="none" w:sz="0" w:space="0" w:color="auto"/>
            <w:right w:val="none" w:sz="0" w:space="0" w:color="auto"/>
          </w:divBdr>
        </w:div>
        <w:div w:id="1582788347">
          <w:marLeft w:val="0"/>
          <w:marRight w:val="0"/>
          <w:marTop w:val="0"/>
          <w:marBottom w:val="0"/>
          <w:divBdr>
            <w:top w:val="none" w:sz="0" w:space="0" w:color="auto"/>
            <w:left w:val="none" w:sz="0" w:space="0" w:color="auto"/>
            <w:bottom w:val="none" w:sz="0" w:space="0" w:color="auto"/>
            <w:right w:val="none" w:sz="0" w:space="0" w:color="auto"/>
          </w:divBdr>
        </w:div>
        <w:div w:id="1648171863">
          <w:marLeft w:val="0"/>
          <w:marRight w:val="0"/>
          <w:marTop w:val="0"/>
          <w:marBottom w:val="0"/>
          <w:divBdr>
            <w:top w:val="none" w:sz="0" w:space="0" w:color="auto"/>
            <w:left w:val="none" w:sz="0" w:space="0" w:color="auto"/>
            <w:bottom w:val="none" w:sz="0" w:space="0" w:color="auto"/>
            <w:right w:val="none" w:sz="0" w:space="0" w:color="auto"/>
          </w:divBdr>
        </w:div>
        <w:div w:id="1655790956">
          <w:marLeft w:val="0"/>
          <w:marRight w:val="0"/>
          <w:marTop w:val="0"/>
          <w:marBottom w:val="0"/>
          <w:divBdr>
            <w:top w:val="none" w:sz="0" w:space="0" w:color="auto"/>
            <w:left w:val="none" w:sz="0" w:space="0" w:color="auto"/>
            <w:bottom w:val="none" w:sz="0" w:space="0" w:color="auto"/>
            <w:right w:val="none" w:sz="0" w:space="0" w:color="auto"/>
          </w:divBdr>
        </w:div>
        <w:div w:id="1660842219">
          <w:marLeft w:val="0"/>
          <w:marRight w:val="0"/>
          <w:marTop w:val="0"/>
          <w:marBottom w:val="0"/>
          <w:divBdr>
            <w:top w:val="none" w:sz="0" w:space="0" w:color="auto"/>
            <w:left w:val="none" w:sz="0" w:space="0" w:color="auto"/>
            <w:bottom w:val="none" w:sz="0" w:space="0" w:color="auto"/>
            <w:right w:val="none" w:sz="0" w:space="0" w:color="auto"/>
          </w:divBdr>
        </w:div>
        <w:div w:id="1708875546">
          <w:marLeft w:val="0"/>
          <w:marRight w:val="0"/>
          <w:marTop w:val="0"/>
          <w:marBottom w:val="0"/>
          <w:divBdr>
            <w:top w:val="none" w:sz="0" w:space="0" w:color="auto"/>
            <w:left w:val="none" w:sz="0" w:space="0" w:color="auto"/>
            <w:bottom w:val="none" w:sz="0" w:space="0" w:color="auto"/>
            <w:right w:val="none" w:sz="0" w:space="0" w:color="auto"/>
          </w:divBdr>
        </w:div>
        <w:div w:id="1717311776">
          <w:marLeft w:val="0"/>
          <w:marRight w:val="0"/>
          <w:marTop w:val="0"/>
          <w:marBottom w:val="0"/>
          <w:divBdr>
            <w:top w:val="none" w:sz="0" w:space="0" w:color="auto"/>
            <w:left w:val="none" w:sz="0" w:space="0" w:color="auto"/>
            <w:bottom w:val="none" w:sz="0" w:space="0" w:color="auto"/>
            <w:right w:val="none" w:sz="0" w:space="0" w:color="auto"/>
          </w:divBdr>
        </w:div>
        <w:div w:id="1743792927">
          <w:marLeft w:val="0"/>
          <w:marRight w:val="0"/>
          <w:marTop w:val="0"/>
          <w:marBottom w:val="0"/>
          <w:divBdr>
            <w:top w:val="none" w:sz="0" w:space="0" w:color="auto"/>
            <w:left w:val="none" w:sz="0" w:space="0" w:color="auto"/>
            <w:bottom w:val="none" w:sz="0" w:space="0" w:color="auto"/>
            <w:right w:val="none" w:sz="0" w:space="0" w:color="auto"/>
          </w:divBdr>
        </w:div>
        <w:div w:id="1760174257">
          <w:marLeft w:val="0"/>
          <w:marRight w:val="0"/>
          <w:marTop w:val="0"/>
          <w:marBottom w:val="0"/>
          <w:divBdr>
            <w:top w:val="none" w:sz="0" w:space="0" w:color="auto"/>
            <w:left w:val="none" w:sz="0" w:space="0" w:color="auto"/>
            <w:bottom w:val="none" w:sz="0" w:space="0" w:color="auto"/>
            <w:right w:val="none" w:sz="0" w:space="0" w:color="auto"/>
          </w:divBdr>
        </w:div>
        <w:div w:id="1766461394">
          <w:marLeft w:val="0"/>
          <w:marRight w:val="0"/>
          <w:marTop w:val="0"/>
          <w:marBottom w:val="0"/>
          <w:divBdr>
            <w:top w:val="none" w:sz="0" w:space="0" w:color="auto"/>
            <w:left w:val="none" w:sz="0" w:space="0" w:color="auto"/>
            <w:bottom w:val="none" w:sz="0" w:space="0" w:color="auto"/>
            <w:right w:val="none" w:sz="0" w:space="0" w:color="auto"/>
          </w:divBdr>
        </w:div>
        <w:div w:id="1770464122">
          <w:marLeft w:val="0"/>
          <w:marRight w:val="0"/>
          <w:marTop w:val="0"/>
          <w:marBottom w:val="0"/>
          <w:divBdr>
            <w:top w:val="none" w:sz="0" w:space="0" w:color="auto"/>
            <w:left w:val="none" w:sz="0" w:space="0" w:color="auto"/>
            <w:bottom w:val="none" w:sz="0" w:space="0" w:color="auto"/>
            <w:right w:val="none" w:sz="0" w:space="0" w:color="auto"/>
          </w:divBdr>
        </w:div>
        <w:div w:id="1787966451">
          <w:marLeft w:val="0"/>
          <w:marRight w:val="0"/>
          <w:marTop w:val="0"/>
          <w:marBottom w:val="0"/>
          <w:divBdr>
            <w:top w:val="none" w:sz="0" w:space="0" w:color="auto"/>
            <w:left w:val="none" w:sz="0" w:space="0" w:color="auto"/>
            <w:bottom w:val="none" w:sz="0" w:space="0" w:color="auto"/>
            <w:right w:val="none" w:sz="0" w:space="0" w:color="auto"/>
          </w:divBdr>
        </w:div>
        <w:div w:id="1805930465">
          <w:marLeft w:val="0"/>
          <w:marRight w:val="0"/>
          <w:marTop w:val="0"/>
          <w:marBottom w:val="0"/>
          <w:divBdr>
            <w:top w:val="none" w:sz="0" w:space="0" w:color="auto"/>
            <w:left w:val="none" w:sz="0" w:space="0" w:color="auto"/>
            <w:bottom w:val="none" w:sz="0" w:space="0" w:color="auto"/>
            <w:right w:val="none" w:sz="0" w:space="0" w:color="auto"/>
          </w:divBdr>
        </w:div>
        <w:div w:id="1814254100">
          <w:marLeft w:val="0"/>
          <w:marRight w:val="0"/>
          <w:marTop w:val="0"/>
          <w:marBottom w:val="0"/>
          <w:divBdr>
            <w:top w:val="none" w:sz="0" w:space="0" w:color="auto"/>
            <w:left w:val="none" w:sz="0" w:space="0" w:color="auto"/>
            <w:bottom w:val="none" w:sz="0" w:space="0" w:color="auto"/>
            <w:right w:val="none" w:sz="0" w:space="0" w:color="auto"/>
          </w:divBdr>
        </w:div>
        <w:div w:id="1815021495">
          <w:marLeft w:val="0"/>
          <w:marRight w:val="0"/>
          <w:marTop w:val="0"/>
          <w:marBottom w:val="0"/>
          <w:divBdr>
            <w:top w:val="none" w:sz="0" w:space="0" w:color="auto"/>
            <w:left w:val="none" w:sz="0" w:space="0" w:color="auto"/>
            <w:bottom w:val="none" w:sz="0" w:space="0" w:color="auto"/>
            <w:right w:val="none" w:sz="0" w:space="0" w:color="auto"/>
          </w:divBdr>
        </w:div>
        <w:div w:id="1831215788">
          <w:marLeft w:val="0"/>
          <w:marRight w:val="0"/>
          <w:marTop w:val="0"/>
          <w:marBottom w:val="0"/>
          <w:divBdr>
            <w:top w:val="none" w:sz="0" w:space="0" w:color="auto"/>
            <w:left w:val="none" w:sz="0" w:space="0" w:color="auto"/>
            <w:bottom w:val="none" w:sz="0" w:space="0" w:color="auto"/>
            <w:right w:val="none" w:sz="0" w:space="0" w:color="auto"/>
          </w:divBdr>
        </w:div>
        <w:div w:id="1837070197">
          <w:marLeft w:val="0"/>
          <w:marRight w:val="0"/>
          <w:marTop w:val="0"/>
          <w:marBottom w:val="0"/>
          <w:divBdr>
            <w:top w:val="none" w:sz="0" w:space="0" w:color="auto"/>
            <w:left w:val="none" w:sz="0" w:space="0" w:color="auto"/>
            <w:bottom w:val="none" w:sz="0" w:space="0" w:color="auto"/>
            <w:right w:val="none" w:sz="0" w:space="0" w:color="auto"/>
          </w:divBdr>
        </w:div>
        <w:div w:id="1845049494">
          <w:marLeft w:val="0"/>
          <w:marRight w:val="0"/>
          <w:marTop w:val="0"/>
          <w:marBottom w:val="0"/>
          <w:divBdr>
            <w:top w:val="none" w:sz="0" w:space="0" w:color="auto"/>
            <w:left w:val="none" w:sz="0" w:space="0" w:color="auto"/>
            <w:bottom w:val="none" w:sz="0" w:space="0" w:color="auto"/>
            <w:right w:val="none" w:sz="0" w:space="0" w:color="auto"/>
          </w:divBdr>
        </w:div>
        <w:div w:id="1863129864">
          <w:marLeft w:val="0"/>
          <w:marRight w:val="0"/>
          <w:marTop w:val="0"/>
          <w:marBottom w:val="0"/>
          <w:divBdr>
            <w:top w:val="none" w:sz="0" w:space="0" w:color="auto"/>
            <w:left w:val="none" w:sz="0" w:space="0" w:color="auto"/>
            <w:bottom w:val="none" w:sz="0" w:space="0" w:color="auto"/>
            <w:right w:val="none" w:sz="0" w:space="0" w:color="auto"/>
          </w:divBdr>
        </w:div>
        <w:div w:id="1907447717">
          <w:marLeft w:val="0"/>
          <w:marRight w:val="0"/>
          <w:marTop w:val="0"/>
          <w:marBottom w:val="0"/>
          <w:divBdr>
            <w:top w:val="none" w:sz="0" w:space="0" w:color="auto"/>
            <w:left w:val="none" w:sz="0" w:space="0" w:color="auto"/>
            <w:bottom w:val="none" w:sz="0" w:space="0" w:color="auto"/>
            <w:right w:val="none" w:sz="0" w:space="0" w:color="auto"/>
          </w:divBdr>
        </w:div>
        <w:div w:id="1932817011">
          <w:marLeft w:val="0"/>
          <w:marRight w:val="0"/>
          <w:marTop w:val="0"/>
          <w:marBottom w:val="0"/>
          <w:divBdr>
            <w:top w:val="none" w:sz="0" w:space="0" w:color="auto"/>
            <w:left w:val="none" w:sz="0" w:space="0" w:color="auto"/>
            <w:bottom w:val="none" w:sz="0" w:space="0" w:color="auto"/>
            <w:right w:val="none" w:sz="0" w:space="0" w:color="auto"/>
          </w:divBdr>
        </w:div>
        <w:div w:id="1941404396">
          <w:marLeft w:val="0"/>
          <w:marRight w:val="0"/>
          <w:marTop w:val="0"/>
          <w:marBottom w:val="0"/>
          <w:divBdr>
            <w:top w:val="none" w:sz="0" w:space="0" w:color="auto"/>
            <w:left w:val="none" w:sz="0" w:space="0" w:color="auto"/>
            <w:bottom w:val="none" w:sz="0" w:space="0" w:color="auto"/>
            <w:right w:val="none" w:sz="0" w:space="0" w:color="auto"/>
          </w:divBdr>
        </w:div>
        <w:div w:id="1941646414">
          <w:marLeft w:val="0"/>
          <w:marRight w:val="0"/>
          <w:marTop w:val="0"/>
          <w:marBottom w:val="0"/>
          <w:divBdr>
            <w:top w:val="none" w:sz="0" w:space="0" w:color="auto"/>
            <w:left w:val="none" w:sz="0" w:space="0" w:color="auto"/>
            <w:bottom w:val="none" w:sz="0" w:space="0" w:color="auto"/>
            <w:right w:val="none" w:sz="0" w:space="0" w:color="auto"/>
          </w:divBdr>
        </w:div>
        <w:div w:id="1948855223">
          <w:marLeft w:val="0"/>
          <w:marRight w:val="0"/>
          <w:marTop w:val="0"/>
          <w:marBottom w:val="0"/>
          <w:divBdr>
            <w:top w:val="none" w:sz="0" w:space="0" w:color="auto"/>
            <w:left w:val="none" w:sz="0" w:space="0" w:color="auto"/>
            <w:bottom w:val="none" w:sz="0" w:space="0" w:color="auto"/>
            <w:right w:val="none" w:sz="0" w:space="0" w:color="auto"/>
          </w:divBdr>
        </w:div>
        <w:div w:id="1949776760">
          <w:marLeft w:val="0"/>
          <w:marRight w:val="0"/>
          <w:marTop w:val="0"/>
          <w:marBottom w:val="0"/>
          <w:divBdr>
            <w:top w:val="none" w:sz="0" w:space="0" w:color="auto"/>
            <w:left w:val="none" w:sz="0" w:space="0" w:color="auto"/>
            <w:bottom w:val="none" w:sz="0" w:space="0" w:color="auto"/>
            <w:right w:val="none" w:sz="0" w:space="0" w:color="auto"/>
          </w:divBdr>
        </w:div>
        <w:div w:id="1949925138">
          <w:marLeft w:val="0"/>
          <w:marRight w:val="0"/>
          <w:marTop w:val="0"/>
          <w:marBottom w:val="0"/>
          <w:divBdr>
            <w:top w:val="none" w:sz="0" w:space="0" w:color="auto"/>
            <w:left w:val="none" w:sz="0" w:space="0" w:color="auto"/>
            <w:bottom w:val="none" w:sz="0" w:space="0" w:color="auto"/>
            <w:right w:val="none" w:sz="0" w:space="0" w:color="auto"/>
          </w:divBdr>
        </w:div>
        <w:div w:id="1950382460">
          <w:marLeft w:val="0"/>
          <w:marRight w:val="0"/>
          <w:marTop w:val="0"/>
          <w:marBottom w:val="0"/>
          <w:divBdr>
            <w:top w:val="none" w:sz="0" w:space="0" w:color="auto"/>
            <w:left w:val="none" w:sz="0" w:space="0" w:color="auto"/>
            <w:bottom w:val="none" w:sz="0" w:space="0" w:color="auto"/>
            <w:right w:val="none" w:sz="0" w:space="0" w:color="auto"/>
          </w:divBdr>
        </w:div>
        <w:div w:id="1952320106">
          <w:marLeft w:val="0"/>
          <w:marRight w:val="0"/>
          <w:marTop w:val="0"/>
          <w:marBottom w:val="0"/>
          <w:divBdr>
            <w:top w:val="none" w:sz="0" w:space="0" w:color="auto"/>
            <w:left w:val="none" w:sz="0" w:space="0" w:color="auto"/>
            <w:bottom w:val="none" w:sz="0" w:space="0" w:color="auto"/>
            <w:right w:val="none" w:sz="0" w:space="0" w:color="auto"/>
          </w:divBdr>
        </w:div>
        <w:div w:id="1959681412">
          <w:marLeft w:val="0"/>
          <w:marRight w:val="0"/>
          <w:marTop w:val="0"/>
          <w:marBottom w:val="0"/>
          <w:divBdr>
            <w:top w:val="none" w:sz="0" w:space="0" w:color="auto"/>
            <w:left w:val="none" w:sz="0" w:space="0" w:color="auto"/>
            <w:bottom w:val="none" w:sz="0" w:space="0" w:color="auto"/>
            <w:right w:val="none" w:sz="0" w:space="0" w:color="auto"/>
          </w:divBdr>
        </w:div>
        <w:div w:id="1961643403">
          <w:marLeft w:val="0"/>
          <w:marRight w:val="0"/>
          <w:marTop w:val="0"/>
          <w:marBottom w:val="0"/>
          <w:divBdr>
            <w:top w:val="none" w:sz="0" w:space="0" w:color="auto"/>
            <w:left w:val="none" w:sz="0" w:space="0" w:color="auto"/>
            <w:bottom w:val="none" w:sz="0" w:space="0" w:color="auto"/>
            <w:right w:val="none" w:sz="0" w:space="0" w:color="auto"/>
          </w:divBdr>
        </w:div>
        <w:div w:id="1989287767">
          <w:marLeft w:val="0"/>
          <w:marRight w:val="0"/>
          <w:marTop w:val="0"/>
          <w:marBottom w:val="0"/>
          <w:divBdr>
            <w:top w:val="none" w:sz="0" w:space="0" w:color="auto"/>
            <w:left w:val="none" w:sz="0" w:space="0" w:color="auto"/>
            <w:bottom w:val="none" w:sz="0" w:space="0" w:color="auto"/>
            <w:right w:val="none" w:sz="0" w:space="0" w:color="auto"/>
          </w:divBdr>
        </w:div>
        <w:div w:id="1995795899">
          <w:marLeft w:val="0"/>
          <w:marRight w:val="0"/>
          <w:marTop w:val="0"/>
          <w:marBottom w:val="0"/>
          <w:divBdr>
            <w:top w:val="none" w:sz="0" w:space="0" w:color="auto"/>
            <w:left w:val="none" w:sz="0" w:space="0" w:color="auto"/>
            <w:bottom w:val="none" w:sz="0" w:space="0" w:color="auto"/>
            <w:right w:val="none" w:sz="0" w:space="0" w:color="auto"/>
          </w:divBdr>
        </w:div>
        <w:div w:id="1996450814">
          <w:marLeft w:val="0"/>
          <w:marRight w:val="0"/>
          <w:marTop w:val="0"/>
          <w:marBottom w:val="0"/>
          <w:divBdr>
            <w:top w:val="none" w:sz="0" w:space="0" w:color="auto"/>
            <w:left w:val="none" w:sz="0" w:space="0" w:color="auto"/>
            <w:bottom w:val="none" w:sz="0" w:space="0" w:color="auto"/>
            <w:right w:val="none" w:sz="0" w:space="0" w:color="auto"/>
          </w:divBdr>
        </w:div>
        <w:div w:id="1998849085">
          <w:marLeft w:val="0"/>
          <w:marRight w:val="0"/>
          <w:marTop w:val="0"/>
          <w:marBottom w:val="0"/>
          <w:divBdr>
            <w:top w:val="none" w:sz="0" w:space="0" w:color="auto"/>
            <w:left w:val="none" w:sz="0" w:space="0" w:color="auto"/>
            <w:bottom w:val="none" w:sz="0" w:space="0" w:color="auto"/>
            <w:right w:val="none" w:sz="0" w:space="0" w:color="auto"/>
          </w:divBdr>
        </w:div>
        <w:div w:id="2000646993">
          <w:marLeft w:val="0"/>
          <w:marRight w:val="0"/>
          <w:marTop w:val="0"/>
          <w:marBottom w:val="0"/>
          <w:divBdr>
            <w:top w:val="none" w:sz="0" w:space="0" w:color="auto"/>
            <w:left w:val="none" w:sz="0" w:space="0" w:color="auto"/>
            <w:bottom w:val="none" w:sz="0" w:space="0" w:color="auto"/>
            <w:right w:val="none" w:sz="0" w:space="0" w:color="auto"/>
          </w:divBdr>
        </w:div>
        <w:div w:id="2015954870">
          <w:marLeft w:val="0"/>
          <w:marRight w:val="0"/>
          <w:marTop w:val="0"/>
          <w:marBottom w:val="0"/>
          <w:divBdr>
            <w:top w:val="none" w:sz="0" w:space="0" w:color="auto"/>
            <w:left w:val="none" w:sz="0" w:space="0" w:color="auto"/>
            <w:bottom w:val="none" w:sz="0" w:space="0" w:color="auto"/>
            <w:right w:val="none" w:sz="0" w:space="0" w:color="auto"/>
          </w:divBdr>
        </w:div>
        <w:div w:id="2028746102">
          <w:marLeft w:val="0"/>
          <w:marRight w:val="0"/>
          <w:marTop w:val="0"/>
          <w:marBottom w:val="0"/>
          <w:divBdr>
            <w:top w:val="none" w:sz="0" w:space="0" w:color="auto"/>
            <w:left w:val="none" w:sz="0" w:space="0" w:color="auto"/>
            <w:bottom w:val="none" w:sz="0" w:space="0" w:color="auto"/>
            <w:right w:val="none" w:sz="0" w:space="0" w:color="auto"/>
          </w:divBdr>
        </w:div>
        <w:div w:id="2032802817">
          <w:marLeft w:val="0"/>
          <w:marRight w:val="0"/>
          <w:marTop w:val="0"/>
          <w:marBottom w:val="0"/>
          <w:divBdr>
            <w:top w:val="none" w:sz="0" w:space="0" w:color="auto"/>
            <w:left w:val="none" w:sz="0" w:space="0" w:color="auto"/>
            <w:bottom w:val="none" w:sz="0" w:space="0" w:color="auto"/>
            <w:right w:val="none" w:sz="0" w:space="0" w:color="auto"/>
          </w:divBdr>
        </w:div>
        <w:div w:id="2044015038">
          <w:marLeft w:val="0"/>
          <w:marRight w:val="0"/>
          <w:marTop w:val="0"/>
          <w:marBottom w:val="0"/>
          <w:divBdr>
            <w:top w:val="none" w:sz="0" w:space="0" w:color="auto"/>
            <w:left w:val="none" w:sz="0" w:space="0" w:color="auto"/>
            <w:bottom w:val="none" w:sz="0" w:space="0" w:color="auto"/>
            <w:right w:val="none" w:sz="0" w:space="0" w:color="auto"/>
          </w:divBdr>
        </w:div>
        <w:div w:id="2062903587">
          <w:marLeft w:val="0"/>
          <w:marRight w:val="0"/>
          <w:marTop w:val="0"/>
          <w:marBottom w:val="0"/>
          <w:divBdr>
            <w:top w:val="none" w:sz="0" w:space="0" w:color="auto"/>
            <w:left w:val="none" w:sz="0" w:space="0" w:color="auto"/>
            <w:bottom w:val="none" w:sz="0" w:space="0" w:color="auto"/>
            <w:right w:val="none" w:sz="0" w:space="0" w:color="auto"/>
          </w:divBdr>
        </w:div>
        <w:div w:id="2069955650">
          <w:marLeft w:val="0"/>
          <w:marRight w:val="0"/>
          <w:marTop w:val="0"/>
          <w:marBottom w:val="0"/>
          <w:divBdr>
            <w:top w:val="none" w:sz="0" w:space="0" w:color="auto"/>
            <w:left w:val="none" w:sz="0" w:space="0" w:color="auto"/>
            <w:bottom w:val="none" w:sz="0" w:space="0" w:color="auto"/>
            <w:right w:val="none" w:sz="0" w:space="0" w:color="auto"/>
          </w:divBdr>
        </w:div>
        <w:div w:id="2075615312">
          <w:marLeft w:val="0"/>
          <w:marRight w:val="0"/>
          <w:marTop w:val="0"/>
          <w:marBottom w:val="0"/>
          <w:divBdr>
            <w:top w:val="none" w:sz="0" w:space="0" w:color="auto"/>
            <w:left w:val="none" w:sz="0" w:space="0" w:color="auto"/>
            <w:bottom w:val="none" w:sz="0" w:space="0" w:color="auto"/>
            <w:right w:val="none" w:sz="0" w:space="0" w:color="auto"/>
          </w:divBdr>
        </w:div>
        <w:div w:id="2120755125">
          <w:marLeft w:val="0"/>
          <w:marRight w:val="0"/>
          <w:marTop w:val="0"/>
          <w:marBottom w:val="0"/>
          <w:divBdr>
            <w:top w:val="none" w:sz="0" w:space="0" w:color="auto"/>
            <w:left w:val="none" w:sz="0" w:space="0" w:color="auto"/>
            <w:bottom w:val="none" w:sz="0" w:space="0" w:color="auto"/>
            <w:right w:val="none" w:sz="0" w:space="0" w:color="auto"/>
          </w:divBdr>
        </w:div>
        <w:div w:id="2135173446">
          <w:marLeft w:val="0"/>
          <w:marRight w:val="0"/>
          <w:marTop w:val="0"/>
          <w:marBottom w:val="0"/>
          <w:divBdr>
            <w:top w:val="none" w:sz="0" w:space="0" w:color="auto"/>
            <w:left w:val="none" w:sz="0" w:space="0" w:color="auto"/>
            <w:bottom w:val="none" w:sz="0" w:space="0" w:color="auto"/>
            <w:right w:val="none" w:sz="0" w:space="0" w:color="auto"/>
          </w:divBdr>
        </w:div>
      </w:divsChild>
    </w:div>
    <w:div w:id="1985546482">
      <w:bodyDiv w:val="1"/>
      <w:marLeft w:val="0"/>
      <w:marRight w:val="0"/>
      <w:marTop w:val="0"/>
      <w:marBottom w:val="0"/>
      <w:divBdr>
        <w:top w:val="none" w:sz="0" w:space="0" w:color="auto"/>
        <w:left w:val="none" w:sz="0" w:space="0" w:color="auto"/>
        <w:bottom w:val="none" w:sz="0" w:space="0" w:color="auto"/>
        <w:right w:val="none" w:sz="0" w:space="0" w:color="auto"/>
      </w:divBdr>
    </w:div>
    <w:div w:id="1997489756">
      <w:bodyDiv w:val="1"/>
      <w:marLeft w:val="0"/>
      <w:marRight w:val="0"/>
      <w:marTop w:val="0"/>
      <w:marBottom w:val="0"/>
      <w:divBdr>
        <w:top w:val="none" w:sz="0" w:space="0" w:color="auto"/>
        <w:left w:val="none" w:sz="0" w:space="0" w:color="auto"/>
        <w:bottom w:val="none" w:sz="0" w:space="0" w:color="auto"/>
        <w:right w:val="none" w:sz="0" w:space="0" w:color="auto"/>
      </w:divBdr>
    </w:div>
    <w:div w:id="2030914121">
      <w:bodyDiv w:val="1"/>
      <w:marLeft w:val="0"/>
      <w:marRight w:val="0"/>
      <w:marTop w:val="0"/>
      <w:marBottom w:val="0"/>
      <w:divBdr>
        <w:top w:val="none" w:sz="0" w:space="0" w:color="auto"/>
        <w:left w:val="none" w:sz="0" w:space="0" w:color="auto"/>
        <w:bottom w:val="none" w:sz="0" w:space="0" w:color="auto"/>
        <w:right w:val="none" w:sz="0" w:space="0" w:color="auto"/>
      </w:divBdr>
    </w:div>
    <w:div w:id="205765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6.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terprise/policies/sme/facts-figures-analysis/performance-review/files/countries-sheets/2012/slovakia_sk.pdf" TargetMode="External"/><Relationship Id="rId2" Type="http://schemas.openxmlformats.org/officeDocument/2006/relationships/hyperlink" Target="http://eur-lex.europa.eu/LexUriServ/LexUriServ.do?uri=COM:2012:0795:FIN:EN:PDF" TargetMode="External"/><Relationship Id="rId1" Type="http://schemas.openxmlformats.org/officeDocument/2006/relationships/hyperlink" Target="http://eurlex.europa.eu/LexUriServ/LexUriServ.do?uri=COM:2010:2020:FIN: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sk-SK"/>
              <a:t>Vývoj zostatkovej hodnoty IM v odvetviach priemyselnej výroby </a:t>
            </a:r>
          </a:p>
        </c:rich>
      </c:tx>
      <c:layout>
        <c:manualLayout>
          <c:xMode val="edge"/>
          <c:yMode val="edge"/>
          <c:x val="0.24819027090507192"/>
          <c:y val="2.0338987278756427E-2"/>
        </c:manualLayout>
      </c:layout>
      <c:overlay val="0"/>
      <c:spPr>
        <a:noFill/>
        <a:ln w="25400">
          <a:noFill/>
        </a:ln>
      </c:spPr>
    </c:title>
    <c:autoTitleDeleted val="0"/>
    <c:plotArea>
      <c:layout>
        <c:manualLayout>
          <c:layoutTarget val="inner"/>
          <c:xMode val="edge"/>
          <c:yMode val="edge"/>
          <c:x val="0.10237849017580145"/>
          <c:y val="0.12542372881355932"/>
          <c:w val="0.87590486039296789"/>
          <c:h val="0.75084745762711869"/>
        </c:manualLayout>
      </c:layout>
      <c:bubbleChart>
        <c:varyColors val="0"/>
        <c:ser>
          <c:idx val="0"/>
          <c:order val="0"/>
          <c:tx>
            <c:strRef>
              <c:f>Hárok1!$A$4</c:f>
              <c:strCache>
                <c:ptCount val="1"/>
                <c:pt idx="0">
                  <c:v>10a11</c:v>
                </c:pt>
              </c:strCache>
            </c:strRef>
          </c:tx>
          <c:spPr>
            <a:solidFill>
              <a:srgbClr val="9999FF"/>
            </a:solidFill>
            <a:ln w="12700">
              <a:solidFill>
                <a:srgbClr val="000000"/>
              </a:solidFill>
              <a:prstDash val="solid"/>
            </a:ln>
          </c:spPr>
          <c:invertIfNegative val="0"/>
          <c:xVal>
            <c:numRef>
              <c:f>Hárok1!$N$4</c:f>
              <c:numCache>
                <c:formatCode>General</c:formatCode>
                <c:ptCount val="1"/>
                <c:pt idx="0">
                  <c:v>0.45970153474070619</c:v>
                </c:pt>
              </c:numCache>
            </c:numRef>
          </c:xVal>
          <c:yVal>
            <c:numRef>
              <c:f>Hárok1!$P$4</c:f>
              <c:numCache>
                <c:formatCode>General</c:formatCode>
                <c:ptCount val="1"/>
                <c:pt idx="0">
                  <c:v>-9.872799933291718E-3</c:v>
                </c:pt>
              </c:numCache>
            </c:numRef>
          </c:yVal>
          <c:bubbleSize>
            <c:numRef>
              <c:f>Hárok1!$R$4</c:f>
              <c:numCache>
                <c:formatCode>0.00%</c:formatCode>
                <c:ptCount val="1"/>
                <c:pt idx="0">
                  <c:v>8.5886170002011097E-2</c:v>
                </c:pt>
              </c:numCache>
            </c:numRef>
          </c:bubbleSize>
          <c:bubble3D val="1"/>
        </c:ser>
        <c:ser>
          <c:idx val="1"/>
          <c:order val="1"/>
          <c:tx>
            <c:strRef>
              <c:f>Hárok1!$A$5</c:f>
              <c:strCache>
                <c:ptCount val="1"/>
                <c:pt idx="0">
                  <c:v>13a14</c:v>
                </c:pt>
              </c:strCache>
            </c:strRef>
          </c:tx>
          <c:spPr>
            <a:solidFill>
              <a:srgbClr val="993366"/>
            </a:solidFill>
            <a:ln w="12700">
              <a:solidFill>
                <a:srgbClr val="000000"/>
              </a:solidFill>
              <a:prstDash val="solid"/>
            </a:ln>
          </c:spPr>
          <c:invertIfNegative val="0"/>
          <c:xVal>
            <c:numRef>
              <c:f>Hárok1!$N$5</c:f>
              <c:numCache>
                <c:formatCode>General</c:formatCode>
                <c:ptCount val="1"/>
                <c:pt idx="0">
                  <c:v>0.39326291952663284</c:v>
                </c:pt>
              </c:numCache>
            </c:numRef>
          </c:xVal>
          <c:yVal>
            <c:numRef>
              <c:f>Hárok1!$P$5</c:f>
              <c:numCache>
                <c:formatCode>General</c:formatCode>
                <c:ptCount val="1"/>
                <c:pt idx="0">
                  <c:v>-7.4245130184344638E-3</c:v>
                </c:pt>
              </c:numCache>
            </c:numRef>
          </c:yVal>
          <c:bubbleSize>
            <c:numRef>
              <c:f>Hárok1!$R$5</c:f>
              <c:numCache>
                <c:formatCode>0.00%</c:formatCode>
                <c:ptCount val="1"/>
                <c:pt idx="0">
                  <c:v>4.6599385768401877E-2</c:v>
                </c:pt>
              </c:numCache>
            </c:numRef>
          </c:bubbleSize>
          <c:bubble3D val="1"/>
        </c:ser>
        <c:ser>
          <c:idx val="2"/>
          <c:order val="2"/>
          <c:tx>
            <c:strRef>
              <c:f>Hárok1!$A$6</c:f>
              <c:strCache>
                <c:ptCount val="1"/>
                <c:pt idx="0">
                  <c:v>15a</c:v>
                </c:pt>
              </c:strCache>
            </c:strRef>
          </c:tx>
          <c:spPr>
            <a:solidFill>
              <a:srgbClr val="FFFFCC"/>
            </a:solidFill>
            <a:ln w="12700">
              <a:solidFill>
                <a:srgbClr val="000000"/>
              </a:solidFill>
              <a:prstDash val="solid"/>
            </a:ln>
          </c:spPr>
          <c:invertIfNegative val="0"/>
          <c:xVal>
            <c:numRef>
              <c:f>Hárok1!$N$6</c:f>
              <c:numCache>
                <c:formatCode>0.000000</c:formatCode>
                <c:ptCount val="1"/>
                <c:pt idx="0">
                  <c:v>0.4374561777032262</c:v>
                </c:pt>
              </c:numCache>
            </c:numRef>
          </c:xVal>
          <c:yVal>
            <c:numRef>
              <c:f>Hárok1!$P$6</c:f>
              <c:numCache>
                <c:formatCode>General</c:formatCode>
                <c:ptCount val="1"/>
                <c:pt idx="0">
                  <c:v>-2.5909278312013298E-2</c:v>
                </c:pt>
              </c:numCache>
            </c:numRef>
          </c:yVal>
          <c:bubbleSize>
            <c:numRef>
              <c:f>Hárok1!$R$6</c:f>
              <c:numCache>
                <c:formatCode>0.00%</c:formatCode>
                <c:ptCount val="1"/>
                <c:pt idx="0">
                  <c:v>2.9197668055556514E-2</c:v>
                </c:pt>
              </c:numCache>
            </c:numRef>
          </c:bubbleSize>
          <c:bubble3D val="1"/>
        </c:ser>
        <c:ser>
          <c:idx val="3"/>
          <c:order val="3"/>
          <c:tx>
            <c:strRef>
              <c:f>Hárok1!$A$7</c:f>
              <c:strCache>
                <c:ptCount val="1"/>
                <c:pt idx="0">
                  <c:v>16a</c:v>
                </c:pt>
              </c:strCache>
            </c:strRef>
          </c:tx>
          <c:spPr>
            <a:solidFill>
              <a:srgbClr val="CCFFFF"/>
            </a:solidFill>
            <a:ln w="12700">
              <a:solidFill>
                <a:srgbClr val="000000"/>
              </a:solidFill>
              <a:prstDash val="solid"/>
            </a:ln>
          </c:spPr>
          <c:invertIfNegative val="0"/>
          <c:xVal>
            <c:numRef>
              <c:f>Hárok1!$N$7</c:f>
              <c:numCache>
                <c:formatCode>General</c:formatCode>
                <c:ptCount val="1"/>
                <c:pt idx="0">
                  <c:v>0.62031327127862113</c:v>
                </c:pt>
              </c:numCache>
            </c:numRef>
          </c:xVal>
          <c:yVal>
            <c:numRef>
              <c:f>Hárok1!$P$7</c:f>
              <c:numCache>
                <c:formatCode>General</c:formatCode>
                <c:ptCount val="1"/>
                <c:pt idx="0">
                  <c:v>-2.087642197214109E-3</c:v>
                </c:pt>
              </c:numCache>
            </c:numRef>
          </c:yVal>
          <c:bubbleSize>
            <c:numRef>
              <c:f>Hárok1!$R$7</c:f>
              <c:numCache>
                <c:formatCode>0.00%</c:formatCode>
                <c:ptCount val="1"/>
                <c:pt idx="0">
                  <c:v>1.5034386184322466E-2</c:v>
                </c:pt>
              </c:numCache>
            </c:numRef>
          </c:bubbleSize>
          <c:bubble3D val="1"/>
        </c:ser>
        <c:ser>
          <c:idx val="4"/>
          <c:order val="4"/>
          <c:tx>
            <c:strRef>
              <c:f>Hárok1!$A$8</c:f>
              <c:strCache>
                <c:ptCount val="1"/>
                <c:pt idx="0">
                  <c:v>17a18</c:v>
                </c:pt>
              </c:strCache>
            </c:strRef>
          </c:tx>
          <c:spPr>
            <a:solidFill>
              <a:srgbClr val="660066"/>
            </a:solidFill>
            <a:ln w="12700">
              <a:solidFill>
                <a:srgbClr val="000000"/>
              </a:solidFill>
              <a:prstDash val="solid"/>
            </a:ln>
          </c:spPr>
          <c:invertIfNegative val="0"/>
          <c:xVal>
            <c:numRef>
              <c:f>Hárok1!$N$8</c:f>
              <c:numCache>
                <c:formatCode>#,##0.000000</c:formatCode>
                <c:ptCount val="1"/>
                <c:pt idx="0">
                  <c:v>0.41384697149123445</c:v>
                </c:pt>
              </c:numCache>
            </c:numRef>
          </c:xVal>
          <c:yVal>
            <c:numRef>
              <c:f>Hárok1!$P$8</c:f>
              <c:numCache>
                <c:formatCode>General</c:formatCode>
                <c:ptCount val="1"/>
                <c:pt idx="0">
                  <c:v>-1.0580024457132657E-2</c:v>
                </c:pt>
              </c:numCache>
            </c:numRef>
          </c:yVal>
          <c:bubbleSize>
            <c:numRef>
              <c:f>Hárok1!$R$8</c:f>
              <c:numCache>
                <c:formatCode>0.00%</c:formatCode>
                <c:ptCount val="1"/>
                <c:pt idx="0">
                  <c:v>2.865667738554421E-2</c:v>
                </c:pt>
              </c:numCache>
            </c:numRef>
          </c:bubbleSize>
          <c:bubble3D val="1"/>
        </c:ser>
        <c:ser>
          <c:idx val="5"/>
          <c:order val="5"/>
          <c:tx>
            <c:strRef>
              <c:f>Hárok1!$A$9</c:f>
              <c:strCache>
                <c:ptCount val="1"/>
                <c:pt idx="0">
                  <c:v>19a</c:v>
                </c:pt>
              </c:strCache>
            </c:strRef>
          </c:tx>
          <c:spPr>
            <a:solidFill>
              <a:srgbClr val="FF8080"/>
            </a:solidFill>
            <a:ln w="12700">
              <a:solidFill>
                <a:srgbClr val="000000"/>
              </a:solidFill>
              <a:prstDash val="solid"/>
            </a:ln>
          </c:spPr>
          <c:invertIfNegative val="0"/>
          <c:xVal>
            <c:numRef>
              <c:f>Hárok1!$N$9</c:f>
              <c:numCache>
                <c:formatCode>General</c:formatCode>
                <c:ptCount val="1"/>
                <c:pt idx="0">
                  <c:v>0.4203454904878014</c:v>
                </c:pt>
              </c:numCache>
            </c:numRef>
          </c:xVal>
          <c:yVal>
            <c:numRef>
              <c:f>Hárok1!$P$9</c:f>
              <c:numCache>
                <c:formatCode>General</c:formatCode>
                <c:ptCount val="1"/>
                <c:pt idx="0">
                  <c:v>-1.7140846629867066E-2</c:v>
                </c:pt>
              </c:numCache>
            </c:numRef>
          </c:yVal>
          <c:bubbleSize>
            <c:numRef>
              <c:f>Hárok1!$R$9</c:f>
              <c:numCache>
                <c:formatCode>0.00%</c:formatCode>
                <c:ptCount val="1"/>
                <c:pt idx="0">
                  <c:v>7.3091426558820902E-3</c:v>
                </c:pt>
              </c:numCache>
            </c:numRef>
          </c:bubbleSize>
          <c:bubble3D val="1"/>
        </c:ser>
        <c:ser>
          <c:idx val="6"/>
          <c:order val="6"/>
          <c:tx>
            <c:strRef>
              <c:f>Hárok1!$A$10</c:f>
              <c:strCache>
                <c:ptCount val="1"/>
                <c:pt idx="0">
                  <c:v>20a21</c:v>
                </c:pt>
              </c:strCache>
            </c:strRef>
          </c:tx>
          <c:spPr>
            <a:solidFill>
              <a:srgbClr val="0066CC"/>
            </a:solidFill>
            <a:ln w="12700">
              <a:solidFill>
                <a:srgbClr val="000000"/>
              </a:solidFill>
              <a:prstDash val="solid"/>
            </a:ln>
          </c:spPr>
          <c:invertIfNegative val="0"/>
          <c:xVal>
            <c:numRef>
              <c:f>Hárok1!$N$10</c:f>
              <c:numCache>
                <c:formatCode>General</c:formatCode>
                <c:ptCount val="1"/>
                <c:pt idx="0">
                  <c:v>0.42990016043394108</c:v>
                </c:pt>
              </c:numCache>
            </c:numRef>
          </c:xVal>
          <c:yVal>
            <c:numRef>
              <c:f>Hárok1!$P$10</c:f>
              <c:numCache>
                <c:formatCode>General</c:formatCode>
                <c:ptCount val="1"/>
                <c:pt idx="0">
                  <c:v>1.2803790781388141E-3</c:v>
                </c:pt>
              </c:numCache>
            </c:numRef>
          </c:yVal>
          <c:bubbleSize>
            <c:numRef>
              <c:f>Hárok1!$R$10</c:f>
              <c:numCache>
                <c:formatCode>0.00%</c:formatCode>
                <c:ptCount val="1"/>
                <c:pt idx="0">
                  <c:v>3.2709141538423157E-2</c:v>
                </c:pt>
              </c:numCache>
            </c:numRef>
          </c:bubbleSize>
          <c:bubble3D val="1"/>
        </c:ser>
        <c:ser>
          <c:idx val="7"/>
          <c:order val="7"/>
          <c:tx>
            <c:strRef>
              <c:f>Hárok1!$A$11</c:f>
              <c:strCache>
                <c:ptCount val="1"/>
                <c:pt idx="0">
                  <c:v>22a</c:v>
                </c:pt>
              </c:strCache>
            </c:strRef>
          </c:tx>
          <c:spPr>
            <a:solidFill>
              <a:srgbClr val="CCCCFF"/>
            </a:solidFill>
            <a:ln w="12700">
              <a:solidFill>
                <a:srgbClr val="000000"/>
              </a:solidFill>
              <a:prstDash val="solid"/>
            </a:ln>
          </c:spPr>
          <c:invertIfNegative val="0"/>
          <c:xVal>
            <c:numRef>
              <c:f>Hárok1!$N$11</c:f>
              <c:numCache>
                <c:formatCode>General</c:formatCode>
                <c:ptCount val="1"/>
                <c:pt idx="0">
                  <c:v>0.47479012821826216</c:v>
                </c:pt>
              </c:numCache>
            </c:numRef>
          </c:xVal>
          <c:yVal>
            <c:numRef>
              <c:f>Hárok1!$P$11</c:f>
              <c:numCache>
                <c:formatCode>General</c:formatCode>
                <c:ptCount val="1"/>
                <c:pt idx="0">
                  <c:v>1.000998272753974E-3</c:v>
                </c:pt>
              </c:numCache>
            </c:numRef>
          </c:yVal>
          <c:bubbleSize>
            <c:numRef>
              <c:f>Hárok1!$R$11</c:f>
              <c:numCache>
                <c:formatCode>0.00%</c:formatCode>
                <c:ptCount val="1"/>
                <c:pt idx="0">
                  <c:v>7.257563700177741E-2</c:v>
                </c:pt>
              </c:numCache>
            </c:numRef>
          </c:bubbleSize>
          <c:bubble3D val="1"/>
        </c:ser>
        <c:ser>
          <c:idx val="8"/>
          <c:order val="8"/>
          <c:tx>
            <c:strRef>
              <c:f>Hárok1!$A$12</c:f>
              <c:strCache>
                <c:ptCount val="1"/>
                <c:pt idx="0">
                  <c:v>23a</c:v>
                </c:pt>
              </c:strCache>
            </c:strRef>
          </c:tx>
          <c:spPr>
            <a:solidFill>
              <a:srgbClr val="000080"/>
            </a:solidFill>
            <a:ln w="12700">
              <a:solidFill>
                <a:srgbClr val="000000"/>
              </a:solidFill>
              <a:prstDash val="solid"/>
            </a:ln>
          </c:spPr>
          <c:invertIfNegative val="0"/>
          <c:xVal>
            <c:numRef>
              <c:f>Hárok1!$N$12</c:f>
              <c:numCache>
                <c:formatCode>General</c:formatCode>
                <c:ptCount val="1"/>
                <c:pt idx="0">
                  <c:v>0.40268458023275472</c:v>
                </c:pt>
              </c:numCache>
            </c:numRef>
          </c:xVal>
          <c:yVal>
            <c:numRef>
              <c:f>Hárok1!$P$12</c:f>
              <c:numCache>
                <c:formatCode>General</c:formatCode>
                <c:ptCount val="1"/>
                <c:pt idx="0">
                  <c:v>-6.5621621634915743E-3</c:v>
                </c:pt>
              </c:numCache>
            </c:numRef>
          </c:yVal>
          <c:bubbleSize>
            <c:numRef>
              <c:f>Hárok1!$R$12</c:f>
              <c:numCache>
                <c:formatCode>0.00%</c:formatCode>
                <c:ptCount val="1"/>
                <c:pt idx="0">
                  <c:v>3.8955578781891653E-2</c:v>
                </c:pt>
              </c:numCache>
            </c:numRef>
          </c:bubbleSize>
          <c:bubble3D val="1"/>
        </c:ser>
        <c:ser>
          <c:idx val="9"/>
          <c:order val="9"/>
          <c:tx>
            <c:strRef>
              <c:f>Hárok1!$A$13</c:f>
              <c:strCache>
                <c:ptCount val="1"/>
                <c:pt idx="0">
                  <c:v>24a25</c:v>
                </c:pt>
              </c:strCache>
            </c:strRef>
          </c:tx>
          <c:spPr>
            <a:solidFill>
              <a:srgbClr val="FF00FF"/>
            </a:solidFill>
            <a:ln w="12700">
              <a:solidFill>
                <a:srgbClr val="000000"/>
              </a:solidFill>
              <a:prstDash val="solid"/>
            </a:ln>
          </c:spPr>
          <c:invertIfNegative val="0"/>
          <c:xVal>
            <c:numRef>
              <c:f>Hárok1!$N$13</c:f>
              <c:numCache>
                <c:formatCode>General</c:formatCode>
                <c:ptCount val="1"/>
                <c:pt idx="0">
                  <c:v>0.51544379020119402</c:v>
                </c:pt>
              </c:numCache>
            </c:numRef>
          </c:xVal>
          <c:yVal>
            <c:numRef>
              <c:f>Hárok1!$P$13</c:f>
              <c:numCache>
                <c:formatCode>General</c:formatCode>
                <c:ptCount val="1"/>
                <c:pt idx="0">
                  <c:v>-8.8982814305340521E-3</c:v>
                </c:pt>
              </c:numCache>
            </c:numRef>
          </c:yVal>
          <c:bubbleSize>
            <c:numRef>
              <c:f>Hárok1!$R$13</c:f>
              <c:numCache>
                <c:formatCode>0.00%</c:formatCode>
                <c:ptCount val="1"/>
                <c:pt idx="0">
                  <c:v>0.15409436249910666</c:v>
                </c:pt>
              </c:numCache>
            </c:numRef>
          </c:bubbleSize>
          <c:bubble3D val="1"/>
        </c:ser>
        <c:ser>
          <c:idx val="10"/>
          <c:order val="10"/>
          <c:tx>
            <c:strRef>
              <c:f>Hárok1!$A$14</c:f>
              <c:strCache>
                <c:ptCount val="1"/>
                <c:pt idx="0">
                  <c:v>28a</c:v>
                </c:pt>
              </c:strCache>
            </c:strRef>
          </c:tx>
          <c:spPr>
            <a:solidFill>
              <a:srgbClr val="FFFF00"/>
            </a:solidFill>
            <a:ln w="12700">
              <a:solidFill>
                <a:srgbClr val="000000"/>
              </a:solidFill>
              <a:prstDash val="solid"/>
            </a:ln>
          </c:spPr>
          <c:invertIfNegative val="0"/>
          <c:xVal>
            <c:numRef>
              <c:f>Hárok1!$N$14</c:f>
              <c:numCache>
                <c:formatCode>General</c:formatCode>
                <c:ptCount val="1"/>
                <c:pt idx="0">
                  <c:v>0.47967416684864445</c:v>
                </c:pt>
              </c:numCache>
            </c:numRef>
          </c:xVal>
          <c:yVal>
            <c:numRef>
              <c:f>Hárok1!$P$14</c:f>
              <c:numCache>
                <c:formatCode>General</c:formatCode>
                <c:ptCount val="1"/>
                <c:pt idx="0">
                  <c:v>-1.0301764045444238E-2</c:v>
                </c:pt>
              </c:numCache>
            </c:numRef>
          </c:yVal>
          <c:bubbleSize>
            <c:numRef>
              <c:f>Hárok1!$R$14</c:f>
              <c:numCache>
                <c:formatCode>0.00%</c:formatCode>
                <c:ptCount val="1"/>
                <c:pt idx="0">
                  <c:v>0.10297845781671443</c:v>
                </c:pt>
              </c:numCache>
            </c:numRef>
          </c:bubbleSize>
          <c:bubble3D val="1"/>
        </c:ser>
        <c:ser>
          <c:idx val="11"/>
          <c:order val="11"/>
          <c:tx>
            <c:strRef>
              <c:f>Hárok1!$A$15</c:f>
              <c:strCache>
                <c:ptCount val="1"/>
                <c:pt idx="0">
                  <c:v>26a27</c:v>
                </c:pt>
              </c:strCache>
            </c:strRef>
          </c:tx>
          <c:spPr>
            <a:solidFill>
              <a:srgbClr val="00FFFF"/>
            </a:solidFill>
            <a:ln w="12700">
              <a:solidFill>
                <a:srgbClr val="000000"/>
              </a:solidFill>
              <a:prstDash val="solid"/>
            </a:ln>
          </c:spPr>
          <c:invertIfNegative val="0"/>
          <c:xVal>
            <c:numRef>
              <c:f>Hárok1!$N$15</c:f>
              <c:numCache>
                <c:formatCode>General</c:formatCode>
                <c:ptCount val="1"/>
                <c:pt idx="0">
                  <c:v>0.44419028560947943</c:v>
                </c:pt>
              </c:numCache>
            </c:numRef>
          </c:xVal>
          <c:yVal>
            <c:numRef>
              <c:f>Hárok1!$P$15</c:f>
              <c:numCache>
                <c:formatCode>General</c:formatCode>
                <c:ptCount val="1"/>
                <c:pt idx="0">
                  <c:v>-1.343579558225028E-2</c:v>
                </c:pt>
              </c:numCache>
            </c:numRef>
          </c:yVal>
          <c:bubbleSize>
            <c:numRef>
              <c:f>Hárok1!$R$15</c:f>
              <c:numCache>
                <c:formatCode>0.00%</c:formatCode>
                <c:ptCount val="1"/>
                <c:pt idx="0">
                  <c:v>0.11845022927280609</c:v>
                </c:pt>
              </c:numCache>
            </c:numRef>
          </c:bubbleSize>
          <c:bubble3D val="1"/>
        </c:ser>
        <c:ser>
          <c:idx val="12"/>
          <c:order val="12"/>
          <c:tx>
            <c:strRef>
              <c:f>Hárok1!$A$16</c:f>
              <c:strCache>
                <c:ptCount val="1"/>
                <c:pt idx="0">
                  <c:v>29a30</c:v>
                </c:pt>
              </c:strCache>
            </c:strRef>
          </c:tx>
          <c:spPr>
            <a:solidFill>
              <a:srgbClr val="800080"/>
            </a:solidFill>
            <a:ln w="12700">
              <a:solidFill>
                <a:srgbClr val="000000"/>
              </a:solidFill>
              <a:prstDash val="solid"/>
            </a:ln>
          </c:spPr>
          <c:invertIfNegative val="0"/>
          <c:xVal>
            <c:numRef>
              <c:f>Hárok1!$N$16</c:f>
              <c:numCache>
                <c:formatCode>General</c:formatCode>
                <c:ptCount val="1"/>
                <c:pt idx="0">
                  <c:v>0.47511745721916443</c:v>
                </c:pt>
              </c:numCache>
            </c:numRef>
          </c:xVal>
          <c:yVal>
            <c:numRef>
              <c:f>Hárok1!$P$16</c:f>
              <c:numCache>
                <c:formatCode>General</c:formatCode>
                <c:ptCount val="1"/>
                <c:pt idx="0">
                  <c:v>-1.5142508179563667E-2</c:v>
                </c:pt>
              </c:numCache>
            </c:numRef>
          </c:yVal>
          <c:bubbleSize>
            <c:numRef>
              <c:f>Hárok1!$R$16</c:f>
              <c:numCache>
                <c:formatCode>0.00%</c:formatCode>
                <c:ptCount val="1"/>
                <c:pt idx="0">
                  <c:v>0.19628655929764216</c:v>
                </c:pt>
              </c:numCache>
            </c:numRef>
          </c:bubbleSize>
          <c:bubble3D val="1"/>
        </c:ser>
        <c:ser>
          <c:idx val="13"/>
          <c:order val="13"/>
          <c:tx>
            <c:strRef>
              <c:f>Hárok1!$A$17</c:f>
              <c:strCache>
                <c:ptCount val="1"/>
                <c:pt idx="0">
                  <c:v>31a32</c:v>
                </c:pt>
              </c:strCache>
            </c:strRef>
          </c:tx>
          <c:spPr>
            <a:solidFill>
              <a:srgbClr val="800000"/>
            </a:solidFill>
            <a:ln w="12700">
              <a:solidFill>
                <a:srgbClr val="000000"/>
              </a:solidFill>
              <a:prstDash val="solid"/>
            </a:ln>
          </c:spPr>
          <c:invertIfNegative val="0"/>
          <c:xVal>
            <c:numRef>
              <c:f>Hárok1!$N$17</c:f>
              <c:numCache>
                <c:formatCode>General</c:formatCode>
                <c:ptCount val="1"/>
                <c:pt idx="0">
                  <c:v>0.42510797874883866</c:v>
                </c:pt>
              </c:numCache>
            </c:numRef>
          </c:xVal>
          <c:yVal>
            <c:numRef>
              <c:f>Hárok1!$P$17</c:f>
              <c:numCache>
                <c:formatCode>General</c:formatCode>
                <c:ptCount val="1"/>
                <c:pt idx="0">
                  <c:v>-1.2833304278693976E-2</c:v>
                </c:pt>
              </c:numCache>
            </c:numRef>
          </c:yVal>
          <c:bubbleSize>
            <c:numRef>
              <c:f>Hárok1!$R$17</c:f>
              <c:numCache>
                <c:formatCode>0.00%</c:formatCode>
                <c:ptCount val="1"/>
                <c:pt idx="0">
                  <c:v>4.1057623776097937E-2</c:v>
                </c:pt>
              </c:numCache>
            </c:numRef>
          </c:bubbleSize>
          <c:bubble3D val="1"/>
        </c:ser>
        <c:dLbls>
          <c:showLegendKey val="0"/>
          <c:showVal val="0"/>
          <c:showCatName val="0"/>
          <c:showSerName val="0"/>
          <c:showPercent val="0"/>
          <c:showBubbleSize val="0"/>
        </c:dLbls>
        <c:bubbleScale val="100"/>
        <c:showNegBubbles val="0"/>
        <c:axId val="83107200"/>
        <c:axId val="83109376"/>
      </c:bubbleChart>
      <c:valAx>
        <c:axId val="83107200"/>
        <c:scaling>
          <c:orientation val="minMax"/>
          <c:max val="0.70000000000000007"/>
          <c:min val="0.30000000000000004"/>
        </c:scaling>
        <c:delete val="0"/>
        <c:axPos val="b"/>
        <c:title>
          <c:tx>
            <c:rich>
              <a:bodyPr/>
              <a:lstStyle/>
              <a:p>
                <a:pPr>
                  <a:defRPr sz="1000" b="1" i="0" u="none" strike="noStrike" baseline="0">
                    <a:solidFill>
                      <a:srgbClr val="000000"/>
                    </a:solidFill>
                    <a:latin typeface="Arial"/>
                    <a:ea typeface="Arial"/>
                    <a:cs typeface="Arial"/>
                  </a:defRPr>
                </a:pPr>
                <a:r>
                  <a:rPr lang="sk-SK"/>
                  <a:t>zostatková hodnota IM v r2012</a:t>
                </a:r>
              </a:p>
            </c:rich>
          </c:tx>
          <c:layout>
            <c:manualLayout>
              <c:xMode val="edge"/>
              <c:yMode val="edge"/>
              <c:x val="0.42812821188233324"/>
              <c:y val="0.894915262089118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83109376"/>
        <c:crosses val="autoZero"/>
        <c:crossBetween val="midCat"/>
      </c:valAx>
      <c:valAx>
        <c:axId val="8310937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sk-SK"/>
                  <a:t>stredná medziročná zmena zostatkovej hodnoty IM
 v r 1999 až 2012</a:t>
                </a:r>
              </a:p>
            </c:rich>
          </c:tx>
          <c:layout>
            <c:manualLayout>
              <c:xMode val="edge"/>
              <c:yMode val="edge"/>
              <c:x val="1.1375424514074032E-2"/>
              <c:y val="0.223728860066320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83107200"/>
        <c:crosses val="autoZero"/>
        <c:crossBetween val="midCat"/>
      </c:valAx>
      <c:spPr>
        <a:solidFill>
          <a:srgbClr val="C0C0C0"/>
        </a:solidFill>
        <a:ln w="12700">
          <a:solidFill>
            <a:srgbClr val="808080"/>
          </a:solidFill>
          <a:prstDash val="solid"/>
        </a:ln>
      </c:spPr>
    </c:plotArea>
    <c:legend>
      <c:legendPos val="b"/>
      <c:layout>
        <c:manualLayout>
          <c:xMode val="edge"/>
          <c:yMode val="edge"/>
          <c:x val="0.20475698978343188"/>
          <c:y val="0.93614425390602185"/>
          <c:w val="0.67776315446787461"/>
          <c:h val="5.8770901330476445E-2"/>
        </c:manualLayout>
      </c:layout>
      <c:overlay val="0"/>
      <c:spPr>
        <a:solidFill>
          <a:srgbClr val="FFFFFF"/>
        </a:solidFill>
        <a:ln w="3175">
          <a:solidFill>
            <a:srgbClr val="000000"/>
          </a:solidFill>
          <a:prstDash val="solid"/>
        </a:ln>
      </c:spPr>
      <c:txPr>
        <a:bodyPr/>
        <a:lstStyle/>
        <a:p>
          <a:pPr>
            <a:defRPr sz="600" b="0" i="0" u="none" strike="noStrike" baseline="0">
              <a:solidFill>
                <a:srgbClr val="000000"/>
              </a:solidFill>
              <a:latin typeface="Arial"/>
              <a:ea typeface="Arial"/>
              <a:cs typeface="Arial"/>
            </a:defRPr>
          </a:pPr>
          <a:endParaRPr lang="sk-SK"/>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sk-SK"/>
              <a:t>Odhad podielu pridanej hodnoty na spotrebu materiálov a energií v odvetviach priemyselnej výroby </a:t>
            </a:r>
          </a:p>
        </c:rich>
      </c:tx>
      <c:layout>
        <c:manualLayout>
          <c:xMode val="edge"/>
          <c:yMode val="edge"/>
          <c:x val="0.10548094531661803"/>
          <c:y val="2.0338934712957148E-2"/>
        </c:manualLayout>
      </c:layout>
      <c:overlay val="0"/>
      <c:spPr>
        <a:noFill/>
        <a:ln w="25400">
          <a:noFill/>
        </a:ln>
      </c:spPr>
    </c:title>
    <c:autoTitleDeleted val="0"/>
    <c:plotArea>
      <c:layout>
        <c:manualLayout>
          <c:layoutTarget val="inner"/>
          <c:xMode val="edge"/>
          <c:yMode val="edge"/>
          <c:x val="4.8603929679420892E-2"/>
          <c:y val="0.12542372881355932"/>
          <c:w val="0.92761116856256465"/>
          <c:h val="0.75084745762711869"/>
        </c:manualLayout>
      </c:layout>
      <c:bubbleChart>
        <c:varyColors val="0"/>
        <c:ser>
          <c:idx val="0"/>
          <c:order val="0"/>
          <c:tx>
            <c:strRef>
              <c:f>Hárok1!$A$4</c:f>
              <c:strCache>
                <c:ptCount val="1"/>
                <c:pt idx="0">
                  <c:v>10a11</c:v>
                </c:pt>
              </c:strCache>
            </c:strRef>
          </c:tx>
          <c:spPr>
            <a:solidFill>
              <a:srgbClr val="9999FF"/>
            </a:solidFill>
            <a:ln w="12700">
              <a:solidFill>
                <a:srgbClr val="000000"/>
              </a:solidFill>
              <a:prstDash val="solid"/>
            </a:ln>
          </c:spPr>
          <c:invertIfNegative val="0"/>
          <c:xVal>
            <c:numRef>
              <c:f>Hárok1!$O$4</c:f>
              <c:numCache>
                <c:formatCode>General</c:formatCode>
                <c:ptCount val="1"/>
                <c:pt idx="0">
                  <c:v>0.36780999948041038</c:v>
                </c:pt>
              </c:numCache>
            </c:numRef>
          </c:xVal>
          <c:yVal>
            <c:numRef>
              <c:f>Hárok1!$P$4</c:f>
              <c:numCache>
                <c:formatCode>General</c:formatCode>
                <c:ptCount val="1"/>
                <c:pt idx="0">
                  <c:v>4.2479869599439564E-3</c:v>
                </c:pt>
              </c:numCache>
            </c:numRef>
          </c:yVal>
          <c:bubbleSize>
            <c:numRef>
              <c:f>Hárok1!$R$4</c:f>
              <c:numCache>
                <c:formatCode>0.00%</c:formatCode>
                <c:ptCount val="1"/>
                <c:pt idx="0">
                  <c:v>8.5886170002011097E-2</c:v>
                </c:pt>
              </c:numCache>
            </c:numRef>
          </c:bubbleSize>
          <c:bubble3D val="1"/>
        </c:ser>
        <c:ser>
          <c:idx val="1"/>
          <c:order val="1"/>
          <c:tx>
            <c:strRef>
              <c:f>Hárok1!$A$5</c:f>
              <c:strCache>
                <c:ptCount val="1"/>
                <c:pt idx="0">
                  <c:v>13a14</c:v>
                </c:pt>
              </c:strCache>
            </c:strRef>
          </c:tx>
          <c:spPr>
            <a:solidFill>
              <a:srgbClr val="993366"/>
            </a:solidFill>
            <a:ln w="12700">
              <a:solidFill>
                <a:srgbClr val="000000"/>
              </a:solidFill>
              <a:prstDash val="solid"/>
            </a:ln>
          </c:spPr>
          <c:invertIfNegative val="0"/>
          <c:xVal>
            <c:numRef>
              <c:f>Hárok1!$O$5</c:f>
              <c:numCache>
                <c:formatCode>General</c:formatCode>
                <c:ptCount val="1"/>
                <c:pt idx="0">
                  <c:v>0.73753744122469045</c:v>
                </c:pt>
              </c:numCache>
            </c:numRef>
          </c:xVal>
          <c:yVal>
            <c:numRef>
              <c:f>Hárok1!$P$5</c:f>
              <c:numCache>
                <c:formatCode>General</c:formatCode>
                <c:ptCount val="1"/>
                <c:pt idx="0">
                  <c:v>-2.6264355423499516E-2</c:v>
                </c:pt>
              </c:numCache>
            </c:numRef>
          </c:yVal>
          <c:bubbleSize>
            <c:numRef>
              <c:f>Hárok1!$R$5</c:f>
              <c:numCache>
                <c:formatCode>0.00%</c:formatCode>
                <c:ptCount val="1"/>
                <c:pt idx="0">
                  <c:v>4.6599385768401877E-2</c:v>
                </c:pt>
              </c:numCache>
            </c:numRef>
          </c:bubbleSize>
          <c:bubble3D val="1"/>
        </c:ser>
        <c:ser>
          <c:idx val="2"/>
          <c:order val="2"/>
          <c:tx>
            <c:strRef>
              <c:f>Hárok1!$A$6</c:f>
              <c:strCache>
                <c:ptCount val="1"/>
                <c:pt idx="0">
                  <c:v>15a</c:v>
                </c:pt>
              </c:strCache>
            </c:strRef>
          </c:tx>
          <c:spPr>
            <a:solidFill>
              <a:srgbClr val="FFFFCC"/>
            </a:solidFill>
            <a:ln w="12700">
              <a:solidFill>
                <a:srgbClr val="000000"/>
              </a:solidFill>
              <a:prstDash val="solid"/>
            </a:ln>
          </c:spPr>
          <c:invertIfNegative val="0"/>
          <c:xVal>
            <c:numRef>
              <c:f>Hárok1!$O$6</c:f>
              <c:numCache>
                <c:formatCode>General</c:formatCode>
                <c:ptCount val="1"/>
                <c:pt idx="0">
                  <c:v>0.40229175648217003</c:v>
                </c:pt>
              </c:numCache>
            </c:numRef>
          </c:xVal>
          <c:yVal>
            <c:numRef>
              <c:f>Hárok1!$P$6</c:f>
              <c:numCache>
                <c:formatCode>General</c:formatCode>
                <c:ptCount val="1"/>
                <c:pt idx="0">
                  <c:v>-3.158476214138066E-2</c:v>
                </c:pt>
              </c:numCache>
            </c:numRef>
          </c:yVal>
          <c:bubbleSize>
            <c:numRef>
              <c:f>Hárok1!$R$6</c:f>
              <c:numCache>
                <c:formatCode>0.00%</c:formatCode>
                <c:ptCount val="1"/>
                <c:pt idx="0">
                  <c:v>2.9197668055556514E-2</c:v>
                </c:pt>
              </c:numCache>
            </c:numRef>
          </c:bubbleSize>
          <c:bubble3D val="1"/>
        </c:ser>
        <c:ser>
          <c:idx val="3"/>
          <c:order val="3"/>
          <c:tx>
            <c:strRef>
              <c:f>Hárok1!$A$7</c:f>
              <c:strCache>
                <c:ptCount val="1"/>
                <c:pt idx="0">
                  <c:v>16a</c:v>
                </c:pt>
              </c:strCache>
            </c:strRef>
          </c:tx>
          <c:spPr>
            <a:solidFill>
              <a:srgbClr val="CCFFFF"/>
            </a:solidFill>
            <a:ln w="12700">
              <a:solidFill>
                <a:srgbClr val="000000"/>
              </a:solidFill>
              <a:prstDash val="solid"/>
            </a:ln>
          </c:spPr>
          <c:invertIfNegative val="0"/>
          <c:xVal>
            <c:numRef>
              <c:f>Hárok1!$O$7</c:f>
              <c:numCache>
                <c:formatCode>General</c:formatCode>
                <c:ptCount val="1"/>
                <c:pt idx="0">
                  <c:v>0.24885895749432893</c:v>
                </c:pt>
              </c:numCache>
            </c:numRef>
          </c:xVal>
          <c:yVal>
            <c:numRef>
              <c:f>Hárok1!$P$7</c:f>
              <c:numCache>
                <c:formatCode>General</c:formatCode>
                <c:ptCount val="1"/>
                <c:pt idx="0">
                  <c:v>-1.0991148820830245E-2</c:v>
                </c:pt>
              </c:numCache>
            </c:numRef>
          </c:yVal>
          <c:bubbleSize>
            <c:numRef>
              <c:f>Hárok1!$R$7</c:f>
              <c:numCache>
                <c:formatCode>0.00%</c:formatCode>
                <c:ptCount val="1"/>
                <c:pt idx="0">
                  <c:v>1.5034386184322466E-2</c:v>
                </c:pt>
              </c:numCache>
            </c:numRef>
          </c:bubbleSize>
          <c:bubble3D val="1"/>
        </c:ser>
        <c:ser>
          <c:idx val="4"/>
          <c:order val="4"/>
          <c:tx>
            <c:strRef>
              <c:f>Hárok1!$A$8</c:f>
              <c:strCache>
                <c:ptCount val="1"/>
                <c:pt idx="0">
                  <c:v>17a18</c:v>
                </c:pt>
              </c:strCache>
            </c:strRef>
          </c:tx>
          <c:spPr>
            <a:solidFill>
              <a:srgbClr val="660066"/>
            </a:solidFill>
            <a:ln w="12700">
              <a:solidFill>
                <a:srgbClr val="000000"/>
              </a:solidFill>
              <a:prstDash val="solid"/>
            </a:ln>
          </c:spPr>
          <c:invertIfNegative val="0"/>
          <c:xVal>
            <c:numRef>
              <c:f>Hárok1!$O$8</c:f>
              <c:numCache>
                <c:formatCode>General</c:formatCode>
                <c:ptCount val="1"/>
                <c:pt idx="0">
                  <c:v>0.35240092779404564</c:v>
                </c:pt>
              </c:numCache>
            </c:numRef>
          </c:xVal>
          <c:yVal>
            <c:numRef>
              <c:f>Hárok1!$P$8</c:f>
              <c:numCache>
                <c:formatCode>General</c:formatCode>
                <c:ptCount val="1"/>
                <c:pt idx="0">
                  <c:v>-1.9093268872895617E-2</c:v>
                </c:pt>
              </c:numCache>
            </c:numRef>
          </c:yVal>
          <c:bubbleSize>
            <c:numRef>
              <c:f>Hárok1!$R$8</c:f>
              <c:numCache>
                <c:formatCode>0.00%</c:formatCode>
                <c:ptCount val="1"/>
                <c:pt idx="0">
                  <c:v>2.865667738554421E-2</c:v>
                </c:pt>
              </c:numCache>
            </c:numRef>
          </c:bubbleSize>
          <c:bubble3D val="1"/>
        </c:ser>
        <c:ser>
          <c:idx val="5"/>
          <c:order val="5"/>
          <c:tx>
            <c:strRef>
              <c:f>Hárok1!$A$9</c:f>
              <c:strCache>
                <c:ptCount val="1"/>
                <c:pt idx="0">
                  <c:v>19a</c:v>
                </c:pt>
              </c:strCache>
            </c:strRef>
          </c:tx>
          <c:spPr>
            <a:solidFill>
              <a:srgbClr val="FF8080"/>
            </a:solidFill>
            <a:ln w="12700">
              <a:solidFill>
                <a:srgbClr val="000000"/>
              </a:solidFill>
              <a:prstDash val="solid"/>
            </a:ln>
          </c:spPr>
          <c:invertIfNegative val="0"/>
          <c:xVal>
            <c:numRef>
              <c:f>Hárok1!$O$9</c:f>
              <c:numCache>
                <c:formatCode>General</c:formatCode>
                <c:ptCount val="1"/>
                <c:pt idx="0">
                  <c:v>6.6965512552594794E-2</c:v>
                </c:pt>
              </c:numCache>
            </c:numRef>
          </c:xVal>
          <c:yVal>
            <c:numRef>
              <c:f>Hárok1!$P$9</c:f>
              <c:numCache>
                <c:formatCode>General</c:formatCode>
                <c:ptCount val="1"/>
                <c:pt idx="0">
                  <c:v>-8.8064671201394679E-3</c:v>
                </c:pt>
              </c:numCache>
            </c:numRef>
          </c:yVal>
          <c:bubbleSize>
            <c:numRef>
              <c:f>Hárok1!$R$9</c:f>
              <c:numCache>
                <c:formatCode>0.00%</c:formatCode>
                <c:ptCount val="1"/>
                <c:pt idx="0">
                  <c:v>7.3091426558820902E-3</c:v>
                </c:pt>
              </c:numCache>
            </c:numRef>
          </c:bubbleSize>
          <c:bubble3D val="1"/>
        </c:ser>
        <c:ser>
          <c:idx val="6"/>
          <c:order val="6"/>
          <c:tx>
            <c:strRef>
              <c:f>Hárok1!$A$10</c:f>
              <c:strCache>
                <c:ptCount val="1"/>
                <c:pt idx="0">
                  <c:v>20a21</c:v>
                </c:pt>
              </c:strCache>
            </c:strRef>
          </c:tx>
          <c:spPr>
            <a:solidFill>
              <a:srgbClr val="0066CC"/>
            </a:solidFill>
            <a:ln w="12700">
              <a:solidFill>
                <a:srgbClr val="000000"/>
              </a:solidFill>
              <a:prstDash val="solid"/>
            </a:ln>
          </c:spPr>
          <c:invertIfNegative val="0"/>
          <c:xVal>
            <c:numRef>
              <c:f>Hárok1!$O$10</c:f>
              <c:numCache>
                <c:formatCode>General</c:formatCode>
                <c:ptCount val="1"/>
                <c:pt idx="0">
                  <c:v>0.22518429444467944</c:v>
                </c:pt>
              </c:numCache>
            </c:numRef>
          </c:xVal>
          <c:yVal>
            <c:numRef>
              <c:f>Hárok1!$P$10</c:f>
              <c:numCache>
                <c:formatCode>General</c:formatCode>
                <c:ptCount val="1"/>
                <c:pt idx="0">
                  <c:v>-1.5460504181853034E-2</c:v>
                </c:pt>
              </c:numCache>
            </c:numRef>
          </c:yVal>
          <c:bubbleSize>
            <c:numRef>
              <c:f>Hárok1!$R$10</c:f>
              <c:numCache>
                <c:formatCode>0.00%</c:formatCode>
                <c:ptCount val="1"/>
                <c:pt idx="0">
                  <c:v>3.2709141538423157E-2</c:v>
                </c:pt>
              </c:numCache>
            </c:numRef>
          </c:bubbleSize>
          <c:bubble3D val="1"/>
        </c:ser>
        <c:ser>
          <c:idx val="7"/>
          <c:order val="7"/>
          <c:tx>
            <c:strRef>
              <c:f>Hárok1!$A$11</c:f>
              <c:strCache>
                <c:ptCount val="1"/>
                <c:pt idx="0">
                  <c:v>22a</c:v>
                </c:pt>
              </c:strCache>
            </c:strRef>
          </c:tx>
          <c:spPr>
            <a:solidFill>
              <a:srgbClr val="CCCCFF"/>
            </a:solidFill>
            <a:ln w="12700">
              <a:solidFill>
                <a:srgbClr val="000000"/>
              </a:solidFill>
              <a:prstDash val="solid"/>
            </a:ln>
          </c:spPr>
          <c:invertIfNegative val="0"/>
          <c:xVal>
            <c:numRef>
              <c:f>Hárok1!$O$11</c:f>
              <c:numCache>
                <c:formatCode>General</c:formatCode>
                <c:ptCount val="1"/>
                <c:pt idx="0">
                  <c:v>0.38328374259823583</c:v>
                </c:pt>
              </c:numCache>
            </c:numRef>
          </c:xVal>
          <c:yVal>
            <c:numRef>
              <c:f>Hárok1!$P$11</c:f>
              <c:numCache>
                <c:formatCode>General</c:formatCode>
                <c:ptCount val="1"/>
                <c:pt idx="0">
                  <c:v>-7.4391285836336368E-3</c:v>
                </c:pt>
              </c:numCache>
            </c:numRef>
          </c:yVal>
          <c:bubbleSize>
            <c:numRef>
              <c:f>Hárok1!$R$11</c:f>
              <c:numCache>
                <c:formatCode>0.00%</c:formatCode>
                <c:ptCount val="1"/>
                <c:pt idx="0">
                  <c:v>7.257563700177741E-2</c:v>
                </c:pt>
              </c:numCache>
            </c:numRef>
          </c:bubbleSize>
          <c:bubble3D val="1"/>
        </c:ser>
        <c:ser>
          <c:idx val="8"/>
          <c:order val="8"/>
          <c:tx>
            <c:strRef>
              <c:f>Hárok1!$A$12</c:f>
              <c:strCache>
                <c:ptCount val="1"/>
                <c:pt idx="0">
                  <c:v>23a</c:v>
                </c:pt>
              </c:strCache>
            </c:strRef>
          </c:tx>
          <c:spPr>
            <a:solidFill>
              <a:srgbClr val="000080"/>
            </a:solidFill>
            <a:ln w="12700">
              <a:solidFill>
                <a:srgbClr val="000000"/>
              </a:solidFill>
              <a:prstDash val="solid"/>
            </a:ln>
          </c:spPr>
          <c:invertIfNegative val="0"/>
          <c:xVal>
            <c:numRef>
              <c:f>Hárok1!$O$12</c:f>
              <c:numCache>
                <c:formatCode>General</c:formatCode>
                <c:ptCount val="1"/>
                <c:pt idx="0">
                  <c:v>0.55114249123948655</c:v>
                </c:pt>
              </c:numCache>
            </c:numRef>
          </c:xVal>
          <c:yVal>
            <c:numRef>
              <c:f>Hárok1!$P$12</c:f>
              <c:numCache>
                <c:formatCode>General</c:formatCode>
                <c:ptCount val="1"/>
                <c:pt idx="0">
                  <c:v>-8.3768730588228858E-3</c:v>
                </c:pt>
              </c:numCache>
            </c:numRef>
          </c:yVal>
          <c:bubbleSize>
            <c:numRef>
              <c:f>Hárok1!$R$12</c:f>
              <c:numCache>
                <c:formatCode>0.00%</c:formatCode>
                <c:ptCount val="1"/>
                <c:pt idx="0">
                  <c:v>3.8955578781891653E-2</c:v>
                </c:pt>
              </c:numCache>
            </c:numRef>
          </c:bubbleSize>
          <c:bubble3D val="1"/>
        </c:ser>
        <c:ser>
          <c:idx val="9"/>
          <c:order val="9"/>
          <c:tx>
            <c:strRef>
              <c:f>Hárok1!$A$13</c:f>
              <c:strCache>
                <c:ptCount val="1"/>
                <c:pt idx="0">
                  <c:v>24a25</c:v>
                </c:pt>
              </c:strCache>
            </c:strRef>
          </c:tx>
          <c:spPr>
            <a:solidFill>
              <a:srgbClr val="FF00FF"/>
            </a:solidFill>
            <a:ln w="12700">
              <a:solidFill>
                <a:srgbClr val="000000"/>
              </a:solidFill>
              <a:prstDash val="solid"/>
            </a:ln>
          </c:spPr>
          <c:invertIfNegative val="0"/>
          <c:xVal>
            <c:numRef>
              <c:f>Hárok1!$O$13</c:f>
              <c:numCache>
                <c:formatCode>General</c:formatCode>
                <c:ptCount val="1"/>
                <c:pt idx="0">
                  <c:v>0.27743624257623567</c:v>
                </c:pt>
              </c:numCache>
            </c:numRef>
          </c:xVal>
          <c:yVal>
            <c:numRef>
              <c:f>Hárok1!$P$13</c:f>
              <c:numCache>
                <c:formatCode>General</c:formatCode>
                <c:ptCount val="1"/>
                <c:pt idx="0">
                  <c:v>-4.1110890757813205E-3</c:v>
                </c:pt>
              </c:numCache>
            </c:numRef>
          </c:yVal>
          <c:bubbleSize>
            <c:numRef>
              <c:f>Hárok1!$R$13</c:f>
              <c:numCache>
                <c:formatCode>0.00%</c:formatCode>
                <c:ptCount val="1"/>
                <c:pt idx="0">
                  <c:v>0.15409436249910666</c:v>
                </c:pt>
              </c:numCache>
            </c:numRef>
          </c:bubbleSize>
          <c:bubble3D val="1"/>
        </c:ser>
        <c:ser>
          <c:idx val="10"/>
          <c:order val="10"/>
          <c:tx>
            <c:strRef>
              <c:f>Hárok1!$A$14</c:f>
              <c:strCache>
                <c:ptCount val="1"/>
                <c:pt idx="0">
                  <c:v>28a</c:v>
                </c:pt>
              </c:strCache>
            </c:strRef>
          </c:tx>
          <c:spPr>
            <a:solidFill>
              <a:srgbClr val="FFFF00"/>
            </a:solidFill>
            <a:ln w="12700">
              <a:solidFill>
                <a:srgbClr val="000000"/>
              </a:solidFill>
              <a:prstDash val="solid"/>
            </a:ln>
          </c:spPr>
          <c:invertIfNegative val="0"/>
          <c:xVal>
            <c:numRef>
              <c:f>Hárok1!$O$14</c:f>
              <c:numCache>
                <c:formatCode>General</c:formatCode>
                <c:ptCount val="1"/>
                <c:pt idx="0">
                  <c:v>0.44347262743394705</c:v>
                </c:pt>
              </c:numCache>
            </c:numRef>
          </c:xVal>
          <c:yVal>
            <c:numRef>
              <c:f>Hárok1!$P$14</c:f>
              <c:numCache>
                <c:formatCode>General</c:formatCode>
                <c:ptCount val="1"/>
                <c:pt idx="0">
                  <c:v>-1.1451859019755244E-2</c:v>
                </c:pt>
              </c:numCache>
            </c:numRef>
          </c:yVal>
          <c:bubbleSize>
            <c:numRef>
              <c:f>Hárok1!$R$14</c:f>
              <c:numCache>
                <c:formatCode>0.00%</c:formatCode>
                <c:ptCount val="1"/>
                <c:pt idx="0">
                  <c:v>0.10297845781671443</c:v>
                </c:pt>
              </c:numCache>
            </c:numRef>
          </c:bubbleSize>
          <c:bubble3D val="1"/>
        </c:ser>
        <c:ser>
          <c:idx val="11"/>
          <c:order val="11"/>
          <c:tx>
            <c:strRef>
              <c:f>Hárok1!$A$15</c:f>
              <c:strCache>
                <c:ptCount val="1"/>
                <c:pt idx="0">
                  <c:v>26a27</c:v>
                </c:pt>
              </c:strCache>
            </c:strRef>
          </c:tx>
          <c:spPr>
            <a:solidFill>
              <a:srgbClr val="00FFFF"/>
            </a:solidFill>
            <a:ln w="12700">
              <a:solidFill>
                <a:srgbClr val="000000"/>
              </a:solidFill>
              <a:prstDash val="solid"/>
            </a:ln>
          </c:spPr>
          <c:invertIfNegative val="0"/>
          <c:xVal>
            <c:numRef>
              <c:f>Hárok1!$O$15</c:f>
              <c:numCache>
                <c:formatCode>General</c:formatCode>
                <c:ptCount val="1"/>
                <c:pt idx="0">
                  <c:v>0.16055792358486487</c:v>
                </c:pt>
              </c:numCache>
            </c:numRef>
          </c:xVal>
          <c:yVal>
            <c:numRef>
              <c:f>Hárok1!$P$15</c:f>
              <c:numCache>
                <c:formatCode>General</c:formatCode>
                <c:ptCount val="1"/>
                <c:pt idx="0">
                  <c:v>-2.6760345939088739E-2</c:v>
                </c:pt>
              </c:numCache>
            </c:numRef>
          </c:yVal>
          <c:bubbleSize>
            <c:numRef>
              <c:f>Hárok1!$R$15</c:f>
              <c:numCache>
                <c:formatCode>0.00%</c:formatCode>
                <c:ptCount val="1"/>
                <c:pt idx="0">
                  <c:v>0.11845022927280609</c:v>
                </c:pt>
              </c:numCache>
            </c:numRef>
          </c:bubbleSize>
          <c:bubble3D val="1"/>
        </c:ser>
        <c:ser>
          <c:idx val="12"/>
          <c:order val="12"/>
          <c:tx>
            <c:strRef>
              <c:f>Hárok1!$A$16</c:f>
              <c:strCache>
                <c:ptCount val="1"/>
                <c:pt idx="0">
                  <c:v>29a30</c:v>
                </c:pt>
              </c:strCache>
            </c:strRef>
          </c:tx>
          <c:spPr>
            <a:solidFill>
              <a:srgbClr val="800080"/>
            </a:solidFill>
            <a:ln w="12700">
              <a:solidFill>
                <a:srgbClr val="000000"/>
              </a:solidFill>
              <a:prstDash val="solid"/>
            </a:ln>
          </c:spPr>
          <c:invertIfNegative val="0"/>
          <c:xVal>
            <c:numRef>
              <c:f>Hárok1!$O$16</c:f>
              <c:numCache>
                <c:formatCode>General</c:formatCode>
                <c:ptCount val="1"/>
                <c:pt idx="0">
                  <c:v>0.1425531345973706</c:v>
                </c:pt>
              </c:numCache>
            </c:numRef>
          </c:xVal>
          <c:yVal>
            <c:numRef>
              <c:f>Hárok1!$P$16</c:f>
              <c:numCache>
                <c:formatCode>General</c:formatCode>
                <c:ptCount val="1"/>
                <c:pt idx="0">
                  <c:v>-4.0164884206482978E-3</c:v>
                </c:pt>
              </c:numCache>
            </c:numRef>
          </c:yVal>
          <c:bubbleSize>
            <c:numRef>
              <c:f>Hárok1!$R$16</c:f>
              <c:numCache>
                <c:formatCode>0.00%</c:formatCode>
                <c:ptCount val="1"/>
                <c:pt idx="0">
                  <c:v>0.19628655929764216</c:v>
                </c:pt>
              </c:numCache>
            </c:numRef>
          </c:bubbleSize>
          <c:bubble3D val="1"/>
        </c:ser>
        <c:ser>
          <c:idx val="13"/>
          <c:order val="13"/>
          <c:tx>
            <c:strRef>
              <c:f>Hárok1!$A$17</c:f>
              <c:strCache>
                <c:ptCount val="1"/>
                <c:pt idx="0">
                  <c:v>31a32</c:v>
                </c:pt>
              </c:strCache>
            </c:strRef>
          </c:tx>
          <c:spPr>
            <a:solidFill>
              <a:srgbClr val="800000"/>
            </a:solidFill>
            <a:ln w="12700">
              <a:solidFill>
                <a:srgbClr val="000000"/>
              </a:solidFill>
              <a:prstDash val="solid"/>
            </a:ln>
          </c:spPr>
          <c:invertIfNegative val="0"/>
          <c:xVal>
            <c:numRef>
              <c:f>Hárok1!$O$17</c:f>
              <c:numCache>
                <c:formatCode>General</c:formatCode>
                <c:ptCount val="1"/>
                <c:pt idx="0">
                  <c:v>0.48129400033984149</c:v>
                </c:pt>
              </c:numCache>
            </c:numRef>
          </c:xVal>
          <c:yVal>
            <c:numRef>
              <c:f>Hárok1!$P$17</c:f>
              <c:numCache>
                <c:formatCode>General</c:formatCode>
                <c:ptCount val="1"/>
                <c:pt idx="0">
                  <c:v>7.3309307986517908E-3</c:v>
                </c:pt>
              </c:numCache>
            </c:numRef>
          </c:yVal>
          <c:bubbleSize>
            <c:numRef>
              <c:f>Hárok1!$R$17</c:f>
              <c:numCache>
                <c:formatCode>0.00%</c:formatCode>
                <c:ptCount val="1"/>
                <c:pt idx="0">
                  <c:v>4.1057623776097937E-2</c:v>
                </c:pt>
              </c:numCache>
            </c:numRef>
          </c:bubbleSize>
          <c:bubble3D val="1"/>
        </c:ser>
        <c:dLbls>
          <c:showLegendKey val="0"/>
          <c:showVal val="0"/>
          <c:showCatName val="0"/>
          <c:showSerName val="0"/>
          <c:showPercent val="0"/>
          <c:showBubbleSize val="0"/>
        </c:dLbls>
        <c:bubbleScale val="100"/>
        <c:showNegBubbles val="0"/>
        <c:axId val="99230848"/>
        <c:axId val="99232768"/>
      </c:bubbleChart>
      <c:valAx>
        <c:axId val="9923084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sk-SK"/>
                  <a:t>pridaná hodnota/ (spotreba materiálov a energií) v r 2012</a:t>
                </a:r>
              </a:p>
            </c:rich>
          </c:tx>
          <c:layout>
            <c:manualLayout>
              <c:xMode val="edge"/>
              <c:yMode val="edge"/>
              <c:x val="0.33505681355048011"/>
              <c:y val="0.8949152663217607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99232768"/>
        <c:crosses val="autoZero"/>
        <c:crossBetween val="midCat"/>
      </c:valAx>
      <c:valAx>
        <c:axId val="9923276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sk-SK"/>
                  <a:t>stredná medziročná zmena podielu v r 1999 až 2012</a:t>
                </a:r>
              </a:p>
            </c:rich>
          </c:tx>
          <c:layout>
            <c:manualLayout>
              <c:xMode val="edge"/>
              <c:yMode val="edge"/>
              <c:x val="1.1375425897849727E-2"/>
              <c:y val="0.203389881867483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99230848"/>
        <c:crosses val="autoZero"/>
        <c:crossBetween val="midCat"/>
      </c:valAx>
      <c:spPr>
        <a:solidFill>
          <a:srgbClr val="C0C0C0"/>
        </a:solidFill>
        <a:ln w="12700">
          <a:solidFill>
            <a:srgbClr val="808080"/>
          </a:solidFill>
          <a:prstDash val="solid"/>
        </a:ln>
      </c:spPr>
    </c:plotArea>
    <c:legend>
      <c:legendPos val="b"/>
      <c:layout>
        <c:manualLayout>
          <c:xMode val="edge"/>
          <c:yMode val="edge"/>
          <c:x val="0.17683550425761999"/>
          <c:y val="0.95423730777286109"/>
          <c:w val="0.67114784564972862"/>
          <c:h val="4.0678047671884876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sk-SK"/>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7C2D9-DE41-4F5D-8503-EB7D8F7B2D75}">
  <ds:schemaRefs>
    <ds:schemaRef ds:uri="http://schemas.openxmlformats.org/officeDocument/2006/bibliography"/>
  </ds:schemaRefs>
</ds:datastoreItem>
</file>

<file path=customXml/itemProps2.xml><?xml version="1.0" encoding="utf-8"?>
<ds:datastoreItem xmlns:ds="http://schemas.openxmlformats.org/officeDocument/2006/customXml" ds:itemID="{0C2089D5-F405-4AE2-BC2A-E535CF5FD6C5}">
  <ds:schemaRefs>
    <ds:schemaRef ds:uri="http://schemas.openxmlformats.org/officeDocument/2006/bibliography"/>
  </ds:schemaRefs>
</ds:datastoreItem>
</file>

<file path=customXml/itemProps3.xml><?xml version="1.0" encoding="utf-8"?>
<ds:datastoreItem xmlns:ds="http://schemas.openxmlformats.org/officeDocument/2006/customXml" ds:itemID="{C5C140DE-A571-4EA1-820B-767AE00EDAC7}">
  <ds:schemaRefs>
    <ds:schemaRef ds:uri="http://schemas.openxmlformats.org/officeDocument/2006/bibliography"/>
  </ds:schemaRefs>
</ds:datastoreItem>
</file>

<file path=customXml/itemProps4.xml><?xml version="1.0" encoding="utf-8"?>
<ds:datastoreItem xmlns:ds="http://schemas.openxmlformats.org/officeDocument/2006/customXml" ds:itemID="{DFA0C6F7-F5A0-4FBE-9557-12CCCD15910B}">
  <ds:schemaRefs>
    <ds:schemaRef ds:uri="http://schemas.openxmlformats.org/officeDocument/2006/bibliography"/>
  </ds:schemaRefs>
</ds:datastoreItem>
</file>

<file path=customXml/itemProps5.xml><?xml version="1.0" encoding="utf-8"?>
<ds:datastoreItem xmlns:ds="http://schemas.openxmlformats.org/officeDocument/2006/customXml" ds:itemID="{EAA5E7F1-71A1-4FD2-BC39-A416C6E3B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66</Pages>
  <Words>21794</Words>
  <Characters>126366</Characters>
  <Application>Microsoft Office Word</Application>
  <DocSecurity>0</DocSecurity>
  <Lines>1053</Lines>
  <Paragraphs>295</Paragraphs>
  <ScaleCrop>false</ScaleCrop>
  <HeadingPairs>
    <vt:vector size="2" baseType="variant">
      <vt:variant>
        <vt:lpstr>Názov</vt:lpstr>
      </vt:variant>
      <vt:variant>
        <vt:i4>1</vt:i4>
      </vt:variant>
    </vt:vector>
  </HeadingPairs>
  <TitlesOfParts>
    <vt:vector size="1" baseType="lpstr">
      <vt:lpstr>Návrh Hospodárskej politiky SR</vt:lpstr>
    </vt:vector>
  </TitlesOfParts>
  <Company>MHSR</Company>
  <LinksUpToDate>false</LinksUpToDate>
  <CharactersWithSpaces>147865</CharactersWithSpaces>
  <SharedDoc>false</SharedDoc>
  <HLinks>
    <vt:vector size="24" baseType="variant">
      <vt:variant>
        <vt:i4>4456525</vt:i4>
      </vt:variant>
      <vt:variant>
        <vt:i4>3</vt:i4>
      </vt:variant>
      <vt:variant>
        <vt:i4>0</vt:i4>
      </vt:variant>
      <vt:variant>
        <vt:i4>5</vt:i4>
      </vt:variant>
      <vt:variant>
        <vt:lpwstr>http://www.worldwide-tax.com/</vt:lpwstr>
      </vt:variant>
      <vt:variant>
        <vt:lpwstr/>
      </vt:variant>
      <vt:variant>
        <vt:i4>1638499</vt:i4>
      </vt:variant>
      <vt:variant>
        <vt:i4>6</vt:i4>
      </vt:variant>
      <vt:variant>
        <vt:i4>0</vt:i4>
      </vt:variant>
      <vt:variant>
        <vt:i4>5</vt:i4>
      </vt:variant>
      <vt:variant>
        <vt:lpwstr>http://ec.europa.eu/enterprise/policies/sme/facts-figures-analysis/performance-review/files/countries-sheets/2012/slovakia_sk.pdf</vt:lpwstr>
      </vt:variant>
      <vt:variant>
        <vt:lpwstr/>
      </vt:variant>
      <vt:variant>
        <vt:i4>7143549</vt:i4>
      </vt:variant>
      <vt:variant>
        <vt:i4>3</vt:i4>
      </vt:variant>
      <vt:variant>
        <vt:i4>0</vt:i4>
      </vt:variant>
      <vt:variant>
        <vt:i4>5</vt:i4>
      </vt:variant>
      <vt:variant>
        <vt:lpwstr>http://eur-lex.europa.eu/LexUriServ/LexUriServ.do?uri=COM:2012:0795:FIN:EN:PDF</vt:lpwstr>
      </vt:variant>
      <vt:variant>
        <vt:lpwstr/>
      </vt:variant>
      <vt:variant>
        <vt:i4>1179712</vt:i4>
      </vt:variant>
      <vt:variant>
        <vt:i4>0</vt:i4>
      </vt:variant>
      <vt:variant>
        <vt:i4>0</vt:i4>
      </vt:variant>
      <vt:variant>
        <vt:i4>5</vt:i4>
      </vt:variant>
      <vt:variant>
        <vt:lpwstr>http://eurlex.europa.eu/LexUriServ/LexUriServ.do?uri=COM:2010:2020:FIN:EN:PDF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Hospodárskej politiky SR</dc:title>
  <dc:creator>pulikhreha</dc:creator>
  <cp:lastModifiedBy>Pulik Hreha Stanislav</cp:lastModifiedBy>
  <cp:revision>33</cp:revision>
  <cp:lastPrinted>2014-03-04T13:03:00Z</cp:lastPrinted>
  <dcterms:created xsi:type="dcterms:W3CDTF">2014-03-21T16:17:00Z</dcterms:created>
  <dcterms:modified xsi:type="dcterms:W3CDTF">2014-04-14T05:41:00Z</dcterms:modified>
</cp:coreProperties>
</file>