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5C" w:rsidRPr="00A5595C" w:rsidRDefault="00A5595C" w:rsidP="00A5595C">
      <w:pPr>
        <w:jc w:val="center"/>
        <w:rPr>
          <w:rFonts w:eastAsia="Times New Roman"/>
          <w:b/>
          <w:bCs/>
        </w:rPr>
      </w:pPr>
      <w:r w:rsidRPr="00A5595C">
        <w:rPr>
          <w:rFonts w:eastAsia="Times New Roman"/>
          <w:b/>
          <w:bCs/>
        </w:rPr>
        <w:t>Dôvodová správa</w:t>
      </w:r>
    </w:p>
    <w:p w:rsidR="00A5595C" w:rsidRPr="000650C6" w:rsidRDefault="00A5595C" w:rsidP="00A5595C">
      <w:pPr>
        <w:rPr>
          <w:rFonts w:eastAsia="Times New Roman"/>
          <w:b/>
          <w:bCs/>
        </w:rPr>
      </w:pPr>
      <w:r w:rsidRPr="00A5595C">
        <w:rPr>
          <w:rFonts w:eastAsia="Times New Roman"/>
          <w:b/>
          <w:bCs/>
        </w:rPr>
        <w:t>Všeobecná časť</w:t>
      </w:r>
    </w:p>
    <w:p w:rsidR="00A5595C" w:rsidRPr="00A5595C" w:rsidRDefault="00A5595C" w:rsidP="00283665">
      <w:pPr>
        <w:pStyle w:val="odsek"/>
      </w:pPr>
      <w:r w:rsidRPr="00A5595C">
        <w:t>N</w:t>
      </w:r>
      <w:r>
        <w:t>ávrh n</w:t>
      </w:r>
      <w:r w:rsidRPr="00A5595C">
        <w:t>ariadeni</w:t>
      </w:r>
      <w:r>
        <w:t>a</w:t>
      </w:r>
      <w:r w:rsidRPr="00A5595C">
        <w:t xml:space="preserve"> vlády Slovenskej republiky</w:t>
      </w:r>
      <w:r>
        <w:t>, ktorým sa</w:t>
      </w:r>
      <w:r w:rsidR="00973E96">
        <w:t xml:space="preserve"> </w:t>
      </w:r>
      <w:r>
        <w:t>dopĺňa nariadenie</w:t>
      </w:r>
      <w:r w:rsidRPr="00A5595C">
        <w:t xml:space="preserve"> vlády Slovenskej republiky </w:t>
      </w:r>
      <w:r w:rsidR="009316DA">
        <w:t>č. </w:t>
      </w:r>
      <w:r w:rsidRPr="00A5595C">
        <w:t>499/2008 Z. z.</w:t>
      </w:r>
      <w:r w:rsidR="006E4BA3">
        <w:t xml:space="preserve"> </w:t>
      </w:r>
      <w:r w:rsidRPr="00A5595C">
        <w:t>o</w:t>
      </w:r>
      <w:r w:rsidR="006E4BA3">
        <w:t> </w:t>
      </w:r>
      <w:r w:rsidRPr="00A5595C">
        <w:t xml:space="preserve">podmienkach poskytovania podpory podľa programu rozvoja vidieka v znení </w:t>
      </w:r>
      <w:r>
        <w:t xml:space="preserve">neskorších predpisov </w:t>
      </w:r>
      <w:r w:rsidRPr="00A5595C">
        <w:t>sa</w:t>
      </w:r>
      <w:r w:rsidRPr="00A5595C">
        <w:rPr>
          <w:rFonts w:hint="eastAsia"/>
        </w:rPr>
        <w:t> </w:t>
      </w:r>
      <w:r>
        <w:t>predkladá ako iniciatívny návrh.</w:t>
      </w:r>
    </w:p>
    <w:p w:rsidR="00A5595C" w:rsidRPr="00313800" w:rsidRDefault="00A5595C" w:rsidP="00283665">
      <w:pPr>
        <w:pStyle w:val="odsek"/>
      </w:pPr>
      <w:r>
        <w:t>Cieľom</w:t>
      </w:r>
      <w:r w:rsidRPr="00313800">
        <w:t xml:space="preserve"> návrhu </w:t>
      </w:r>
      <w:r>
        <w:t xml:space="preserve">nariadenia </w:t>
      </w:r>
      <w:r w:rsidRPr="00313800">
        <w:rPr>
          <w:bCs/>
        </w:rPr>
        <w:t>je</w:t>
      </w:r>
      <w:r w:rsidR="006E4BA3">
        <w:rPr>
          <w:bCs/>
        </w:rPr>
        <w:t xml:space="preserve"> </w:t>
      </w:r>
      <w:r w:rsidRPr="00313800">
        <w:t>umožn</w:t>
      </w:r>
      <w:r>
        <w:t>iť</w:t>
      </w:r>
      <w:r w:rsidR="006E4BA3">
        <w:t xml:space="preserve"> </w:t>
      </w:r>
      <w:r w:rsidRPr="00313800">
        <w:t xml:space="preserve">pokračovanie </w:t>
      </w:r>
      <w:r>
        <w:t xml:space="preserve">realizácie </w:t>
      </w:r>
      <w:r w:rsidRPr="00313800">
        <w:t xml:space="preserve">environmentálnych záväzkov do konca roku 2014 tým poľnohospodárskym </w:t>
      </w:r>
      <w:r w:rsidR="00DA44E9">
        <w:t xml:space="preserve">a lesníckym </w:t>
      </w:r>
      <w:r w:rsidRPr="00313800">
        <w:t xml:space="preserve">subjektom, ktorí </w:t>
      </w:r>
      <w:r w:rsidR="00DA44E9">
        <w:t>boli zaradení do opatrenia Lesní</w:t>
      </w:r>
      <w:r w:rsidRPr="00313800">
        <w:t xml:space="preserve">cko – environmentálne platby a do Agroenvironmentálneho opatrenia </w:t>
      </w:r>
      <w:r>
        <w:t>v podopatreniach</w:t>
      </w:r>
      <w:r w:rsidR="006E4BA3">
        <w:t xml:space="preserve"> </w:t>
      </w:r>
      <w:r>
        <w:t>I</w:t>
      </w:r>
      <w:r w:rsidRPr="00313800">
        <w:t xml:space="preserve">ntegrovaná produkcia, </w:t>
      </w:r>
      <w:r>
        <w:t>E</w:t>
      </w:r>
      <w:r w:rsidRPr="00313800">
        <w:t>kologické poľnohospodárstvo a </w:t>
      </w:r>
      <w:r>
        <w:t>O</w:t>
      </w:r>
      <w:r w:rsidRPr="00313800">
        <w:t>chrana vybraných biotopov vtákov a</w:t>
      </w:r>
      <w:r>
        <w:t xml:space="preserve"> biotopov trávnych porastov </w:t>
      </w:r>
      <w:r w:rsidRPr="00313800">
        <w:t>a ukončili svoje záväzky k 31.12.2013. Pri ostatných opatreniach nie je možné pokračovanie.</w:t>
      </w:r>
    </w:p>
    <w:p w:rsidR="00183FAA" w:rsidRDefault="00D93258" w:rsidP="00283665">
      <w:pPr>
        <w:pStyle w:val="odsek"/>
      </w:pPr>
      <w:r>
        <w:t>Návrh sa predkladá z</w:t>
      </w:r>
      <w:r w:rsidR="00A5595C" w:rsidRPr="00313800">
        <w:t> dôvodu oneskorenia prípravy nového programového obdobia Spoločnej poľnohospodárskej</w:t>
      </w:r>
      <w:r w:rsidR="00A5595C">
        <w:t xml:space="preserve"> politiky EU 2014-2020 </w:t>
      </w:r>
      <w:r w:rsidR="00DA44E9">
        <w:t xml:space="preserve">a </w:t>
      </w:r>
      <w:r w:rsidR="00A5595C">
        <w:t xml:space="preserve">v prechodnom období roku 2014 </w:t>
      </w:r>
      <w:r w:rsidR="00DA44E9">
        <w:t xml:space="preserve">nebude </w:t>
      </w:r>
      <w:r w:rsidR="00A5595C">
        <w:t>možné spustiť</w:t>
      </w:r>
      <w:r w:rsidR="006E4BA3">
        <w:t xml:space="preserve"> </w:t>
      </w:r>
      <w:r w:rsidR="00A5595C">
        <w:t xml:space="preserve">environmentálne opatrenia podľa nových podmienok. Týmto bude možné </w:t>
      </w:r>
      <w:r w:rsidR="006410FB">
        <w:t xml:space="preserve">zväčša </w:t>
      </w:r>
      <w:r w:rsidR="00A5595C" w:rsidRPr="00BE5A15">
        <w:t>zachov</w:t>
      </w:r>
      <w:r w:rsidR="00A5595C">
        <w:t>ať</w:t>
      </w:r>
      <w:r w:rsidR="00A5595C" w:rsidRPr="00BE5A15">
        <w:t xml:space="preserve"> kontinuit</w:t>
      </w:r>
      <w:r w:rsidR="00A5595C">
        <w:t>u</w:t>
      </w:r>
      <w:r w:rsidR="00A5595C" w:rsidRPr="00BE5A15">
        <w:t xml:space="preserve"> </w:t>
      </w:r>
      <w:r w:rsidR="00A5595C">
        <w:t>súčasných záväz</w:t>
      </w:r>
      <w:r w:rsidR="006410FB">
        <w:t>kov environmentáln</w:t>
      </w:r>
      <w:r w:rsidR="00DA44E9">
        <w:t>ych opatrení</w:t>
      </w:r>
      <w:r w:rsidR="00A5595C">
        <w:t xml:space="preserve"> a plynule tak naviazať na nové programové obdobie EU 2014-2020.</w:t>
      </w:r>
      <w:r w:rsidR="00DA44E9">
        <w:t xml:space="preserve"> </w:t>
      </w:r>
    </w:p>
    <w:p w:rsidR="00A5595C" w:rsidRPr="00A5595C" w:rsidRDefault="00DA44E9" w:rsidP="00283665">
      <w:pPr>
        <w:pStyle w:val="odsek"/>
      </w:pPr>
      <w:r>
        <w:t>Taktiež sa zosúlaďuje ustanovenie opatrenia platby za znevýhodnené oblasti s</w:t>
      </w:r>
      <w:r w:rsidR="006E4BA3">
        <w:t> </w:t>
      </w:r>
      <w:r>
        <w:t>nariadením</w:t>
      </w:r>
      <w:r w:rsidR="006E4BA3">
        <w:t xml:space="preserve"> </w:t>
      </w:r>
      <w:r>
        <w:t xml:space="preserve">EP a R </w:t>
      </w:r>
      <w:r w:rsidR="009316DA">
        <w:t>č. </w:t>
      </w:r>
      <w:r>
        <w:t>1310/2013, ktorými sa stanovujú niektoré prechodné</w:t>
      </w:r>
      <w:r w:rsidR="006E4BA3">
        <w:t xml:space="preserve"> </w:t>
      </w:r>
      <w:r>
        <w:t xml:space="preserve">ustanovenia o EPFRV a vypúšťa sa podmienka 5 </w:t>
      </w:r>
      <w:r w:rsidR="004B0118">
        <w:t>rokov poľnohospodárskej činnosti od prvej platby</w:t>
      </w:r>
      <w:r w:rsidR="006E4BA3">
        <w:t xml:space="preserve"> </w:t>
      </w:r>
      <w:r>
        <w:t xml:space="preserve">pre opatrenie Platby za znevýhodnené oblasti </w:t>
      </w:r>
      <w:r w:rsidR="00183FAA">
        <w:t>od roku 2014 pre nových žiadateľov o vyrovnávací príspevok, alebo tých žiadateľov, ktorým tento záväzok už skončil.</w:t>
      </w:r>
    </w:p>
    <w:p w:rsidR="00A5595C" w:rsidRPr="00A5595C" w:rsidRDefault="00A5595C" w:rsidP="00283665">
      <w:pPr>
        <w:pStyle w:val="odsek"/>
      </w:pPr>
      <w:r w:rsidRPr="00A5595C">
        <w:t>Návrh nariadenia vlády je v súlade s Ústavou Slovenskej republiky, zákonmi a</w:t>
      </w:r>
      <w:r w:rsidR="006E4BA3">
        <w:t> </w:t>
      </w:r>
      <w:r w:rsidRPr="00A5595C">
        <w:t>ostatnými</w:t>
      </w:r>
      <w:r w:rsidR="006E4BA3">
        <w:t xml:space="preserve"> </w:t>
      </w:r>
      <w:r w:rsidRPr="00A5595C">
        <w:t xml:space="preserve">všeobecne záväznými právnymi predpismi a medzinárodnými zmluvami, ktorými je Slovenská republika viazaná. </w:t>
      </w:r>
    </w:p>
    <w:p w:rsidR="00A5595C" w:rsidRPr="00A5595C" w:rsidRDefault="00283665" w:rsidP="00283665">
      <w:pPr>
        <w:pStyle w:val="odsek"/>
        <w:rPr>
          <w:b/>
          <w:bCs/>
          <w:caps/>
          <w:spacing w:val="30"/>
          <w:lang w:eastAsia="sk-SK"/>
        </w:rPr>
      </w:pPr>
      <w:r>
        <w:t>Návrh nariadenia vlády nebude mať vplyv na rozpočet verejnej správy, na podnikateľské prostredie, životné prostredie a ani sociálne vplyvy. Na informatizáciu spoločnosti bude mať pozitívny vplyv.</w:t>
      </w:r>
    </w:p>
    <w:p w:rsidR="00A5595C" w:rsidRPr="00A5595C" w:rsidRDefault="00A5595C" w:rsidP="00283665">
      <w:pPr>
        <w:pStyle w:val="Nadpis1"/>
      </w:pPr>
      <w:r w:rsidRPr="00A5595C">
        <w:t xml:space="preserve">Doložka </w:t>
      </w:r>
      <w:r w:rsidR="00283665" w:rsidRPr="00A5595C">
        <w:t>zl</w:t>
      </w:r>
      <w:r w:rsidR="00283665">
        <w:rPr>
          <w:lang w:val="sk-SK"/>
        </w:rPr>
        <w:t>učiteľnosti</w:t>
      </w:r>
    </w:p>
    <w:p w:rsidR="00A5595C" w:rsidRPr="00A5595C" w:rsidRDefault="00A5595C" w:rsidP="00A5595C">
      <w:pPr>
        <w:jc w:val="center"/>
        <w:rPr>
          <w:rFonts w:eastAsia="Times New Roman"/>
          <w:lang w:eastAsia="sk-SK"/>
        </w:rPr>
      </w:pPr>
      <w:r w:rsidRPr="00A5595C">
        <w:rPr>
          <w:rFonts w:eastAsia="Times New Roman"/>
          <w:b/>
          <w:bCs/>
          <w:lang w:eastAsia="sk-SK"/>
        </w:rPr>
        <w:t>právneho predpisu s právom Európskej únie</w:t>
      </w:r>
    </w:p>
    <w:p w:rsidR="00A5595C" w:rsidRPr="00A5595C" w:rsidRDefault="00A5595C" w:rsidP="009316DA">
      <w:pPr>
        <w:numPr>
          <w:ilvl w:val="0"/>
          <w:numId w:val="15"/>
        </w:numPr>
        <w:spacing w:before="120" w:after="120"/>
        <w:ind w:left="357" w:hanging="357"/>
        <w:rPr>
          <w:rFonts w:eastAsia="Times New Roman"/>
          <w:lang w:eastAsia="sk-SK"/>
        </w:rPr>
      </w:pPr>
      <w:bookmarkStart w:id="0" w:name="_GoBack"/>
      <w:bookmarkEnd w:id="0"/>
      <w:r w:rsidRPr="00A5595C">
        <w:rPr>
          <w:rFonts w:eastAsia="Times New Roman"/>
          <w:b/>
          <w:bCs/>
          <w:lang w:eastAsia="sk-SK"/>
        </w:rPr>
        <w:t>Predkladateľ právneho predpisu:</w:t>
      </w:r>
      <w:r w:rsidRPr="00A5595C">
        <w:rPr>
          <w:rFonts w:eastAsia="Times New Roman"/>
          <w:lang w:eastAsia="sk-SK"/>
        </w:rPr>
        <w:t xml:space="preserve"> Ministerstvo pôdohospodárstva a rozvoja vidieka</w:t>
      </w:r>
      <w:r w:rsidR="00973E96">
        <w:rPr>
          <w:rFonts w:eastAsia="Times New Roman"/>
          <w:lang w:eastAsia="sk-SK"/>
        </w:rPr>
        <w:t xml:space="preserve"> </w:t>
      </w:r>
      <w:r w:rsidRPr="00A5595C">
        <w:rPr>
          <w:rFonts w:eastAsia="Times New Roman"/>
          <w:lang w:eastAsia="sk-SK"/>
        </w:rPr>
        <w:t>Slovenskej republiky</w:t>
      </w:r>
    </w:p>
    <w:p w:rsidR="00A5595C" w:rsidRDefault="00A5595C" w:rsidP="009316DA">
      <w:pPr>
        <w:numPr>
          <w:ilvl w:val="0"/>
          <w:numId w:val="15"/>
        </w:numPr>
        <w:spacing w:before="120" w:after="120"/>
        <w:ind w:left="357" w:hanging="357"/>
        <w:rPr>
          <w:rFonts w:eastAsia="Times New Roman"/>
          <w:lang w:eastAsia="sk-SK"/>
        </w:rPr>
      </w:pPr>
      <w:r w:rsidRPr="00A5595C">
        <w:rPr>
          <w:rFonts w:eastAsia="Times New Roman"/>
          <w:b/>
          <w:bCs/>
          <w:lang w:eastAsia="sk-SK"/>
        </w:rPr>
        <w:t>Názov návrhu právneho predpisu:</w:t>
      </w:r>
      <w:r w:rsidR="006E4BA3">
        <w:rPr>
          <w:rFonts w:eastAsia="Times New Roman"/>
          <w:lang w:eastAsia="sk-SK"/>
        </w:rPr>
        <w:t xml:space="preserve"> </w:t>
      </w:r>
      <w:r w:rsidR="000650C6" w:rsidRPr="00A5595C">
        <w:rPr>
          <w:rFonts w:eastAsia="Times New Roman"/>
          <w:lang w:eastAsia="sk-SK"/>
        </w:rPr>
        <w:t>N</w:t>
      </w:r>
      <w:r w:rsidR="000650C6">
        <w:rPr>
          <w:rFonts w:eastAsia="Times New Roman"/>
          <w:lang w:eastAsia="sk-SK"/>
        </w:rPr>
        <w:t>ávrh n</w:t>
      </w:r>
      <w:r w:rsidR="000650C6" w:rsidRPr="00A5595C">
        <w:rPr>
          <w:rFonts w:eastAsia="Times New Roman"/>
          <w:lang w:eastAsia="sk-SK"/>
        </w:rPr>
        <w:t>ariadeni</w:t>
      </w:r>
      <w:r w:rsidR="000650C6">
        <w:rPr>
          <w:rFonts w:eastAsia="Times New Roman"/>
          <w:lang w:eastAsia="sk-SK"/>
        </w:rPr>
        <w:t>a</w:t>
      </w:r>
      <w:r w:rsidR="000650C6" w:rsidRPr="00A5595C">
        <w:rPr>
          <w:rFonts w:eastAsia="Times New Roman"/>
          <w:lang w:eastAsia="sk-SK"/>
        </w:rPr>
        <w:t xml:space="preserve"> vlády Slovenskej republiky</w:t>
      </w:r>
      <w:r w:rsidR="000650C6">
        <w:rPr>
          <w:rFonts w:eastAsia="Times New Roman"/>
          <w:lang w:eastAsia="sk-SK"/>
        </w:rPr>
        <w:t>, ktorým sa</w:t>
      </w:r>
      <w:r w:rsidR="00973E96">
        <w:rPr>
          <w:rFonts w:eastAsia="Times New Roman"/>
          <w:lang w:eastAsia="sk-SK"/>
        </w:rPr>
        <w:t xml:space="preserve"> </w:t>
      </w:r>
      <w:r w:rsidR="000650C6">
        <w:rPr>
          <w:rFonts w:eastAsia="Times New Roman"/>
          <w:lang w:eastAsia="sk-SK"/>
        </w:rPr>
        <w:t>dopĺňa nariadenie</w:t>
      </w:r>
      <w:r w:rsidR="000650C6" w:rsidRPr="00A5595C">
        <w:rPr>
          <w:rFonts w:eastAsia="Times New Roman"/>
          <w:lang w:eastAsia="sk-SK"/>
        </w:rPr>
        <w:t xml:space="preserve"> vlády Slovensk</w:t>
      </w:r>
      <w:r w:rsidR="00973E96">
        <w:rPr>
          <w:rFonts w:eastAsia="Times New Roman"/>
          <w:lang w:eastAsia="sk-SK"/>
        </w:rPr>
        <w:t xml:space="preserve">ej republiky </w:t>
      </w:r>
      <w:r w:rsidR="009316DA">
        <w:rPr>
          <w:rFonts w:eastAsia="Times New Roman"/>
          <w:lang w:eastAsia="sk-SK"/>
        </w:rPr>
        <w:t>č. </w:t>
      </w:r>
      <w:r w:rsidR="00973E96">
        <w:rPr>
          <w:rFonts w:eastAsia="Times New Roman"/>
          <w:lang w:eastAsia="sk-SK"/>
        </w:rPr>
        <w:t xml:space="preserve">499/2008 Z. z. </w:t>
      </w:r>
      <w:r w:rsidR="000650C6" w:rsidRPr="00A5595C">
        <w:rPr>
          <w:rFonts w:eastAsia="Times New Roman"/>
          <w:lang w:eastAsia="sk-SK"/>
        </w:rPr>
        <w:t xml:space="preserve">o podmienkach poskytovania podpory podľa programu rozvoja vidieka v znení </w:t>
      </w:r>
      <w:r w:rsidR="000650C6">
        <w:rPr>
          <w:rFonts w:eastAsia="Times New Roman"/>
          <w:lang w:eastAsia="sk-SK"/>
        </w:rPr>
        <w:t>neskorších predpisov.</w:t>
      </w:r>
    </w:p>
    <w:p w:rsidR="00A5595C" w:rsidRPr="00A5595C" w:rsidRDefault="00A5595C" w:rsidP="009316DA">
      <w:pPr>
        <w:widowControl w:val="0"/>
        <w:numPr>
          <w:ilvl w:val="0"/>
          <w:numId w:val="15"/>
        </w:numPr>
        <w:tabs>
          <w:tab w:val="left" w:pos="0"/>
          <w:tab w:val="left" w:pos="360"/>
        </w:tabs>
        <w:suppressAutoHyphens/>
        <w:spacing w:before="120" w:after="120"/>
        <w:ind w:left="357" w:hanging="357"/>
        <w:rPr>
          <w:rFonts w:eastAsia="Times New Roman"/>
          <w:b/>
          <w:bCs/>
        </w:rPr>
      </w:pPr>
      <w:r w:rsidRPr="00A5595C">
        <w:rPr>
          <w:rFonts w:eastAsia="Times New Roman"/>
          <w:b/>
          <w:bCs/>
        </w:rPr>
        <w:t>Problematika návrhu právneho predpisu:</w:t>
      </w:r>
    </w:p>
    <w:p w:rsidR="00A5595C" w:rsidRPr="00A5595C" w:rsidRDefault="00A5595C" w:rsidP="009316DA">
      <w:pPr>
        <w:widowControl w:val="0"/>
        <w:numPr>
          <w:ilvl w:val="0"/>
          <w:numId w:val="3"/>
        </w:numPr>
        <w:suppressAutoHyphens/>
        <w:spacing w:before="120"/>
        <w:ind w:left="714" w:hanging="357"/>
        <w:rPr>
          <w:rFonts w:eastAsia="Times New Roman"/>
        </w:rPr>
      </w:pPr>
      <w:r w:rsidRPr="00A5595C">
        <w:rPr>
          <w:rFonts w:eastAsia="Times New Roman"/>
        </w:rPr>
        <w:t>je upravená v práve Európskej únie</w:t>
      </w:r>
    </w:p>
    <w:p w:rsidR="00A5595C" w:rsidRPr="00A5595C" w:rsidRDefault="00A5595C" w:rsidP="009316DA">
      <w:pPr>
        <w:widowControl w:val="0"/>
        <w:tabs>
          <w:tab w:val="left" w:pos="0"/>
          <w:tab w:val="left" w:pos="360"/>
        </w:tabs>
        <w:suppressAutoHyphens/>
        <w:spacing w:before="120"/>
        <w:ind w:left="714" w:hanging="357"/>
        <w:rPr>
          <w:rFonts w:eastAsia="Times New Roman"/>
          <w:i/>
          <w:iCs/>
        </w:rPr>
      </w:pPr>
      <w:r w:rsidRPr="00A5595C">
        <w:rPr>
          <w:rFonts w:eastAsia="Times New Roman"/>
        </w:rPr>
        <w:t>-</w:t>
      </w:r>
      <w:r w:rsidRPr="00A5595C">
        <w:rPr>
          <w:rFonts w:eastAsia="Times New Roman"/>
        </w:rPr>
        <w:tab/>
      </w:r>
      <w:r w:rsidRPr="00A5595C">
        <w:rPr>
          <w:rFonts w:eastAsia="Times New Roman"/>
          <w:i/>
          <w:iCs/>
        </w:rPr>
        <w:t>primárnom</w:t>
      </w:r>
    </w:p>
    <w:p w:rsidR="00F53F71" w:rsidRPr="00A5595C" w:rsidRDefault="00F46D96" w:rsidP="009316DA">
      <w:pPr>
        <w:widowControl w:val="0"/>
        <w:suppressAutoHyphens/>
        <w:ind w:left="709"/>
        <w:rPr>
          <w:rFonts w:eastAsia="Times New Roman"/>
        </w:rPr>
      </w:pPr>
      <w:r>
        <w:rPr>
          <w:rFonts w:eastAsia="Times New Roman"/>
        </w:rPr>
        <w:t xml:space="preserve">Čl. 38 </w:t>
      </w:r>
      <w:r w:rsidR="00A5595C" w:rsidRPr="00A5595C">
        <w:rPr>
          <w:rFonts w:eastAsia="Times New Roman"/>
        </w:rPr>
        <w:t>Zmluv</w:t>
      </w:r>
      <w:r>
        <w:rPr>
          <w:rFonts w:eastAsia="Times New Roman"/>
        </w:rPr>
        <w:t>y</w:t>
      </w:r>
      <w:r w:rsidR="00A5595C" w:rsidRPr="00A5595C">
        <w:rPr>
          <w:rFonts w:eastAsia="Times New Roman"/>
        </w:rPr>
        <w:t xml:space="preserve"> o fungovaní Európskej únie Hlava III (Poľnohospodárstvo a rybné hospodárstvo)</w:t>
      </w:r>
    </w:p>
    <w:p w:rsidR="00A5595C" w:rsidRPr="00A5595C" w:rsidRDefault="00A5595C" w:rsidP="009316DA">
      <w:pPr>
        <w:widowControl w:val="0"/>
        <w:numPr>
          <w:ilvl w:val="0"/>
          <w:numId w:val="17"/>
        </w:numPr>
        <w:tabs>
          <w:tab w:val="left" w:pos="0"/>
          <w:tab w:val="left" w:pos="360"/>
        </w:tabs>
        <w:suppressAutoHyphens/>
        <w:rPr>
          <w:rFonts w:eastAsia="Times New Roman"/>
          <w:i/>
          <w:iCs/>
        </w:rPr>
      </w:pPr>
      <w:r w:rsidRPr="00A5595C">
        <w:rPr>
          <w:rFonts w:eastAsia="Times New Roman"/>
          <w:i/>
          <w:iCs/>
        </w:rPr>
        <w:lastRenderedPageBreak/>
        <w:t>sekundárnom (prijatom po nadobudnutí platnosti Lisabonskej zmluvy, ktorou sa mení a</w:t>
      </w:r>
      <w:r w:rsidR="009316DA">
        <w:rPr>
          <w:rFonts w:eastAsia="Times New Roman"/>
          <w:i/>
          <w:iCs/>
        </w:rPr>
        <w:t> </w:t>
      </w:r>
      <w:r w:rsidRPr="00A5595C">
        <w:rPr>
          <w:rFonts w:eastAsia="Times New Roman"/>
          <w:i/>
          <w:iCs/>
        </w:rPr>
        <w:t>dopĺňa</w:t>
      </w:r>
      <w:r w:rsidR="009316DA">
        <w:rPr>
          <w:rFonts w:eastAsia="Times New Roman"/>
          <w:i/>
          <w:iCs/>
        </w:rPr>
        <w:t xml:space="preserve"> </w:t>
      </w:r>
      <w:r w:rsidRPr="00A5595C">
        <w:rPr>
          <w:rFonts w:eastAsia="Times New Roman"/>
          <w:i/>
          <w:iCs/>
        </w:rPr>
        <w:t>Zmluva o Európskom spoločenstve a Zmluva o Európskej únii – po 30. novembri 2009)</w:t>
      </w:r>
    </w:p>
    <w:p w:rsidR="00A5595C" w:rsidRDefault="00A5595C" w:rsidP="009316DA">
      <w:pPr>
        <w:widowControl w:val="0"/>
        <w:numPr>
          <w:ilvl w:val="0"/>
          <w:numId w:val="19"/>
        </w:numPr>
        <w:suppressAutoHyphens/>
        <w:ind w:left="1071" w:hanging="357"/>
        <w:rPr>
          <w:rFonts w:eastAsia="Times New Roman"/>
        </w:rPr>
      </w:pPr>
      <w:r w:rsidRPr="00A5595C">
        <w:rPr>
          <w:rFonts w:eastAsia="Times New Roman"/>
        </w:rPr>
        <w:t>legislatívne akty</w:t>
      </w:r>
    </w:p>
    <w:p w:rsidR="00F46D96" w:rsidRPr="000337E9" w:rsidRDefault="00F46D96" w:rsidP="00F46D96">
      <w:pPr>
        <w:pStyle w:val="CM1"/>
        <w:numPr>
          <w:ilvl w:val="0"/>
          <w:numId w:val="17"/>
        </w:numPr>
        <w:spacing w:before="60" w:after="60"/>
        <w:ind w:left="1276"/>
        <w:rPr>
          <w:color w:val="000000"/>
        </w:rPr>
      </w:pPr>
      <w:r>
        <w:rPr>
          <w:rFonts w:ascii="Times New Roman" w:hAnsi="Times New Roman"/>
          <w:color w:val="000000"/>
        </w:rPr>
        <w:t>nariadenie Európskeho Parlamentu a Rady (EÚ) č. 1310/2013 z 17. decembra 2013 ktorým sa stanovujú niektoré prechodné ustanovenia o podpore rozvoja vidieka z Európskeho poľnohospodárskeho fondu pre rozvoj vidieka (EPFRV) a ktorým sa mení nariadenie Európskeho parlamentu a Rady (EÚ) č. 1305/2013, pokiaľ ide o zdroje a ich rozdeľovanie na rok 2014, a ktorým sa mení nariadenie Rady (ES) č. 73/2009 a nariadenia Európskeho parlamentu a Rady (EÚ) č. 1307/2013, (EÚ) č. 1306/2013 a (EÚ) č. 1308/2013, pokiaľ ide o ich uplatňovanie v roku 2014.</w:t>
      </w:r>
    </w:p>
    <w:p w:rsidR="00A5595C" w:rsidRPr="00A5595C" w:rsidRDefault="00A5595C" w:rsidP="009316DA">
      <w:pPr>
        <w:widowControl w:val="0"/>
        <w:numPr>
          <w:ilvl w:val="0"/>
          <w:numId w:val="19"/>
        </w:numPr>
        <w:suppressAutoHyphens/>
        <w:ind w:left="1071" w:hanging="357"/>
        <w:rPr>
          <w:rFonts w:eastAsia="Times New Roman"/>
        </w:rPr>
      </w:pPr>
      <w:r w:rsidRPr="00A5595C">
        <w:rPr>
          <w:rFonts w:eastAsia="Times New Roman"/>
        </w:rPr>
        <w:t>nelegislatívne akty</w:t>
      </w:r>
    </w:p>
    <w:p w:rsidR="00166F95" w:rsidRPr="00166F95" w:rsidRDefault="00166F95" w:rsidP="009316DA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rPr>
          <w:i/>
          <w:iCs/>
        </w:rPr>
      </w:pPr>
      <w:r w:rsidRPr="00A16DEE">
        <w:rPr>
          <w:i/>
          <w:iCs/>
        </w:rPr>
        <w:t xml:space="preserve">sekundárnom (prijatom pred nadobudnutím platnosti Lisabonskej zmluvy, ktorou sa mení a dopĺňa Zmluva o Európskom spoločenstve a Zmluva o Európskej únii </w:t>
      </w:r>
      <w:r>
        <w:rPr>
          <w:i/>
          <w:iCs/>
        </w:rPr>
        <w:t>– do 30. novembra 2009)</w:t>
      </w:r>
    </w:p>
    <w:p w:rsidR="000816BD" w:rsidRDefault="000816BD" w:rsidP="000816BD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before="60" w:after="60"/>
        <w:ind w:left="1071" w:hanging="357"/>
      </w:pPr>
      <w:r w:rsidRPr="00837B73">
        <w:t xml:space="preserve">nariadenie Komisie (ES) </w:t>
      </w:r>
      <w:r>
        <w:t>č. </w:t>
      </w:r>
      <w:r w:rsidRPr="00837B73">
        <w:t>1122/2009 z</w:t>
      </w:r>
      <w:r>
        <w:t> </w:t>
      </w:r>
      <w:r w:rsidRPr="00837B73">
        <w:t xml:space="preserve">30. novembra 2009, ktorým sa ustanovujú podrobné pravidlá vykonávania nariadenia podpory pre poľnohospodárov ustanovených uvedeným Rady (ES) </w:t>
      </w:r>
      <w:r>
        <w:t>č. </w:t>
      </w:r>
      <w:r w:rsidRPr="00837B73">
        <w:t xml:space="preserve">73/2009, pokiaľ ide o krížové plnenie, moduláciu a integrovaný správny a kontrolný systém v rámci schém priamej nariadením, ako aj podrobné pravidlá vykonávania nariadenia Rady (ES) </w:t>
      </w:r>
      <w:r>
        <w:t>č. </w:t>
      </w:r>
      <w:r w:rsidRPr="00837B73">
        <w:t>1234/2007, pokiaľ ide o krížové plnenie v rámci schémy podpory ustanovenej pre odvetvie vinohradníctva a vinárstva (Ú. v. EÚ L 316, 2.12.2009)</w:t>
      </w:r>
      <w:r w:rsidRPr="001E6D43">
        <w:t xml:space="preserve"> </w:t>
      </w:r>
      <w:r>
        <w:t>v platnom znení</w:t>
      </w:r>
      <w:r w:rsidRPr="00837B73">
        <w:t>.</w:t>
      </w:r>
    </w:p>
    <w:p w:rsidR="00166F95" w:rsidRPr="0088184C" w:rsidRDefault="00166F95" w:rsidP="009316DA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before="60" w:after="60"/>
        <w:ind w:left="1071" w:hanging="357"/>
      </w:pPr>
      <w:r w:rsidRPr="00133552">
        <w:t xml:space="preserve">nariadenie Komisie (EÚ) </w:t>
      </w:r>
      <w:r w:rsidR="009316DA">
        <w:t>č. </w:t>
      </w:r>
      <w:r w:rsidRPr="00133552">
        <w:t>65/2011 z</w:t>
      </w:r>
      <w:r w:rsidR="006E4BA3">
        <w:t xml:space="preserve"> </w:t>
      </w:r>
      <w:r w:rsidRPr="00133552">
        <w:t xml:space="preserve">27. januára 2011, ktorým sa stanovujú podrobné pravidlá uplatňovania nariadenia Rady (ES) </w:t>
      </w:r>
      <w:r w:rsidR="009316DA">
        <w:t>č. </w:t>
      </w:r>
      <w:r w:rsidRPr="00133552">
        <w:t>1698/2005, pokiaľ ide o realizáciu kontrolných postupov a krížového plnenia pri opatreniach na podporu rozvoja vidieka (</w:t>
      </w:r>
      <w:r w:rsidRPr="00133552">
        <w:rPr>
          <w:iCs/>
        </w:rPr>
        <w:t>Ú. v. EÚ L 25, 28.1.2011</w:t>
      </w:r>
      <w:r>
        <w:rPr>
          <w:iCs/>
        </w:rPr>
        <w:t>).</w:t>
      </w:r>
    </w:p>
    <w:p w:rsidR="00166F95" w:rsidRPr="00A16DEE" w:rsidRDefault="00166F95" w:rsidP="009316DA">
      <w:pPr>
        <w:widowControl w:val="0"/>
        <w:numPr>
          <w:ilvl w:val="0"/>
          <w:numId w:val="3"/>
        </w:numPr>
        <w:suppressAutoHyphens/>
        <w:spacing w:before="120"/>
        <w:ind w:left="714" w:hanging="357"/>
      </w:pPr>
      <w:r w:rsidRPr="00A16DEE">
        <w:t>nie je u</w:t>
      </w:r>
      <w:r>
        <w:t xml:space="preserve">pravená v práve Európskej únie </w:t>
      </w:r>
    </w:p>
    <w:p w:rsidR="00166F95" w:rsidRPr="00A16DEE" w:rsidRDefault="00166F95" w:rsidP="009316DA">
      <w:pPr>
        <w:widowControl w:val="0"/>
        <w:numPr>
          <w:ilvl w:val="0"/>
          <w:numId w:val="3"/>
        </w:numPr>
        <w:suppressAutoHyphens/>
        <w:spacing w:before="120"/>
        <w:ind w:left="714" w:hanging="357"/>
      </w:pPr>
      <w:r w:rsidRPr="00A16DEE">
        <w:t>nie je obsiahnutá v judikatúre Súdneho dvora Európskej únie</w:t>
      </w:r>
    </w:p>
    <w:p w:rsidR="00166F95" w:rsidRPr="00A16DEE" w:rsidRDefault="009316DA" w:rsidP="009316DA">
      <w:pPr>
        <w:widowControl w:val="0"/>
        <w:numPr>
          <w:ilvl w:val="0"/>
          <w:numId w:val="15"/>
        </w:numPr>
        <w:suppressAutoHyphens/>
        <w:spacing w:before="120" w:after="120"/>
        <w:ind w:left="357" w:hanging="357"/>
        <w:rPr>
          <w:b/>
          <w:bCs/>
        </w:rPr>
      </w:pPr>
      <w:r>
        <w:rPr>
          <w:b/>
          <w:bCs/>
        </w:rPr>
        <w:t>Záv</w:t>
      </w:r>
      <w:r w:rsidR="00166F95" w:rsidRPr="00A16DEE">
        <w:rPr>
          <w:b/>
          <w:bCs/>
        </w:rPr>
        <w:t>äzky Slovenskej republ</w:t>
      </w:r>
      <w:r>
        <w:rPr>
          <w:b/>
          <w:bCs/>
        </w:rPr>
        <w:t>iky vo vzťahu k Európskej únii:</w:t>
      </w:r>
    </w:p>
    <w:p w:rsidR="009316DA" w:rsidRDefault="00166F95" w:rsidP="001D6BB2">
      <w:pPr>
        <w:numPr>
          <w:ilvl w:val="0"/>
          <w:numId w:val="6"/>
        </w:numPr>
        <w:spacing w:before="120" w:after="120"/>
        <w:ind w:left="357" w:hanging="357"/>
      </w:pPr>
      <w:r w:rsidRPr="00A16DEE">
        <w:t>lehota na prebratie smernice alebo rámcového rozhodnutia podľa určenia gestorských ústredných orgánov štátnej správy zodpovedných za prebratie smerníc a vypracovanie tabuliek zhody k návrhom všeobecne záväzných právnych predpisov alebo lehota na implementáciu nariadenia alebo</w:t>
      </w:r>
      <w:r w:rsidR="009316DA">
        <w:t xml:space="preserve"> rozhodnutia z nich vyplývajúca</w:t>
      </w:r>
    </w:p>
    <w:p w:rsidR="00166F95" w:rsidRPr="00A16DEE" w:rsidRDefault="001D6BB2" w:rsidP="009316DA">
      <w:pPr>
        <w:spacing w:before="120" w:after="120"/>
        <w:ind w:left="357"/>
      </w:pPr>
      <w:r>
        <w:t>bezpredmetné,</w:t>
      </w:r>
    </w:p>
    <w:p w:rsidR="00166F95" w:rsidRPr="00A16DEE" w:rsidRDefault="00166F95" w:rsidP="001D6BB2">
      <w:pPr>
        <w:numPr>
          <w:ilvl w:val="0"/>
          <w:numId w:val="6"/>
        </w:numPr>
        <w:spacing w:before="120" w:after="120"/>
        <w:ind w:left="357" w:hanging="357"/>
      </w:pPr>
      <w:r w:rsidRPr="00A16DEE">
        <w:t>informácia o konaní začatom proti Slovenskej republike o porušení Zmluvy o fungovaní Európskej únie podľa čl. 226 až 228 Zmluvy o fungovaní Európskej únie</w:t>
      </w:r>
      <w:r w:rsidR="006E4BA3">
        <w:t xml:space="preserve"> </w:t>
      </w:r>
      <w:r w:rsidRPr="00A16DEE">
        <w:t>v platnom znení,</w:t>
      </w:r>
    </w:p>
    <w:p w:rsidR="00166F95" w:rsidRPr="00A16DEE" w:rsidRDefault="00166F95" w:rsidP="001D6BB2">
      <w:pPr>
        <w:numPr>
          <w:ilvl w:val="0"/>
          <w:numId w:val="1"/>
        </w:numPr>
        <w:tabs>
          <w:tab w:val="clear" w:pos="720"/>
        </w:tabs>
      </w:pPr>
      <w:r w:rsidRPr="00A16DEE">
        <w:t>v oblasti, ktorú upravuje toto nariadenie, nebolo začaté konanie proti Slovenskej republike o</w:t>
      </w:r>
      <w:r w:rsidR="001D6BB2">
        <w:t> </w:t>
      </w:r>
      <w:r w:rsidRPr="00A16DEE">
        <w:t>porušení</w:t>
      </w:r>
      <w:r w:rsidR="001D6BB2">
        <w:t xml:space="preserve"> </w:t>
      </w:r>
      <w:r w:rsidRPr="00A16DEE">
        <w:t>Zmluvy o fungovaní Európskej únie podľa čl. 2</w:t>
      </w:r>
      <w:r w:rsidR="001D6BB2">
        <w:t>58</w:t>
      </w:r>
      <w:r w:rsidRPr="00A16DEE">
        <w:t xml:space="preserve"> až 2</w:t>
      </w:r>
      <w:r w:rsidR="001D6BB2">
        <w:t>60</w:t>
      </w:r>
      <w:r w:rsidRPr="00A16DEE">
        <w:t xml:space="preserve"> Zmluvy o fungovaní Európskej únie v platnom znení, </w:t>
      </w:r>
    </w:p>
    <w:p w:rsidR="009316DA" w:rsidRDefault="00166F95" w:rsidP="001D6BB2">
      <w:pPr>
        <w:numPr>
          <w:ilvl w:val="0"/>
          <w:numId w:val="6"/>
        </w:numPr>
        <w:spacing w:before="120" w:after="120"/>
        <w:ind w:left="357" w:hanging="357"/>
      </w:pPr>
      <w:r w:rsidRPr="00A16DEE">
        <w:t>informácia o právnych predpisoch, v ktorých sú preberané smernice alebo rámcové rozhodnutia už prebraté spolu s u</w:t>
      </w:r>
      <w:r w:rsidR="00547445">
        <w:t>vedením rozsahu toht</w:t>
      </w:r>
      <w:r w:rsidR="009316DA">
        <w:t>o prebratia</w:t>
      </w:r>
    </w:p>
    <w:p w:rsidR="00166F95" w:rsidRPr="00A16DEE" w:rsidRDefault="00547445" w:rsidP="009316DA">
      <w:pPr>
        <w:spacing w:before="120" w:after="120"/>
        <w:ind w:left="357"/>
      </w:pPr>
      <w:r>
        <w:t>bezpredmetné</w:t>
      </w:r>
    </w:p>
    <w:p w:rsidR="00166F95" w:rsidRPr="00A16DEE" w:rsidRDefault="00166F95" w:rsidP="001D6BB2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before="120" w:after="120"/>
        <w:ind w:left="357" w:hanging="357"/>
      </w:pPr>
      <w:r w:rsidRPr="00A16DEE">
        <w:t xml:space="preserve">lehota určená na predloženie návrhu právneho predpisu na rokovanie vlády podľa určenia </w:t>
      </w:r>
      <w:r w:rsidRPr="00A16DEE">
        <w:lastRenderedPageBreak/>
        <w:t>gestorských ústredných orgánov štátnej správy zodpovedných za transpozíciu smerníc a</w:t>
      </w:r>
      <w:r w:rsidR="001D6BB2">
        <w:t> </w:t>
      </w:r>
      <w:r w:rsidRPr="00A16DEE">
        <w:t>vypracovanie</w:t>
      </w:r>
      <w:r w:rsidR="001D6BB2">
        <w:t xml:space="preserve"> </w:t>
      </w:r>
      <w:r w:rsidRPr="00A16DEE">
        <w:t>tabuliek zhody k návrhom všeobec</w:t>
      </w:r>
      <w:r w:rsidR="00547445">
        <w:t>ne záväzných právnych predpisov</w:t>
      </w:r>
    </w:p>
    <w:p w:rsidR="00166F95" w:rsidRPr="00A16DEE" w:rsidRDefault="00166F95" w:rsidP="009316DA">
      <w:pPr>
        <w:widowControl w:val="0"/>
        <w:numPr>
          <w:ilvl w:val="0"/>
          <w:numId w:val="15"/>
        </w:numPr>
        <w:suppressAutoHyphens/>
        <w:spacing w:before="120" w:after="120"/>
        <w:ind w:left="357" w:hanging="357"/>
        <w:rPr>
          <w:b/>
          <w:bCs/>
        </w:rPr>
      </w:pPr>
      <w:r w:rsidRPr="00A16DEE">
        <w:rPr>
          <w:b/>
          <w:bCs/>
        </w:rPr>
        <w:t>Stupeň zlučiteľnosti návrhu právneho predpisu s právom Európskej únie:</w:t>
      </w:r>
    </w:p>
    <w:p w:rsidR="00166F95" w:rsidRPr="00A16DEE" w:rsidRDefault="001033EA" w:rsidP="009316DA">
      <w:pPr>
        <w:widowControl w:val="0"/>
        <w:suppressAutoHyphens/>
        <w:ind w:left="357"/>
      </w:pPr>
      <w:r>
        <w:t>Ú</w:t>
      </w:r>
      <w:r w:rsidR="00547445">
        <w:t>plný</w:t>
      </w:r>
    </w:p>
    <w:p w:rsidR="00166F95" w:rsidRPr="00A16DEE" w:rsidRDefault="00166F95" w:rsidP="009316DA">
      <w:pPr>
        <w:widowControl w:val="0"/>
        <w:numPr>
          <w:ilvl w:val="0"/>
          <w:numId w:val="15"/>
        </w:numPr>
        <w:suppressAutoHyphens/>
        <w:spacing w:before="120" w:after="120"/>
        <w:ind w:left="357" w:hanging="357"/>
        <w:rPr>
          <w:b/>
          <w:bCs/>
        </w:rPr>
      </w:pPr>
      <w:r w:rsidRPr="00A16DEE">
        <w:rPr>
          <w:b/>
          <w:bCs/>
        </w:rPr>
        <w:t>G</w:t>
      </w:r>
      <w:r w:rsidR="001033EA">
        <w:rPr>
          <w:b/>
          <w:bCs/>
        </w:rPr>
        <w:t>estor a spolupracujúce rezorty:</w:t>
      </w:r>
    </w:p>
    <w:p w:rsidR="00166F95" w:rsidRPr="000D0FBC" w:rsidRDefault="00166F95" w:rsidP="009316DA">
      <w:pPr>
        <w:widowControl w:val="0"/>
        <w:tabs>
          <w:tab w:val="left" w:pos="360"/>
        </w:tabs>
        <w:suppressAutoHyphens/>
        <w:ind w:left="357"/>
      </w:pPr>
      <w:r w:rsidRPr="00A16DEE">
        <w:t>Ministerstvo pôdohospodárstva a rozv</w:t>
      </w:r>
      <w:r>
        <w:t>oja vidieka Slovenskej republiky.</w:t>
      </w:r>
    </w:p>
    <w:p w:rsidR="00166F95" w:rsidRPr="00A16DEE" w:rsidRDefault="00166F95" w:rsidP="009316DA">
      <w:pPr>
        <w:pStyle w:val="Nadpis1"/>
      </w:pPr>
      <w:r w:rsidRPr="00A16DEE">
        <w:t>Doložka</w:t>
      </w:r>
    </w:p>
    <w:p w:rsidR="00166F95" w:rsidRPr="00A16DEE" w:rsidRDefault="00166F95" w:rsidP="009316DA">
      <w:pPr>
        <w:pStyle w:val="Nadpis2"/>
      </w:pPr>
      <w:r w:rsidRPr="00A16DEE">
        <w:t>vybraných vplyvov</w:t>
      </w:r>
    </w:p>
    <w:p w:rsidR="00166F95" w:rsidRPr="00A16DEE" w:rsidRDefault="00166F95" w:rsidP="00166F95"/>
    <w:p w:rsidR="00547445" w:rsidRPr="00F53F71" w:rsidRDefault="00166F95" w:rsidP="00166F95">
      <w:pPr>
        <w:rPr>
          <w:color w:val="000000"/>
        </w:rPr>
      </w:pPr>
      <w:r w:rsidRPr="00A16DEE">
        <w:rPr>
          <w:b/>
          <w:bCs/>
          <w:color w:val="000000"/>
        </w:rPr>
        <w:t xml:space="preserve">A.1. Názov materiálu: </w:t>
      </w:r>
      <w:r w:rsidR="005509D7">
        <w:rPr>
          <w:rFonts w:eastAsia="Times New Roman"/>
          <w:lang w:eastAsia="sk-SK"/>
        </w:rPr>
        <w:t>n</w:t>
      </w:r>
      <w:r w:rsidR="005509D7" w:rsidRPr="00A5595C">
        <w:rPr>
          <w:rFonts w:eastAsia="Times New Roman"/>
          <w:lang w:eastAsia="sk-SK"/>
        </w:rPr>
        <w:t>ariadeni</w:t>
      </w:r>
      <w:r w:rsidR="005509D7">
        <w:rPr>
          <w:rFonts w:eastAsia="Times New Roman"/>
          <w:lang w:eastAsia="sk-SK"/>
        </w:rPr>
        <w:t>e</w:t>
      </w:r>
      <w:r w:rsidR="005509D7" w:rsidRPr="00A5595C">
        <w:rPr>
          <w:rFonts w:eastAsia="Times New Roman"/>
          <w:lang w:eastAsia="sk-SK"/>
        </w:rPr>
        <w:t xml:space="preserve"> vlády Slovenskej republiky</w:t>
      </w:r>
      <w:r w:rsidR="005509D7">
        <w:rPr>
          <w:rFonts w:eastAsia="Times New Roman"/>
          <w:lang w:eastAsia="sk-SK"/>
        </w:rPr>
        <w:t>, ktorým sa dopĺňa nariadenie</w:t>
      </w:r>
      <w:r w:rsidR="005509D7" w:rsidRPr="00A5595C">
        <w:rPr>
          <w:rFonts w:eastAsia="Times New Roman"/>
          <w:lang w:eastAsia="sk-SK"/>
        </w:rPr>
        <w:t xml:space="preserve"> vlády Slovenskej republiky </w:t>
      </w:r>
      <w:r w:rsidR="009316DA">
        <w:rPr>
          <w:rFonts w:eastAsia="Times New Roman"/>
          <w:lang w:eastAsia="sk-SK"/>
        </w:rPr>
        <w:t>č. </w:t>
      </w:r>
      <w:r w:rsidR="005509D7" w:rsidRPr="00A5595C">
        <w:rPr>
          <w:rFonts w:eastAsia="Times New Roman"/>
          <w:lang w:eastAsia="sk-SK"/>
        </w:rPr>
        <w:t>499/2008 Z. z. o</w:t>
      </w:r>
      <w:r w:rsidR="001D6BB2">
        <w:rPr>
          <w:rFonts w:eastAsia="Times New Roman"/>
          <w:lang w:eastAsia="sk-SK"/>
        </w:rPr>
        <w:t> </w:t>
      </w:r>
      <w:r w:rsidR="005509D7" w:rsidRPr="00A5595C">
        <w:rPr>
          <w:rFonts w:eastAsia="Times New Roman"/>
          <w:lang w:eastAsia="sk-SK"/>
        </w:rPr>
        <w:t>podmienkach</w:t>
      </w:r>
      <w:r w:rsidR="001D6BB2">
        <w:rPr>
          <w:rFonts w:eastAsia="Times New Roman"/>
          <w:lang w:eastAsia="sk-SK"/>
        </w:rPr>
        <w:t xml:space="preserve"> </w:t>
      </w:r>
      <w:r w:rsidR="005509D7" w:rsidRPr="00A5595C">
        <w:rPr>
          <w:rFonts w:eastAsia="Times New Roman"/>
          <w:lang w:eastAsia="sk-SK"/>
        </w:rPr>
        <w:t xml:space="preserve">poskytovania podpory podľa programu rozvoja vidieka v znení </w:t>
      </w:r>
      <w:r w:rsidR="005509D7">
        <w:rPr>
          <w:rFonts w:eastAsia="Times New Roman"/>
          <w:lang w:eastAsia="sk-SK"/>
        </w:rPr>
        <w:t>neskorších predpisov</w:t>
      </w:r>
    </w:p>
    <w:p w:rsidR="00166F95" w:rsidRPr="00A16DEE" w:rsidRDefault="00166F95" w:rsidP="00166F95">
      <w:r w:rsidRPr="00A16DEE">
        <w:rPr>
          <w:b/>
          <w:bCs/>
          <w:color w:val="000000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6"/>
        <w:gridCol w:w="1183"/>
        <w:gridCol w:w="1174"/>
        <w:gridCol w:w="1185"/>
      </w:tblGrid>
      <w:tr w:rsidR="00166F95" w:rsidRPr="00973E96" w:rsidTr="004602A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Pozitívne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Žiadne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Negatívne</w:t>
            </w:r>
          </w:p>
        </w:tc>
      </w:tr>
      <w:tr w:rsidR="00166F95" w:rsidRPr="00973E96" w:rsidTr="004602A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</w:tr>
      <w:tr w:rsidR="00166F95" w:rsidRPr="00973E96" w:rsidTr="004602A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</w:tr>
      <w:tr w:rsidR="00166F95" w:rsidRPr="00973E96" w:rsidTr="004602A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3. Sociálne vplyvy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</w:tr>
      <w:tr w:rsidR="00166F95" w:rsidRPr="00973E96" w:rsidTr="004602A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</w:tr>
      <w:tr w:rsidR="00166F95" w:rsidRPr="00973E96" w:rsidTr="004602A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</w:tr>
      <w:tr w:rsidR="00166F95" w:rsidRPr="00973E96" w:rsidTr="004602A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</w:tr>
      <w:tr w:rsidR="00166F95" w:rsidRPr="00973E96" w:rsidTr="004602A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</w:tr>
      <w:tr w:rsidR="00166F95" w:rsidRPr="00973E96" w:rsidTr="004602A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rPr>
                <w:sz w:val="20"/>
                <w:szCs w:val="20"/>
              </w:rPr>
            </w:pPr>
            <w:r w:rsidRPr="00973E96">
              <w:rPr>
                <w:color w:val="000000"/>
                <w:sz w:val="20"/>
                <w:szCs w:val="2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F9574B" w:rsidP="00973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95" w:rsidRPr="00973E96" w:rsidRDefault="00166F95" w:rsidP="00973E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6F95" w:rsidRPr="00A16DEE" w:rsidRDefault="00166F95" w:rsidP="00547445">
      <w:pPr>
        <w:spacing w:after="120"/>
      </w:pPr>
      <w:r w:rsidRPr="00A16DEE">
        <w:rPr>
          <w:b/>
          <w:bCs/>
          <w:color w:val="000000"/>
        </w:rPr>
        <w:t>A.3. Poznámky</w:t>
      </w:r>
    </w:p>
    <w:p w:rsidR="00166F95" w:rsidRPr="00547445" w:rsidRDefault="00547445" w:rsidP="00547445">
      <w:pPr>
        <w:spacing w:after="120"/>
        <w:rPr>
          <w:color w:val="000000"/>
        </w:rPr>
      </w:pPr>
      <w:r>
        <w:rPr>
          <w:color w:val="000000"/>
        </w:rPr>
        <w:t>bezpredmetné</w:t>
      </w:r>
    </w:p>
    <w:p w:rsidR="00166F95" w:rsidRPr="00A16DEE" w:rsidRDefault="00166F95" w:rsidP="00547445">
      <w:pPr>
        <w:spacing w:after="120"/>
      </w:pPr>
      <w:r w:rsidRPr="00A16DEE">
        <w:rPr>
          <w:b/>
          <w:bCs/>
          <w:color w:val="000000"/>
        </w:rPr>
        <w:t>A.4. Alternatívne riešenia</w:t>
      </w:r>
    </w:p>
    <w:p w:rsidR="00166F95" w:rsidRPr="00A16DEE" w:rsidRDefault="00166F95" w:rsidP="00547445">
      <w:pPr>
        <w:spacing w:after="120"/>
      </w:pPr>
      <w:r w:rsidRPr="00A16DEE">
        <w:rPr>
          <w:color w:val="000000"/>
        </w:rPr>
        <w:t>bezpredmetné</w:t>
      </w:r>
    </w:p>
    <w:p w:rsidR="00166F95" w:rsidRPr="00A16DEE" w:rsidRDefault="00166F95" w:rsidP="00547445">
      <w:pPr>
        <w:spacing w:after="120"/>
      </w:pPr>
      <w:r w:rsidRPr="00A16DEE">
        <w:rPr>
          <w:b/>
          <w:bCs/>
          <w:color w:val="000000"/>
        </w:rPr>
        <w:t>A.5. Stanovisko gestorov</w:t>
      </w:r>
    </w:p>
    <w:p w:rsidR="00166F95" w:rsidRPr="00A16DEE" w:rsidRDefault="00166F95" w:rsidP="00547445">
      <w:pPr>
        <w:spacing w:after="120"/>
      </w:pPr>
      <w:r w:rsidRPr="00A16DEE">
        <w:rPr>
          <w:color w:val="000000"/>
        </w:rPr>
        <w:t>bezpredmetné</w:t>
      </w:r>
    </w:p>
    <w:p w:rsidR="00F9574B" w:rsidRDefault="00973E96" w:rsidP="00F9574B">
      <w:pPr>
        <w:pStyle w:val="Zkladntext"/>
        <w:jc w:val="center"/>
        <w:rPr>
          <w:bCs/>
          <w:sz w:val="28"/>
          <w:szCs w:val="28"/>
        </w:rPr>
      </w:pPr>
      <w:r>
        <w:rPr>
          <w:bCs/>
        </w:rPr>
        <w:br w:type="page"/>
      </w:r>
      <w:r w:rsidR="00F9574B">
        <w:rPr>
          <w:bCs/>
          <w:sz w:val="28"/>
          <w:szCs w:val="28"/>
        </w:rPr>
        <w:lastRenderedPageBreak/>
        <w:t>Vplyvy na informatizáciu spoločnosti</w:t>
      </w:r>
    </w:p>
    <w:p w:rsidR="00F9574B" w:rsidRDefault="00F9574B" w:rsidP="00F9574B">
      <w:pPr>
        <w:pStyle w:val="Zkladntext"/>
        <w:jc w:val="both"/>
        <w:rPr>
          <w:bCs/>
          <w:sz w:val="28"/>
          <w:szCs w:val="28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3780"/>
      </w:tblGrid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9574B" w:rsidRPr="003670D4" w:rsidRDefault="00F9574B">
            <w:pPr>
              <w:rPr>
                <w:b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574B" w:rsidRPr="003670D4" w:rsidRDefault="00F9574B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574B" w:rsidRPr="003670D4" w:rsidRDefault="00F9574B">
            <w:pPr>
              <w:rPr>
                <w:b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574B" w:rsidRPr="003670D4" w:rsidRDefault="00F9574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6.1.</w:t>
            </w:r>
            <w:r w:rsidRPr="003670D4">
              <w:rPr>
                <w:sz w:val="20"/>
                <w:szCs w:val="20"/>
              </w:rPr>
              <w:t xml:space="preserve"> Rozširujú alebo inovujú sa existujúce alebo vytvárajú sa či zavádzajú  sa nové elektronické služby?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F9574B" w:rsidP="003670D4">
            <w:pPr>
              <w:rPr>
                <w:i/>
                <w:iCs/>
                <w:sz w:val="20"/>
                <w:szCs w:val="20"/>
              </w:rPr>
            </w:pPr>
            <w:r w:rsidRPr="003670D4">
              <w:rPr>
                <w:rStyle w:val="ppp-input-value1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Inovujú sa existujúce elektronické služby čo má pozitívny vplyv na informatizáciu spoločnosti, pretože zverejňovanie formuláru žiadosti na webovom sídle Pôdohospodárskej platobnej agentúry predstavuje </w:t>
            </w:r>
            <w:r w:rsidR="003670D4" w:rsidRPr="003670D4">
              <w:rPr>
                <w:rStyle w:val="ppp-input-value1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inovovanú</w:t>
            </w:r>
            <w:r w:rsidRPr="003670D4">
              <w:rPr>
                <w:rStyle w:val="ppp-input-value1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elektronickú službu úrovne II.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6.2.</w:t>
            </w:r>
            <w:r w:rsidRPr="003670D4">
              <w:rPr>
                <w:sz w:val="20"/>
                <w:szCs w:val="20"/>
              </w:rPr>
              <w:t xml:space="preserve"> Vytvárajú sa podmienky pre sémantickú </w:t>
            </w:r>
            <w:proofErr w:type="spellStart"/>
            <w:r w:rsidRPr="003670D4">
              <w:rPr>
                <w:sz w:val="20"/>
                <w:szCs w:val="20"/>
              </w:rPr>
              <w:t>interoperabilitu</w:t>
            </w:r>
            <w:proofErr w:type="spellEnd"/>
            <w:r w:rsidRPr="003670D4">
              <w:rPr>
                <w:sz w:val="20"/>
                <w:szCs w:val="20"/>
              </w:rPr>
              <w:t>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574B" w:rsidRPr="003670D4" w:rsidRDefault="00F9574B">
            <w:pPr>
              <w:rPr>
                <w:b/>
                <w:color w:val="FFFFFF"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74B" w:rsidRPr="003670D4" w:rsidRDefault="00F9574B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6.3.</w:t>
            </w:r>
            <w:r w:rsidRPr="003670D4">
              <w:rPr>
                <w:sz w:val="20"/>
                <w:szCs w:val="20"/>
              </w:rPr>
              <w:t xml:space="preserve"> Zabezpečuje sa vzdelávanie v oblasti počítačovej gramotnosti a rozširovanie vedomostí o IKT?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6.4.</w:t>
            </w:r>
            <w:r w:rsidRPr="003670D4">
              <w:rPr>
                <w:sz w:val="20"/>
                <w:szCs w:val="20"/>
              </w:rPr>
              <w:t xml:space="preserve"> Zabezpečuje sa rozvoj elektronického vzdelávania?</w:t>
            </w:r>
          </w:p>
          <w:p w:rsidR="00F9574B" w:rsidRPr="003670D4" w:rsidRDefault="00F9574B">
            <w:pPr>
              <w:rPr>
                <w:color w:val="FFFFFF"/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6.5.</w:t>
            </w:r>
            <w:r w:rsidRPr="003670D4">
              <w:rPr>
                <w:sz w:val="20"/>
                <w:szCs w:val="20"/>
              </w:rPr>
              <w:t xml:space="preserve"> Zabezpečuje sa podporná a propagačná aktivita zameraná na zvyšovanie povedomia o informatizácii a IKT?</w:t>
            </w:r>
          </w:p>
          <w:p w:rsidR="00F9574B" w:rsidRPr="003670D4" w:rsidRDefault="00F9574B">
            <w:pPr>
              <w:rPr>
                <w:color w:val="FFFFFF"/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6.6.</w:t>
            </w:r>
            <w:r w:rsidRPr="003670D4">
              <w:rPr>
                <w:sz w:val="20"/>
                <w:szCs w:val="20"/>
              </w:rPr>
              <w:t xml:space="preserve"> Zabezpečuje/zohľadňuje/zlepšuje sa prístup znevýhodnených osôb k službám informačnej spoločnosti?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Zlepšuje sa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574B" w:rsidRPr="003670D4" w:rsidRDefault="00F9574B">
            <w:pPr>
              <w:rPr>
                <w:b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574B" w:rsidRPr="003670D4" w:rsidRDefault="00F9574B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6.7.</w:t>
            </w:r>
            <w:r w:rsidRPr="003670D4">
              <w:rPr>
                <w:sz w:val="20"/>
                <w:szCs w:val="20"/>
              </w:rPr>
              <w:t xml:space="preserve"> Rozširuje, inovuje, vytvára alebo zavádza sa nový informačný systém?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6.8.</w:t>
            </w:r>
            <w:r w:rsidRPr="003670D4">
              <w:rPr>
                <w:sz w:val="20"/>
                <w:szCs w:val="20"/>
              </w:rPr>
              <w:t xml:space="preserve"> Rozširuje sa prístupnosť k internetu?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6.9.</w:t>
            </w:r>
            <w:r w:rsidRPr="003670D4">
              <w:rPr>
                <w:sz w:val="20"/>
                <w:szCs w:val="20"/>
              </w:rPr>
              <w:t xml:space="preserve"> Rozširuje sa prístupnosť k elektronickým službám?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 xml:space="preserve">Formulár je zverejnený na webovom sídle </w:t>
            </w:r>
            <w:r w:rsidRPr="003670D4">
              <w:rPr>
                <w:rStyle w:val="ppp-input-value1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Pôdohospodárskej platobnej agentúry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6.10.</w:t>
            </w:r>
            <w:r w:rsidRPr="003670D4">
              <w:rPr>
                <w:sz w:val="20"/>
                <w:szCs w:val="20"/>
              </w:rPr>
              <w:t xml:space="preserve"> Zabezpečuje sa technická </w:t>
            </w:r>
            <w:proofErr w:type="spellStart"/>
            <w:r w:rsidRPr="003670D4">
              <w:rPr>
                <w:sz w:val="20"/>
                <w:szCs w:val="20"/>
              </w:rPr>
              <w:t>interoperabilita</w:t>
            </w:r>
            <w:proofErr w:type="spellEnd"/>
            <w:r w:rsidRPr="003670D4">
              <w:rPr>
                <w:sz w:val="20"/>
                <w:szCs w:val="20"/>
              </w:rPr>
              <w:t>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6.11.</w:t>
            </w:r>
            <w:r w:rsidRPr="003670D4">
              <w:rPr>
                <w:sz w:val="20"/>
                <w:szCs w:val="20"/>
              </w:rPr>
              <w:t xml:space="preserve"> Zvyšuje sa bezpečnosť IT?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sz w:val="20"/>
                <w:szCs w:val="20"/>
              </w:rPr>
              <w:t>(</w:t>
            </w:r>
            <w:r w:rsidRPr="003670D4">
              <w:rPr>
                <w:i/>
                <w:iCs/>
                <w:sz w:val="20"/>
                <w:szCs w:val="20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6.12.</w:t>
            </w:r>
            <w:r w:rsidRPr="003670D4">
              <w:rPr>
                <w:sz w:val="20"/>
                <w:szCs w:val="20"/>
              </w:rPr>
              <w:t xml:space="preserve"> Rozširuje sa technická infraštruktúra?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sz w:val="20"/>
                <w:szCs w:val="20"/>
              </w:rPr>
              <w:t>(</w:t>
            </w:r>
            <w:r w:rsidRPr="003670D4">
              <w:rPr>
                <w:i/>
                <w:iCs/>
                <w:sz w:val="20"/>
                <w:szCs w:val="20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9574B" w:rsidRPr="003670D4" w:rsidRDefault="00F9574B">
            <w:pPr>
              <w:rPr>
                <w:b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574B" w:rsidRPr="003670D4" w:rsidRDefault="00F95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6.13.</w:t>
            </w:r>
            <w:r w:rsidRPr="003670D4">
              <w:rPr>
                <w:sz w:val="20"/>
                <w:szCs w:val="20"/>
              </w:rPr>
              <w:t xml:space="preserve"> Predpokladajú sa zmeny v riadení procesu informatizácie?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9574B" w:rsidRPr="003670D4" w:rsidRDefault="00F9574B">
            <w:pPr>
              <w:rPr>
                <w:b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574B" w:rsidRPr="003670D4" w:rsidRDefault="00F9574B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6.14.</w:t>
            </w:r>
            <w:r w:rsidRPr="003670D4">
              <w:rPr>
                <w:sz w:val="20"/>
                <w:szCs w:val="20"/>
              </w:rPr>
              <w:t xml:space="preserve"> Vyžaduje si proces informatizácie  finančné investície?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9574B" w:rsidRPr="003670D4" w:rsidRDefault="00F9574B">
            <w:pPr>
              <w:rPr>
                <w:b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574B" w:rsidRPr="003670D4" w:rsidRDefault="00F9574B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6.15.</w:t>
            </w:r>
            <w:r w:rsidRPr="003670D4">
              <w:rPr>
                <w:sz w:val="20"/>
                <w:szCs w:val="20"/>
              </w:rPr>
              <w:t xml:space="preserve"> Predpokladá nelegislatívny materiál potrebu úpravy legislatívneho prostredia  procesu informatizácie?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:rsidR="00F9574B" w:rsidRDefault="00F9574B">
      <w:pPr>
        <w:keepNext w:val="0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A5595C" w:rsidRPr="00A5595C" w:rsidRDefault="00A5595C" w:rsidP="00F53F71">
      <w:pPr>
        <w:rPr>
          <w:rFonts w:eastAsia="Times New Roman"/>
          <w:b/>
          <w:bCs/>
        </w:rPr>
      </w:pPr>
      <w:r w:rsidRPr="00A5595C">
        <w:rPr>
          <w:rFonts w:eastAsia="Times New Roman"/>
          <w:b/>
          <w:bCs/>
        </w:rPr>
        <w:lastRenderedPageBreak/>
        <w:t>Osobitná časť</w:t>
      </w:r>
    </w:p>
    <w:p w:rsidR="00A5595C" w:rsidRDefault="00A5595C" w:rsidP="001D6BB2">
      <w:pPr>
        <w:pStyle w:val="Nadpis3"/>
      </w:pPr>
      <w:r w:rsidRPr="00A5595C">
        <w:t>K čl. I</w:t>
      </w:r>
    </w:p>
    <w:p w:rsidR="00473A96" w:rsidRDefault="001D6BB2" w:rsidP="001D6BB2">
      <w:pPr>
        <w:pStyle w:val="Nadpis3"/>
      </w:pPr>
      <w:r>
        <w:t>K bodu</w:t>
      </w:r>
      <w:r>
        <w:rPr>
          <w:lang w:val="sk-SK"/>
        </w:rPr>
        <w:t xml:space="preserve"> 1</w:t>
      </w:r>
    </w:p>
    <w:p w:rsidR="00473A96" w:rsidRPr="00A86CBC" w:rsidRDefault="00CB3451" w:rsidP="00973E96">
      <w:pPr>
        <w:pStyle w:val="CM1"/>
        <w:spacing w:before="200" w:after="200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Dopĺňa</w:t>
      </w:r>
      <w:r w:rsidR="00156B99">
        <w:rPr>
          <w:rFonts w:ascii="Times New Roman" w:eastAsia="Times New Roman" w:hAnsi="Times New Roman"/>
        </w:rPr>
        <w:t xml:space="preserve"> </w:t>
      </w:r>
      <w:r w:rsidR="00156B99" w:rsidRPr="00A86CBC">
        <w:rPr>
          <w:rFonts w:ascii="Times New Roman" w:eastAsia="Times New Roman" w:hAnsi="Times New Roman"/>
        </w:rPr>
        <w:t>sa</w:t>
      </w:r>
      <w:r w:rsidR="00156B99">
        <w:rPr>
          <w:rFonts w:ascii="Times New Roman" w:eastAsia="Times New Roman" w:hAnsi="Times New Roman"/>
        </w:rPr>
        <w:t xml:space="preserve"> ustanovenie v § 57 </w:t>
      </w:r>
      <w:r>
        <w:rPr>
          <w:rFonts w:ascii="Times New Roman" w:eastAsia="Times New Roman" w:hAnsi="Times New Roman"/>
        </w:rPr>
        <w:t>o nový odsek 6, ktorým sa</w:t>
      </w:r>
      <w:r w:rsidR="00156B99">
        <w:rPr>
          <w:rFonts w:ascii="Times New Roman" w:eastAsia="Times New Roman" w:hAnsi="Times New Roman"/>
        </w:rPr>
        <w:t> vypúšťa povinnosť vykonávať 5 rokov</w:t>
      </w:r>
      <w:r w:rsidR="006E4BA3">
        <w:rPr>
          <w:rFonts w:ascii="Times New Roman" w:eastAsia="Times New Roman" w:hAnsi="Times New Roman"/>
        </w:rPr>
        <w:t xml:space="preserve"> </w:t>
      </w:r>
      <w:r w:rsidR="00156B99">
        <w:rPr>
          <w:rFonts w:ascii="Times New Roman" w:eastAsia="Times New Roman" w:hAnsi="Times New Roman"/>
        </w:rPr>
        <w:t>poľnohospodársku činnosť od poskytnutia prvej platby. Od roku 2014 sa jedná o jednoročné záväzky</w:t>
      </w:r>
      <w:r w:rsidR="0073288F">
        <w:rPr>
          <w:rFonts w:ascii="Times New Roman" w:eastAsia="Times New Roman" w:hAnsi="Times New Roman"/>
        </w:rPr>
        <w:t>. Zmena je v</w:t>
      </w:r>
      <w:r w:rsidR="00473A96">
        <w:rPr>
          <w:rFonts w:ascii="Times New Roman" w:eastAsia="Times New Roman" w:hAnsi="Times New Roman"/>
        </w:rPr>
        <w:t xml:space="preserve"> súlade s kapitolou </w:t>
      </w:r>
      <w:r w:rsidR="003F005B">
        <w:rPr>
          <w:rFonts w:ascii="Times New Roman" w:eastAsia="Times New Roman" w:hAnsi="Times New Roman"/>
        </w:rPr>
        <w:t>I, odseku</w:t>
      </w:r>
      <w:r w:rsidR="00473A96">
        <w:rPr>
          <w:rFonts w:ascii="Times New Roman" w:eastAsia="Times New Roman" w:hAnsi="Times New Roman"/>
        </w:rPr>
        <w:t xml:space="preserve"> 2 </w:t>
      </w:r>
      <w:r w:rsidR="003F005B" w:rsidRPr="00A86CBC">
        <w:rPr>
          <w:rFonts w:ascii="Times New Roman" w:eastAsia="Times New Roman" w:hAnsi="Times New Roman"/>
        </w:rPr>
        <w:t xml:space="preserve">nariadenia </w:t>
      </w:r>
      <w:r w:rsidR="001D6BB2" w:rsidRPr="00A86CBC">
        <w:rPr>
          <w:rFonts w:ascii="Times New Roman" w:eastAsia="Times New Roman" w:hAnsi="Times New Roman"/>
        </w:rPr>
        <w:t>Európskeho parlamentu a Rady</w:t>
      </w:r>
      <w:r w:rsidR="00473A96" w:rsidRPr="00A86CBC">
        <w:rPr>
          <w:rFonts w:ascii="Times New Roman" w:eastAsia="Times New Roman" w:hAnsi="Times New Roman"/>
        </w:rPr>
        <w:t xml:space="preserve"> </w:t>
      </w:r>
      <w:r w:rsidR="009316DA">
        <w:rPr>
          <w:rFonts w:ascii="Times New Roman" w:eastAsia="Times New Roman" w:hAnsi="Times New Roman"/>
        </w:rPr>
        <w:t>č. </w:t>
      </w:r>
      <w:r w:rsidR="00473A96" w:rsidRPr="00A86CBC">
        <w:rPr>
          <w:rFonts w:ascii="Times New Roman" w:eastAsia="Times New Roman" w:hAnsi="Times New Roman"/>
        </w:rPr>
        <w:t>1310/2013 z 17. decembra 2013 ktorým sa stanovujú niektoré</w:t>
      </w:r>
      <w:r w:rsidR="003F005B" w:rsidRPr="00A86CBC">
        <w:rPr>
          <w:rFonts w:ascii="Times New Roman" w:eastAsia="Times New Roman" w:hAnsi="Times New Roman"/>
        </w:rPr>
        <w:t xml:space="preserve"> prechodné ustanoveni</w:t>
      </w:r>
      <w:r w:rsidR="004157E3" w:rsidRPr="00A86CBC">
        <w:rPr>
          <w:rFonts w:ascii="Times New Roman" w:eastAsia="Times New Roman" w:hAnsi="Times New Roman"/>
        </w:rPr>
        <w:t>a</w:t>
      </w:r>
      <w:r w:rsidR="003F005B" w:rsidRPr="00A86CBC">
        <w:rPr>
          <w:rFonts w:ascii="Times New Roman" w:eastAsia="Times New Roman" w:hAnsi="Times New Roman"/>
        </w:rPr>
        <w:t xml:space="preserve"> </w:t>
      </w:r>
      <w:r w:rsidR="00473A96" w:rsidRPr="00A86CBC">
        <w:rPr>
          <w:rFonts w:ascii="Times New Roman" w:eastAsia="Times New Roman" w:hAnsi="Times New Roman"/>
        </w:rPr>
        <w:t>o</w:t>
      </w:r>
      <w:r w:rsidR="00973E96">
        <w:rPr>
          <w:rFonts w:ascii="Times New Roman" w:eastAsia="Times New Roman" w:hAnsi="Times New Roman"/>
        </w:rPr>
        <w:t> </w:t>
      </w:r>
      <w:r w:rsidR="00473A96" w:rsidRPr="00A86CBC">
        <w:rPr>
          <w:rFonts w:ascii="Times New Roman" w:eastAsia="Times New Roman" w:hAnsi="Times New Roman"/>
        </w:rPr>
        <w:t>podpore</w:t>
      </w:r>
      <w:r w:rsidR="00973E96">
        <w:rPr>
          <w:rFonts w:ascii="Times New Roman" w:eastAsia="Times New Roman" w:hAnsi="Times New Roman"/>
        </w:rPr>
        <w:t xml:space="preserve"> </w:t>
      </w:r>
      <w:r w:rsidR="00473A96" w:rsidRPr="00A86CBC">
        <w:rPr>
          <w:rFonts w:ascii="Times New Roman" w:eastAsia="Times New Roman" w:hAnsi="Times New Roman"/>
        </w:rPr>
        <w:t xml:space="preserve">rozvoja vidieka z Európskeho poľnohospodárskeho fondu pre rozvoj vidieka (EPFRV) a ktorým sa mení nariadenie Európskeho parlamentu a Rady (EÚ) </w:t>
      </w:r>
      <w:r w:rsidR="009316DA">
        <w:rPr>
          <w:rFonts w:ascii="Times New Roman" w:eastAsia="Times New Roman" w:hAnsi="Times New Roman"/>
        </w:rPr>
        <w:t>č. </w:t>
      </w:r>
      <w:r w:rsidR="00473A96" w:rsidRPr="00A86CBC">
        <w:rPr>
          <w:rFonts w:ascii="Times New Roman" w:eastAsia="Times New Roman" w:hAnsi="Times New Roman"/>
        </w:rPr>
        <w:t>1305/2013, pokiaľ ide o zdroje a ich rozdeľovanie na rok 2014, a ktorým sa mení nariadenie Rady (ES)</w:t>
      </w:r>
      <w:r w:rsidR="003F005B" w:rsidRPr="00A86CBC">
        <w:rPr>
          <w:rFonts w:ascii="Times New Roman" w:eastAsia="Times New Roman" w:hAnsi="Times New Roman"/>
        </w:rPr>
        <w:t xml:space="preserve"> </w:t>
      </w:r>
      <w:r w:rsidR="009316DA">
        <w:rPr>
          <w:rFonts w:ascii="Times New Roman" w:eastAsia="Times New Roman" w:hAnsi="Times New Roman"/>
        </w:rPr>
        <w:t>č. </w:t>
      </w:r>
      <w:r w:rsidR="00473A96" w:rsidRPr="00A86CBC">
        <w:rPr>
          <w:rFonts w:ascii="Times New Roman" w:eastAsia="Times New Roman" w:hAnsi="Times New Roman"/>
        </w:rPr>
        <w:t xml:space="preserve">73/2009 a nariadenia Európskeho parlamentu a Rady (EÚ) </w:t>
      </w:r>
      <w:r w:rsidR="009316DA">
        <w:rPr>
          <w:rFonts w:ascii="Times New Roman" w:eastAsia="Times New Roman" w:hAnsi="Times New Roman"/>
        </w:rPr>
        <w:t>č. </w:t>
      </w:r>
      <w:r w:rsidR="00473A96" w:rsidRPr="00A86CBC">
        <w:rPr>
          <w:rFonts w:ascii="Times New Roman" w:eastAsia="Times New Roman" w:hAnsi="Times New Roman"/>
        </w:rPr>
        <w:t>13</w:t>
      </w:r>
      <w:r w:rsidR="003F005B" w:rsidRPr="00A86CBC">
        <w:rPr>
          <w:rFonts w:ascii="Times New Roman" w:eastAsia="Times New Roman" w:hAnsi="Times New Roman"/>
        </w:rPr>
        <w:t xml:space="preserve">07/2013, (EÚ) </w:t>
      </w:r>
      <w:r w:rsidR="009316DA">
        <w:rPr>
          <w:rFonts w:ascii="Times New Roman" w:eastAsia="Times New Roman" w:hAnsi="Times New Roman"/>
        </w:rPr>
        <w:t>č. </w:t>
      </w:r>
      <w:r w:rsidR="00473A96" w:rsidRPr="00A86CBC">
        <w:rPr>
          <w:rFonts w:ascii="Times New Roman" w:eastAsia="Times New Roman" w:hAnsi="Times New Roman"/>
        </w:rPr>
        <w:t xml:space="preserve">1306/2013 a (EÚ) </w:t>
      </w:r>
      <w:r w:rsidR="009316DA">
        <w:rPr>
          <w:rFonts w:ascii="Times New Roman" w:eastAsia="Times New Roman" w:hAnsi="Times New Roman"/>
        </w:rPr>
        <w:t>č. </w:t>
      </w:r>
      <w:r w:rsidR="00473A96" w:rsidRPr="00A86CBC">
        <w:rPr>
          <w:rFonts w:ascii="Times New Roman" w:eastAsia="Times New Roman" w:hAnsi="Times New Roman"/>
        </w:rPr>
        <w:t>1308/2013, pokiaľ ide</w:t>
      </w:r>
      <w:r w:rsidR="0073288F" w:rsidRPr="00A86CBC">
        <w:rPr>
          <w:rFonts w:ascii="Times New Roman" w:eastAsia="Times New Roman" w:hAnsi="Times New Roman"/>
        </w:rPr>
        <w:t xml:space="preserve"> o ich uplatňovanie v roku 2014</w:t>
      </w:r>
      <w:r w:rsidR="004157E3">
        <w:rPr>
          <w:rFonts w:ascii="Times New Roman" w:eastAsia="Times New Roman" w:hAnsi="Times New Roman"/>
        </w:rPr>
        <w:t>.</w:t>
      </w:r>
    </w:p>
    <w:p w:rsidR="00473A96" w:rsidRPr="001D6BB2" w:rsidRDefault="001D6BB2" w:rsidP="001D6BB2">
      <w:pPr>
        <w:pStyle w:val="Nadpis3"/>
        <w:rPr>
          <w:lang w:val="sk-SK"/>
        </w:rPr>
      </w:pPr>
      <w:r>
        <w:t>K bodu</w:t>
      </w:r>
      <w:r>
        <w:rPr>
          <w:lang w:val="sk-SK"/>
        </w:rPr>
        <w:t xml:space="preserve"> 2</w:t>
      </w:r>
    </w:p>
    <w:p w:rsidR="00A5595C" w:rsidRDefault="001D6BB2" w:rsidP="00973E96">
      <w:pPr>
        <w:spacing w:after="120"/>
        <w:ind w:firstLine="709"/>
        <w:rPr>
          <w:rFonts w:eastAsia="Times New Roman"/>
        </w:rPr>
      </w:pPr>
      <w:r>
        <w:rPr>
          <w:rFonts w:eastAsia="Times New Roman"/>
        </w:rPr>
        <w:t>Dopĺňa</w:t>
      </w:r>
      <w:r w:rsidR="00F53F71">
        <w:rPr>
          <w:rFonts w:eastAsia="Times New Roman"/>
        </w:rPr>
        <w:t xml:space="preserve"> sa nové ustanovenie, ktoré upravuje možnosť pokračovať v realizácii záväzkov</w:t>
      </w:r>
      <w:r w:rsidR="006E4BA3">
        <w:rPr>
          <w:rFonts w:eastAsia="Times New Roman"/>
        </w:rPr>
        <w:t xml:space="preserve"> </w:t>
      </w:r>
      <w:r w:rsidR="00F53F71">
        <w:rPr>
          <w:rFonts w:eastAsia="Times New Roman"/>
        </w:rPr>
        <w:t xml:space="preserve">v roku 2014 tým poľnohospodárskym </w:t>
      </w:r>
      <w:r w:rsidR="002E2B1D">
        <w:rPr>
          <w:rFonts w:eastAsia="Times New Roman"/>
        </w:rPr>
        <w:t xml:space="preserve">a lesníckym </w:t>
      </w:r>
      <w:r w:rsidR="00F53F71">
        <w:rPr>
          <w:rFonts w:eastAsia="Times New Roman"/>
        </w:rPr>
        <w:t>subjektom, ktorým skončili záväzky k 31.12.2013 a dobrovoľne sa rozhodnú</w:t>
      </w:r>
      <w:r w:rsidR="006E4BA3">
        <w:rPr>
          <w:rFonts w:eastAsia="Times New Roman"/>
        </w:rPr>
        <w:t xml:space="preserve"> </w:t>
      </w:r>
      <w:r w:rsidR="00F53F71">
        <w:rPr>
          <w:rFonts w:eastAsia="Times New Roman"/>
        </w:rPr>
        <w:t xml:space="preserve">realizovať </w:t>
      </w:r>
      <w:proofErr w:type="spellStart"/>
      <w:r w:rsidR="00F53F71">
        <w:rPr>
          <w:rFonts w:eastAsia="Times New Roman"/>
        </w:rPr>
        <w:t>podopatreni</w:t>
      </w:r>
      <w:r w:rsidR="00DB6047">
        <w:rPr>
          <w:rFonts w:eastAsia="Times New Roman"/>
        </w:rPr>
        <w:t>e</w:t>
      </w:r>
      <w:proofErr w:type="spellEnd"/>
      <w:r w:rsidR="005D3BDE">
        <w:rPr>
          <w:rFonts w:eastAsia="Times New Roman"/>
        </w:rPr>
        <w:t>,</w:t>
      </w:r>
      <w:r w:rsidR="00F53F71">
        <w:rPr>
          <w:rFonts w:eastAsia="Times New Roman"/>
        </w:rPr>
        <w:t xml:space="preserve"> ktor</w:t>
      </w:r>
      <w:r w:rsidR="00DB6047">
        <w:rPr>
          <w:rFonts w:eastAsia="Times New Roman"/>
        </w:rPr>
        <w:t>ého</w:t>
      </w:r>
      <w:r w:rsidR="00F53F71">
        <w:rPr>
          <w:rFonts w:eastAsia="Times New Roman"/>
        </w:rPr>
        <w:t xml:space="preserve"> podmienky plnili v období 2009 – 2013 to je</w:t>
      </w:r>
      <w:r w:rsidR="00DB6047">
        <w:rPr>
          <w:rFonts w:eastAsia="Times New Roman"/>
        </w:rPr>
        <w:t xml:space="preserve"> v</w:t>
      </w:r>
      <w:r w:rsidR="00F53F71">
        <w:rPr>
          <w:rFonts w:eastAsia="Times New Roman"/>
        </w:rPr>
        <w:t xml:space="preserve"> päťročnom záväzku.</w:t>
      </w:r>
    </w:p>
    <w:p w:rsidR="00F53F71" w:rsidRDefault="00F53F71" w:rsidP="00973E96">
      <w:pPr>
        <w:spacing w:after="120"/>
        <w:ind w:firstLine="709"/>
        <w:rPr>
          <w:rFonts w:eastAsia="Times New Roman"/>
        </w:rPr>
      </w:pPr>
      <w:r>
        <w:rPr>
          <w:rFonts w:eastAsia="Times New Roman"/>
        </w:rPr>
        <w:t xml:space="preserve">Pokračovanie </w:t>
      </w:r>
      <w:r w:rsidR="00DB6047">
        <w:rPr>
          <w:rFonts w:eastAsia="Times New Roman"/>
        </w:rPr>
        <w:t xml:space="preserve">záväzku v roku 2014 </w:t>
      </w:r>
      <w:r>
        <w:rPr>
          <w:rFonts w:eastAsia="Times New Roman"/>
        </w:rPr>
        <w:t>je možné len pre Lesnícko-environmentálne opatrenie a </w:t>
      </w:r>
      <w:proofErr w:type="spellStart"/>
      <w:r>
        <w:rPr>
          <w:rFonts w:eastAsia="Times New Roman"/>
        </w:rPr>
        <w:t>Agroenviron</w:t>
      </w:r>
      <w:r w:rsidR="00DB6047">
        <w:rPr>
          <w:rFonts w:eastAsia="Times New Roman"/>
        </w:rPr>
        <w:t>me</w:t>
      </w:r>
      <w:r>
        <w:rPr>
          <w:rFonts w:eastAsia="Times New Roman"/>
        </w:rPr>
        <w:t>ntálne</w:t>
      </w:r>
      <w:proofErr w:type="spellEnd"/>
      <w:r>
        <w:rPr>
          <w:rFonts w:eastAsia="Times New Roman"/>
        </w:rPr>
        <w:t xml:space="preserve"> opatrenie v </w:t>
      </w:r>
      <w:proofErr w:type="spellStart"/>
      <w:r>
        <w:rPr>
          <w:rFonts w:eastAsia="Times New Roman"/>
        </w:rPr>
        <w:t>podopatreniach</w:t>
      </w:r>
      <w:proofErr w:type="spellEnd"/>
      <w:r>
        <w:rPr>
          <w:rFonts w:eastAsia="Times New Roman"/>
        </w:rPr>
        <w:t xml:space="preserve"> Integrovaná produkcia (ovocinárstvo, vinohradníctvo a zeleni</w:t>
      </w:r>
      <w:r w:rsidR="002E2B1D">
        <w:rPr>
          <w:rFonts w:eastAsia="Times New Roman"/>
        </w:rPr>
        <w:t>n</w:t>
      </w:r>
      <w:r w:rsidR="00DB6047">
        <w:rPr>
          <w:rFonts w:eastAsia="Times New Roman"/>
        </w:rPr>
        <w:t>a</w:t>
      </w:r>
      <w:r>
        <w:rPr>
          <w:rFonts w:eastAsia="Times New Roman"/>
        </w:rPr>
        <w:t>), Ekologi</w:t>
      </w:r>
      <w:r w:rsidR="00DB6047">
        <w:rPr>
          <w:rFonts w:eastAsia="Times New Roman"/>
        </w:rPr>
        <w:t>ck</w:t>
      </w:r>
      <w:r>
        <w:rPr>
          <w:rFonts w:eastAsia="Times New Roman"/>
        </w:rPr>
        <w:t>é poľnohospodárstvo</w:t>
      </w:r>
      <w:r w:rsidR="00DB6047">
        <w:rPr>
          <w:rFonts w:eastAsia="Times New Roman"/>
        </w:rPr>
        <w:t xml:space="preserve"> </w:t>
      </w:r>
      <w:r>
        <w:rPr>
          <w:rFonts w:eastAsia="Times New Roman"/>
        </w:rPr>
        <w:t>a Ochrana biotopov vybraných druhov vtákov a</w:t>
      </w:r>
      <w:r w:rsidR="00DB6047">
        <w:rPr>
          <w:rFonts w:eastAsia="Times New Roman"/>
        </w:rPr>
        <w:t> Ochrana vybraných biotopov trávnych porastov.</w:t>
      </w:r>
    </w:p>
    <w:p w:rsidR="00DB6047" w:rsidRDefault="00C14CFA" w:rsidP="00973E96">
      <w:pPr>
        <w:spacing w:after="120"/>
        <w:ind w:firstLine="709"/>
        <w:rPr>
          <w:rFonts w:eastAsia="Times New Roman"/>
        </w:rPr>
      </w:pPr>
      <w:r>
        <w:rPr>
          <w:rFonts w:eastAsia="Times New Roman"/>
        </w:rPr>
        <w:t>Z dôvodu prehľadnosti, žiadatelia, ktor</w:t>
      </w:r>
      <w:r w:rsidR="002E2B1D">
        <w:rPr>
          <w:rFonts w:eastAsia="Times New Roman"/>
        </w:rPr>
        <w:t>í</w:t>
      </w:r>
      <w:r>
        <w:rPr>
          <w:rFonts w:eastAsia="Times New Roman"/>
        </w:rPr>
        <w:t xml:space="preserve"> sa rozhodnú pokračovať v záväzku aj v roku 2014, oznámia svoje rozhodnutie Pôdohospodárskej platobnej</w:t>
      </w:r>
      <w:r w:rsidR="006E4BA3">
        <w:rPr>
          <w:rFonts w:eastAsia="Times New Roman"/>
        </w:rPr>
        <w:t xml:space="preserve"> </w:t>
      </w:r>
      <w:r>
        <w:rPr>
          <w:rFonts w:eastAsia="Times New Roman"/>
        </w:rPr>
        <w:t>agentúre</w:t>
      </w:r>
      <w:r w:rsidR="00680790">
        <w:rPr>
          <w:rFonts w:eastAsia="Times New Roman"/>
        </w:rPr>
        <w:t xml:space="preserve"> (PPA)</w:t>
      </w:r>
      <w:r w:rsidR="006E4BA3">
        <w:rPr>
          <w:rFonts w:eastAsia="Times New Roman"/>
        </w:rPr>
        <w:t xml:space="preserve"> </w:t>
      </w:r>
      <w:r>
        <w:rPr>
          <w:rFonts w:eastAsia="Times New Roman"/>
        </w:rPr>
        <w:t xml:space="preserve">v termíne do </w:t>
      </w:r>
      <w:r w:rsidR="002E2B1D">
        <w:rPr>
          <w:rFonts w:eastAsia="Times New Roman"/>
        </w:rPr>
        <w:t>31.</w:t>
      </w:r>
      <w:r w:rsidR="00973E96">
        <w:rPr>
          <w:rFonts w:eastAsia="Times New Roman"/>
        </w:rPr>
        <w:t> </w:t>
      </w:r>
      <w:r w:rsidR="002E2B1D">
        <w:rPr>
          <w:rFonts w:eastAsia="Times New Roman"/>
        </w:rPr>
        <w:t>marca</w:t>
      </w:r>
      <w:r>
        <w:rPr>
          <w:rFonts w:eastAsia="Times New Roman"/>
        </w:rPr>
        <w:t xml:space="preserve"> na pre predpísanom tlačive. </w:t>
      </w:r>
      <w:r w:rsidR="002E2B1D">
        <w:rPr>
          <w:rFonts w:eastAsia="Times New Roman"/>
        </w:rPr>
        <w:t>PPA následne informuje žiadateľa o zaevidovaní žiadateľa pre rok 2014.</w:t>
      </w:r>
      <w:r w:rsidR="006E4BA3">
        <w:rPr>
          <w:rFonts w:eastAsia="Times New Roman"/>
        </w:rPr>
        <w:t xml:space="preserve"> </w:t>
      </w:r>
      <w:r w:rsidR="008B52FC">
        <w:rPr>
          <w:rFonts w:eastAsia="Times New Roman"/>
        </w:rPr>
        <w:t>Ž</w:t>
      </w:r>
      <w:r w:rsidR="002E2B1D">
        <w:rPr>
          <w:rFonts w:eastAsia="Times New Roman"/>
        </w:rPr>
        <w:t>iadosti o pokračovanie záväzku v roku 2014 po stanovenom termíne, alebo b</w:t>
      </w:r>
      <w:r w:rsidR="008B52FC">
        <w:rPr>
          <w:rFonts w:eastAsia="Times New Roman"/>
        </w:rPr>
        <w:t>ez zaevidovania na PPA,</w:t>
      </w:r>
      <w:r w:rsidR="006E4BA3">
        <w:rPr>
          <w:rFonts w:eastAsia="Times New Roman"/>
        </w:rPr>
        <w:t xml:space="preserve"> </w:t>
      </w:r>
      <w:r w:rsidR="008B52FC">
        <w:rPr>
          <w:rFonts w:eastAsia="Times New Roman"/>
        </w:rPr>
        <w:t>nebudú akceptované a žiadateľ nebude môcť požiadať o platbu.</w:t>
      </w:r>
    </w:p>
    <w:p w:rsidR="00C14CFA" w:rsidRDefault="00C14CFA" w:rsidP="00973E96">
      <w:pPr>
        <w:spacing w:after="120"/>
        <w:ind w:firstLine="709"/>
        <w:rPr>
          <w:rFonts w:eastAsia="Times New Roman"/>
        </w:rPr>
      </w:pPr>
      <w:r>
        <w:rPr>
          <w:rFonts w:eastAsia="Times New Roman"/>
        </w:rPr>
        <w:t>Žiadosť o</w:t>
      </w:r>
      <w:r w:rsidR="006E4BA3">
        <w:rPr>
          <w:rFonts w:eastAsia="Times New Roman"/>
        </w:rPr>
        <w:t xml:space="preserve"> </w:t>
      </w:r>
      <w:r>
        <w:rPr>
          <w:rFonts w:eastAsia="Times New Roman"/>
        </w:rPr>
        <w:t xml:space="preserve">platbu sa následne predkladá </w:t>
      </w:r>
      <w:r w:rsidR="00680790">
        <w:rPr>
          <w:rFonts w:eastAsia="Times New Roman"/>
        </w:rPr>
        <w:t>na základe výzvy PPA k</w:t>
      </w:r>
      <w:r w:rsidR="006E4BA3">
        <w:rPr>
          <w:rFonts w:eastAsia="Times New Roman"/>
        </w:rPr>
        <w:t> </w:t>
      </w:r>
      <w:r w:rsidR="00680790">
        <w:rPr>
          <w:rFonts w:eastAsia="Times New Roman"/>
        </w:rPr>
        <w:t>15</w:t>
      </w:r>
      <w:r w:rsidR="006E4BA3">
        <w:rPr>
          <w:rFonts w:eastAsia="Times New Roman"/>
        </w:rPr>
        <w:t>.</w:t>
      </w:r>
      <w:r w:rsidR="00680790">
        <w:rPr>
          <w:rFonts w:eastAsia="Times New Roman"/>
        </w:rPr>
        <w:t xml:space="preserve"> máju za nezmenených podmienok v súlade s príslušnými právnymi predpismi.</w:t>
      </w:r>
    </w:p>
    <w:p w:rsidR="00547445" w:rsidRDefault="00680790" w:rsidP="00973E96">
      <w:pPr>
        <w:spacing w:after="120"/>
        <w:ind w:firstLine="709"/>
        <w:rPr>
          <w:rFonts w:eastAsia="Times New Roman"/>
        </w:rPr>
      </w:pPr>
      <w:r>
        <w:rPr>
          <w:rFonts w:eastAsia="Times New Roman"/>
        </w:rPr>
        <w:t>Žiadatelia</w:t>
      </w:r>
      <w:r w:rsidR="003F3C5D">
        <w:rPr>
          <w:rFonts w:eastAsia="Times New Roman"/>
        </w:rPr>
        <w:t>,</w:t>
      </w:r>
      <w:r>
        <w:rPr>
          <w:rFonts w:eastAsia="Times New Roman"/>
        </w:rPr>
        <w:t xml:space="preserve"> realizujúci opatrenie v pokračujúcom roku 2014</w:t>
      </w:r>
      <w:r w:rsidR="003F3C5D">
        <w:rPr>
          <w:rFonts w:eastAsia="Times New Roman"/>
        </w:rPr>
        <w:t>,</w:t>
      </w:r>
      <w:r>
        <w:rPr>
          <w:rFonts w:eastAsia="Times New Roman"/>
        </w:rPr>
        <w:t xml:space="preserve"> musia</w:t>
      </w:r>
      <w:r w:rsidR="0048089D">
        <w:rPr>
          <w:rFonts w:eastAsia="Times New Roman"/>
        </w:rPr>
        <w:t xml:space="preserve"> aj naďalej </w:t>
      </w:r>
      <w:r>
        <w:rPr>
          <w:rFonts w:eastAsia="Times New Roman"/>
        </w:rPr>
        <w:t>dodržiavať všetky podmienky opatrenia. Ak PPA pri kontrole zistí porušenie</w:t>
      </w:r>
      <w:r w:rsidR="00CD353C">
        <w:rPr>
          <w:rFonts w:eastAsia="Times New Roman"/>
        </w:rPr>
        <w:t xml:space="preserve"> podmienok,</w:t>
      </w:r>
      <w:r>
        <w:rPr>
          <w:rFonts w:eastAsia="Times New Roman"/>
        </w:rPr>
        <w:t xml:space="preserve"> platby sa </w:t>
      </w:r>
      <w:r w:rsidR="00CD353C">
        <w:rPr>
          <w:rFonts w:eastAsia="Times New Roman"/>
        </w:rPr>
        <w:t xml:space="preserve">v danom roku </w:t>
      </w:r>
      <w:r>
        <w:rPr>
          <w:rFonts w:eastAsia="Times New Roman"/>
        </w:rPr>
        <w:t xml:space="preserve">znížia, avšak </w:t>
      </w:r>
      <w:r w:rsidR="00CC4CBC">
        <w:rPr>
          <w:rFonts w:eastAsia="Times New Roman"/>
        </w:rPr>
        <w:t xml:space="preserve">bez povinnosti vrátenia už </w:t>
      </w:r>
      <w:r w:rsidR="00F77C95">
        <w:rPr>
          <w:rFonts w:eastAsia="Times New Roman"/>
        </w:rPr>
        <w:t>poskytnutých platieb, lebo žiadateľ už podmienku päťročného záväzku splnil.</w:t>
      </w:r>
      <w:r>
        <w:rPr>
          <w:rFonts w:eastAsia="Times New Roman"/>
        </w:rPr>
        <w:t xml:space="preserve"> </w:t>
      </w:r>
    </w:p>
    <w:p w:rsidR="00A5595C" w:rsidRPr="00A5595C" w:rsidRDefault="00A5595C" w:rsidP="001D6BB2">
      <w:pPr>
        <w:pStyle w:val="Nadpis3"/>
      </w:pPr>
      <w:r w:rsidRPr="00A5595C">
        <w:t>K čl. II</w:t>
      </w:r>
    </w:p>
    <w:p w:rsidR="00F362E7" w:rsidRPr="00301C26" w:rsidRDefault="00A5595C" w:rsidP="00973E96">
      <w:pPr>
        <w:ind w:firstLine="709"/>
        <w:rPr>
          <w:rFonts w:eastAsia="Times New Roman"/>
        </w:rPr>
      </w:pPr>
      <w:r w:rsidRPr="00A5595C">
        <w:rPr>
          <w:rFonts w:eastAsia="Times New Roman"/>
        </w:rPr>
        <w:t>Navrhuje sa účinnosť nariadenia vlády Slovenskej republiky od 1. marca 2014 z dôvodu zabezpečenia administrácie žiadostí pre rok 2014.</w:t>
      </w:r>
    </w:p>
    <w:sectPr w:rsidR="00F362E7" w:rsidRPr="0030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A90568"/>
    <w:multiLevelType w:val="hybridMultilevel"/>
    <w:tmpl w:val="104E011C"/>
    <w:lvl w:ilvl="0" w:tplc="DF6CB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802AA"/>
    <w:multiLevelType w:val="hybridMultilevel"/>
    <w:tmpl w:val="35A6A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3BBD"/>
    <w:multiLevelType w:val="hybridMultilevel"/>
    <w:tmpl w:val="7626F1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4C179B"/>
    <w:multiLevelType w:val="hybridMultilevel"/>
    <w:tmpl w:val="785CC9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C231F"/>
    <w:multiLevelType w:val="hybridMultilevel"/>
    <w:tmpl w:val="2E7CDB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04C1F"/>
    <w:multiLevelType w:val="hybridMultilevel"/>
    <w:tmpl w:val="94866CC4"/>
    <w:lvl w:ilvl="0" w:tplc="DF6CB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145EDA"/>
    <w:multiLevelType w:val="hybridMultilevel"/>
    <w:tmpl w:val="3EDCE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D5B14"/>
    <w:multiLevelType w:val="hybridMultilevel"/>
    <w:tmpl w:val="9EB4C922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67D34"/>
    <w:multiLevelType w:val="hybridMultilevel"/>
    <w:tmpl w:val="0842143A"/>
    <w:lvl w:ilvl="0" w:tplc="91BC8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E2767"/>
    <w:multiLevelType w:val="hybridMultilevel"/>
    <w:tmpl w:val="8EEA0BC2"/>
    <w:lvl w:ilvl="0" w:tplc="91BC8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D20C2"/>
    <w:multiLevelType w:val="hybridMultilevel"/>
    <w:tmpl w:val="C57EF8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655C8"/>
    <w:multiLevelType w:val="hybridMultilevel"/>
    <w:tmpl w:val="58563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E46AC"/>
    <w:multiLevelType w:val="hybridMultilevel"/>
    <w:tmpl w:val="16702B4C"/>
    <w:lvl w:ilvl="0" w:tplc="DF6CB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F1C92"/>
    <w:multiLevelType w:val="hybridMultilevel"/>
    <w:tmpl w:val="8CA4E6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  <w:num w:numId="16">
    <w:abstractNumId w:val="1"/>
  </w:num>
  <w:num w:numId="17">
    <w:abstractNumId w:val="15"/>
  </w:num>
  <w:num w:numId="18">
    <w:abstractNumId w:val="11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E7"/>
    <w:rsid w:val="0000494C"/>
    <w:rsid w:val="000337E9"/>
    <w:rsid w:val="000650C6"/>
    <w:rsid w:val="000816BD"/>
    <w:rsid w:val="001033EA"/>
    <w:rsid w:val="00156B99"/>
    <w:rsid w:val="00163CE6"/>
    <w:rsid w:val="00166F95"/>
    <w:rsid w:val="00183FAA"/>
    <w:rsid w:val="001D6BB2"/>
    <w:rsid w:val="001F3987"/>
    <w:rsid w:val="00283665"/>
    <w:rsid w:val="002E2B1D"/>
    <w:rsid w:val="00301C26"/>
    <w:rsid w:val="00313800"/>
    <w:rsid w:val="00364B83"/>
    <w:rsid w:val="003670D4"/>
    <w:rsid w:val="003A001B"/>
    <w:rsid w:val="003D2F87"/>
    <w:rsid w:val="003F005B"/>
    <w:rsid w:val="003F3C5D"/>
    <w:rsid w:val="004157E3"/>
    <w:rsid w:val="00473A96"/>
    <w:rsid w:val="0048089D"/>
    <w:rsid w:val="004B0118"/>
    <w:rsid w:val="005050C7"/>
    <w:rsid w:val="00547445"/>
    <w:rsid w:val="005509D7"/>
    <w:rsid w:val="005D3BDE"/>
    <w:rsid w:val="005F54F6"/>
    <w:rsid w:val="006410FB"/>
    <w:rsid w:val="00680790"/>
    <w:rsid w:val="006C637B"/>
    <w:rsid w:val="006E4BA3"/>
    <w:rsid w:val="0073288F"/>
    <w:rsid w:val="008B52FC"/>
    <w:rsid w:val="009316DA"/>
    <w:rsid w:val="009532EB"/>
    <w:rsid w:val="00973E96"/>
    <w:rsid w:val="00A5595C"/>
    <w:rsid w:val="00A86CBC"/>
    <w:rsid w:val="00AA6389"/>
    <w:rsid w:val="00AC6FF2"/>
    <w:rsid w:val="00BE5A15"/>
    <w:rsid w:val="00C14CFA"/>
    <w:rsid w:val="00CB3451"/>
    <w:rsid w:val="00CC4CBC"/>
    <w:rsid w:val="00CD353C"/>
    <w:rsid w:val="00D93258"/>
    <w:rsid w:val="00DA44E9"/>
    <w:rsid w:val="00DB6047"/>
    <w:rsid w:val="00E77B1A"/>
    <w:rsid w:val="00EF71B0"/>
    <w:rsid w:val="00F362E7"/>
    <w:rsid w:val="00F45AF9"/>
    <w:rsid w:val="00F46D96"/>
    <w:rsid w:val="00F5018D"/>
    <w:rsid w:val="00F53F71"/>
    <w:rsid w:val="00F77C95"/>
    <w:rsid w:val="00F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AABD0-087E-4A08-AE50-0694E23D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BB2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6BB2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6BB2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D6BB2"/>
    <w:pPr>
      <w:keepLines/>
      <w:spacing w:before="120" w:after="120"/>
      <w:outlineLvl w:val="2"/>
    </w:pPr>
    <w:rPr>
      <w:rFonts w:cs="Arial"/>
      <w:b/>
      <w:bCs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362E7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rsid w:val="00F362E7"/>
    <w:rPr>
      <w:b/>
      <w:bCs/>
    </w:rPr>
  </w:style>
  <w:style w:type="paragraph" w:customStyle="1" w:styleId="CM1">
    <w:name w:val="CM1"/>
    <w:basedOn w:val="Normlny"/>
    <w:uiPriority w:val="99"/>
    <w:rsid w:val="000337E9"/>
    <w:pPr>
      <w:autoSpaceDE w:val="0"/>
      <w:autoSpaceDN w:val="0"/>
    </w:pPr>
    <w:rPr>
      <w:rFonts w:ascii="EUAlbertina" w:hAnsi="EUAlbertina"/>
    </w:rPr>
  </w:style>
  <w:style w:type="character" w:customStyle="1" w:styleId="Nadpis3Char">
    <w:name w:val="Nadpis 3 Char"/>
    <w:link w:val="Nadpis3"/>
    <w:uiPriority w:val="9"/>
    <w:rsid w:val="001D6BB2"/>
    <w:rPr>
      <w:rFonts w:cs="Arial"/>
      <w:b/>
      <w:bCs/>
      <w:sz w:val="24"/>
      <w:lang w:val="x-none" w:eastAsia="x-none"/>
    </w:rPr>
  </w:style>
  <w:style w:type="paragraph" w:customStyle="1" w:styleId="a">
    <w:name w:val="§"/>
    <w:basedOn w:val="Normlny"/>
    <w:qFormat/>
    <w:rsid w:val="001D6BB2"/>
    <w:pPr>
      <w:numPr>
        <w:numId w:val="11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lny"/>
    <w:qFormat/>
    <w:rsid w:val="001D6BB2"/>
    <w:pPr>
      <w:numPr>
        <w:numId w:val="12"/>
      </w:numPr>
      <w:spacing w:before="60" w:after="60"/>
    </w:pPr>
  </w:style>
  <w:style w:type="paragraph" w:customStyle="1" w:styleId="odsek">
    <w:name w:val="odsek"/>
    <w:basedOn w:val="Normlny"/>
    <w:qFormat/>
    <w:rsid w:val="001D6BB2"/>
    <w:pPr>
      <w:ind w:firstLine="709"/>
    </w:pPr>
  </w:style>
  <w:style w:type="paragraph" w:customStyle="1" w:styleId="odsek1">
    <w:name w:val="odsek1"/>
    <w:basedOn w:val="odsek"/>
    <w:qFormat/>
    <w:rsid w:val="001D6BB2"/>
    <w:pPr>
      <w:numPr>
        <w:numId w:val="13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1D6BB2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1D6BB2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1D6BB2"/>
    <w:rPr>
      <w:lang w:val="x-none" w:eastAsia="x-none"/>
    </w:rPr>
  </w:style>
  <w:style w:type="character" w:customStyle="1" w:styleId="Nadpis1Char">
    <w:name w:val="Nadpis 1 Char"/>
    <w:link w:val="Nadpis1"/>
    <w:uiPriority w:val="9"/>
    <w:rsid w:val="001D6BB2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1D6BB2"/>
    <w:rPr>
      <w:rFonts w:cs="Arial"/>
      <w:b/>
      <w:bCs/>
      <w:sz w:val="24"/>
      <w:szCs w:val="26"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BB2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9574B"/>
    <w:pPr>
      <w:keepNext w:val="0"/>
      <w:jc w:val="left"/>
    </w:pPr>
    <w:rPr>
      <w:rFonts w:eastAsia="Times New Roman"/>
      <w:b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9574B"/>
    <w:rPr>
      <w:rFonts w:eastAsia="Times New Roman"/>
      <w:b/>
      <w:sz w:val="24"/>
      <w:lang w:eastAsia="sk-SK"/>
    </w:rPr>
  </w:style>
  <w:style w:type="character" w:customStyle="1" w:styleId="ppp-input-value1">
    <w:name w:val="ppp-input-value1"/>
    <w:basedOn w:val="Predvolenpsmoodseku"/>
    <w:rsid w:val="00F9574B"/>
    <w:rPr>
      <w:rFonts w:ascii="Tahoma" w:hAnsi="Tahoma" w:cs="Tahoma" w:hint="default"/>
      <w:color w:val="837A7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D35D-C2EA-442B-9BDB-67BEECFB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Gergeľová Zuzana</dc:creator>
  <cp:lastModifiedBy>Ňuňuk Pavol</cp:lastModifiedBy>
  <cp:revision>39</cp:revision>
  <dcterms:created xsi:type="dcterms:W3CDTF">2014-01-03T10:13:00Z</dcterms:created>
  <dcterms:modified xsi:type="dcterms:W3CDTF">2014-02-03T09:36:00Z</dcterms:modified>
</cp:coreProperties>
</file>