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6E" w:rsidRDefault="00C6246E" w:rsidP="00C6246E">
      <w:pPr>
        <w:ind w:right="-108"/>
        <w:jc w:val="center"/>
        <w:rPr>
          <w:b/>
          <w:bCs/>
          <w:sz w:val="28"/>
          <w:szCs w:val="28"/>
        </w:rPr>
      </w:pPr>
      <w:r>
        <w:rPr>
          <w:b/>
          <w:bCs/>
          <w:sz w:val="28"/>
          <w:szCs w:val="28"/>
        </w:rPr>
        <w:t>Doložka vybraných vplyvov</w:t>
      </w:r>
    </w:p>
    <w:p w:rsidR="00C6246E" w:rsidRDefault="00C6246E" w:rsidP="00C6246E">
      <w:pPr>
        <w:ind w:right="-108"/>
        <w:jc w:val="center"/>
        <w:rPr>
          <w:b/>
          <w:bCs/>
          <w:sz w:val="28"/>
          <w:szCs w:val="28"/>
        </w:rPr>
      </w:pPr>
    </w:p>
    <w:p w:rsidR="00C6246E" w:rsidRDefault="00C6246E" w:rsidP="00C6246E">
      <w:pPr>
        <w:rPr>
          <w:b/>
          <w:bCs/>
        </w:rPr>
      </w:pPr>
    </w:p>
    <w:p w:rsidR="00C6246E" w:rsidRDefault="00C6246E" w:rsidP="00C6246E">
      <w:pPr>
        <w:rPr>
          <w:b/>
          <w:bCs/>
        </w:rPr>
      </w:pPr>
    </w:p>
    <w:p w:rsidR="000D2158" w:rsidRDefault="00C6246E" w:rsidP="00C6246E">
      <w:pPr>
        <w:rPr>
          <w:b/>
          <w:bCs/>
        </w:rPr>
      </w:pPr>
      <w:r>
        <w:rPr>
          <w:b/>
          <w:bCs/>
        </w:rPr>
        <w:t>A.1. Názov materiálu:</w:t>
      </w:r>
      <w:r w:rsidR="000D2158">
        <w:rPr>
          <w:b/>
          <w:bCs/>
        </w:rPr>
        <w:t xml:space="preserve"> </w:t>
      </w:r>
    </w:p>
    <w:p w:rsidR="00E662FF" w:rsidRDefault="000D2158" w:rsidP="00BE2644">
      <w:pPr>
        <w:jc w:val="both"/>
        <w:rPr>
          <w:bCs/>
        </w:rPr>
      </w:pPr>
      <w:r>
        <w:rPr>
          <w:bCs/>
        </w:rPr>
        <w:t xml:space="preserve"> </w:t>
      </w:r>
      <w:r w:rsidRPr="000D2158">
        <w:rPr>
          <w:bCs/>
        </w:rPr>
        <w:t xml:space="preserve">       Návrh </w:t>
      </w:r>
      <w:r w:rsidR="00E662FF">
        <w:rPr>
          <w:bCs/>
        </w:rPr>
        <w:t xml:space="preserve">Národného akčného plánu na prevenciu a elimináciu násilia na ženách </w:t>
      </w:r>
      <w:r w:rsidR="00BE2644">
        <w:rPr>
          <w:bCs/>
        </w:rPr>
        <w:t>na roky</w:t>
      </w:r>
    </w:p>
    <w:p w:rsidR="00C6246E" w:rsidRPr="000D2158" w:rsidRDefault="00BE2644" w:rsidP="00C6246E">
      <w:pPr>
        <w:rPr>
          <w:bCs/>
        </w:rPr>
      </w:pPr>
      <w:r>
        <w:rPr>
          <w:bCs/>
        </w:rPr>
        <w:t xml:space="preserve">        </w:t>
      </w:r>
      <w:r w:rsidR="00E662FF">
        <w:rPr>
          <w:bCs/>
        </w:rPr>
        <w:t>2014 - 2019</w:t>
      </w:r>
      <w:r w:rsidR="000D2158" w:rsidRPr="000D2158">
        <w:rPr>
          <w:bCs/>
        </w:rPr>
        <w:t xml:space="preserve"> </w:t>
      </w:r>
    </w:p>
    <w:p w:rsidR="000D2158" w:rsidRDefault="00C6246E" w:rsidP="00C6246E">
      <w:pPr>
        <w:rPr>
          <w:b/>
          <w:bCs/>
        </w:rPr>
      </w:pPr>
      <w:r>
        <w:rPr>
          <w:b/>
          <w:bCs/>
        </w:rPr>
        <w:t xml:space="preserve"> </w:t>
      </w:r>
    </w:p>
    <w:p w:rsidR="00C6246E" w:rsidRDefault="00C6246E" w:rsidP="00C6246E">
      <w:pPr>
        <w:rPr>
          <w:b/>
          <w:bCs/>
        </w:rPr>
      </w:pPr>
      <w:r>
        <w:rPr>
          <w:b/>
          <w:bCs/>
        </w:rPr>
        <w:t xml:space="preserve">       Termín začatia a ukončenia PPK:</w:t>
      </w:r>
      <w:r w:rsidR="000D2158">
        <w:rPr>
          <w:b/>
          <w:bCs/>
        </w:rPr>
        <w:t xml:space="preserve"> </w:t>
      </w:r>
      <w:r w:rsidR="002F66DC" w:rsidRPr="002F66DC">
        <w:rPr>
          <w:bCs/>
        </w:rPr>
        <w:t>30</w:t>
      </w:r>
      <w:r w:rsidR="000D2158" w:rsidRPr="00515413">
        <w:rPr>
          <w:bCs/>
        </w:rPr>
        <w:t>.</w:t>
      </w:r>
      <w:r w:rsidR="001371DD">
        <w:rPr>
          <w:bCs/>
        </w:rPr>
        <w:t xml:space="preserve"> </w:t>
      </w:r>
      <w:r w:rsidR="00515413">
        <w:rPr>
          <w:bCs/>
        </w:rPr>
        <w:t>0</w:t>
      </w:r>
      <w:r w:rsidR="00E662FF">
        <w:rPr>
          <w:bCs/>
        </w:rPr>
        <w:t>9</w:t>
      </w:r>
      <w:r w:rsidR="000D2158" w:rsidRPr="001371DD">
        <w:rPr>
          <w:bCs/>
        </w:rPr>
        <w:t xml:space="preserve">. </w:t>
      </w:r>
      <w:r w:rsidR="00E662FF">
        <w:rPr>
          <w:bCs/>
        </w:rPr>
        <w:t>-</w:t>
      </w:r>
      <w:r w:rsidR="000D2158" w:rsidRPr="001371DD">
        <w:rPr>
          <w:bCs/>
        </w:rPr>
        <w:t xml:space="preserve"> </w:t>
      </w:r>
      <w:r w:rsidR="00E662FF">
        <w:rPr>
          <w:bCs/>
        </w:rPr>
        <w:t>4</w:t>
      </w:r>
      <w:r w:rsidR="000D2158" w:rsidRPr="001371DD">
        <w:rPr>
          <w:bCs/>
        </w:rPr>
        <w:t>.</w:t>
      </w:r>
      <w:r w:rsidR="001371DD">
        <w:rPr>
          <w:bCs/>
        </w:rPr>
        <w:t xml:space="preserve"> </w:t>
      </w:r>
      <w:r w:rsidR="00E662FF">
        <w:rPr>
          <w:bCs/>
        </w:rPr>
        <w:t>10</w:t>
      </w:r>
      <w:r w:rsidR="000D2158" w:rsidRPr="001371DD">
        <w:rPr>
          <w:bCs/>
        </w:rPr>
        <w:t>. 201</w:t>
      </w:r>
      <w:r w:rsidR="00515413">
        <w:rPr>
          <w:bCs/>
        </w:rPr>
        <w:t>3</w:t>
      </w:r>
    </w:p>
    <w:p w:rsidR="00C6246E" w:rsidRDefault="00C6246E" w:rsidP="00C6246E">
      <w:pPr>
        <w:rPr>
          <w:b/>
          <w:bCs/>
        </w:rPr>
      </w:pPr>
    </w:p>
    <w:p w:rsidR="00C6246E" w:rsidRDefault="00C6246E" w:rsidP="00C6246E">
      <w:pPr>
        <w:rPr>
          <w:b/>
          <w:bCs/>
        </w:rPr>
      </w:pPr>
    </w:p>
    <w:p w:rsidR="00C6246E" w:rsidRDefault="00C6246E" w:rsidP="00C6246E">
      <w:pPr>
        <w:rPr>
          <w:b/>
          <w:bCs/>
        </w:rPr>
      </w:pPr>
    </w:p>
    <w:p w:rsidR="00C6246E" w:rsidRDefault="00C6246E" w:rsidP="00C6246E">
      <w:pPr>
        <w:rPr>
          <w:b/>
          <w:bCs/>
        </w:rPr>
      </w:pPr>
      <w:r>
        <w:rPr>
          <w:b/>
          <w:bCs/>
        </w:rPr>
        <w:t>A.2. Vplyvy:</w:t>
      </w:r>
    </w:p>
    <w:p w:rsidR="00C6246E" w:rsidRDefault="00C6246E" w:rsidP="00C6246E"/>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rsidR="00C6246E" w:rsidTr="00C6246E">
        <w:tc>
          <w:tcPr>
            <w:tcW w:w="3726" w:type="dxa"/>
          </w:tcPr>
          <w:p w:rsidR="00C6246E" w:rsidRDefault="00C6246E" w:rsidP="00C6246E"/>
        </w:tc>
        <w:tc>
          <w:tcPr>
            <w:tcW w:w="1242" w:type="dxa"/>
            <w:vAlign w:val="center"/>
          </w:tcPr>
          <w:p w:rsidR="00C6246E" w:rsidRDefault="00C6246E" w:rsidP="00C6246E">
            <w:pPr>
              <w:jc w:val="center"/>
            </w:pPr>
            <w:r>
              <w:t>Pozitívne</w:t>
            </w:r>
            <w:r>
              <w:rPr>
                <w:vertAlign w:val="superscript"/>
              </w:rPr>
              <w:t>*</w:t>
            </w:r>
            <w:r>
              <w:t xml:space="preserve"> </w:t>
            </w:r>
          </w:p>
        </w:tc>
        <w:tc>
          <w:tcPr>
            <w:tcW w:w="1260" w:type="dxa"/>
            <w:vAlign w:val="center"/>
          </w:tcPr>
          <w:p w:rsidR="00C6246E" w:rsidRDefault="00C6246E" w:rsidP="00C6246E">
            <w:pPr>
              <w:jc w:val="center"/>
            </w:pPr>
            <w:r>
              <w:t>Žiadne</w:t>
            </w:r>
            <w:r>
              <w:rPr>
                <w:vertAlign w:val="superscript"/>
              </w:rPr>
              <w:t>*</w:t>
            </w:r>
          </w:p>
        </w:tc>
        <w:tc>
          <w:tcPr>
            <w:tcW w:w="1336" w:type="dxa"/>
            <w:vAlign w:val="center"/>
          </w:tcPr>
          <w:p w:rsidR="00C6246E" w:rsidRDefault="00C6246E" w:rsidP="00C6246E">
            <w:pPr>
              <w:jc w:val="center"/>
            </w:pPr>
            <w:r>
              <w:t>Negatívne</w:t>
            </w:r>
            <w:r>
              <w:rPr>
                <w:vertAlign w:val="superscript"/>
              </w:rPr>
              <w:t>*</w:t>
            </w:r>
          </w:p>
        </w:tc>
      </w:tr>
      <w:tr w:rsidR="00C6246E" w:rsidTr="00C6246E">
        <w:tc>
          <w:tcPr>
            <w:tcW w:w="3726" w:type="dxa"/>
          </w:tcPr>
          <w:p w:rsidR="00C6246E" w:rsidRPr="00915AFF" w:rsidRDefault="00C6246E" w:rsidP="00C6246E">
            <w:pPr>
              <w:rPr>
                <w:bCs/>
                <w:sz w:val="22"/>
                <w:szCs w:val="22"/>
              </w:rPr>
            </w:pPr>
            <w:r w:rsidRPr="00915AFF">
              <w:rPr>
                <w:bCs/>
                <w:sz w:val="22"/>
                <w:szCs w:val="22"/>
              </w:rPr>
              <w:t>1. Vplyvy na rozpočet verejnej správy</w:t>
            </w:r>
          </w:p>
          <w:p w:rsidR="00C6246E" w:rsidRPr="00915AFF" w:rsidRDefault="00C6246E" w:rsidP="00C6246E">
            <w:pPr>
              <w:rPr>
                <w:i/>
                <w:sz w:val="22"/>
                <w:szCs w:val="22"/>
              </w:rPr>
            </w:pPr>
          </w:p>
        </w:tc>
        <w:tc>
          <w:tcPr>
            <w:tcW w:w="1242" w:type="dxa"/>
          </w:tcPr>
          <w:p w:rsidR="00C6246E" w:rsidRDefault="00C6246E" w:rsidP="00C6246E">
            <w:pPr>
              <w:jc w:val="center"/>
            </w:pPr>
          </w:p>
        </w:tc>
        <w:tc>
          <w:tcPr>
            <w:tcW w:w="1260" w:type="dxa"/>
          </w:tcPr>
          <w:p w:rsidR="00C6246E" w:rsidRDefault="001371DD" w:rsidP="00C6246E">
            <w:pPr>
              <w:jc w:val="center"/>
            </w:pPr>
            <w:r>
              <w:t>X</w:t>
            </w:r>
          </w:p>
        </w:tc>
        <w:tc>
          <w:tcPr>
            <w:tcW w:w="1336" w:type="dxa"/>
          </w:tcPr>
          <w:p w:rsidR="00C6246E" w:rsidRDefault="00C6246E" w:rsidP="00C6246E">
            <w:pPr>
              <w:jc w:val="center"/>
            </w:pPr>
          </w:p>
        </w:tc>
      </w:tr>
      <w:tr w:rsidR="00C6246E" w:rsidTr="00C6246E">
        <w:tc>
          <w:tcPr>
            <w:tcW w:w="3726" w:type="dxa"/>
          </w:tcPr>
          <w:p w:rsidR="0074706A" w:rsidRDefault="00C6246E" w:rsidP="00C6246E">
            <w:pPr>
              <w:rPr>
                <w:bCs/>
                <w:sz w:val="22"/>
                <w:szCs w:val="22"/>
              </w:rPr>
            </w:pPr>
            <w:r w:rsidRPr="00915AFF">
              <w:rPr>
                <w:bCs/>
                <w:sz w:val="22"/>
                <w:szCs w:val="22"/>
              </w:rPr>
              <w:t xml:space="preserve">2. Vplyvy na podnikateľské prostredie – </w:t>
            </w:r>
            <w:r w:rsidR="0074706A">
              <w:rPr>
                <w:bCs/>
                <w:sz w:val="22"/>
                <w:szCs w:val="22"/>
              </w:rPr>
              <w:t xml:space="preserve"> </w:t>
            </w:r>
            <w:r w:rsidRPr="00915AFF">
              <w:rPr>
                <w:bCs/>
                <w:sz w:val="22"/>
                <w:szCs w:val="22"/>
              </w:rPr>
              <w:t xml:space="preserve">dochádza k zvýšeniu regulačného </w:t>
            </w:r>
            <w:r w:rsidR="0074706A">
              <w:rPr>
                <w:bCs/>
                <w:sz w:val="22"/>
                <w:szCs w:val="22"/>
              </w:rPr>
              <w:t xml:space="preserve"> </w:t>
            </w:r>
          </w:p>
          <w:p w:rsidR="00C6246E" w:rsidRPr="00915AFF" w:rsidRDefault="0074706A" w:rsidP="00C6246E">
            <w:pPr>
              <w:rPr>
                <w:sz w:val="22"/>
                <w:szCs w:val="22"/>
              </w:rPr>
            </w:pPr>
            <w:r>
              <w:rPr>
                <w:bCs/>
                <w:sz w:val="22"/>
                <w:szCs w:val="22"/>
              </w:rPr>
              <w:t xml:space="preserve">    </w:t>
            </w:r>
            <w:r w:rsidR="00C6246E" w:rsidRPr="00915AFF">
              <w:rPr>
                <w:bCs/>
                <w:sz w:val="22"/>
                <w:szCs w:val="22"/>
              </w:rPr>
              <w:t>zaťaženia?</w:t>
            </w:r>
          </w:p>
        </w:tc>
        <w:tc>
          <w:tcPr>
            <w:tcW w:w="1242" w:type="dxa"/>
          </w:tcPr>
          <w:p w:rsidR="00C6246E" w:rsidRDefault="00C6246E" w:rsidP="00C6246E">
            <w:pPr>
              <w:jc w:val="center"/>
            </w:pPr>
          </w:p>
        </w:tc>
        <w:tc>
          <w:tcPr>
            <w:tcW w:w="1260" w:type="dxa"/>
          </w:tcPr>
          <w:p w:rsidR="00C6246E" w:rsidRDefault="001371DD" w:rsidP="00C6246E">
            <w:pPr>
              <w:jc w:val="center"/>
            </w:pPr>
            <w:r>
              <w:t>X</w:t>
            </w:r>
          </w:p>
        </w:tc>
        <w:tc>
          <w:tcPr>
            <w:tcW w:w="1336" w:type="dxa"/>
          </w:tcPr>
          <w:p w:rsidR="00C6246E" w:rsidRDefault="00C6246E" w:rsidP="00C6246E">
            <w:pPr>
              <w:jc w:val="center"/>
            </w:pPr>
          </w:p>
        </w:tc>
      </w:tr>
      <w:tr w:rsidR="00C6246E" w:rsidTr="00C6246E">
        <w:tc>
          <w:tcPr>
            <w:tcW w:w="3726" w:type="dxa"/>
          </w:tcPr>
          <w:p w:rsidR="00C6246E" w:rsidRDefault="0074706A" w:rsidP="00C6246E">
            <w:pPr>
              <w:rPr>
                <w:bCs/>
                <w:sz w:val="22"/>
                <w:szCs w:val="22"/>
              </w:rPr>
            </w:pPr>
            <w:r>
              <w:rPr>
                <w:bCs/>
                <w:sz w:val="22"/>
                <w:szCs w:val="22"/>
              </w:rPr>
              <w:t>3.</w:t>
            </w:r>
            <w:r w:rsidR="00C6246E" w:rsidRPr="00915AFF">
              <w:rPr>
                <w:bCs/>
                <w:sz w:val="22"/>
                <w:szCs w:val="22"/>
              </w:rPr>
              <w:t xml:space="preserve"> Sociálne vplyvy </w:t>
            </w:r>
          </w:p>
          <w:p w:rsidR="0074706A" w:rsidRDefault="00C6246E" w:rsidP="00C6246E">
            <w:pPr>
              <w:rPr>
                <w:bCs/>
                <w:sz w:val="22"/>
                <w:szCs w:val="22"/>
              </w:rPr>
            </w:pPr>
            <w:r w:rsidRPr="00915AFF">
              <w:rPr>
                <w:bCs/>
                <w:sz w:val="22"/>
                <w:szCs w:val="22"/>
              </w:rPr>
              <w:t xml:space="preserve">– </w:t>
            </w:r>
            <w:r w:rsidR="0074706A">
              <w:rPr>
                <w:bCs/>
                <w:sz w:val="22"/>
                <w:szCs w:val="22"/>
              </w:rPr>
              <w:t xml:space="preserve"> </w:t>
            </w:r>
            <w:r w:rsidRPr="00915AFF">
              <w:rPr>
                <w:bCs/>
                <w:sz w:val="22"/>
                <w:szCs w:val="22"/>
              </w:rPr>
              <w:t xml:space="preserve">vplyvy  na hospodárenie </w:t>
            </w:r>
            <w:r w:rsidR="0074706A">
              <w:rPr>
                <w:bCs/>
                <w:sz w:val="22"/>
                <w:szCs w:val="22"/>
              </w:rPr>
              <w:t xml:space="preserve"> </w:t>
            </w:r>
          </w:p>
          <w:p w:rsidR="00C6246E" w:rsidRDefault="0074706A" w:rsidP="00C6246E">
            <w:pPr>
              <w:rPr>
                <w:bCs/>
                <w:sz w:val="22"/>
                <w:szCs w:val="22"/>
              </w:rPr>
            </w:pPr>
            <w:r>
              <w:rPr>
                <w:bCs/>
                <w:sz w:val="22"/>
                <w:szCs w:val="22"/>
              </w:rPr>
              <w:t xml:space="preserve">    </w:t>
            </w:r>
            <w:r w:rsidR="00C6246E" w:rsidRPr="00915AFF">
              <w:rPr>
                <w:bCs/>
                <w:sz w:val="22"/>
                <w:szCs w:val="22"/>
              </w:rPr>
              <w:t>obyvateľstva</w:t>
            </w:r>
            <w:r w:rsidR="00C6246E">
              <w:rPr>
                <w:bCs/>
                <w:sz w:val="22"/>
                <w:szCs w:val="22"/>
              </w:rPr>
              <w:t>,</w:t>
            </w:r>
          </w:p>
          <w:p w:rsidR="00C6246E" w:rsidRDefault="0074706A" w:rsidP="00C6246E">
            <w:pPr>
              <w:rPr>
                <w:bCs/>
                <w:sz w:val="22"/>
                <w:szCs w:val="22"/>
              </w:rPr>
            </w:pPr>
            <w:r>
              <w:rPr>
                <w:bCs/>
                <w:sz w:val="22"/>
                <w:szCs w:val="22"/>
              </w:rPr>
              <w:t xml:space="preserve">–  </w:t>
            </w:r>
            <w:r w:rsidR="00C6246E" w:rsidRPr="00915AFF">
              <w:rPr>
                <w:bCs/>
                <w:sz w:val="22"/>
                <w:szCs w:val="22"/>
              </w:rPr>
              <w:t xml:space="preserve">sociálnu </w:t>
            </w:r>
            <w:proofErr w:type="spellStart"/>
            <w:r w:rsidR="00C6246E" w:rsidRPr="00915AFF">
              <w:rPr>
                <w:bCs/>
                <w:sz w:val="22"/>
                <w:szCs w:val="22"/>
              </w:rPr>
              <w:t>exklúziu</w:t>
            </w:r>
            <w:proofErr w:type="spellEnd"/>
            <w:r w:rsidR="00C6246E" w:rsidRPr="00915AFF">
              <w:rPr>
                <w:bCs/>
                <w:sz w:val="22"/>
                <w:szCs w:val="22"/>
              </w:rPr>
              <w:t>,</w:t>
            </w:r>
          </w:p>
          <w:p w:rsidR="0074706A" w:rsidRDefault="0074706A" w:rsidP="00C6246E">
            <w:pPr>
              <w:rPr>
                <w:bCs/>
                <w:sz w:val="22"/>
                <w:szCs w:val="22"/>
              </w:rPr>
            </w:pPr>
            <w:r>
              <w:rPr>
                <w:bCs/>
                <w:sz w:val="22"/>
                <w:szCs w:val="22"/>
              </w:rPr>
              <w:t>–</w:t>
            </w:r>
            <w:r w:rsidR="00C6246E">
              <w:rPr>
                <w:bCs/>
                <w:sz w:val="22"/>
                <w:szCs w:val="22"/>
              </w:rPr>
              <w:t xml:space="preserve"> </w:t>
            </w:r>
            <w:r w:rsidR="00C6246E" w:rsidRPr="00915AFF">
              <w:rPr>
                <w:bCs/>
                <w:sz w:val="22"/>
                <w:szCs w:val="22"/>
              </w:rPr>
              <w:t xml:space="preserve"> rovnosť príležitostí a rodovú rovnosť </w:t>
            </w:r>
          </w:p>
          <w:p w:rsidR="00C6246E" w:rsidRPr="00915AFF" w:rsidRDefault="0074706A" w:rsidP="00C6246E">
            <w:pPr>
              <w:rPr>
                <w:sz w:val="22"/>
                <w:szCs w:val="22"/>
              </w:rPr>
            </w:pPr>
            <w:r>
              <w:rPr>
                <w:bCs/>
                <w:sz w:val="22"/>
                <w:szCs w:val="22"/>
              </w:rPr>
              <w:t xml:space="preserve">    </w:t>
            </w:r>
            <w:r w:rsidR="00C6246E" w:rsidRPr="00915AFF">
              <w:rPr>
                <w:bCs/>
                <w:sz w:val="22"/>
                <w:szCs w:val="22"/>
              </w:rPr>
              <w:t>a vplyvy na zamestnanosť</w:t>
            </w:r>
          </w:p>
        </w:tc>
        <w:tc>
          <w:tcPr>
            <w:tcW w:w="1242" w:type="dxa"/>
          </w:tcPr>
          <w:p w:rsidR="00C6246E" w:rsidRDefault="00515413" w:rsidP="00C6246E">
            <w:pPr>
              <w:jc w:val="center"/>
            </w:pPr>
            <w:r>
              <w:t>X</w:t>
            </w:r>
          </w:p>
        </w:tc>
        <w:tc>
          <w:tcPr>
            <w:tcW w:w="1260" w:type="dxa"/>
          </w:tcPr>
          <w:p w:rsidR="00C6246E" w:rsidRDefault="00C6246E" w:rsidP="00C6246E">
            <w:pPr>
              <w:jc w:val="center"/>
            </w:pPr>
          </w:p>
        </w:tc>
        <w:tc>
          <w:tcPr>
            <w:tcW w:w="1336" w:type="dxa"/>
          </w:tcPr>
          <w:p w:rsidR="00C6246E" w:rsidRDefault="00C6246E" w:rsidP="00C6246E">
            <w:pPr>
              <w:jc w:val="center"/>
            </w:pPr>
          </w:p>
        </w:tc>
      </w:tr>
      <w:tr w:rsidR="00C6246E" w:rsidTr="00C6246E">
        <w:tc>
          <w:tcPr>
            <w:tcW w:w="3726" w:type="dxa"/>
          </w:tcPr>
          <w:p w:rsidR="00C6246E" w:rsidRPr="00915AFF" w:rsidRDefault="00C6246E" w:rsidP="00C6246E">
            <w:pPr>
              <w:rPr>
                <w:sz w:val="22"/>
                <w:szCs w:val="22"/>
              </w:rPr>
            </w:pPr>
            <w:r w:rsidRPr="00915AFF">
              <w:rPr>
                <w:bCs/>
                <w:sz w:val="22"/>
                <w:szCs w:val="22"/>
                <w:lang w:val="pt-BR"/>
              </w:rPr>
              <w:t>4. Vplyvy na životné prostredie</w:t>
            </w:r>
          </w:p>
        </w:tc>
        <w:tc>
          <w:tcPr>
            <w:tcW w:w="1242" w:type="dxa"/>
          </w:tcPr>
          <w:p w:rsidR="00C6246E" w:rsidRDefault="00C6246E" w:rsidP="00C6246E">
            <w:pPr>
              <w:jc w:val="center"/>
            </w:pPr>
          </w:p>
        </w:tc>
        <w:tc>
          <w:tcPr>
            <w:tcW w:w="1260" w:type="dxa"/>
          </w:tcPr>
          <w:p w:rsidR="00C6246E" w:rsidRDefault="001371DD" w:rsidP="00C6246E">
            <w:pPr>
              <w:jc w:val="center"/>
            </w:pPr>
            <w:r>
              <w:t>X</w:t>
            </w:r>
          </w:p>
        </w:tc>
        <w:tc>
          <w:tcPr>
            <w:tcW w:w="1336" w:type="dxa"/>
          </w:tcPr>
          <w:p w:rsidR="00C6246E" w:rsidRDefault="00C6246E" w:rsidP="00C6246E">
            <w:pPr>
              <w:jc w:val="center"/>
            </w:pPr>
          </w:p>
        </w:tc>
      </w:tr>
      <w:tr w:rsidR="00C6246E" w:rsidTr="00C6246E">
        <w:tc>
          <w:tcPr>
            <w:tcW w:w="3726" w:type="dxa"/>
          </w:tcPr>
          <w:p w:rsidR="0074706A" w:rsidRDefault="00C6246E" w:rsidP="00C6246E">
            <w:pPr>
              <w:rPr>
                <w:bCs/>
                <w:sz w:val="22"/>
                <w:szCs w:val="22"/>
                <w:lang w:val="pt-BR"/>
              </w:rPr>
            </w:pPr>
            <w:r w:rsidRPr="00915AFF">
              <w:rPr>
                <w:bCs/>
                <w:sz w:val="22"/>
                <w:szCs w:val="22"/>
                <w:lang w:val="pt-BR"/>
              </w:rPr>
              <w:t xml:space="preserve">5. Vplyvy na informatizáciu </w:t>
            </w:r>
          </w:p>
          <w:p w:rsidR="00C6246E" w:rsidRPr="00915AFF" w:rsidRDefault="0074706A" w:rsidP="00C6246E">
            <w:pPr>
              <w:rPr>
                <w:bCs/>
                <w:sz w:val="22"/>
                <w:szCs w:val="22"/>
                <w:lang w:val="pt-BR"/>
              </w:rPr>
            </w:pPr>
            <w:r>
              <w:rPr>
                <w:bCs/>
                <w:sz w:val="22"/>
                <w:szCs w:val="22"/>
                <w:lang w:val="pt-BR"/>
              </w:rPr>
              <w:t xml:space="preserve">    </w:t>
            </w:r>
            <w:r w:rsidR="00BA7FE1" w:rsidRPr="00915AFF">
              <w:rPr>
                <w:bCs/>
                <w:sz w:val="22"/>
                <w:szCs w:val="22"/>
                <w:lang w:val="pt-BR"/>
              </w:rPr>
              <w:t>S</w:t>
            </w:r>
            <w:r w:rsidR="00C6246E" w:rsidRPr="00915AFF">
              <w:rPr>
                <w:bCs/>
                <w:sz w:val="22"/>
                <w:szCs w:val="22"/>
                <w:lang w:val="pt-BR"/>
              </w:rPr>
              <w:t>poločnosti</w:t>
            </w:r>
          </w:p>
        </w:tc>
        <w:tc>
          <w:tcPr>
            <w:tcW w:w="1242" w:type="dxa"/>
          </w:tcPr>
          <w:p w:rsidR="00C6246E" w:rsidRDefault="00C6246E" w:rsidP="00C6246E">
            <w:pPr>
              <w:jc w:val="center"/>
            </w:pPr>
          </w:p>
        </w:tc>
        <w:tc>
          <w:tcPr>
            <w:tcW w:w="1260" w:type="dxa"/>
          </w:tcPr>
          <w:p w:rsidR="00C6246E" w:rsidRDefault="001371DD" w:rsidP="00C6246E">
            <w:pPr>
              <w:jc w:val="center"/>
            </w:pPr>
            <w:r>
              <w:t>X</w:t>
            </w:r>
          </w:p>
        </w:tc>
        <w:tc>
          <w:tcPr>
            <w:tcW w:w="1336" w:type="dxa"/>
          </w:tcPr>
          <w:p w:rsidR="00C6246E" w:rsidRDefault="00C6246E" w:rsidP="00C6246E">
            <w:pPr>
              <w:jc w:val="center"/>
            </w:pPr>
          </w:p>
        </w:tc>
      </w:tr>
    </w:tbl>
    <w:p w:rsidR="00C6246E" w:rsidRDefault="00C6246E" w:rsidP="00C6246E">
      <w:pPr>
        <w:pStyle w:val="Zkladntext"/>
        <w:jc w:val="both"/>
        <w:rPr>
          <w:b w:val="0"/>
          <w:bCs/>
          <w:u w:val="single"/>
        </w:rPr>
      </w:pPr>
      <w:r>
        <w:rPr>
          <w:sz w:val="16"/>
          <w:szCs w:val="16"/>
        </w:rPr>
        <w:t>*</w:t>
      </w:r>
      <w:r>
        <w:rPr>
          <w:b w:val="0"/>
          <w:bCs/>
          <w:sz w:val="16"/>
          <w:szCs w:val="16"/>
        </w:rPr>
        <w:t xml:space="preserve"> </w:t>
      </w:r>
      <w:r w:rsidRPr="00B564AB">
        <w:rPr>
          <w:b w:val="0"/>
          <w:bCs/>
          <w:sz w:val="16"/>
          <w:szCs w:val="16"/>
        </w:rPr>
        <w:t>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6246E" w:rsidRDefault="00C6246E" w:rsidP="00C6246E">
      <w:pPr>
        <w:pStyle w:val="Zkladntext"/>
        <w:jc w:val="both"/>
        <w:rPr>
          <w:bCs/>
        </w:rPr>
      </w:pPr>
    </w:p>
    <w:p w:rsidR="00C6246E" w:rsidRPr="002F66DC" w:rsidRDefault="00C6246E" w:rsidP="00C6246E">
      <w:pPr>
        <w:pStyle w:val="Zkladntext"/>
        <w:jc w:val="both"/>
        <w:rPr>
          <w:bCs/>
          <w:szCs w:val="24"/>
        </w:rPr>
      </w:pPr>
      <w:r w:rsidRPr="006846C7">
        <w:rPr>
          <w:bCs/>
        </w:rPr>
        <w:t>A.3. Poznámky</w:t>
      </w:r>
    </w:p>
    <w:p w:rsidR="002F66DC" w:rsidRPr="002F66DC" w:rsidRDefault="002F66DC" w:rsidP="002F66DC">
      <w:pPr>
        <w:jc w:val="both"/>
      </w:pPr>
      <w:r w:rsidRPr="002F66DC">
        <w:rPr>
          <w:b/>
        </w:rPr>
        <w:t>S</w:t>
      </w:r>
      <w:r>
        <w:rPr>
          <w:b/>
        </w:rPr>
        <w:t xml:space="preserve">umárne zhodnotenie </w:t>
      </w:r>
      <w:r w:rsidRPr="002F66DC">
        <w:rPr>
          <w:b/>
        </w:rPr>
        <w:t>sociálnych vplyvov.</w:t>
      </w:r>
      <w:r w:rsidRPr="002F66DC">
        <w:t xml:space="preserve"> Násilie páchané na ženách má nielen závažný bezprostredný a dlhodobý dopad na zdravie žien a detí vrátane duševného zdravia, na zníženie ich sociálneho a ekonomického statusu, ale aj na spoločnosť z dôvodu zvýšených nákladov na odstraňovanie dôsledkov násilia. Rodovo podmienené násilie tiež ovplyvňuje sociálno-ekonomický rast a demokraciu v spoločnosti: na jednej strane ženy a deti, obete násilia sú menej schopné prispieť k sociálno-ekonomickému rozvoju, a to predstavuje plytvanie ľudskými zdrojmi v spoločnosti, na druhej strane medzigeneračný prenos násilia sa môže rozširovať do iných oblastí a zvyšovať sociálne konflikty a sociálnu nestabilitu.</w:t>
      </w:r>
    </w:p>
    <w:p w:rsidR="002F66DC" w:rsidRPr="002F66DC" w:rsidRDefault="002F66DC" w:rsidP="002F66DC">
      <w:pPr>
        <w:jc w:val="both"/>
      </w:pPr>
      <w:r w:rsidRPr="002F66DC">
        <w:br/>
        <w:t>Z týchto dôvodov môže  odstránenie rodovo podmieneného násilia mať  významné pozitívne účinky nielen pre potenciálne obete, ale aj pre spoločnosť a sociálne začlenenia žien. Spoločnosť s vyváženou rodovou rovnosťou oslobodenou od násilia   je prospešná pre všetkých z hľadiska sociálno-ekonomického rastu a zlepšenie životných podmienok, čo umožní spoločensky účelnejšie využitie ušetrených finančných zdrojov.</w:t>
      </w:r>
    </w:p>
    <w:p w:rsidR="00EC112A" w:rsidRDefault="00EC112A" w:rsidP="00C6246E">
      <w:pPr>
        <w:pStyle w:val="Zkladntext"/>
        <w:jc w:val="both"/>
      </w:pPr>
    </w:p>
    <w:p w:rsidR="00C6246E" w:rsidRPr="00B564AB" w:rsidRDefault="00C6246E" w:rsidP="00C6246E">
      <w:pPr>
        <w:pStyle w:val="Zkladntext"/>
        <w:jc w:val="both"/>
      </w:pPr>
      <w:r w:rsidRPr="00B564AB">
        <w:lastRenderedPageBreak/>
        <w:t xml:space="preserve">A.4. </w:t>
      </w:r>
      <w:r>
        <w:t>Alternatívne riešenia</w:t>
      </w:r>
    </w:p>
    <w:p w:rsidR="00EC112A" w:rsidRPr="0088160E" w:rsidRDefault="0088160E" w:rsidP="00C6246E">
      <w:pPr>
        <w:pStyle w:val="Zkladntext2"/>
      </w:pPr>
      <w:r>
        <w:rPr>
          <w:b/>
        </w:rPr>
        <w:t xml:space="preserve">        </w:t>
      </w:r>
      <w:r w:rsidRPr="0088160E">
        <w:t>Nenavrhujú sa</w:t>
      </w:r>
      <w:r>
        <w:t>.</w:t>
      </w:r>
    </w:p>
    <w:p w:rsidR="0088160E" w:rsidRDefault="0088160E" w:rsidP="00C6246E">
      <w:pPr>
        <w:pStyle w:val="Zkladntext2"/>
        <w:rPr>
          <w:b/>
        </w:rPr>
      </w:pPr>
    </w:p>
    <w:p w:rsidR="0088160E" w:rsidRDefault="0088160E" w:rsidP="00C6246E">
      <w:pPr>
        <w:pStyle w:val="Zkladntext2"/>
        <w:rPr>
          <w:b/>
        </w:rPr>
      </w:pPr>
    </w:p>
    <w:p w:rsidR="00C6246E" w:rsidRPr="002076B4" w:rsidRDefault="00C6246E" w:rsidP="00C6246E">
      <w:pPr>
        <w:pStyle w:val="Zkladntext2"/>
        <w:rPr>
          <w:b/>
          <w:szCs w:val="24"/>
        </w:rPr>
      </w:pPr>
      <w:r w:rsidRPr="002076B4">
        <w:rPr>
          <w:b/>
        </w:rPr>
        <w:t xml:space="preserve">A.5. Stanovisko gestorov </w:t>
      </w:r>
    </w:p>
    <w:p w:rsidR="00C6246E" w:rsidRDefault="00C6246E" w:rsidP="00C6246E"/>
    <w:p w:rsidR="00167927" w:rsidRPr="00060333" w:rsidRDefault="000D2158" w:rsidP="0088160E">
      <w:pPr>
        <w:jc w:val="both"/>
        <w:rPr>
          <w:b/>
        </w:rPr>
      </w:pPr>
      <w:r w:rsidRPr="00060333">
        <w:rPr>
          <w:b/>
        </w:rPr>
        <w:t>Ministerstvo financií SR</w:t>
      </w:r>
      <w:r w:rsidR="00BA7FE1" w:rsidRPr="00060333">
        <w:rPr>
          <w:b/>
        </w:rPr>
        <w:t xml:space="preserve"> </w:t>
      </w:r>
      <w:r w:rsidR="00496AE2" w:rsidRPr="00060333">
        <w:t xml:space="preserve">gestor metodiky informatizácie spoločnosti a posudzovania návrhu za oblasť vplyvov na rozpočet verejnej správy a zamestnanosť vo verejnej správe </w:t>
      </w:r>
      <w:r w:rsidR="0088160E" w:rsidRPr="00060333">
        <w:t>nemá pripomienky k doložke vybraných vplyvov z hľadiska vplyvov na informatizáciu spoločnosti</w:t>
      </w:r>
      <w:r w:rsidR="001B3D8D" w:rsidRPr="00060333">
        <w:t xml:space="preserve"> a predložilo pripomienky zo sekcie rozpočtovej politiky</w:t>
      </w:r>
      <w:r w:rsidR="005C57B1" w:rsidRPr="00060333">
        <w:t>, ktoré boli zapracované</w:t>
      </w:r>
      <w:r w:rsidR="001B3D8D" w:rsidRPr="00060333">
        <w:t>.</w:t>
      </w:r>
    </w:p>
    <w:p w:rsidR="00496AE2" w:rsidRPr="00060333" w:rsidRDefault="00496AE2"/>
    <w:p w:rsidR="001B3D8D" w:rsidRPr="00060333" w:rsidRDefault="001B3D8D" w:rsidP="001B3D8D">
      <w:pPr>
        <w:widowControl w:val="0"/>
        <w:shd w:val="clear" w:color="auto" w:fill="FFFFFF"/>
        <w:adjustRightInd w:val="0"/>
        <w:ind w:firstLine="708"/>
        <w:jc w:val="both"/>
      </w:pPr>
      <w:r w:rsidRPr="00060333">
        <w:t xml:space="preserve">V materiáli sú navrhnuté úlohy, ktoré sa majú realizovať v rokoch 2014 až 2019. </w:t>
      </w:r>
      <w:r w:rsidR="00167927" w:rsidRPr="00060333">
        <w:t xml:space="preserve">Finančné prostriedky na </w:t>
      </w:r>
      <w:r w:rsidRPr="00060333">
        <w:t xml:space="preserve">všetky </w:t>
      </w:r>
      <w:r w:rsidR="00167927" w:rsidRPr="00060333">
        <w:t>aktivity budú zabezpečené v rámci kapitoly MPSVR SR ako aj v rámci limitov príslušných rozpočtových kapitol ostatných rezortov</w:t>
      </w:r>
      <w:r w:rsidRPr="00060333">
        <w:t xml:space="preserve"> bez ich navýšenia</w:t>
      </w:r>
      <w:r w:rsidR="00167927" w:rsidRPr="00060333">
        <w:t xml:space="preserve">. </w:t>
      </w:r>
    </w:p>
    <w:p w:rsidR="00167927" w:rsidRPr="00060333" w:rsidRDefault="00167927" w:rsidP="001B3D8D">
      <w:pPr>
        <w:widowControl w:val="0"/>
        <w:shd w:val="clear" w:color="auto" w:fill="FFFFFF"/>
        <w:adjustRightInd w:val="0"/>
        <w:ind w:firstLine="708"/>
        <w:jc w:val="both"/>
      </w:pPr>
      <w:r w:rsidRPr="00060333">
        <w:t xml:space="preserve">Realizácia úloh nepredstavuje ďalšie zvýšenie finančných prostriedkov nad rámec schváleného rozpočtu verejnej správy. Všetky predpokladané výdavky budú v rámci schválených limitov rozpočtu verejnej správy na jednotlivé rozpočtové roky bez dodatočných nárokov na rozpočet verejnej správy. Zodpovedné rezorty a subjekty už časť úloh priebežne plnia a rátajú s ich plnením aj v novom Národnom akčnom pláne. Zodpovedné rezorty a subjekty budú  úlohy riešiť v rámci schválených limitov svojich rozpočtov nepredpokladá sa zvýšenie nárokov na štátny rozpočet. </w:t>
      </w:r>
    </w:p>
    <w:p w:rsidR="00167927" w:rsidRPr="00060333" w:rsidRDefault="001B3D8D" w:rsidP="00131CD2">
      <w:pPr>
        <w:pStyle w:val="Normlnywebov"/>
        <w:spacing w:before="0" w:beforeAutospacing="0" w:after="0" w:afterAutospacing="0"/>
        <w:jc w:val="both"/>
        <w:rPr>
          <w:lang w:val="sk-SK"/>
        </w:rPr>
      </w:pPr>
      <w:r w:rsidRPr="00060333">
        <w:rPr>
          <w:lang w:val="sk-SK"/>
        </w:rPr>
        <w:tab/>
      </w:r>
      <w:r w:rsidR="00167927" w:rsidRPr="00060333">
        <w:rPr>
          <w:lang w:val="sk-SK"/>
        </w:rPr>
        <w:t xml:space="preserve">Vo vzťahu k rezortom materiál vo všeobecnosti formuluje jednotlivé úlohy, ale nevymedzuje presné formy ich plnenia, preto výška vynaložených finančných prostriedkov zo strany rezortov bude závisieť od konkrétnej zvolenej formy plnenia úloh. Navyše sa v mnohých úlohách popri financovaní zo strany rezortov počíta aj so spolufinancovaním či celkovým financovaním z prostriedkov národného projektu OP </w:t>
      </w:r>
      <w:proofErr w:type="spellStart"/>
      <w:r w:rsidR="00167927" w:rsidRPr="00060333">
        <w:rPr>
          <w:lang w:val="sk-SK"/>
        </w:rPr>
        <w:t>ZaSI</w:t>
      </w:r>
      <w:proofErr w:type="spellEnd"/>
      <w:r w:rsidR="00167927" w:rsidRPr="00060333">
        <w:rPr>
          <w:lang w:val="sk-SK"/>
        </w:rPr>
        <w:t xml:space="preserve"> a Nórskeho finančn</w:t>
      </w:r>
      <w:r w:rsidRPr="00060333">
        <w:rPr>
          <w:lang w:val="sk-SK"/>
        </w:rPr>
        <w:t>é</w:t>
      </w:r>
      <w:r w:rsidR="00167927" w:rsidRPr="00060333">
        <w:rPr>
          <w:lang w:val="sk-SK"/>
        </w:rPr>
        <w:t>ho mechanizmu.</w:t>
      </w:r>
    </w:p>
    <w:p w:rsidR="00551F32" w:rsidRPr="00060333" w:rsidRDefault="001B3D8D" w:rsidP="00131CD2">
      <w:pPr>
        <w:pStyle w:val="Normlnywebov"/>
        <w:spacing w:before="0" w:beforeAutospacing="0" w:after="0" w:afterAutospacing="0"/>
        <w:jc w:val="both"/>
        <w:rPr>
          <w:lang w:val="sk-SK"/>
        </w:rPr>
      </w:pPr>
      <w:r w:rsidRPr="00060333">
        <w:rPr>
          <w:lang w:val="sk-SK"/>
        </w:rPr>
        <w:tab/>
      </w:r>
      <w:r w:rsidR="00167927" w:rsidRPr="00060333">
        <w:rPr>
          <w:lang w:val="sk-SK"/>
        </w:rPr>
        <w:t>Ako bolo uvedené vyššie, značná časť úloh NAP bude financovaná prostredníctvom národného projektu</w:t>
      </w:r>
      <w:r w:rsidR="00167927" w:rsidRPr="00060333">
        <w:rPr>
          <w:b/>
          <w:bCs/>
          <w:lang w:val="sk-SK"/>
        </w:rPr>
        <w:t xml:space="preserve"> </w:t>
      </w:r>
      <w:r w:rsidR="00167927" w:rsidRPr="00060333">
        <w:rPr>
          <w:lang w:val="sk-SK"/>
        </w:rPr>
        <w:t xml:space="preserve">OP </w:t>
      </w:r>
      <w:proofErr w:type="spellStart"/>
      <w:r w:rsidR="00167927" w:rsidRPr="00060333">
        <w:rPr>
          <w:lang w:val="sk-SK"/>
        </w:rPr>
        <w:t>ZaSI</w:t>
      </w:r>
      <w:proofErr w:type="spellEnd"/>
      <w:r w:rsidR="00167927" w:rsidRPr="00060333">
        <w:rPr>
          <w:lang w:val="sk-SK"/>
        </w:rPr>
        <w:t xml:space="preserve"> „Prevencia a eliminácia násilia páchaného na ženách“. </w:t>
      </w:r>
    </w:p>
    <w:p w:rsidR="00551F32" w:rsidRPr="00060333" w:rsidRDefault="001B3D8D" w:rsidP="00131CD2">
      <w:pPr>
        <w:pStyle w:val="Normlnywebov"/>
        <w:spacing w:before="0" w:beforeAutospacing="0" w:after="0" w:afterAutospacing="0"/>
        <w:jc w:val="both"/>
        <w:rPr>
          <w:lang w:val="sk-SK"/>
        </w:rPr>
      </w:pPr>
      <w:r w:rsidRPr="00060333">
        <w:rPr>
          <w:lang w:val="sk-SK"/>
        </w:rPr>
        <w:tab/>
      </w:r>
      <w:r w:rsidR="00551F32" w:rsidRPr="00060333">
        <w:rPr>
          <w:lang w:val="sk-SK"/>
        </w:rPr>
        <w:t xml:space="preserve">Celková čiastka alokovaná na štátnej úrovni na projekty zaoberajúce sa problematikou eliminácie násilia na ženách predstavuje na najbližšie 3roky sumu 12. </w:t>
      </w:r>
      <w:proofErr w:type="spellStart"/>
      <w:r w:rsidR="00F2393A" w:rsidRPr="00060333">
        <w:rPr>
          <w:lang w:val="sk-SK"/>
        </w:rPr>
        <w:t>m</w:t>
      </w:r>
      <w:r w:rsidR="00551F32" w:rsidRPr="00060333">
        <w:rPr>
          <w:lang w:val="sk-SK"/>
        </w:rPr>
        <w:t>il</w:t>
      </w:r>
      <w:proofErr w:type="spellEnd"/>
      <w:r w:rsidR="00551F32" w:rsidRPr="00060333">
        <w:rPr>
          <w:lang w:val="sk-SK"/>
        </w:rPr>
        <w:t xml:space="preserve"> eur a ďalšie projektové </w:t>
      </w:r>
      <w:r w:rsidRPr="00060333">
        <w:rPr>
          <w:lang w:val="sk-SK"/>
        </w:rPr>
        <w:t>prostrie</w:t>
      </w:r>
      <w:r w:rsidR="00551F32" w:rsidRPr="00060333">
        <w:rPr>
          <w:lang w:val="sk-SK"/>
        </w:rPr>
        <w:t xml:space="preserve">dky bude možné získať v novom programovom období 2014 – 2020 najmä z Európskeho sociálneho fondu. </w:t>
      </w:r>
    </w:p>
    <w:p w:rsidR="00F2393A" w:rsidRPr="00060333" w:rsidRDefault="00F2393A" w:rsidP="00131CD2">
      <w:pPr>
        <w:pStyle w:val="Normlnywebov"/>
        <w:spacing w:before="0" w:beforeAutospacing="0" w:after="0" w:afterAutospacing="0"/>
        <w:jc w:val="both"/>
        <w:rPr>
          <w:lang w:val="sk-SK"/>
        </w:rPr>
      </w:pPr>
    </w:p>
    <w:p w:rsidR="00167927" w:rsidRPr="00060333" w:rsidRDefault="00167927" w:rsidP="001B3D8D">
      <w:pPr>
        <w:pStyle w:val="Normlnywebov"/>
        <w:spacing w:before="0" w:beforeAutospacing="0" w:after="120" w:afterAutospacing="0"/>
        <w:jc w:val="both"/>
        <w:rPr>
          <w:lang w:val="sk-SK"/>
        </w:rPr>
      </w:pPr>
      <w:r w:rsidRPr="00060333">
        <w:rPr>
          <w:lang w:val="sk-SK"/>
        </w:rPr>
        <w:t>K plánovanému rozpočtu národného projektu uvádzame:</w:t>
      </w:r>
    </w:p>
    <w:p w:rsidR="00167927" w:rsidRPr="00060333" w:rsidRDefault="00167927" w:rsidP="001B3D8D">
      <w:pPr>
        <w:pStyle w:val="Normlnywebov"/>
        <w:spacing w:before="0" w:beforeAutospacing="0" w:after="0" w:afterAutospacing="0"/>
        <w:rPr>
          <w:b/>
          <w:lang w:val="sk-SK"/>
        </w:rPr>
      </w:pPr>
      <w:r w:rsidRPr="00060333">
        <w:rPr>
          <w:b/>
          <w:lang w:val="sk-SK"/>
        </w:rPr>
        <w:t>Národn</w:t>
      </w:r>
      <w:r w:rsidR="00970EFC" w:rsidRPr="00060333">
        <w:rPr>
          <w:b/>
          <w:lang w:val="sk-SK"/>
        </w:rPr>
        <w:t>é</w:t>
      </w:r>
      <w:r w:rsidRPr="00060333">
        <w:rPr>
          <w:b/>
          <w:lang w:val="sk-SK"/>
        </w:rPr>
        <w:t xml:space="preserve"> projekt</w:t>
      </w:r>
      <w:r w:rsidR="00970EFC" w:rsidRPr="00060333">
        <w:rPr>
          <w:b/>
          <w:lang w:val="sk-SK"/>
        </w:rPr>
        <w:t>y</w:t>
      </w:r>
      <w:r w:rsidRPr="00060333">
        <w:rPr>
          <w:b/>
          <w:lang w:val="sk-SK"/>
        </w:rPr>
        <w:t xml:space="preserve"> </w:t>
      </w:r>
      <w:r w:rsidR="00E2113D" w:rsidRPr="00060333">
        <w:rPr>
          <w:b/>
          <w:lang w:val="sk-SK"/>
        </w:rPr>
        <w:t xml:space="preserve">OP </w:t>
      </w:r>
      <w:proofErr w:type="spellStart"/>
      <w:r w:rsidR="00E2113D" w:rsidRPr="00060333">
        <w:rPr>
          <w:b/>
          <w:lang w:val="sk-SK"/>
        </w:rPr>
        <w:t>ZaSI</w:t>
      </w:r>
      <w:proofErr w:type="spellEnd"/>
      <w:r w:rsidR="00E2113D" w:rsidRPr="00060333">
        <w:rPr>
          <w:b/>
          <w:lang w:val="sk-SK"/>
        </w:rPr>
        <w:t xml:space="preserve"> </w:t>
      </w:r>
      <w:r w:rsidRPr="00060333">
        <w:rPr>
          <w:b/>
          <w:lang w:val="sk-SK"/>
        </w:rPr>
        <w:t xml:space="preserve">spolu: </w:t>
      </w:r>
      <w:r w:rsidR="00970EFC" w:rsidRPr="00060333">
        <w:rPr>
          <w:b/>
          <w:lang w:val="sk-SK"/>
        </w:rPr>
        <w:t>3 954 910</w:t>
      </w:r>
      <w:r w:rsidRPr="00060333">
        <w:rPr>
          <w:b/>
          <w:lang w:val="sk-SK"/>
        </w:rPr>
        <w:t xml:space="preserve"> EUR</w:t>
      </w:r>
    </w:p>
    <w:p w:rsidR="00970EFC" w:rsidRPr="00060333" w:rsidRDefault="00167927" w:rsidP="00970EFC">
      <w:pPr>
        <w:rPr>
          <w:b/>
        </w:rPr>
      </w:pPr>
      <w:r w:rsidRPr="00060333">
        <w:rPr>
          <w:sz w:val="20"/>
          <w:szCs w:val="20"/>
        </w:rPr>
        <w:t> </w:t>
      </w:r>
    </w:p>
    <w:p w:rsidR="00970EFC" w:rsidRPr="00060333" w:rsidRDefault="00970EFC" w:rsidP="00970EFC">
      <w:pPr>
        <w:rPr>
          <w:b/>
        </w:rPr>
      </w:pP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1417"/>
        <w:gridCol w:w="1559"/>
        <w:gridCol w:w="1134"/>
        <w:gridCol w:w="1418"/>
      </w:tblGrid>
      <w:tr w:rsidR="00970EFC" w:rsidRPr="00060333" w:rsidTr="00546488">
        <w:tc>
          <w:tcPr>
            <w:tcW w:w="3614" w:type="dxa"/>
            <w:shd w:val="clear" w:color="auto" w:fill="auto"/>
          </w:tcPr>
          <w:p w:rsidR="00970EFC" w:rsidRPr="00060333" w:rsidRDefault="00970EFC" w:rsidP="00546488">
            <w:pPr>
              <w:rPr>
                <w:b/>
                <w:sz w:val="20"/>
              </w:rPr>
            </w:pPr>
            <w:r w:rsidRPr="00060333">
              <w:rPr>
                <w:b/>
                <w:sz w:val="20"/>
              </w:rPr>
              <w:t>Názov</w:t>
            </w:r>
          </w:p>
        </w:tc>
        <w:tc>
          <w:tcPr>
            <w:tcW w:w="1417" w:type="dxa"/>
            <w:shd w:val="clear" w:color="auto" w:fill="auto"/>
          </w:tcPr>
          <w:p w:rsidR="00970EFC" w:rsidRPr="00060333" w:rsidRDefault="00970EFC" w:rsidP="00546488">
            <w:pPr>
              <w:rPr>
                <w:b/>
                <w:sz w:val="20"/>
              </w:rPr>
            </w:pPr>
            <w:r w:rsidRPr="00060333">
              <w:rPr>
                <w:b/>
                <w:sz w:val="20"/>
              </w:rPr>
              <w:t>Prijímateľ</w:t>
            </w:r>
          </w:p>
        </w:tc>
        <w:tc>
          <w:tcPr>
            <w:tcW w:w="1559" w:type="dxa"/>
            <w:shd w:val="clear" w:color="auto" w:fill="auto"/>
          </w:tcPr>
          <w:p w:rsidR="00970EFC" w:rsidRPr="00060333" w:rsidRDefault="00970EFC" w:rsidP="00546488">
            <w:pPr>
              <w:rPr>
                <w:b/>
                <w:sz w:val="20"/>
              </w:rPr>
            </w:pPr>
            <w:r w:rsidRPr="00060333">
              <w:rPr>
                <w:b/>
                <w:sz w:val="20"/>
              </w:rPr>
              <w:t>Alokácia SVK</w:t>
            </w:r>
          </w:p>
        </w:tc>
        <w:tc>
          <w:tcPr>
            <w:tcW w:w="1134" w:type="dxa"/>
            <w:shd w:val="clear" w:color="auto" w:fill="auto"/>
          </w:tcPr>
          <w:p w:rsidR="00970EFC" w:rsidRPr="00060333" w:rsidRDefault="00970EFC" w:rsidP="00546488">
            <w:pPr>
              <w:rPr>
                <w:b/>
                <w:sz w:val="20"/>
              </w:rPr>
            </w:pPr>
            <w:r w:rsidRPr="00060333">
              <w:rPr>
                <w:b/>
                <w:sz w:val="20"/>
              </w:rPr>
              <w:t>Alokácia BSK</w:t>
            </w:r>
          </w:p>
        </w:tc>
        <w:tc>
          <w:tcPr>
            <w:tcW w:w="1418" w:type="dxa"/>
            <w:shd w:val="clear" w:color="auto" w:fill="auto"/>
          </w:tcPr>
          <w:p w:rsidR="00970EFC" w:rsidRPr="00060333" w:rsidRDefault="00970EFC" w:rsidP="00546488">
            <w:pPr>
              <w:rPr>
                <w:b/>
                <w:sz w:val="20"/>
              </w:rPr>
            </w:pPr>
            <w:r w:rsidRPr="00060333">
              <w:rPr>
                <w:b/>
                <w:sz w:val="20"/>
              </w:rPr>
              <w:t>Celkom</w:t>
            </w:r>
          </w:p>
        </w:tc>
      </w:tr>
      <w:tr w:rsidR="00970EFC" w:rsidRPr="00060333" w:rsidTr="00546488">
        <w:tc>
          <w:tcPr>
            <w:tcW w:w="3614" w:type="dxa"/>
            <w:shd w:val="clear" w:color="auto" w:fill="auto"/>
          </w:tcPr>
          <w:p w:rsidR="00970EFC" w:rsidRPr="00060333" w:rsidRDefault="00970EFC" w:rsidP="00546488">
            <w:pPr>
              <w:rPr>
                <w:b/>
                <w:sz w:val="20"/>
              </w:rPr>
            </w:pPr>
            <w:r w:rsidRPr="00060333">
              <w:rPr>
                <w:b/>
                <w:sz w:val="20"/>
              </w:rPr>
              <w:t>Národný projekt Prevencia a eliminácia násilia na ženách</w:t>
            </w:r>
            <w:r w:rsidRPr="00060333">
              <w:rPr>
                <w:sz w:val="20"/>
              </w:rPr>
              <w:t xml:space="preserve"> (</w:t>
            </w:r>
            <w:proofErr w:type="spellStart"/>
            <w:r w:rsidRPr="00060333">
              <w:rPr>
                <w:sz w:val="20"/>
              </w:rPr>
              <w:t>multicieľ</w:t>
            </w:r>
            <w:proofErr w:type="spellEnd"/>
            <w:r w:rsidRPr="00060333">
              <w:rPr>
                <w:sz w:val="20"/>
              </w:rPr>
              <w:t>, zameraný na služby)</w:t>
            </w:r>
          </w:p>
        </w:tc>
        <w:tc>
          <w:tcPr>
            <w:tcW w:w="1417" w:type="dxa"/>
            <w:shd w:val="clear" w:color="auto" w:fill="auto"/>
            <w:vAlign w:val="center"/>
          </w:tcPr>
          <w:p w:rsidR="00970EFC" w:rsidRPr="00060333" w:rsidRDefault="00970EFC" w:rsidP="00546488">
            <w:pPr>
              <w:jc w:val="center"/>
              <w:rPr>
                <w:sz w:val="20"/>
              </w:rPr>
            </w:pPr>
            <w:r w:rsidRPr="00060333">
              <w:rPr>
                <w:sz w:val="20"/>
              </w:rPr>
              <w:t>IVPR</w:t>
            </w:r>
          </w:p>
        </w:tc>
        <w:tc>
          <w:tcPr>
            <w:tcW w:w="1559" w:type="dxa"/>
            <w:shd w:val="clear" w:color="auto" w:fill="auto"/>
            <w:vAlign w:val="center"/>
          </w:tcPr>
          <w:p w:rsidR="00970EFC" w:rsidRPr="00060333" w:rsidRDefault="00970EFC" w:rsidP="00546488">
            <w:pPr>
              <w:jc w:val="center"/>
              <w:rPr>
                <w:sz w:val="20"/>
              </w:rPr>
            </w:pPr>
            <w:r w:rsidRPr="00060333">
              <w:rPr>
                <w:sz w:val="20"/>
              </w:rPr>
              <w:t>2 097 008</w:t>
            </w:r>
          </w:p>
        </w:tc>
        <w:tc>
          <w:tcPr>
            <w:tcW w:w="1134" w:type="dxa"/>
            <w:shd w:val="clear" w:color="auto" w:fill="auto"/>
            <w:vAlign w:val="center"/>
          </w:tcPr>
          <w:p w:rsidR="00970EFC" w:rsidRPr="00060333" w:rsidRDefault="00970EFC" w:rsidP="00546488">
            <w:pPr>
              <w:jc w:val="center"/>
              <w:rPr>
                <w:sz w:val="20"/>
              </w:rPr>
            </w:pPr>
            <w:r w:rsidRPr="00060333">
              <w:rPr>
                <w:sz w:val="20"/>
              </w:rPr>
              <w:t>262 893</w:t>
            </w:r>
          </w:p>
        </w:tc>
        <w:tc>
          <w:tcPr>
            <w:tcW w:w="1418" w:type="dxa"/>
            <w:shd w:val="clear" w:color="auto" w:fill="auto"/>
            <w:vAlign w:val="center"/>
          </w:tcPr>
          <w:p w:rsidR="00970EFC" w:rsidRPr="00060333" w:rsidRDefault="00970EFC" w:rsidP="00546488">
            <w:pPr>
              <w:jc w:val="center"/>
              <w:rPr>
                <w:sz w:val="20"/>
              </w:rPr>
            </w:pPr>
            <w:r w:rsidRPr="00060333">
              <w:rPr>
                <w:sz w:val="20"/>
              </w:rPr>
              <w:t>2 359 901</w:t>
            </w:r>
          </w:p>
        </w:tc>
      </w:tr>
      <w:tr w:rsidR="00970EFC" w:rsidRPr="00060333" w:rsidTr="00546488">
        <w:tc>
          <w:tcPr>
            <w:tcW w:w="3614" w:type="dxa"/>
            <w:shd w:val="clear" w:color="auto" w:fill="auto"/>
          </w:tcPr>
          <w:p w:rsidR="00970EFC" w:rsidRPr="00060333" w:rsidRDefault="00970EFC" w:rsidP="00546488">
            <w:pPr>
              <w:rPr>
                <w:b/>
                <w:sz w:val="20"/>
              </w:rPr>
            </w:pPr>
            <w:r w:rsidRPr="00060333">
              <w:rPr>
                <w:b/>
                <w:sz w:val="20"/>
              </w:rPr>
              <w:t xml:space="preserve">Národný projekt Podpora eliminácie a prevencie násilia na ženách </w:t>
            </w:r>
            <w:r w:rsidRPr="00060333">
              <w:rPr>
                <w:sz w:val="20"/>
              </w:rPr>
              <w:t>(len SVK, zameraný na soft aktivity)</w:t>
            </w:r>
          </w:p>
        </w:tc>
        <w:tc>
          <w:tcPr>
            <w:tcW w:w="1417" w:type="dxa"/>
            <w:shd w:val="clear" w:color="auto" w:fill="auto"/>
            <w:vAlign w:val="center"/>
          </w:tcPr>
          <w:p w:rsidR="00970EFC" w:rsidRPr="00060333" w:rsidRDefault="00970EFC" w:rsidP="00546488">
            <w:pPr>
              <w:jc w:val="center"/>
              <w:rPr>
                <w:sz w:val="20"/>
              </w:rPr>
            </w:pPr>
            <w:r w:rsidRPr="00060333">
              <w:rPr>
                <w:sz w:val="20"/>
              </w:rPr>
              <w:t>IVPR</w:t>
            </w:r>
          </w:p>
        </w:tc>
        <w:tc>
          <w:tcPr>
            <w:tcW w:w="1559" w:type="dxa"/>
            <w:shd w:val="clear" w:color="auto" w:fill="auto"/>
            <w:vAlign w:val="center"/>
          </w:tcPr>
          <w:p w:rsidR="00970EFC" w:rsidRPr="00060333" w:rsidRDefault="00970EFC" w:rsidP="00546488">
            <w:pPr>
              <w:jc w:val="center"/>
              <w:rPr>
                <w:sz w:val="20"/>
              </w:rPr>
            </w:pPr>
            <w:r w:rsidRPr="00060333">
              <w:rPr>
                <w:sz w:val="20"/>
              </w:rPr>
              <w:t>995 328</w:t>
            </w:r>
          </w:p>
        </w:tc>
        <w:tc>
          <w:tcPr>
            <w:tcW w:w="1134" w:type="dxa"/>
            <w:shd w:val="clear" w:color="auto" w:fill="auto"/>
            <w:vAlign w:val="center"/>
          </w:tcPr>
          <w:p w:rsidR="00970EFC" w:rsidRPr="00060333" w:rsidRDefault="00970EFC" w:rsidP="00546488">
            <w:pPr>
              <w:jc w:val="center"/>
              <w:rPr>
                <w:sz w:val="20"/>
              </w:rPr>
            </w:pPr>
          </w:p>
        </w:tc>
        <w:tc>
          <w:tcPr>
            <w:tcW w:w="1418" w:type="dxa"/>
            <w:shd w:val="clear" w:color="auto" w:fill="auto"/>
            <w:vAlign w:val="center"/>
          </w:tcPr>
          <w:p w:rsidR="00970EFC" w:rsidRPr="00060333" w:rsidRDefault="00970EFC" w:rsidP="00546488">
            <w:pPr>
              <w:jc w:val="center"/>
              <w:rPr>
                <w:sz w:val="20"/>
              </w:rPr>
            </w:pPr>
            <w:r w:rsidRPr="00060333">
              <w:rPr>
                <w:sz w:val="20"/>
              </w:rPr>
              <w:t>995 328</w:t>
            </w:r>
          </w:p>
        </w:tc>
      </w:tr>
      <w:tr w:rsidR="00970EFC" w:rsidRPr="00060333" w:rsidTr="00546488">
        <w:tc>
          <w:tcPr>
            <w:tcW w:w="3614" w:type="dxa"/>
            <w:shd w:val="clear" w:color="auto" w:fill="auto"/>
          </w:tcPr>
          <w:p w:rsidR="00970EFC" w:rsidRPr="00060333" w:rsidRDefault="00970EFC" w:rsidP="00546488">
            <w:pPr>
              <w:rPr>
                <w:b/>
                <w:sz w:val="20"/>
              </w:rPr>
            </w:pPr>
            <w:r w:rsidRPr="00060333">
              <w:rPr>
                <w:b/>
                <w:sz w:val="20"/>
              </w:rPr>
              <w:t>Národný projekt Poradenstvo pre obete násilia v rodinách</w:t>
            </w:r>
          </w:p>
          <w:p w:rsidR="00970EFC" w:rsidRPr="00060333" w:rsidRDefault="00970EFC" w:rsidP="00546488">
            <w:pPr>
              <w:rPr>
                <w:sz w:val="20"/>
              </w:rPr>
            </w:pPr>
            <w:r w:rsidRPr="00060333">
              <w:rPr>
                <w:sz w:val="20"/>
              </w:rPr>
              <w:t xml:space="preserve">(len SVK, nové miesta na vybraných </w:t>
            </w:r>
            <w:proofErr w:type="spellStart"/>
            <w:r w:rsidRPr="00060333">
              <w:rPr>
                <w:sz w:val="20"/>
              </w:rPr>
              <w:t>UPSVaRoch</w:t>
            </w:r>
            <w:proofErr w:type="spellEnd"/>
            <w:r w:rsidRPr="00060333">
              <w:rPr>
                <w:sz w:val="20"/>
              </w:rPr>
              <w:t>)</w:t>
            </w:r>
          </w:p>
        </w:tc>
        <w:tc>
          <w:tcPr>
            <w:tcW w:w="1417" w:type="dxa"/>
            <w:shd w:val="clear" w:color="auto" w:fill="auto"/>
            <w:vAlign w:val="center"/>
          </w:tcPr>
          <w:p w:rsidR="00970EFC" w:rsidRPr="00060333" w:rsidRDefault="00970EFC" w:rsidP="00546488">
            <w:pPr>
              <w:jc w:val="center"/>
              <w:rPr>
                <w:sz w:val="20"/>
              </w:rPr>
            </w:pPr>
            <w:proofErr w:type="spellStart"/>
            <w:r w:rsidRPr="00060333">
              <w:rPr>
                <w:sz w:val="20"/>
              </w:rPr>
              <w:t>UPSVaR</w:t>
            </w:r>
            <w:proofErr w:type="spellEnd"/>
          </w:p>
        </w:tc>
        <w:tc>
          <w:tcPr>
            <w:tcW w:w="1559" w:type="dxa"/>
            <w:shd w:val="clear" w:color="auto" w:fill="auto"/>
            <w:vAlign w:val="center"/>
          </w:tcPr>
          <w:p w:rsidR="00970EFC" w:rsidRPr="00060333" w:rsidRDefault="00970EFC" w:rsidP="00546488">
            <w:pPr>
              <w:jc w:val="center"/>
              <w:rPr>
                <w:sz w:val="20"/>
              </w:rPr>
            </w:pPr>
            <w:r w:rsidRPr="00060333">
              <w:rPr>
                <w:sz w:val="20"/>
              </w:rPr>
              <w:t>600 000</w:t>
            </w:r>
          </w:p>
        </w:tc>
        <w:tc>
          <w:tcPr>
            <w:tcW w:w="1134" w:type="dxa"/>
            <w:shd w:val="clear" w:color="auto" w:fill="auto"/>
            <w:vAlign w:val="center"/>
          </w:tcPr>
          <w:p w:rsidR="00970EFC" w:rsidRPr="00060333" w:rsidRDefault="00970EFC" w:rsidP="00546488">
            <w:pPr>
              <w:jc w:val="center"/>
              <w:rPr>
                <w:sz w:val="20"/>
              </w:rPr>
            </w:pPr>
          </w:p>
        </w:tc>
        <w:tc>
          <w:tcPr>
            <w:tcW w:w="1418" w:type="dxa"/>
            <w:shd w:val="clear" w:color="auto" w:fill="auto"/>
            <w:vAlign w:val="center"/>
          </w:tcPr>
          <w:p w:rsidR="00970EFC" w:rsidRPr="00060333" w:rsidRDefault="00970EFC" w:rsidP="00546488">
            <w:pPr>
              <w:jc w:val="center"/>
              <w:rPr>
                <w:sz w:val="20"/>
              </w:rPr>
            </w:pPr>
            <w:r w:rsidRPr="00060333">
              <w:rPr>
                <w:sz w:val="20"/>
              </w:rPr>
              <w:t>600 000</w:t>
            </w:r>
          </w:p>
        </w:tc>
      </w:tr>
      <w:tr w:rsidR="00970EFC" w:rsidRPr="00060333" w:rsidTr="00546488">
        <w:tc>
          <w:tcPr>
            <w:tcW w:w="3614" w:type="dxa"/>
            <w:shd w:val="clear" w:color="auto" w:fill="auto"/>
          </w:tcPr>
          <w:p w:rsidR="00970EFC" w:rsidRPr="00060333" w:rsidRDefault="00970EFC" w:rsidP="00546488">
            <w:pPr>
              <w:rPr>
                <w:b/>
                <w:sz w:val="20"/>
              </w:rPr>
            </w:pPr>
            <w:r w:rsidRPr="00060333">
              <w:rPr>
                <w:b/>
                <w:sz w:val="20"/>
              </w:rPr>
              <w:t xml:space="preserve">Celkom </w:t>
            </w:r>
          </w:p>
        </w:tc>
        <w:tc>
          <w:tcPr>
            <w:tcW w:w="1417" w:type="dxa"/>
            <w:shd w:val="clear" w:color="auto" w:fill="auto"/>
            <w:vAlign w:val="center"/>
          </w:tcPr>
          <w:p w:rsidR="00970EFC" w:rsidRPr="00060333" w:rsidRDefault="00970EFC" w:rsidP="00546488">
            <w:pPr>
              <w:jc w:val="center"/>
              <w:rPr>
                <w:sz w:val="20"/>
              </w:rPr>
            </w:pPr>
          </w:p>
        </w:tc>
        <w:tc>
          <w:tcPr>
            <w:tcW w:w="1559" w:type="dxa"/>
            <w:shd w:val="clear" w:color="auto" w:fill="auto"/>
            <w:vAlign w:val="center"/>
          </w:tcPr>
          <w:p w:rsidR="00970EFC" w:rsidRPr="00060333" w:rsidRDefault="00970EFC" w:rsidP="00970EFC">
            <w:pPr>
              <w:jc w:val="center"/>
              <w:rPr>
                <w:sz w:val="20"/>
              </w:rPr>
            </w:pPr>
            <w:r w:rsidRPr="00060333">
              <w:rPr>
                <w:sz w:val="20"/>
              </w:rPr>
              <w:t>3 692 336</w:t>
            </w:r>
          </w:p>
        </w:tc>
        <w:tc>
          <w:tcPr>
            <w:tcW w:w="1134" w:type="dxa"/>
            <w:shd w:val="clear" w:color="auto" w:fill="auto"/>
            <w:vAlign w:val="center"/>
          </w:tcPr>
          <w:p w:rsidR="00970EFC" w:rsidRPr="00060333" w:rsidRDefault="00970EFC" w:rsidP="00546488">
            <w:pPr>
              <w:jc w:val="center"/>
              <w:rPr>
                <w:sz w:val="20"/>
              </w:rPr>
            </w:pPr>
            <w:r w:rsidRPr="00060333">
              <w:rPr>
                <w:sz w:val="20"/>
              </w:rPr>
              <w:t>262 900</w:t>
            </w:r>
          </w:p>
        </w:tc>
        <w:tc>
          <w:tcPr>
            <w:tcW w:w="1418" w:type="dxa"/>
            <w:shd w:val="clear" w:color="auto" w:fill="auto"/>
            <w:vAlign w:val="center"/>
          </w:tcPr>
          <w:p w:rsidR="00970EFC" w:rsidRPr="00060333" w:rsidRDefault="00970EFC" w:rsidP="00970EFC">
            <w:pPr>
              <w:jc w:val="center"/>
              <w:rPr>
                <w:b/>
                <w:sz w:val="20"/>
              </w:rPr>
            </w:pPr>
            <w:r w:rsidRPr="00060333">
              <w:rPr>
                <w:b/>
                <w:sz w:val="20"/>
              </w:rPr>
              <w:t>3 955 229</w:t>
            </w:r>
          </w:p>
        </w:tc>
      </w:tr>
    </w:tbl>
    <w:p w:rsidR="00551F32" w:rsidRPr="00060333" w:rsidRDefault="00551F32" w:rsidP="001B3D8D">
      <w:pPr>
        <w:pStyle w:val="Normlnywebov"/>
        <w:spacing w:before="0" w:beforeAutospacing="0" w:after="280" w:afterAutospacing="0"/>
        <w:rPr>
          <w:sz w:val="20"/>
          <w:szCs w:val="20"/>
          <w:lang w:val="sk-SK"/>
        </w:rPr>
      </w:pPr>
    </w:p>
    <w:p w:rsidR="001B3D8D" w:rsidRPr="00060333" w:rsidRDefault="00551F32" w:rsidP="00131CD2">
      <w:pPr>
        <w:pStyle w:val="Normlnywebov"/>
        <w:spacing w:before="0" w:beforeAutospacing="0" w:after="280" w:afterAutospacing="0"/>
        <w:jc w:val="both"/>
        <w:rPr>
          <w:lang w:val="sk-SK"/>
        </w:rPr>
      </w:pPr>
      <w:r w:rsidRPr="00060333">
        <w:rPr>
          <w:lang w:val="sk-SK"/>
        </w:rPr>
        <w:lastRenderedPageBreak/>
        <w:t> </w:t>
      </w:r>
      <w:r w:rsidRPr="00060333">
        <w:rPr>
          <w:sz w:val="20"/>
          <w:szCs w:val="20"/>
          <w:lang w:val="sk-SK"/>
        </w:rPr>
        <w:tab/>
      </w:r>
      <w:r w:rsidRPr="00060333">
        <w:rPr>
          <w:lang w:val="sk-SK"/>
        </w:rPr>
        <w:t>V rámci projektu podporeného z Nórskeho finančného mechanizmu a z príspevkov dotknutých kapitol štátneho rozpočtu</w:t>
      </w:r>
      <w:r w:rsidR="001B3D8D" w:rsidRPr="00060333">
        <w:rPr>
          <w:lang w:val="sk-SK"/>
        </w:rPr>
        <w:t xml:space="preserve"> bude vytvorené </w:t>
      </w:r>
      <w:proofErr w:type="spellStart"/>
      <w:r w:rsidR="001B3D8D" w:rsidRPr="00060333">
        <w:rPr>
          <w:lang w:val="sk-SK"/>
        </w:rPr>
        <w:t>Koordinačno</w:t>
      </w:r>
      <w:proofErr w:type="spellEnd"/>
      <w:r w:rsidR="001B3D8D" w:rsidRPr="00060333">
        <w:rPr>
          <w:lang w:val="sk-SK"/>
        </w:rPr>
        <w:t xml:space="preserve"> –metodické centrum začiatkom roka 2014.</w:t>
      </w:r>
    </w:p>
    <w:p w:rsidR="00551F32" w:rsidRPr="00060333" w:rsidRDefault="001B3D8D" w:rsidP="00131CD2">
      <w:pPr>
        <w:pStyle w:val="Normlnywebov"/>
        <w:spacing w:before="0" w:beforeAutospacing="0" w:after="280" w:afterAutospacing="0"/>
        <w:jc w:val="both"/>
        <w:rPr>
          <w:lang w:val="sk-SK"/>
        </w:rPr>
      </w:pPr>
      <w:r w:rsidRPr="00060333">
        <w:rPr>
          <w:lang w:val="sk-SK"/>
        </w:rPr>
        <w:tab/>
        <w:t>Z Európskeho sociálneho fondu budú k</w:t>
      </w:r>
      <w:r w:rsidR="00551F32" w:rsidRPr="00060333">
        <w:rPr>
          <w:lang w:val="sk-SK"/>
        </w:rPr>
        <w:t>apacitn</w:t>
      </w:r>
      <w:r w:rsidRPr="00060333">
        <w:rPr>
          <w:lang w:val="sk-SK"/>
        </w:rPr>
        <w:t xml:space="preserve">e </w:t>
      </w:r>
      <w:r w:rsidR="00551F32" w:rsidRPr="00060333">
        <w:rPr>
          <w:lang w:val="sk-SK"/>
        </w:rPr>
        <w:t xml:space="preserve"> posilnen</w:t>
      </w:r>
      <w:r w:rsidRPr="00060333">
        <w:rPr>
          <w:lang w:val="sk-SK"/>
        </w:rPr>
        <w:t>é</w:t>
      </w:r>
      <w:r w:rsidR="00551F32" w:rsidRPr="00060333">
        <w:rPr>
          <w:lang w:val="sk-SK"/>
        </w:rPr>
        <w:t xml:space="preserve"> referát</w:t>
      </w:r>
      <w:r w:rsidRPr="00060333">
        <w:rPr>
          <w:lang w:val="sk-SK"/>
        </w:rPr>
        <w:t>y</w:t>
      </w:r>
      <w:r w:rsidR="00551F32" w:rsidRPr="00060333">
        <w:rPr>
          <w:lang w:val="sk-SK"/>
        </w:rPr>
        <w:t xml:space="preserve"> </w:t>
      </w:r>
      <w:proofErr w:type="spellStart"/>
      <w:r w:rsidR="00551F32" w:rsidRPr="00060333">
        <w:rPr>
          <w:lang w:val="sk-SK"/>
        </w:rPr>
        <w:t>poradensko</w:t>
      </w:r>
      <w:proofErr w:type="spellEnd"/>
      <w:r w:rsidR="00551F32" w:rsidRPr="00060333">
        <w:rPr>
          <w:lang w:val="sk-SK"/>
        </w:rPr>
        <w:t xml:space="preserve"> – psychologických služieb </w:t>
      </w:r>
      <w:r w:rsidRPr="00060333">
        <w:rPr>
          <w:lang w:val="sk-SK"/>
        </w:rPr>
        <w:t xml:space="preserve">vybraných </w:t>
      </w:r>
      <w:r w:rsidR="00551F32" w:rsidRPr="00060333">
        <w:rPr>
          <w:lang w:val="sk-SK"/>
        </w:rPr>
        <w:t>úradov práce</w:t>
      </w:r>
      <w:r w:rsidRPr="00060333">
        <w:rPr>
          <w:lang w:val="sk-SK"/>
        </w:rPr>
        <w:t xml:space="preserve">. </w:t>
      </w:r>
    </w:p>
    <w:p w:rsidR="00551F32" w:rsidRPr="00060333" w:rsidRDefault="00131CD2" w:rsidP="001B3D8D">
      <w:pPr>
        <w:pStyle w:val="Normlnywebov"/>
        <w:spacing w:before="0" w:beforeAutospacing="0" w:after="280" w:afterAutospacing="0"/>
        <w:jc w:val="both"/>
        <w:rPr>
          <w:lang w:val="sk-SK"/>
        </w:rPr>
      </w:pPr>
      <w:r w:rsidRPr="00060333">
        <w:rPr>
          <w:lang w:val="sk-SK"/>
        </w:rPr>
        <w:tab/>
      </w:r>
      <w:r w:rsidR="001B3D8D" w:rsidRPr="00060333">
        <w:rPr>
          <w:lang w:val="sk-SK"/>
        </w:rPr>
        <w:t xml:space="preserve">Uvedené aktivity ako aj ich prípadná potreba zvýšenia počtu zamestnancov bude zabezpečená v rámci limitu počtov zamestnancov kapitoly MPSVR SR resp. dotknutých kapitol štátneho rozpočtu. </w:t>
      </w:r>
    </w:p>
    <w:p w:rsidR="00167927" w:rsidRPr="00060333" w:rsidRDefault="00167927" w:rsidP="001B3D8D">
      <w:pPr>
        <w:pStyle w:val="Normlnywebov"/>
        <w:spacing w:before="0" w:beforeAutospacing="0" w:after="120" w:afterAutospacing="0"/>
        <w:jc w:val="both"/>
        <w:rPr>
          <w:lang w:val="sk-SK"/>
        </w:rPr>
      </w:pPr>
      <w:r w:rsidRPr="00060333">
        <w:rPr>
          <w:i/>
          <w:iCs/>
          <w:lang w:val="sk-SK"/>
        </w:rPr>
        <w:t>     </w:t>
      </w:r>
      <w:r w:rsidRPr="00060333">
        <w:rPr>
          <w:lang w:val="sk-SK"/>
        </w:rPr>
        <w:t>Vo vzťahu k regionálnej a m</w:t>
      </w:r>
      <w:r w:rsidR="00551F32" w:rsidRPr="00060333">
        <w:rPr>
          <w:lang w:val="sk-SK"/>
        </w:rPr>
        <w:t>ie</w:t>
      </w:r>
      <w:r w:rsidRPr="00060333">
        <w:rPr>
          <w:lang w:val="sk-SK"/>
        </w:rPr>
        <w:t>stnej samospráve majú úlohy charakter odporúčania.</w:t>
      </w:r>
      <w:r w:rsidR="00551F32" w:rsidRPr="00060333">
        <w:rPr>
          <w:lang w:val="sk-SK"/>
        </w:rPr>
        <w:t xml:space="preserve"> Úloh</w:t>
      </w:r>
      <w:r w:rsidR="00131CD2" w:rsidRPr="00060333">
        <w:rPr>
          <w:lang w:val="sk-SK"/>
        </w:rPr>
        <w:t>y</w:t>
      </w:r>
      <w:r w:rsidR="00551F32" w:rsidRPr="00060333">
        <w:rPr>
          <w:lang w:val="sk-SK"/>
        </w:rPr>
        <w:t xml:space="preserve"> bude územná samospráva financovať v rámci schválených rozpočtov.</w:t>
      </w:r>
    </w:p>
    <w:p w:rsidR="00167927" w:rsidRPr="00060333" w:rsidRDefault="00167927" w:rsidP="001B3D8D">
      <w:pPr>
        <w:pStyle w:val="Normlnywebov"/>
        <w:spacing w:before="0" w:beforeAutospacing="0" w:after="0" w:afterAutospacing="0"/>
        <w:jc w:val="both"/>
        <w:rPr>
          <w:lang w:val="sk-SK"/>
        </w:rPr>
      </w:pPr>
    </w:p>
    <w:p w:rsidR="001B3D8D" w:rsidRPr="00060333" w:rsidRDefault="001B3D8D" w:rsidP="001B3D8D">
      <w:pPr>
        <w:rPr>
          <w:b/>
        </w:rPr>
      </w:pPr>
    </w:p>
    <w:p w:rsidR="001B3D8D" w:rsidRDefault="001B3D8D" w:rsidP="001B3D8D">
      <w:pPr>
        <w:jc w:val="both"/>
      </w:pPr>
      <w:r w:rsidRPr="0088160E">
        <w:rPr>
          <w:b/>
        </w:rPr>
        <w:t>Ministerstvo hospodárstva SR</w:t>
      </w:r>
      <w:r>
        <w:t>, odbor hospodárskych analýz neuplatňuje pripomienky a súhlasí s doložkou vplyvov na podnikateľské prostredie.</w:t>
      </w:r>
    </w:p>
    <w:p w:rsidR="001B3D8D" w:rsidRDefault="001B3D8D" w:rsidP="001B3D8D"/>
    <w:p w:rsidR="001B3D8D" w:rsidRPr="0088160E" w:rsidRDefault="001B3D8D" w:rsidP="001B3D8D">
      <w:pPr>
        <w:jc w:val="both"/>
      </w:pPr>
      <w:r w:rsidRPr="0088160E">
        <w:rPr>
          <w:b/>
        </w:rPr>
        <w:t>Ministerstvo práce, sociálnych vecí a rodiny SR</w:t>
      </w:r>
      <w:r>
        <w:rPr>
          <w:b/>
        </w:rPr>
        <w:t xml:space="preserve"> </w:t>
      </w:r>
      <w:r>
        <w:t>bez pripomienok.</w:t>
      </w:r>
    </w:p>
    <w:p w:rsidR="001B3D8D" w:rsidRDefault="001B3D8D" w:rsidP="001B3D8D">
      <w:pPr>
        <w:rPr>
          <w:b/>
        </w:rPr>
      </w:pPr>
    </w:p>
    <w:p w:rsidR="001B3D8D" w:rsidRDefault="001B3D8D" w:rsidP="001B3D8D">
      <w:r w:rsidRPr="0088160E">
        <w:rPr>
          <w:b/>
        </w:rPr>
        <w:t xml:space="preserve">Ministerstvo životného prostredia SR </w:t>
      </w:r>
      <w:r w:rsidRPr="0088160E">
        <w:t>súhlasí s predloženou doložkou vybraných vplyvov bez pripomienok</w:t>
      </w:r>
      <w:r>
        <w:t>.</w:t>
      </w:r>
    </w:p>
    <w:p w:rsidR="00167927" w:rsidRPr="001B3D8D" w:rsidRDefault="00167927" w:rsidP="001B3D8D">
      <w:pPr>
        <w:rPr>
          <w:b/>
        </w:rPr>
      </w:pPr>
    </w:p>
    <w:sectPr w:rsidR="00167927" w:rsidRPr="001B3D8D" w:rsidSect="00C6246E">
      <w:head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11" w:rsidRDefault="00967E11">
      <w:r>
        <w:separator/>
      </w:r>
    </w:p>
  </w:endnote>
  <w:endnote w:type="continuationSeparator" w:id="0">
    <w:p w:rsidR="00967E11" w:rsidRDefault="00967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11" w:rsidRDefault="00967E11">
      <w:r>
        <w:separator/>
      </w:r>
    </w:p>
  </w:footnote>
  <w:footnote w:type="continuationSeparator" w:id="0">
    <w:p w:rsidR="00967E11" w:rsidRDefault="00967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58" w:rsidRDefault="000D2158">
    <w:pPr>
      <w:pStyle w:val="Hlavika"/>
    </w:pPr>
  </w:p>
  <w:p w:rsidR="000D2158" w:rsidRDefault="000D2158">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6246E"/>
    <w:rsid w:val="00015887"/>
    <w:rsid w:val="00060333"/>
    <w:rsid w:val="00063DEF"/>
    <w:rsid w:val="000D2158"/>
    <w:rsid w:val="00131CD2"/>
    <w:rsid w:val="001371DD"/>
    <w:rsid w:val="00141BCC"/>
    <w:rsid w:val="00167927"/>
    <w:rsid w:val="0017115C"/>
    <w:rsid w:val="0017233F"/>
    <w:rsid w:val="001A3C24"/>
    <w:rsid w:val="001B3D8D"/>
    <w:rsid w:val="001E4AB0"/>
    <w:rsid w:val="001E73D6"/>
    <w:rsid w:val="00202492"/>
    <w:rsid w:val="0029592E"/>
    <w:rsid w:val="002D30E6"/>
    <w:rsid w:val="002F66DC"/>
    <w:rsid w:val="003B5473"/>
    <w:rsid w:val="003C6B25"/>
    <w:rsid w:val="003D2105"/>
    <w:rsid w:val="003F07D7"/>
    <w:rsid w:val="0040793B"/>
    <w:rsid w:val="00425692"/>
    <w:rsid w:val="00496AE2"/>
    <w:rsid w:val="004E7D94"/>
    <w:rsid w:val="00515413"/>
    <w:rsid w:val="005460BE"/>
    <w:rsid w:val="00546EBF"/>
    <w:rsid w:val="00551F32"/>
    <w:rsid w:val="005C57B1"/>
    <w:rsid w:val="005D2900"/>
    <w:rsid w:val="00666D39"/>
    <w:rsid w:val="006846C7"/>
    <w:rsid w:val="006A6591"/>
    <w:rsid w:val="006C5450"/>
    <w:rsid w:val="0074706A"/>
    <w:rsid w:val="007700B5"/>
    <w:rsid w:val="007A4633"/>
    <w:rsid w:val="007D3F21"/>
    <w:rsid w:val="00842E5A"/>
    <w:rsid w:val="0088160E"/>
    <w:rsid w:val="00881AA4"/>
    <w:rsid w:val="008A14D6"/>
    <w:rsid w:val="008B0765"/>
    <w:rsid w:val="008E3E10"/>
    <w:rsid w:val="008E5A94"/>
    <w:rsid w:val="00934731"/>
    <w:rsid w:val="00967E11"/>
    <w:rsid w:val="00970EFC"/>
    <w:rsid w:val="0099622E"/>
    <w:rsid w:val="00997C4F"/>
    <w:rsid w:val="00A63E47"/>
    <w:rsid w:val="00A7138F"/>
    <w:rsid w:val="00AC4715"/>
    <w:rsid w:val="00AE7BD4"/>
    <w:rsid w:val="00B210B3"/>
    <w:rsid w:val="00B27DDB"/>
    <w:rsid w:val="00BA7FE1"/>
    <w:rsid w:val="00BD6A88"/>
    <w:rsid w:val="00BE2644"/>
    <w:rsid w:val="00C1728D"/>
    <w:rsid w:val="00C5783C"/>
    <w:rsid w:val="00C6246E"/>
    <w:rsid w:val="00C9561E"/>
    <w:rsid w:val="00CF1362"/>
    <w:rsid w:val="00D545CA"/>
    <w:rsid w:val="00E11726"/>
    <w:rsid w:val="00E2113D"/>
    <w:rsid w:val="00E662FF"/>
    <w:rsid w:val="00EC112A"/>
    <w:rsid w:val="00EF409C"/>
    <w:rsid w:val="00F239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6246E"/>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6246E"/>
    <w:rPr>
      <w:b/>
      <w:szCs w:val="20"/>
    </w:rPr>
  </w:style>
  <w:style w:type="paragraph" w:styleId="Zkladntext2">
    <w:name w:val="Body Text 2"/>
    <w:basedOn w:val="Normlny"/>
    <w:rsid w:val="00C6246E"/>
    <w:rPr>
      <w:szCs w:val="20"/>
    </w:rPr>
  </w:style>
  <w:style w:type="paragraph" w:styleId="Hlavika">
    <w:name w:val="header"/>
    <w:basedOn w:val="Normlny"/>
    <w:rsid w:val="00C6246E"/>
    <w:pPr>
      <w:tabs>
        <w:tab w:val="center" w:pos="4536"/>
        <w:tab w:val="right" w:pos="9072"/>
      </w:tabs>
    </w:pPr>
  </w:style>
  <w:style w:type="paragraph" w:styleId="Pta">
    <w:name w:val="footer"/>
    <w:basedOn w:val="Normlny"/>
    <w:link w:val="PtaChar"/>
    <w:rsid w:val="003C6B25"/>
    <w:pPr>
      <w:tabs>
        <w:tab w:val="center" w:pos="4703"/>
        <w:tab w:val="right" w:pos="9406"/>
      </w:tabs>
    </w:pPr>
  </w:style>
  <w:style w:type="character" w:customStyle="1" w:styleId="PtaChar">
    <w:name w:val="Päta Char"/>
    <w:basedOn w:val="Predvolenpsmoodseku"/>
    <w:link w:val="Pta"/>
    <w:rsid w:val="003C6B25"/>
    <w:rPr>
      <w:sz w:val="24"/>
      <w:szCs w:val="24"/>
      <w:lang w:val="sk-SK" w:eastAsia="sk-SK"/>
    </w:rPr>
  </w:style>
  <w:style w:type="paragraph" w:styleId="Normlnywebov">
    <w:name w:val="Normal (Web)"/>
    <w:basedOn w:val="Normlny"/>
    <w:rsid w:val="00167927"/>
    <w:pPr>
      <w:spacing w:before="100" w:beforeAutospacing="1" w:after="100" w:afterAutospacing="1"/>
    </w:pPr>
    <w:rPr>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5125</Characters>
  <Application>Microsoft Office Word</Application>
  <DocSecurity>0</DocSecurity>
  <Lines>42</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Doložka vybraných vplyvov</vt:lpstr>
      <vt:lpstr>Doložka vybraných vplyvov</vt:lpstr>
    </vt:vector>
  </TitlesOfParts>
  <Company>MPSVR SR</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jackova</dc:creator>
  <cp:keywords/>
  <dc:description/>
  <cp:lastModifiedBy>jackova</cp:lastModifiedBy>
  <cp:revision>2</cp:revision>
  <cp:lastPrinted>2013-11-11T07:30:00Z</cp:lastPrinted>
  <dcterms:created xsi:type="dcterms:W3CDTF">2013-11-11T07:31:00Z</dcterms:created>
  <dcterms:modified xsi:type="dcterms:W3CDTF">2013-11-11T07:31:00Z</dcterms:modified>
</cp:coreProperties>
</file>