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theme/themeOverride2.xml" ContentType="application/vnd.openxmlformats-officedocument.themeOverride+xml"/>
  <Default Extension="emf" ContentType="image/x-emf"/>
  <Default Extension="jpeg" ContentType="image/jpeg"/>
  <Default Extension="rels" ContentType="application/vnd.openxmlformats-package.relationships+xml"/>
  <Override PartName="/word/theme/themeOverride1.xml" ContentType="application/vnd.openxmlformats-officedocument.themeOverride+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3B" w:rsidRPr="000E1A05" w:rsidRDefault="009B4A3B">
      <w:pPr>
        <w:rPr>
          <w:b/>
          <w:bCs/>
        </w:rPr>
      </w:pPr>
    </w:p>
    <w:p w:rsidR="009B4A3B" w:rsidRPr="00B03159" w:rsidRDefault="009B4A3B" w:rsidP="003F3977">
      <w:pPr>
        <w:jc w:val="center"/>
        <w:rPr>
          <w:b/>
          <w:bCs/>
          <w:sz w:val="32"/>
          <w:szCs w:val="32"/>
        </w:rPr>
      </w:pPr>
    </w:p>
    <w:p w:rsidR="009B4A3B" w:rsidRPr="000E1A05" w:rsidRDefault="009B4A3B" w:rsidP="003F3977">
      <w:pPr>
        <w:jc w:val="center"/>
        <w:rPr>
          <w:b/>
          <w:bCs/>
        </w:rPr>
      </w:pPr>
    </w:p>
    <w:p w:rsidR="009B4A3B" w:rsidRPr="000E1A05" w:rsidRDefault="009B4A3B" w:rsidP="003F3977">
      <w:pPr>
        <w:jc w:val="center"/>
        <w:rPr>
          <w:b/>
          <w:bCs/>
        </w:rPr>
      </w:pPr>
    </w:p>
    <w:p w:rsidR="009B4A3B" w:rsidRPr="000E1A05" w:rsidRDefault="009B4A3B" w:rsidP="003F3977">
      <w:pPr>
        <w:jc w:val="center"/>
        <w:rPr>
          <w:b/>
          <w:bCs/>
        </w:rPr>
      </w:pPr>
    </w:p>
    <w:p w:rsidR="009B4A3B" w:rsidRPr="000E1A05" w:rsidRDefault="009B4A3B" w:rsidP="003F3977">
      <w:pPr>
        <w:jc w:val="center"/>
        <w:rPr>
          <w:b/>
          <w:bCs/>
        </w:rPr>
      </w:pPr>
    </w:p>
    <w:p w:rsidR="009B4A3B" w:rsidRPr="000E1A05" w:rsidRDefault="009B4A3B" w:rsidP="003F3977">
      <w:pPr>
        <w:jc w:val="center"/>
        <w:rPr>
          <w:b/>
          <w:bCs/>
        </w:rPr>
      </w:pPr>
    </w:p>
    <w:p w:rsidR="009B4A3B" w:rsidRPr="000E1A05" w:rsidRDefault="009B4A3B" w:rsidP="003F3977">
      <w:pPr>
        <w:jc w:val="center"/>
        <w:rPr>
          <w:b/>
          <w:bCs/>
        </w:rPr>
      </w:pPr>
    </w:p>
    <w:p w:rsidR="009B4A3B" w:rsidRPr="00971229" w:rsidRDefault="004673B2" w:rsidP="003F3977">
      <w:pPr>
        <w:jc w:val="center"/>
        <w:rPr>
          <w:b/>
          <w:bCs/>
          <w:color w:val="FF0000"/>
          <w:sz w:val="32"/>
          <w:szCs w:val="32"/>
        </w:rPr>
      </w:pPr>
      <w:r w:rsidRPr="004673B2">
        <w:rPr>
          <w:b/>
          <w:bCs/>
          <w:color w:val="FF0000"/>
          <w:sz w:val="32"/>
          <w:szCs w:val="32"/>
        </w:rPr>
        <w:t>Poznatkami k</w:t>
      </w:r>
      <w:r>
        <w:rPr>
          <w:b/>
          <w:bCs/>
          <w:color w:val="FF0000"/>
          <w:sz w:val="32"/>
          <w:szCs w:val="32"/>
        </w:rPr>
        <w:t> </w:t>
      </w:r>
      <w:r w:rsidRPr="004673B2">
        <w:rPr>
          <w:b/>
          <w:bCs/>
          <w:color w:val="FF0000"/>
          <w:sz w:val="32"/>
          <w:szCs w:val="32"/>
        </w:rPr>
        <w:t>prosperite</w:t>
      </w:r>
      <w:r>
        <w:rPr>
          <w:b/>
          <w:bCs/>
          <w:color w:val="FF0000"/>
          <w:sz w:val="32"/>
          <w:szCs w:val="32"/>
        </w:rPr>
        <w:t xml:space="preserve"> - </w:t>
      </w:r>
      <w:r w:rsidR="009B4A3B" w:rsidRPr="00971229">
        <w:rPr>
          <w:b/>
          <w:bCs/>
          <w:color w:val="FF0000"/>
          <w:sz w:val="32"/>
          <w:szCs w:val="32"/>
        </w:rPr>
        <w:t xml:space="preserve">Stratégia </w:t>
      </w:r>
      <w:r w:rsidR="009B4A3B" w:rsidRPr="00064EE3">
        <w:rPr>
          <w:b/>
          <w:bCs/>
          <w:color w:val="FF0000"/>
          <w:sz w:val="32"/>
          <w:szCs w:val="32"/>
        </w:rPr>
        <w:t>v</w:t>
      </w:r>
      <w:r w:rsidR="00337C5D" w:rsidRPr="00064EE3">
        <w:rPr>
          <w:b/>
          <w:bCs/>
          <w:color w:val="FF0000"/>
          <w:sz w:val="32"/>
          <w:szCs w:val="32"/>
        </w:rPr>
        <w:t>ýskumu</w:t>
      </w:r>
      <w:r w:rsidR="00134F8E" w:rsidRPr="00064EE3">
        <w:rPr>
          <w:b/>
          <w:bCs/>
          <w:color w:val="FF0000"/>
          <w:sz w:val="32"/>
          <w:szCs w:val="32"/>
        </w:rPr>
        <w:t xml:space="preserve"> </w:t>
      </w:r>
      <w:r w:rsidR="009B4A3B" w:rsidRPr="00064EE3">
        <w:rPr>
          <w:b/>
          <w:bCs/>
          <w:color w:val="FF0000"/>
          <w:sz w:val="32"/>
          <w:szCs w:val="32"/>
        </w:rPr>
        <w:t>a inovácií</w:t>
      </w:r>
      <w:r w:rsidR="009B4A3B" w:rsidRPr="00971229">
        <w:rPr>
          <w:b/>
          <w:bCs/>
          <w:color w:val="FF0000"/>
          <w:sz w:val="32"/>
          <w:szCs w:val="32"/>
        </w:rPr>
        <w:t xml:space="preserve"> </w:t>
      </w:r>
      <w:r w:rsidR="009B4A3B" w:rsidRPr="00971229">
        <w:rPr>
          <w:b/>
          <w:bCs/>
          <w:color w:val="FF0000"/>
          <w:sz w:val="32"/>
          <w:szCs w:val="32"/>
        </w:rPr>
        <w:br/>
        <w:t xml:space="preserve">pre inteligentnú špecializáciu Slovenskej </w:t>
      </w:r>
      <w:r w:rsidR="00EC4619">
        <w:rPr>
          <w:b/>
          <w:bCs/>
          <w:color w:val="FF0000"/>
          <w:sz w:val="32"/>
          <w:szCs w:val="32"/>
        </w:rPr>
        <w:t>r</w:t>
      </w:r>
      <w:r w:rsidR="009B4A3B" w:rsidRPr="00971229">
        <w:rPr>
          <w:b/>
          <w:bCs/>
          <w:color w:val="FF0000"/>
          <w:sz w:val="32"/>
          <w:szCs w:val="32"/>
        </w:rPr>
        <w:t>epubliky</w:t>
      </w:r>
    </w:p>
    <w:p w:rsidR="009B4A3B" w:rsidRPr="00971229" w:rsidRDefault="009B4A3B" w:rsidP="003F3977">
      <w:pPr>
        <w:jc w:val="center"/>
        <w:rPr>
          <w:b/>
          <w:bCs/>
          <w:sz w:val="32"/>
          <w:szCs w:val="32"/>
        </w:rPr>
      </w:pPr>
    </w:p>
    <w:p w:rsidR="009B4A3B" w:rsidRPr="00E60B09" w:rsidRDefault="00E60B09" w:rsidP="003F3977">
      <w:pPr>
        <w:jc w:val="center"/>
        <w:rPr>
          <w:b/>
          <w:bCs/>
          <w:sz w:val="28"/>
          <w:szCs w:val="28"/>
        </w:rPr>
      </w:pPr>
      <w:r>
        <w:rPr>
          <w:b/>
          <w:bCs/>
          <w:sz w:val="28"/>
          <w:szCs w:val="28"/>
        </w:rPr>
        <w:t>T</w:t>
      </w:r>
      <w:r w:rsidR="009B4A3B" w:rsidRPr="00E60B09">
        <w:rPr>
          <w:b/>
          <w:bCs/>
          <w:sz w:val="28"/>
          <w:szCs w:val="28"/>
        </w:rPr>
        <w:t>ext</w:t>
      </w:r>
      <w:r w:rsidR="00E837B7" w:rsidRPr="00E60B09">
        <w:rPr>
          <w:b/>
          <w:bCs/>
          <w:sz w:val="28"/>
          <w:szCs w:val="28"/>
        </w:rPr>
        <w:t xml:space="preserve"> </w:t>
      </w:r>
      <w:r w:rsidR="009B4A3B" w:rsidRPr="00E60B09">
        <w:rPr>
          <w:b/>
          <w:bCs/>
          <w:sz w:val="28"/>
          <w:szCs w:val="28"/>
        </w:rPr>
        <w:t xml:space="preserve">verzie </w:t>
      </w:r>
      <w:r>
        <w:rPr>
          <w:b/>
          <w:bCs/>
          <w:sz w:val="28"/>
          <w:szCs w:val="28"/>
        </w:rPr>
        <w:t>2</w:t>
      </w:r>
      <w:r w:rsidR="009B4A3B" w:rsidRPr="00E60B09">
        <w:rPr>
          <w:b/>
          <w:bCs/>
          <w:sz w:val="28"/>
          <w:szCs w:val="28"/>
        </w:rPr>
        <w:t>.</w:t>
      </w:r>
      <w:r>
        <w:rPr>
          <w:b/>
          <w:bCs/>
          <w:sz w:val="28"/>
          <w:szCs w:val="28"/>
        </w:rPr>
        <w:t>0</w:t>
      </w:r>
    </w:p>
    <w:p w:rsidR="00AE3253" w:rsidRPr="000E1A05" w:rsidRDefault="00AE3253" w:rsidP="003F3977">
      <w:pPr>
        <w:jc w:val="center"/>
        <w:rPr>
          <w:b/>
          <w:bCs/>
          <w:sz w:val="28"/>
          <w:szCs w:val="28"/>
        </w:rPr>
      </w:pPr>
    </w:p>
    <w:p w:rsidR="009B4A3B" w:rsidRDefault="009B4A3B" w:rsidP="004B1678">
      <w:pPr>
        <w:shd w:val="clear" w:color="auto" w:fill="00B0F0"/>
        <w:jc w:val="center"/>
        <w:rPr>
          <w:b/>
          <w:bCs/>
        </w:rPr>
      </w:pPr>
      <w:r>
        <w:rPr>
          <w:b/>
          <w:bCs/>
        </w:rPr>
        <w:t>Verzia p</w:t>
      </w:r>
      <w:r w:rsidR="00E837B7">
        <w:rPr>
          <w:b/>
          <w:bCs/>
        </w:rPr>
        <w:t>o</w:t>
      </w:r>
      <w:r w:rsidR="00134F8E">
        <w:rPr>
          <w:b/>
          <w:bCs/>
        </w:rPr>
        <w:t xml:space="preserve"> </w:t>
      </w:r>
      <w:r w:rsidR="00E837B7">
        <w:rPr>
          <w:b/>
          <w:bCs/>
        </w:rPr>
        <w:t>pripomienkach</w:t>
      </w:r>
      <w:r>
        <w:rPr>
          <w:b/>
          <w:bCs/>
        </w:rPr>
        <w:t xml:space="preserve"> expertov EK</w:t>
      </w:r>
    </w:p>
    <w:p w:rsidR="009B4A3B" w:rsidRDefault="009B4A3B" w:rsidP="003F3977">
      <w:pPr>
        <w:jc w:val="center"/>
        <w:rPr>
          <w:b/>
          <w:bCs/>
        </w:rPr>
      </w:pPr>
    </w:p>
    <w:p w:rsidR="009B4A3B" w:rsidRDefault="009B4A3B" w:rsidP="003F3977">
      <w:pPr>
        <w:jc w:val="center"/>
        <w:rPr>
          <w:b/>
          <w:bCs/>
        </w:rPr>
      </w:pPr>
    </w:p>
    <w:p w:rsidR="009B4A3B" w:rsidRDefault="009B4A3B" w:rsidP="003F3977">
      <w:pPr>
        <w:jc w:val="center"/>
        <w:rPr>
          <w:b/>
          <w:bCs/>
        </w:rPr>
      </w:pPr>
    </w:p>
    <w:p w:rsidR="00274435" w:rsidRDefault="00274435" w:rsidP="003F3977">
      <w:pPr>
        <w:jc w:val="center"/>
        <w:rPr>
          <w:b/>
          <w:bCs/>
        </w:rPr>
      </w:pPr>
    </w:p>
    <w:p w:rsidR="00274435" w:rsidRDefault="00274435" w:rsidP="003F3977">
      <w:pPr>
        <w:jc w:val="center"/>
        <w:rPr>
          <w:b/>
          <w:bCs/>
        </w:rPr>
      </w:pPr>
    </w:p>
    <w:p w:rsidR="00274435" w:rsidRDefault="00274435" w:rsidP="003F3977">
      <w:pPr>
        <w:jc w:val="center"/>
        <w:rPr>
          <w:b/>
          <w:bCs/>
        </w:rPr>
      </w:pPr>
    </w:p>
    <w:p w:rsidR="00274435" w:rsidRPr="000E1A05" w:rsidRDefault="00274435" w:rsidP="003F3977">
      <w:pPr>
        <w:jc w:val="center"/>
        <w:rPr>
          <w:b/>
          <w:bCs/>
        </w:rPr>
      </w:pPr>
    </w:p>
    <w:p w:rsidR="009B4A3B" w:rsidRPr="000E1A05" w:rsidRDefault="00835315" w:rsidP="003F3977">
      <w:pPr>
        <w:jc w:val="center"/>
        <w:rPr>
          <w:b/>
          <w:bCs/>
        </w:rPr>
      </w:pPr>
      <w:r>
        <w:rPr>
          <w:b/>
          <w:bCs/>
        </w:rPr>
        <w:t>12</w:t>
      </w:r>
      <w:bookmarkStart w:id="0" w:name="_GoBack"/>
      <w:bookmarkEnd w:id="0"/>
      <w:r w:rsidR="009B4A3B" w:rsidRPr="000E1A05">
        <w:rPr>
          <w:b/>
          <w:bCs/>
        </w:rPr>
        <w:t xml:space="preserve">. </w:t>
      </w:r>
      <w:r w:rsidR="003D455F">
        <w:rPr>
          <w:b/>
          <w:bCs/>
        </w:rPr>
        <w:t>september</w:t>
      </w:r>
      <w:r w:rsidR="00CD6B77">
        <w:rPr>
          <w:b/>
          <w:bCs/>
        </w:rPr>
        <w:t xml:space="preserve"> 2013</w:t>
      </w:r>
    </w:p>
    <w:p w:rsidR="009B4A3B" w:rsidRPr="000E1A05" w:rsidRDefault="009B4A3B">
      <w:pPr>
        <w:rPr>
          <w:b/>
          <w:bCs/>
        </w:rPr>
      </w:pPr>
    </w:p>
    <w:p w:rsidR="009B4A3B" w:rsidRPr="000E1A05" w:rsidRDefault="009B4A3B">
      <w:r w:rsidRPr="000E1A05">
        <w:t xml:space="preserve">Zostavené podľa metodických odporúčaní Európskej komisie: </w:t>
      </w:r>
      <w:r w:rsidR="0030367F">
        <w:t>Usmernenie na prípravu stratégií výskumu a inovácie pre inteligentnú špecializáciu, Regionálna politika, Európska komisia, máj 2012 (</w:t>
      </w:r>
      <w:r w:rsidRPr="000E1A05">
        <w:t>Guide to Research and Innovation</w:t>
      </w:r>
      <w:r w:rsidR="00CD6B77">
        <w:t xml:space="preserve"> </w:t>
      </w:r>
      <w:r w:rsidRPr="000E1A05">
        <w:t>Strategies</w:t>
      </w:r>
      <w:r w:rsidR="00CD6B77">
        <w:t xml:space="preserve"> </w:t>
      </w:r>
      <w:r w:rsidRPr="000E1A05">
        <w:t>for</w:t>
      </w:r>
      <w:r w:rsidR="00CD6B77">
        <w:t xml:space="preserve"> </w:t>
      </w:r>
      <w:r w:rsidRPr="000E1A05">
        <w:t>Smart</w:t>
      </w:r>
      <w:r w:rsidR="00CD6B77">
        <w:t xml:space="preserve"> </w:t>
      </w:r>
      <w:r w:rsidRPr="000E1A05">
        <w:t>Specialisations, Regional</w:t>
      </w:r>
      <w:r w:rsidR="00CD6B77">
        <w:t xml:space="preserve"> </w:t>
      </w:r>
      <w:r w:rsidRPr="000E1A05">
        <w:t>Policy, European</w:t>
      </w:r>
      <w:r w:rsidR="00CD6B77">
        <w:t xml:space="preserve"> </w:t>
      </w:r>
      <w:r w:rsidRPr="000E1A05">
        <w:t>Commission, May 2012</w:t>
      </w:r>
      <w:r w:rsidR="0030367F">
        <w:t>).</w:t>
      </w:r>
    </w:p>
    <w:p w:rsidR="009B4A3B" w:rsidRPr="000E1A05" w:rsidRDefault="009B4A3B">
      <w:pPr>
        <w:rPr>
          <w:b/>
          <w:bCs/>
        </w:rPr>
      </w:pPr>
    </w:p>
    <w:p w:rsidR="00493CF5" w:rsidRDefault="009B4A3B">
      <w:r w:rsidRPr="000E1A05">
        <w:rPr>
          <w:b/>
          <w:bCs/>
        </w:rPr>
        <w:br w:type="page"/>
      </w:r>
    </w:p>
    <w:p w:rsidR="00493CF5" w:rsidRDefault="00493CF5">
      <w:pPr>
        <w:pStyle w:val="Hlavikaobsahu"/>
      </w:pPr>
      <w:r>
        <w:lastRenderedPageBreak/>
        <w:t>Obsah</w:t>
      </w:r>
    </w:p>
    <w:p w:rsidR="000D4A62" w:rsidRDefault="00340117">
      <w:pPr>
        <w:pStyle w:val="Obsah1"/>
        <w:tabs>
          <w:tab w:val="left" w:pos="400"/>
          <w:tab w:val="right" w:pos="9060"/>
        </w:tabs>
        <w:rPr>
          <w:rFonts w:asciiTheme="minorHAnsi" w:eastAsiaTheme="minorEastAsia" w:hAnsiTheme="minorHAnsi" w:cstheme="minorBidi"/>
          <w:b w:val="0"/>
          <w:bCs w:val="0"/>
          <w:caps w:val="0"/>
          <w:noProof/>
          <w:sz w:val="22"/>
          <w:szCs w:val="22"/>
          <w:lang w:eastAsia="sk-SK"/>
        </w:rPr>
      </w:pPr>
      <w:r>
        <w:fldChar w:fldCharType="begin"/>
      </w:r>
      <w:r w:rsidR="00493CF5">
        <w:instrText xml:space="preserve"> TOC \o "1-3" \h \z \u </w:instrText>
      </w:r>
      <w:r>
        <w:fldChar w:fldCharType="separate"/>
      </w:r>
      <w:hyperlink w:anchor="_Toc366744136" w:history="1">
        <w:r w:rsidR="000D4A62" w:rsidRPr="0008105F">
          <w:rPr>
            <w:rStyle w:val="Hypertextovprepojenie"/>
            <w:noProof/>
          </w:rPr>
          <w:t>1</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Úvod</w:t>
        </w:r>
        <w:r w:rsidR="000D4A62">
          <w:rPr>
            <w:noProof/>
            <w:webHidden/>
          </w:rPr>
          <w:tab/>
        </w:r>
        <w:r w:rsidR="000D4A62">
          <w:rPr>
            <w:noProof/>
            <w:webHidden/>
          </w:rPr>
          <w:fldChar w:fldCharType="begin"/>
        </w:r>
        <w:r w:rsidR="000D4A62">
          <w:rPr>
            <w:noProof/>
            <w:webHidden/>
          </w:rPr>
          <w:instrText xml:space="preserve"> PAGEREF _Toc366744136 \h </w:instrText>
        </w:r>
        <w:r w:rsidR="000D4A62">
          <w:rPr>
            <w:noProof/>
            <w:webHidden/>
          </w:rPr>
        </w:r>
        <w:r w:rsidR="000D4A62">
          <w:rPr>
            <w:noProof/>
            <w:webHidden/>
          </w:rPr>
          <w:fldChar w:fldCharType="separate"/>
        </w:r>
        <w:r w:rsidR="00766F82">
          <w:rPr>
            <w:noProof/>
            <w:webHidden/>
          </w:rPr>
          <w:t>4</w:t>
        </w:r>
        <w:r w:rsidR="000D4A62">
          <w:rPr>
            <w:noProof/>
            <w:webHidden/>
          </w:rPr>
          <w:fldChar w:fldCharType="end"/>
        </w:r>
      </w:hyperlink>
    </w:p>
    <w:p w:rsidR="000D4A62" w:rsidRDefault="00605222">
      <w:pPr>
        <w:pStyle w:val="Obsah1"/>
        <w:tabs>
          <w:tab w:val="left" w:pos="400"/>
          <w:tab w:val="right" w:pos="9060"/>
        </w:tabs>
        <w:rPr>
          <w:rFonts w:asciiTheme="minorHAnsi" w:eastAsiaTheme="minorEastAsia" w:hAnsiTheme="minorHAnsi" w:cstheme="minorBidi"/>
          <w:b w:val="0"/>
          <w:bCs w:val="0"/>
          <w:caps w:val="0"/>
          <w:noProof/>
          <w:sz w:val="22"/>
          <w:szCs w:val="22"/>
          <w:lang w:eastAsia="sk-SK"/>
        </w:rPr>
      </w:pPr>
      <w:hyperlink w:anchor="_Toc366744137" w:history="1">
        <w:r w:rsidR="000D4A62" w:rsidRPr="0008105F">
          <w:rPr>
            <w:rStyle w:val="Hypertextovprepojenie"/>
            <w:noProof/>
          </w:rPr>
          <w:t>2</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Analýza</w:t>
        </w:r>
        <w:r w:rsidR="000D4A62">
          <w:rPr>
            <w:noProof/>
            <w:webHidden/>
          </w:rPr>
          <w:tab/>
        </w:r>
        <w:r w:rsidR="000D4A62">
          <w:rPr>
            <w:noProof/>
            <w:webHidden/>
          </w:rPr>
          <w:fldChar w:fldCharType="begin"/>
        </w:r>
        <w:r w:rsidR="000D4A62">
          <w:rPr>
            <w:noProof/>
            <w:webHidden/>
          </w:rPr>
          <w:instrText xml:space="preserve"> PAGEREF _Toc366744137 \h </w:instrText>
        </w:r>
        <w:r w:rsidR="000D4A62">
          <w:rPr>
            <w:noProof/>
            <w:webHidden/>
          </w:rPr>
        </w:r>
        <w:r w:rsidR="000D4A62">
          <w:rPr>
            <w:noProof/>
            <w:webHidden/>
          </w:rPr>
          <w:fldChar w:fldCharType="separate"/>
        </w:r>
        <w:r w:rsidR="00766F82">
          <w:rPr>
            <w:noProof/>
            <w:webHidden/>
          </w:rPr>
          <w:t>7</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38" w:history="1">
        <w:r w:rsidR="000D4A62" w:rsidRPr="0008105F">
          <w:rPr>
            <w:rStyle w:val="Hypertextovprepojenie"/>
            <w:noProof/>
          </w:rPr>
          <w:t>2.1</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Analýza vybraných faktorov ekonomiky Slovenskej republiky</w:t>
        </w:r>
        <w:r w:rsidR="000D4A62">
          <w:rPr>
            <w:noProof/>
            <w:webHidden/>
          </w:rPr>
          <w:tab/>
        </w:r>
        <w:r w:rsidR="000D4A62">
          <w:rPr>
            <w:noProof/>
            <w:webHidden/>
          </w:rPr>
          <w:fldChar w:fldCharType="begin"/>
        </w:r>
        <w:r w:rsidR="000D4A62">
          <w:rPr>
            <w:noProof/>
            <w:webHidden/>
          </w:rPr>
          <w:instrText xml:space="preserve"> PAGEREF _Toc366744138 \h </w:instrText>
        </w:r>
        <w:r w:rsidR="000D4A62">
          <w:rPr>
            <w:noProof/>
            <w:webHidden/>
          </w:rPr>
        </w:r>
        <w:r w:rsidR="000D4A62">
          <w:rPr>
            <w:noProof/>
            <w:webHidden/>
          </w:rPr>
          <w:fldChar w:fldCharType="separate"/>
        </w:r>
        <w:r w:rsidR="00766F82">
          <w:rPr>
            <w:noProof/>
            <w:webHidden/>
          </w:rPr>
          <w:t>7</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39" w:history="1">
        <w:r w:rsidR="000D4A62" w:rsidRPr="0008105F">
          <w:rPr>
            <w:rStyle w:val="Hypertextovprepojenie"/>
            <w:noProof/>
          </w:rPr>
          <w:t>2.1.1</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Zdroje ekonomického rastu a charakter konkurenčnej výhody</w:t>
        </w:r>
        <w:r w:rsidR="000D4A62">
          <w:rPr>
            <w:noProof/>
            <w:webHidden/>
          </w:rPr>
          <w:tab/>
        </w:r>
        <w:r w:rsidR="000D4A62">
          <w:rPr>
            <w:noProof/>
            <w:webHidden/>
          </w:rPr>
          <w:fldChar w:fldCharType="begin"/>
        </w:r>
        <w:r w:rsidR="000D4A62">
          <w:rPr>
            <w:noProof/>
            <w:webHidden/>
          </w:rPr>
          <w:instrText xml:space="preserve"> PAGEREF _Toc366744139 \h </w:instrText>
        </w:r>
        <w:r w:rsidR="000D4A62">
          <w:rPr>
            <w:noProof/>
            <w:webHidden/>
          </w:rPr>
        </w:r>
        <w:r w:rsidR="000D4A62">
          <w:rPr>
            <w:noProof/>
            <w:webHidden/>
          </w:rPr>
          <w:fldChar w:fldCharType="separate"/>
        </w:r>
        <w:r w:rsidR="00766F82">
          <w:rPr>
            <w:noProof/>
            <w:webHidden/>
          </w:rPr>
          <w:t>7</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40" w:history="1">
        <w:r w:rsidR="000D4A62" w:rsidRPr="0008105F">
          <w:rPr>
            <w:rStyle w:val="Hypertextovprepojenie"/>
            <w:noProof/>
          </w:rPr>
          <w:t>2.2</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Trendy v exportnej špecializácii</w:t>
        </w:r>
        <w:r w:rsidR="000D4A62">
          <w:rPr>
            <w:noProof/>
            <w:webHidden/>
          </w:rPr>
          <w:tab/>
        </w:r>
        <w:r w:rsidR="000D4A62">
          <w:rPr>
            <w:noProof/>
            <w:webHidden/>
          </w:rPr>
          <w:fldChar w:fldCharType="begin"/>
        </w:r>
        <w:r w:rsidR="000D4A62">
          <w:rPr>
            <w:noProof/>
            <w:webHidden/>
          </w:rPr>
          <w:instrText xml:space="preserve"> PAGEREF _Toc366744140 \h </w:instrText>
        </w:r>
        <w:r w:rsidR="000D4A62">
          <w:rPr>
            <w:noProof/>
            <w:webHidden/>
          </w:rPr>
        </w:r>
        <w:r w:rsidR="000D4A62">
          <w:rPr>
            <w:noProof/>
            <w:webHidden/>
          </w:rPr>
          <w:fldChar w:fldCharType="separate"/>
        </w:r>
        <w:r w:rsidR="00766F82">
          <w:rPr>
            <w:noProof/>
            <w:webHidden/>
          </w:rPr>
          <w:t>8</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1" w:history="1">
        <w:r w:rsidR="000D4A62" w:rsidRPr="0008105F">
          <w:rPr>
            <w:rStyle w:val="Hypertextovprepojenie"/>
            <w:noProof/>
          </w:rPr>
          <w:t>2.2.1</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Základné trendy vo vývoji slovenského exportu</w:t>
        </w:r>
        <w:r w:rsidR="000D4A62">
          <w:rPr>
            <w:noProof/>
            <w:webHidden/>
          </w:rPr>
          <w:tab/>
        </w:r>
        <w:r w:rsidR="000D4A62">
          <w:rPr>
            <w:noProof/>
            <w:webHidden/>
          </w:rPr>
          <w:fldChar w:fldCharType="begin"/>
        </w:r>
        <w:r w:rsidR="000D4A62">
          <w:rPr>
            <w:noProof/>
            <w:webHidden/>
          </w:rPr>
          <w:instrText xml:space="preserve"> PAGEREF _Toc366744141 \h </w:instrText>
        </w:r>
        <w:r w:rsidR="000D4A62">
          <w:rPr>
            <w:noProof/>
            <w:webHidden/>
          </w:rPr>
        </w:r>
        <w:r w:rsidR="000D4A62">
          <w:rPr>
            <w:noProof/>
            <w:webHidden/>
          </w:rPr>
          <w:fldChar w:fldCharType="separate"/>
        </w:r>
        <w:r w:rsidR="00766F82">
          <w:rPr>
            <w:noProof/>
            <w:webHidden/>
          </w:rPr>
          <w:t>8</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2" w:history="1">
        <w:r w:rsidR="000D4A62" w:rsidRPr="0008105F">
          <w:rPr>
            <w:rStyle w:val="Hypertextovprepojenie"/>
            <w:noProof/>
          </w:rPr>
          <w:t>2.2.2</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Technologická náročnosť odvetví</w:t>
        </w:r>
        <w:r w:rsidR="000D4A62">
          <w:rPr>
            <w:noProof/>
            <w:webHidden/>
          </w:rPr>
          <w:tab/>
        </w:r>
        <w:r w:rsidR="000D4A62">
          <w:rPr>
            <w:noProof/>
            <w:webHidden/>
          </w:rPr>
          <w:fldChar w:fldCharType="begin"/>
        </w:r>
        <w:r w:rsidR="000D4A62">
          <w:rPr>
            <w:noProof/>
            <w:webHidden/>
          </w:rPr>
          <w:instrText xml:space="preserve"> PAGEREF _Toc366744142 \h </w:instrText>
        </w:r>
        <w:r w:rsidR="000D4A62">
          <w:rPr>
            <w:noProof/>
            <w:webHidden/>
          </w:rPr>
        </w:r>
        <w:r w:rsidR="000D4A62">
          <w:rPr>
            <w:noProof/>
            <w:webHidden/>
          </w:rPr>
          <w:fldChar w:fldCharType="separate"/>
        </w:r>
        <w:r w:rsidR="00766F82">
          <w:rPr>
            <w:noProof/>
            <w:webHidden/>
          </w:rPr>
          <w:t>10</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3" w:history="1">
        <w:r w:rsidR="000D4A62" w:rsidRPr="0008105F">
          <w:rPr>
            <w:rStyle w:val="Hypertextovprepojenie"/>
            <w:noProof/>
          </w:rPr>
          <w:t>2.2.3</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Energetický mix</w:t>
        </w:r>
        <w:r w:rsidR="000D4A62">
          <w:rPr>
            <w:noProof/>
            <w:webHidden/>
          </w:rPr>
          <w:tab/>
        </w:r>
        <w:r w:rsidR="000D4A62">
          <w:rPr>
            <w:noProof/>
            <w:webHidden/>
          </w:rPr>
          <w:fldChar w:fldCharType="begin"/>
        </w:r>
        <w:r w:rsidR="000D4A62">
          <w:rPr>
            <w:noProof/>
            <w:webHidden/>
          </w:rPr>
          <w:instrText xml:space="preserve"> PAGEREF _Toc366744143 \h </w:instrText>
        </w:r>
        <w:r w:rsidR="000D4A62">
          <w:rPr>
            <w:noProof/>
            <w:webHidden/>
          </w:rPr>
        </w:r>
        <w:r w:rsidR="000D4A62">
          <w:rPr>
            <w:noProof/>
            <w:webHidden/>
          </w:rPr>
          <w:fldChar w:fldCharType="separate"/>
        </w:r>
        <w:r w:rsidR="00766F82">
          <w:rPr>
            <w:noProof/>
            <w:webHidden/>
          </w:rPr>
          <w:t>11</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4" w:history="1">
        <w:r w:rsidR="000D4A62" w:rsidRPr="0008105F">
          <w:rPr>
            <w:rStyle w:val="Hypertextovprepojenie"/>
            <w:noProof/>
          </w:rPr>
          <w:t>2.2.4</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Surovinový potenciál Slovenska</w:t>
        </w:r>
        <w:r w:rsidR="000D4A62">
          <w:rPr>
            <w:noProof/>
            <w:webHidden/>
          </w:rPr>
          <w:tab/>
        </w:r>
        <w:r w:rsidR="000D4A62">
          <w:rPr>
            <w:noProof/>
            <w:webHidden/>
          </w:rPr>
          <w:fldChar w:fldCharType="begin"/>
        </w:r>
        <w:r w:rsidR="000D4A62">
          <w:rPr>
            <w:noProof/>
            <w:webHidden/>
          </w:rPr>
          <w:instrText xml:space="preserve"> PAGEREF _Toc366744144 \h </w:instrText>
        </w:r>
        <w:r w:rsidR="000D4A62">
          <w:rPr>
            <w:noProof/>
            <w:webHidden/>
          </w:rPr>
        </w:r>
        <w:r w:rsidR="000D4A62">
          <w:rPr>
            <w:noProof/>
            <w:webHidden/>
          </w:rPr>
          <w:fldChar w:fldCharType="separate"/>
        </w:r>
        <w:r w:rsidR="00766F82">
          <w:rPr>
            <w:noProof/>
            <w:webHidden/>
          </w:rPr>
          <w:t>12</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5" w:history="1">
        <w:r w:rsidR="000D4A62" w:rsidRPr="0008105F">
          <w:rPr>
            <w:rStyle w:val="Hypertextovprepojenie"/>
            <w:noProof/>
          </w:rPr>
          <w:t>2.2.5</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Ukotvenosť najvýznamnejších odvetví v slovenskej ekonomike</w:t>
        </w:r>
        <w:r w:rsidR="000D4A62">
          <w:rPr>
            <w:noProof/>
            <w:webHidden/>
          </w:rPr>
          <w:tab/>
        </w:r>
        <w:r w:rsidR="000D4A62">
          <w:rPr>
            <w:noProof/>
            <w:webHidden/>
          </w:rPr>
          <w:fldChar w:fldCharType="begin"/>
        </w:r>
        <w:r w:rsidR="000D4A62">
          <w:rPr>
            <w:noProof/>
            <w:webHidden/>
          </w:rPr>
          <w:instrText xml:space="preserve"> PAGEREF _Toc366744145 \h </w:instrText>
        </w:r>
        <w:r w:rsidR="000D4A62">
          <w:rPr>
            <w:noProof/>
            <w:webHidden/>
          </w:rPr>
        </w:r>
        <w:r w:rsidR="000D4A62">
          <w:rPr>
            <w:noProof/>
            <w:webHidden/>
          </w:rPr>
          <w:fldChar w:fldCharType="separate"/>
        </w:r>
        <w:r w:rsidR="00766F82">
          <w:rPr>
            <w:noProof/>
            <w:webHidden/>
          </w:rPr>
          <w:t>13</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6" w:history="1">
        <w:r w:rsidR="000D4A62" w:rsidRPr="0008105F">
          <w:rPr>
            <w:rStyle w:val="Hypertextovprepojenie"/>
            <w:noProof/>
          </w:rPr>
          <w:t>2.2.6</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Prepojenie prioritných odvetví s výskumom a poznatkovo-intenzívnymi službami</w:t>
        </w:r>
        <w:r w:rsidR="000D4A62">
          <w:rPr>
            <w:noProof/>
            <w:webHidden/>
          </w:rPr>
          <w:tab/>
        </w:r>
        <w:r w:rsidR="000D4A62">
          <w:rPr>
            <w:noProof/>
            <w:webHidden/>
          </w:rPr>
          <w:fldChar w:fldCharType="begin"/>
        </w:r>
        <w:r w:rsidR="000D4A62">
          <w:rPr>
            <w:noProof/>
            <w:webHidden/>
          </w:rPr>
          <w:instrText xml:space="preserve"> PAGEREF _Toc366744146 \h </w:instrText>
        </w:r>
        <w:r w:rsidR="000D4A62">
          <w:rPr>
            <w:noProof/>
            <w:webHidden/>
          </w:rPr>
        </w:r>
        <w:r w:rsidR="000D4A62">
          <w:rPr>
            <w:noProof/>
            <w:webHidden/>
          </w:rPr>
          <w:fldChar w:fldCharType="separate"/>
        </w:r>
        <w:r w:rsidR="00766F82">
          <w:rPr>
            <w:noProof/>
            <w:webHidden/>
          </w:rPr>
          <w:t>14</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47" w:history="1">
        <w:r w:rsidR="000D4A62" w:rsidRPr="0008105F">
          <w:rPr>
            <w:rStyle w:val="Hypertextovprepojenie"/>
            <w:noProof/>
          </w:rPr>
          <w:t>2.3</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Inovačné prostredie na Slovensku</w:t>
        </w:r>
        <w:r w:rsidR="000D4A62">
          <w:rPr>
            <w:noProof/>
            <w:webHidden/>
          </w:rPr>
          <w:tab/>
        </w:r>
        <w:r w:rsidR="000D4A62">
          <w:rPr>
            <w:noProof/>
            <w:webHidden/>
          </w:rPr>
          <w:fldChar w:fldCharType="begin"/>
        </w:r>
        <w:r w:rsidR="000D4A62">
          <w:rPr>
            <w:noProof/>
            <w:webHidden/>
          </w:rPr>
          <w:instrText xml:space="preserve"> PAGEREF _Toc366744147 \h </w:instrText>
        </w:r>
        <w:r w:rsidR="000D4A62">
          <w:rPr>
            <w:noProof/>
            <w:webHidden/>
          </w:rPr>
        </w:r>
        <w:r w:rsidR="000D4A62">
          <w:rPr>
            <w:noProof/>
            <w:webHidden/>
          </w:rPr>
          <w:fldChar w:fldCharType="separate"/>
        </w:r>
        <w:r w:rsidR="00766F82">
          <w:rPr>
            <w:noProof/>
            <w:webHidden/>
          </w:rPr>
          <w:t>15</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8" w:history="1">
        <w:r w:rsidR="000D4A62" w:rsidRPr="0008105F">
          <w:rPr>
            <w:rStyle w:val="Hypertextovprepojenie"/>
            <w:noProof/>
          </w:rPr>
          <w:t>2.3.1</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Hodnotenie inovačnej výkonnosti</w:t>
        </w:r>
        <w:r w:rsidR="000D4A62">
          <w:rPr>
            <w:noProof/>
            <w:webHidden/>
          </w:rPr>
          <w:tab/>
        </w:r>
        <w:r w:rsidR="000D4A62">
          <w:rPr>
            <w:noProof/>
            <w:webHidden/>
          </w:rPr>
          <w:fldChar w:fldCharType="begin"/>
        </w:r>
        <w:r w:rsidR="000D4A62">
          <w:rPr>
            <w:noProof/>
            <w:webHidden/>
          </w:rPr>
          <w:instrText xml:space="preserve"> PAGEREF _Toc366744148 \h </w:instrText>
        </w:r>
        <w:r w:rsidR="000D4A62">
          <w:rPr>
            <w:noProof/>
            <w:webHidden/>
          </w:rPr>
        </w:r>
        <w:r w:rsidR="000D4A62">
          <w:rPr>
            <w:noProof/>
            <w:webHidden/>
          </w:rPr>
          <w:fldChar w:fldCharType="separate"/>
        </w:r>
        <w:r w:rsidR="00766F82">
          <w:rPr>
            <w:noProof/>
            <w:webHidden/>
          </w:rPr>
          <w:t>15</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49" w:history="1">
        <w:r w:rsidR="000D4A62" w:rsidRPr="0008105F">
          <w:rPr>
            <w:rStyle w:val="Hypertextovprepojenie"/>
            <w:noProof/>
          </w:rPr>
          <w:t>2.3.2</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Financovanie VaI</w:t>
        </w:r>
        <w:r w:rsidR="000D4A62">
          <w:rPr>
            <w:noProof/>
            <w:webHidden/>
          </w:rPr>
          <w:tab/>
        </w:r>
        <w:r w:rsidR="000D4A62">
          <w:rPr>
            <w:noProof/>
            <w:webHidden/>
          </w:rPr>
          <w:fldChar w:fldCharType="begin"/>
        </w:r>
        <w:r w:rsidR="000D4A62">
          <w:rPr>
            <w:noProof/>
            <w:webHidden/>
          </w:rPr>
          <w:instrText xml:space="preserve"> PAGEREF _Toc366744149 \h </w:instrText>
        </w:r>
        <w:r w:rsidR="000D4A62">
          <w:rPr>
            <w:noProof/>
            <w:webHidden/>
          </w:rPr>
        </w:r>
        <w:r w:rsidR="000D4A62">
          <w:rPr>
            <w:noProof/>
            <w:webHidden/>
          </w:rPr>
          <w:fldChar w:fldCharType="separate"/>
        </w:r>
        <w:r w:rsidR="00766F82">
          <w:rPr>
            <w:noProof/>
            <w:webHidden/>
          </w:rPr>
          <w:t>17</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0" w:history="1">
        <w:r w:rsidR="000D4A62" w:rsidRPr="0008105F">
          <w:rPr>
            <w:rStyle w:val="Hypertextovprepojenie"/>
            <w:noProof/>
          </w:rPr>
          <w:t>2.3.3</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Nástroje financovania výskumu a vývoja</w:t>
        </w:r>
        <w:r w:rsidR="000D4A62">
          <w:rPr>
            <w:noProof/>
            <w:webHidden/>
          </w:rPr>
          <w:tab/>
        </w:r>
        <w:r w:rsidR="000D4A62">
          <w:rPr>
            <w:noProof/>
            <w:webHidden/>
          </w:rPr>
          <w:fldChar w:fldCharType="begin"/>
        </w:r>
        <w:r w:rsidR="000D4A62">
          <w:rPr>
            <w:noProof/>
            <w:webHidden/>
          </w:rPr>
          <w:instrText xml:space="preserve"> PAGEREF _Toc366744150 \h </w:instrText>
        </w:r>
        <w:r w:rsidR="000D4A62">
          <w:rPr>
            <w:noProof/>
            <w:webHidden/>
          </w:rPr>
        </w:r>
        <w:r w:rsidR="000D4A62">
          <w:rPr>
            <w:noProof/>
            <w:webHidden/>
          </w:rPr>
          <w:fldChar w:fldCharType="separate"/>
        </w:r>
        <w:r w:rsidR="00766F82">
          <w:rPr>
            <w:noProof/>
            <w:webHidden/>
          </w:rPr>
          <w:t>18</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1" w:history="1">
        <w:r w:rsidR="000D4A62" w:rsidRPr="0008105F">
          <w:rPr>
            <w:rStyle w:val="Hypertextovprepojenie"/>
            <w:noProof/>
          </w:rPr>
          <w:t>2.3.4</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Riadenie inovačného procesu do roku 2013</w:t>
        </w:r>
        <w:r w:rsidR="000D4A62">
          <w:rPr>
            <w:noProof/>
            <w:webHidden/>
          </w:rPr>
          <w:tab/>
        </w:r>
        <w:r w:rsidR="000D4A62">
          <w:rPr>
            <w:noProof/>
            <w:webHidden/>
          </w:rPr>
          <w:fldChar w:fldCharType="begin"/>
        </w:r>
        <w:r w:rsidR="000D4A62">
          <w:rPr>
            <w:noProof/>
            <w:webHidden/>
          </w:rPr>
          <w:instrText xml:space="preserve"> PAGEREF _Toc366744151 \h </w:instrText>
        </w:r>
        <w:r w:rsidR="000D4A62">
          <w:rPr>
            <w:noProof/>
            <w:webHidden/>
          </w:rPr>
        </w:r>
        <w:r w:rsidR="000D4A62">
          <w:rPr>
            <w:noProof/>
            <w:webHidden/>
          </w:rPr>
          <w:fldChar w:fldCharType="separate"/>
        </w:r>
        <w:r w:rsidR="00766F82">
          <w:rPr>
            <w:noProof/>
            <w:webHidden/>
          </w:rPr>
          <w:t>21</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52" w:history="1">
        <w:r w:rsidR="000D4A62" w:rsidRPr="0008105F">
          <w:rPr>
            <w:rStyle w:val="Hypertextovprepojenie"/>
            <w:noProof/>
          </w:rPr>
          <w:t>2.4</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Podnikateľský sektor a inovácie</w:t>
        </w:r>
        <w:r w:rsidR="000D4A62">
          <w:rPr>
            <w:noProof/>
            <w:webHidden/>
          </w:rPr>
          <w:tab/>
        </w:r>
        <w:r w:rsidR="000D4A62">
          <w:rPr>
            <w:noProof/>
            <w:webHidden/>
          </w:rPr>
          <w:fldChar w:fldCharType="begin"/>
        </w:r>
        <w:r w:rsidR="000D4A62">
          <w:rPr>
            <w:noProof/>
            <w:webHidden/>
          </w:rPr>
          <w:instrText xml:space="preserve"> PAGEREF _Toc366744152 \h </w:instrText>
        </w:r>
        <w:r w:rsidR="000D4A62">
          <w:rPr>
            <w:noProof/>
            <w:webHidden/>
          </w:rPr>
        </w:r>
        <w:r w:rsidR="000D4A62">
          <w:rPr>
            <w:noProof/>
            <w:webHidden/>
          </w:rPr>
          <w:fldChar w:fldCharType="separate"/>
        </w:r>
        <w:r w:rsidR="00766F82">
          <w:rPr>
            <w:noProof/>
            <w:webHidden/>
          </w:rPr>
          <w:t>22</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3" w:history="1">
        <w:r w:rsidR="000D4A62" w:rsidRPr="0008105F">
          <w:rPr>
            <w:rStyle w:val="Hypertextovprepojenie"/>
            <w:noProof/>
          </w:rPr>
          <w:t>2.4.1</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Malé a stredné podniky</w:t>
        </w:r>
        <w:r w:rsidR="000D4A62">
          <w:rPr>
            <w:noProof/>
            <w:webHidden/>
          </w:rPr>
          <w:tab/>
        </w:r>
        <w:r w:rsidR="000D4A62">
          <w:rPr>
            <w:noProof/>
            <w:webHidden/>
          </w:rPr>
          <w:fldChar w:fldCharType="begin"/>
        </w:r>
        <w:r w:rsidR="000D4A62">
          <w:rPr>
            <w:noProof/>
            <w:webHidden/>
          </w:rPr>
          <w:instrText xml:space="preserve"> PAGEREF _Toc366744153 \h </w:instrText>
        </w:r>
        <w:r w:rsidR="000D4A62">
          <w:rPr>
            <w:noProof/>
            <w:webHidden/>
          </w:rPr>
        </w:r>
        <w:r w:rsidR="000D4A62">
          <w:rPr>
            <w:noProof/>
            <w:webHidden/>
          </w:rPr>
          <w:fldChar w:fldCharType="separate"/>
        </w:r>
        <w:r w:rsidR="00766F82">
          <w:rPr>
            <w:noProof/>
            <w:webHidden/>
          </w:rPr>
          <w:t>22</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4" w:history="1">
        <w:r w:rsidR="000D4A62" w:rsidRPr="0008105F">
          <w:rPr>
            <w:rStyle w:val="Hypertextovprepojenie"/>
            <w:noProof/>
          </w:rPr>
          <w:t>2.4.2</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Prostredie veľkých podnikov a MSP</w:t>
        </w:r>
        <w:r w:rsidR="000D4A62">
          <w:rPr>
            <w:noProof/>
            <w:webHidden/>
          </w:rPr>
          <w:tab/>
        </w:r>
        <w:r w:rsidR="000D4A62">
          <w:rPr>
            <w:noProof/>
            <w:webHidden/>
          </w:rPr>
          <w:fldChar w:fldCharType="begin"/>
        </w:r>
        <w:r w:rsidR="000D4A62">
          <w:rPr>
            <w:noProof/>
            <w:webHidden/>
          </w:rPr>
          <w:instrText xml:space="preserve"> PAGEREF _Toc366744154 \h </w:instrText>
        </w:r>
        <w:r w:rsidR="000D4A62">
          <w:rPr>
            <w:noProof/>
            <w:webHidden/>
          </w:rPr>
        </w:r>
        <w:r w:rsidR="000D4A62">
          <w:rPr>
            <w:noProof/>
            <w:webHidden/>
          </w:rPr>
          <w:fldChar w:fldCharType="separate"/>
        </w:r>
        <w:r w:rsidR="00766F82">
          <w:rPr>
            <w:noProof/>
            <w:webHidden/>
          </w:rPr>
          <w:t>24</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5" w:history="1">
        <w:r w:rsidR="000D4A62" w:rsidRPr="0008105F">
          <w:rPr>
            <w:rStyle w:val="Hypertextovprepojenie"/>
            <w:noProof/>
          </w:rPr>
          <w:t>2.4.3</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Stav klastrovania na Slovensku</w:t>
        </w:r>
        <w:r w:rsidR="000D4A62">
          <w:rPr>
            <w:noProof/>
            <w:webHidden/>
          </w:rPr>
          <w:tab/>
        </w:r>
        <w:r w:rsidR="000D4A62">
          <w:rPr>
            <w:noProof/>
            <w:webHidden/>
          </w:rPr>
          <w:fldChar w:fldCharType="begin"/>
        </w:r>
        <w:r w:rsidR="000D4A62">
          <w:rPr>
            <w:noProof/>
            <w:webHidden/>
          </w:rPr>
          <w:instrText xml:space="preserve"> PAGEREF _Toc366744155 \h </w:instrText>
        </w:r>
        <w:r w:rsidR="000D4A62">
          <w:rPr>
            <w:noProof/>
            <w:webHidden/>
          </w:rPr>
        </w:r>
        <w:r w:rsidR="000D4A62">
          <w:rPr>
            <w:noProof/>
            <w:webHidden/>
          </w:rPr>
          <w:fldChar w:fldCharType="separate"/>
        </w:r>
        <w:r w:rsidR="00766F82">
          <w:rPr>
            <w:noProof/>
            <w:webHidden/>
          </w:rPr>
          <w:t>25</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6" w:history="1">
        <w:r w:rsidR="000D4A62" w:rsidRPr="0008105F">
          <w:rPr>
            <w:rStyle w:val="Hypertextovprepojenie"/>
            <w:noProof/>
          </w:rPr>
          <w:t>2.4.4</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Bariéry inovačných aktivít v inovujúcich podnikoch</w:t>
        </w:r>
        <w:r w:rsidR="000D4A62">
          <w:rPr>
            <w:noProof/>
            <w:webHidden/>
          </w:rPr>
          <w:tab/>
        </w:r>
        <w:r w:rsidR="000D4A62">
          <w:rPr>
            <w:noProof/>
            <w:webHidden/>
          </w:rPr>
          <w:fldChar w:fldCharType="begin"/>
        </w:r>
        <w:r w:rsidR="000D4A62">
          <w:rPr>
            <w:noProof/>
            <w:webHidden/>
          </w:rPr>
          <w:instrText xml:space="preserve"> PAGEREF _Toc366744156 \h </w:instrText>
        </w:r>
        <w:r w:rsidR="000D4A62">
          <w:rPr>
            <w:noProof/>
            <w:webHidden/>
          </w:rPr>
        </w:r>
        <w:r w:rsidR="000D4A62">
          <w:rPr>
            <w:noProof/>
            <w:webHidden/>
          </w:rPr>
          <w:fldChar w:fldCharType="separate"/>
        </w:r>
        <w:r w:rsidR="00766F82">
          <w:rPr>
            <w:noProof/>
            <w:webHidden/>
          </w:rPr>
          <w:t>26</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7" w:history="1">
        <w:r w:rsidR="000D4A62" w:rsidRPr="0008105F">
          <w:rPr>
            <w:rStyle w:val="Hypertextovprepojenie"/>
            <w:noProof/>
          </w:rPr>
          <w:t>2.4.5</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Rizikový kapitál</w:t>
        </w:r>
        <w:r w:rsidR="000D4A62">
          <w:rPr>
            <w:noProof/>
            <w:webHidden/>
          </w:rPr>
          <w:tab/>
        </w:r>
        <w:r w:rsidR="000D4A62">
          <w:rPr>
            <w:noProof/>
            <w:webHidden/>
          </w:rPr>
          <w:fldChar w:fldCharType="begin"/>
        </w:r>
        <w:r w:rsidR="000D4A62">
          <w:rPr>
            <w:noProof/>
            <w:webHidden/>
          </w:rPr>
          <w:instrText xml:space="preserve"> PAGEREF _Toc366744157 \h </w:instrText>
        </w:r>
        <w:r w:rsidR="000D4A62">
          <w:rPr>
            <w:noProof/>
            <w:webHidden/>
          </w:rPr>
        </w:r>
        <w:r w:rsidR="000D4A62">
          <w:rPr>
            <w:noProof/>
            <w:webHidden/>
          </w:rPr>
          <w:fldChar w:fldCharType="separate"/>
        </w:r>
        <w:r w:rsidR="00766F82">
          <w:rPr>
            <w:noProof/>
            <w:webHidden/>
          </w:rPr>
          <w:t>27</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58" w:history="1">
        <w:r w:rsidR="000D4A62" w:rsidRPr="0008105F">
          <w:rPr>
            <w:rStyle w:val="Hypertextovprepojenie"/>
            <w:noProof/>
          </w:rPr>
          <w:t>2.4.6</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Inkubátory</w:t>
        </w:r>
        <w:r w:rsidR="000D4A62">
          <w:rPr>
            <w:noProof/>
            <w:webHidden/>
          </w:rPr>
          <w:tab/>
        </w:r>
        <w:r w:rsidR="000D4A62">
          <w:rPr>
            <w:noProof/>
            <w:webHidden/>
          </w:rPr>
          <w:fldChar w:fldCharType="begin"/>
        </w:r>
        <w:r w:rsidR="000D4A62">
          <w:rPr>
            <w:noProof/>
            <w:webHidden/>
          </w:rPr>
          <w:instrText xml:space="preserve"> PAGEREF _Toc366744158 \h </w:instrText>
        </w:r>
        <w:r w:rsidR="000D4A62">
          <w:rPr>
            <w:noProof/>
            <w:webHidden/>
          </w:rPr>
        </w:r>
        <w:r w:rsidR="000D4A62">
          <w:rPr>
            <w:noProof/>
            <w:webHidden/>
          </w:rPr>
          <w:fldChar w:fldCharType="separate"/>
        </w:r>
        <w:r w:rsidR="00766F82">
          <w:rPr>
            <w:noProof/>
            <w:webHidden/>
          </w:rPr>
          <w:t>28</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59" w:history="1">
        <w:r w:rsidR="000D4A62" w:rsidRPr="0008105F">
          <w:rPr>
            <w:rStyle w:val="Hypertextovprepojenie"/>
            <w:noProof/>
          </w:rPr>
          <w:t>2.5</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Výskumno-vývojový potenciál Slovenskej republiky</w:t>
        </w:r>
        <w:r w:rsidR="000D4A62">
          <w:rPr>
            <w:noProof/>
            <w:webHidden/>
          </w:rPr>
          <w:tab/>
        </w:r>
        <w:r w:rsidR="000D4A62">
          <w:rPr>
            <w:noProof/>
            <w:webHidden/>
          </w:rPr>
          <w:fldChar w:fldCharType="begin"/>
        </w:r>
        <w:r w:rsidR="000D4A62">
          <w:rPr>
            <w:noProof/>
            <w:webHidden/>
          </w:rPr>
          <w:instrText xml:space="preserve"> PAGEREF _Toc366744159 \h </w:instrText>
        </w:r>
        <w:r w:rsidR="000D4A62">
          <w:rPr>
            <w:noProof/>
            <w:webHidden/>
          </w:rPr>
        </w:r>
        <w:r w:rsidR="000D4A62">
          <w:rPr>
            <w:noProof/>
            <w:webHidden/>
          </w:rPr>
          <w:fldChar w:fldCharType="separate"/>
        </w:r>
        <w:r w:rsidR="00766F82">
          <w:rPr>
            <w:noProof/>
            <w:webHidden/>
          </w:rPr>
          <w:t>29</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0" w:history="1">
        <w:r w:rsidR="000D4A62" w:rsidRPr="0008105F">
          <w:rPr>
            <w:rStyle w:val="Hypertextovprepojenie"/>
            <w:noProof/>
          </w:rPr>
          <w:t>2.5.1</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Slovenská akadémia vied</w:t>
        </w:r>
        <w:r w:rsidR="000D4A62">
          <w:rPr>
            <w:noProof/>
            <w:webHidden/>
          </w:rPr>
          <w:tab/>
        </w:r>
        <w:r w:rsidR="000D4A62">
          <w:rPr>
            <w:noProof/>
            <w:webHidden/>
          </w:rPr>
          <w:fldChar w:fldCharType="begin"/>
        </w:r>
        <w:r w:rsidR="000D4A62">
          <w:rPr>
            <w:noProof/>
            <w:webHidden/>
          </w:rPr>
          <w:instrText xml:space="preserve"> PAGEREF _Toc366744160 \h </w:instrText>
        </w:r>
        <w:r w:rsidR="000D4A62">
          <w:rPr>
            <w:noProof/>
            <w:webHidden/>
          </w:rPr>
        </w:r>
        <w:r w:rsidR="000D4A62">
          <w:rPr>
            <w:noProof/>
            <w:webHidden/>
          </w:rPr>
          <w:fldChar w:fldCharType="separate"/>
        </w:r>
        <w:r w:rsidR="00766F82">
          <w:rPr>
            <w:noProof/>
            <w:webHidden/>
          </w:rPr>
          <w:t>30</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1" w:history="1">
        <w:r w:rsidR="000D4A62" w:rsidRPr="0008105F">
          <w:rPr>
            <w:rStyle w:val="Hypertextovprepojenie"/>
            <w:noProof/>
          </w:rPr>
          <w:t>2.5.2</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Vysoké školy</w:t>
        </w:r>
        <w:r w:rsidR="000D4A62">
          <w:rPr>
            <w:noProof/>
            <w:webHidden/>
          </w:rPr>
          <w:tab/>
        </w:r>
        <w:r w:rsidR="000D4A62">
          <w:rPr>
            <w:noProof/>
            <w:webHidden/>
          </w:rPr>
          <w:fldChar w:fldCharType="begin"/>
        </w:r>
        <w:r w:rsidR="000D4A62">
          <w:rPr>
            <w:noProof/>
            <w:webHidden/>
          </w:rPr>
          <w:instrText xml:space="preserve"> PAGEREF _Toc366744161 \h </w:instrText>
        </w:r>
        <w:r w:rsidR="000D4A62">
          <w:rPr>
            <w:noProof/>
            <w:webHidden/>
          </w:rPr>
        </w:r>
        <w:r w:rsidR="000D4A62">
          <w:rPr>
            <w:noProof/>
            <w:webHidden/>
          </w:rPr>
          <w:fldChar w:fldCharType="separate"/>
        </w:r>
        <w:r w:rsidR="00766F82">
          <w:rPr>
            <w:noProof/>
            <w:webHidden/>
          </w:rPr>
          <w:t>30</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2" w:history="1">
        <w:r w:rsidR="000D4A62" w:rsidRPr="0008105F">
          <w:rPr>
            <w:rStyle w:val="Hypertextovprepojenie"/>
            <w:noProof/>
          </w:rPr>
          <w:t>2.5.3</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Rezortné výskumné organizácie</w:t>
        </w:r>
        <w:r w:rsidR="000D4A62">
          <w:rPr>
            <w:noProof/>
            <w:webHidden/>
          </w:rPr>
          <w:tab/>
        </w:r>
        <w:r w:rsidR="000D4A62">
          <w:rPr>
            <w:noProof/>
            <w:webHidden/>
          </w:rPr>
          <w:fldChar w:fldCharType="begin"/>
        </w:r>
        <w:r w:rsidR="000D4A62">
          <w:rPr>
            <w:noProof/>
            <w:webHidden/>
          </w:rPr>
          <w:instrText xml:space="preserve"> PAGEREF _Toc366744162 \h </w:instrText>
        </w:r>
        <w:r w:rsidR="000D4A62">
          <w:rPr>
            <w:noProof/>
            <w:webHidden/>
          </w:rPr>
        </w:r>
        <w:r w:rsidR="000D4A62">
          <w:rPr>
            <w:noProof/>
            <w:webHidden/>
          </w:rPr>
          <w:fldChar w:fldCharType="separate"/>
        </w:r>
        <w:r w:rsidR="00766F82">
          <w:rPr>
            <w:noProof/>
            <w:webHidden/>
          </w:rPr>
          <w:t>31</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3" w:history="1">
        <w:r w:rsidR="000D4A62" w:rsidRPr="0008105F">
          <w:rPr>
            <w:rStyle w:val="Hypertextovprepojenie"/>
            <w:noProof/>
          </w:rPr>
          <w:t>2.5.4</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Vedecká výkonnosť výskumných inštitúcií</w:t>
        </w:r>
        <w:r w:rsidR="000D4A62">
          <w:rPr>
            <w:noProof/>
            <w:webHidden/>
          </w:rPr>
          <w:tab/>
        </w:r>
        <w:r w:rsidR="000D4A62">
          <w:rPr>
            <w:noProof/>
            <w:webHidden/>
          </w:rPr>
          <w:fldChar w:fldCharType="begin"/>
        </w:r>
        <w:r w:rsidR="000D4A62">
          <w:rPr>
            <w:noProof/>
            <w:webHidden/>
          </w:rPr>
          <w:instrText xml:space="preserve"> PAGEREF _Toc366744163 \h </w:instrText>
        </w:r>
        <w:r w:rsidR="000D4A62">
          <w:rPr>
            <w:noProof/>
            <w:webHidden/>
          </w:rPr>
        </w:r>
        <w:r w:rsidR="000D4A62">
          <w:rPr>
            <w:noProof/>
            <w:webHidden/>
          </w:rPr>
          <w:fldChar w:fldCharType="separate"/>
        </w:r>
        <w:r w:rsidR="00766F82">
          <w:rPr>
            <w:noProof/>
            <w:webHidden/>
          </w:rPr>
          <w:t>33</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4" w:history="1">
        <w:r w:rsidR="000D4A62" w:rsidRPr="0008105F">
          <w:rPr>
            <w:rStyle w:val="Hypertextovprepojenie"/>
            <w:noProof/>
          </w:rPr>
          <w:t>2.5.5</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Účasť SR v Európskom výskumnom priestore</w:t>
        </w:r>
        <w:r w:rsidR="000D4A62">
          <w:rPr>
            <w:noProof/>
            <w:webHidden/>
          </w:rPr>
          <w:tab/>
        </w:r>
        <w:r w:rsidR="000D4A62">
          <w:rPr>
            <w:noProof/>
            <w:webHidden/>
          </w:rPr>
          <w:fldChar w:fldCharType="begin"/>
        </w:r>
        <w:r w:rsidR="000D4A62">
          <w:rPr>
            <w:noProof/>
            <w:webHidden/>
          </w:rPr>
          <w:instrText xml:space="preserve"> PAGEREF _Toc366744164 \h </w:instrText>
        </w:r>
        <w:r w:rsidR="000D4A62">
          <w:rPr>
            <w:noProof/>
            <w:webHidden/>
          </w:rPr>
        </w:r>
        <w:r w:rsidR="000D4A62">
          <w:rPr>
            <w:noProof/>
            <w:webHidden/>
          </w:rPr>
          <w:fldChar w:fldCharType="separate"/>
        </w:r>
        <w:r w:rsidR="00766F82">
          <w:rPr>
            <w:noProof/>
            <w:webHidden/>
          </w:rPr>
          <w:t>34</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5" w:history="1">
        <w:r w:rsidR="000D4A62" w:rsidRPr="0008105F">
          <w:rPr>
            <w:rStyle w:val="Hypertextovprepojenie"/>
            <w:noProof/>
          </w:rPr>
          <w:t>2.5.6.</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Infraštruktúra a výskumné kapacity</w:t>
        </w:r>
        <w:r w:rsidR="000D4A62">
          <w:rPr>
            <w:noProof/>
            <w:webHidden/>
          </w:rPr>
          <w:tab/>
        </w:r>
        <w:r w:rsidR="000D4A62">
          <w:rPr>
            <w:noProof/>
            <w:webHidden/>
          </w:rPr>
          <w:fldChar w:fldCharType="begin"/>
        </w:r>
        <w:r w:rsidR="000D4A62">
          <w:rPr>
            <w:noProof/>
            <w:webHidden/>
          </w:rPr>
          <w:instrText xml:space="preserve"> PAGEREF _Toc366744165 \h </w:instrText>
        </w:r>
        <w:r w:rsidR="000D4A62">
          <w:rPr>
            <w:noProof/>
            <w:webHidden/>
          </w:rPr>
        </w:r>
        <w:r w:rsidR="000D4A62">
          <w:rPr>
            <w:noProof/>
            <w:webHidden/>
          </w:rPr>
          <w:fldChar w:fldCharType="separate"/>
        </w:r>
        <w:r w:rsidR="00766F82">
          <w:rPr>
            <w:noProof/>
            <w:webHidden/>
          </w:rPr>
          <w:t>36</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66" w:history="1">
        <w:r w:rsidR="000D4A62" w:rsidRPr="0008105F">
          <w:rPr>
            <w:rStyle w:val="Hypertextovprepojenie"/>
            <w:noProof/>
          </w:rPr>
          <w:t>2.6</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Analýza oblastí vedy a výskumu v SR</w:t>
        </w:r>
        <w:r w:rsidR="000D4A62">
          <w:rPr>
            <w:noProof/>
            <w:webHidden/>
          </w:rPr>
          <w:tab/>
        </w:r>
        <w:r w:rsidR="000D4A62">
          <w:rPr>
            <w:noProof/>
            <w:webHidden/>
          </w:rPr>
          <w:fldChar w:fldCharType="begin"/>
        </w:r>
        <w:r w:rsidR="000D4A62">
          <w:rPr>
            <w:noProof/>
            <w:webHidden/>
          </w:rPr>
          <w:instrText xml:space="preserve"> PAGEREF _Toc366744166 \h </w:instrText>
        </w:r>
        <w:r w:rsidR="000D4A62">
          <w:rPr>
            <w:noProof/>
            <w:webHidden/>
          </w:rPr>
        </w:r>
        <w:r w:rsidR="000D4A62">
          <w:rPr>
            <w:noProof/>
            <w:webHidden/>
          </w:rPr>
          <w:fldChar w:fldCharType="separate"/>
        </w:r>
        <w:r w:rsidR="00766F82">
          <w:rPr>
            <w:noProof/>
            <w:webHidden/>
          </w:rPr>
          <w:t>40</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7" w:history="1">
        <w:r w:rsidR="000D4A62" w:rsidRPr="0008105F">
          <w:rPr>
            <w:rStyle w:val="Hypertextovprepojenie"/>
            <w:noProof/>
          </w:rPr>
          <w:t>2.6.1.</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Priority výskumu a vývoja</w:t>
        </w:r>
        <w:r w:rsidR="000D4A62">
          <w:rPr>
            <w:noProof/>
            <w:webHidden/>
          </w:rPr>
          <w:tab/>
        </w:r>
        <w:r w:rsidR="000D4A62">
          <w:rPr>
            <w:noProof/>
            <w:webHidden/>
          </w:rPr>
          <w:fldChar w:fldCharType="begin"/>
        </w:r>
        <w:r w:rsidR="000D4A62">
          <w:rPr>
            <w:noProof/>
            <w:webHidden/>
          </w:rPr>
          <w:instrText xml:space="preserve"> PAGEREF _Toc366744167 \h </w:instrText>
        </w:r>
        <w:r w:rsidR="000D4A62">
          <w:rPr>
            <w:noProof/>
            <w:webHidden/>
          </w:rPr>
        </w:r>
        <w:r w:rsidR="000D4A62">
          <w:rPr>
            <w:noProof/>
            <w:webHidden/>
          </w:rPr>
          <w:fldChar w:fldCharType="separate"/>
        </w:r>
        <w:r w:rsidR="00766F82">
          <w:rPr>
            <w:noProof/>
            <w:webHidden/>
          </w:rPr>
          <w:t>42</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8" w:history="1">
        <w:r w:rsidR="000D4A62" w:rsidRPr="0008105F">
          <w:rPr>
            <w:rStyle w:val="Hypertextovprepojenie"/>
            <w:noProof/>
          </w:rPr>
          <w:t>2.6.2.</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Technologické priority</w:t>
        </w:r>
        <w:r w:rsidR="000D4A62">
          <w:rPr>
            <w:noProof/>
            <w:webHidden/>
          </w:rPr>
          <w:tab/>
        </w:r>
        <w:r w:rsidR="000D4A62">
          <w:rPr>
            <w:noProof/>
            <w:webHidden/>
          </w:rPr>
          <w:fldChar w:fldCharType="begin"/>
        </w:r>
        <w:r w:rsidR="000D4A62">
          <w:rPr>
            <w:noProof/>
            <w:webHidden/>
          </w:rPr>
          <w:instrText xml:space="preserve"> PAGEREF _Toc366744168 \h </w:instrText>
        </w:r>
        <w:r w:rsidR="000D4A62">
          <w:rPr>
            <w:noProof/>
            <w:webHidden/>
          </w:rPr>
        </w:r>
        <w:r w:rsidR="000D4A62">
          <w:rPr>
            <w:noProof/>
            <w:webHidden/>
          </w:rPr>
          <w:fldChar w:fldCharType="separate"/>
        </w:r>
        <w:r w:rsidR="00766F82">
          <w:rPr>
            <w:noProof/>
            <w:webHidden/>
          </w:rPr>
          <w:t>42</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69" w:history="1">
        <w:r w:rsidR="000D4A62" w:rsidRPr="0008105F">
          <w:rPr>
            <w:rStyle w:val="Hypertextovprepojenie"/>
            <w:noProof/>
          </w:rPr>
          <w:t>2.6.3.</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Spoločenské priority</w:t>
        </w:r>
        <w:r w:rsidR="000D4A62">
          <w:rPr>
            <w:noProof/>
            <w:webHidden/>
          </w:rPr>
          <w:tab/>
        </w:r>
        <w:r w:rsidR="000D4A62">
          <w:rPr>
            <w:noProof/>
            <w:webHidden/>
          </w:rPr>
          <w:fldChar w:fldCharType="begin"/>
        </w:r>
        <w:r w:rsidR="000D4A62">
          <w:rPr>
            <w:noProof/>
            <w:webHidden/>
          </w:rPr>
          <w:instrText xml:space="preserve"> PAGEREF _Toc366744169 \h </w:instrText>
        </w:r>
        <w:r w:rsidR="000D4A62">
          <w:rPr>
            <w:noProof/>
            <w:webHidden/>
          </w:rPr>
        </w:r>
        <w:r w:rsidR="000D4A62">
          <w:rPr>
            <w:noProof/>
            <w:webHidden/>
          </w:rPr>
          <w:fldChar w:fldCharType="separate"/>
        </w:r>
        <w:r w:rsidR="00766F82">
          <w:rPr>
            <w:noProof/>
            <w:webHidden/>
          </w:rPr>
          <w:t>43</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70" w:history="1">
        <w:r w:rsidR="000D4A62" w:rsidRPr="0008105F">
          <w:rPr>
            <w:rStyle w:val="Hypertextovprepojenie"/>
            <w:noProof/>
          </w:rPr>
          <w:t>2.7.</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Ľudské zdroje</w:t>
        </w:r>
        <w:r w:rsidR="000D4A62">
          <w:rPr>
            <w:noProof/>
            <w:webHidden/>
          </w:rPr>
          <w:tab/>
        </w:r>
        <w:r w:rsidR="000D4A62">
          <w:rPr>
            <w:noProof/>
            <w:webHidden/>
          </w:rPr>
          <w:fldChar w:fldCharType="begin"/>
        </w:r>
        <w:r w:rsidR="000D4A62">
          <w:rPr>
            <w:noProof/>
            <w:webHidden/>
          </w:rPr>
          <w:instrText xml:space="preserve"> PAGEREF _Toc366744170 \h </w:instrText>
        </w:r>
        <w:r w:rsidR="000D4A62">
          <w:rPr>
            <w:noProof/>
            <w:webHidden/>
          </w:rPr>
        </w:r>
        <w:r w:rsidR="000D4A62">
          <w:rPr>
            <w:noProof/>
            <w:webHidden/>
          </w:rPr>
          <w:fldChar w:fldCharType="separate"/>
        </w:r>
        <w:r w:rsidR="00766F82">
          <w:rPr>
            <w:noProof/>
            <w:webHidden/>
          </w:rPr>
          <w:t>43</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71" w:history="1">
        <w:r w:rsidR="000D4A62" w:rsidRPr="0008105F">
          <w:rPr>
            <w:rStyle w:val="Hypertextovprepojenie"/>
            <w:noProof/>
          </w:rPr>
          <w:t>2.7.1.</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Starnutie populácie</w:t>
        </w:r>
        <w:r w:rsidR="000D4A62">
          <w:rPr>
            <w:noProof/>
            <w:webHidden/>
          </w:rPr>
          <w:tab/>
        </w:r>
        <w:r w:rsidR="000D4A62">
          <w:rPr>
            <w:noProof/>
            <w:webHidden/>
          </w:rPr>
          <w:fldChar w:fldCharType="begin"/>
        </w:r>
        <w:r w:rsidR="000D4A62">
          <w:rPr>
            <w:noProof/>
            <w:webHidden/>
          </w:rPr>
          <w:instrText xml:space="preserve"> PAGEREF _Toc366744171 \h </w:instrText>
        </w:r>
        <w:r w:rsidR="000D4A62">
          <w:rPr>
            <w:noProof/>
            <w:webHidden/>
          </w:rPr>
        </w:r>
        <w:r w:rsidR="000D4A62">
          <w:rPr>
            <w:noProof/>
            <w:webHidden/>
          </w:rPr>
          <w:fldChar w:fldCharType="separate"/>
        </w:r>
        <w:r w:rsidR="00766F82">
          <w:rPr>
            <w:noProof/>
            <w:webHidden/>
          </w:rPr>
          <w:t>44</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72" w:history="1">
        <w:r w:rsidR="000D4A62" w:rsidRPr="0008105F">
          <w:rPr>
            <w:rStyle w:val="Hypertextovprepojenie"/>
            <w:noProof/>
          </w:rPr>
          <w:t>2.7.2.</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Základné a stredné školy</w:t>
        </w:r>
        <w:r w:rsidR="000D4A62">
          <w:rPr>
            <w:noProof/>
            <w:webHidden/>
          </w:rPr>
          <w:tab/>
        </w:r>
        <w:r w:rsidR="000D4A62">
          <w:rPr>
            <w:noProof/>
            <w:webHidden/>
          </w:rPr>
          <w:fldChar w:fldCharType="begin"/>
        </w:r>
        <w:r w:rsidR="000D4A62">
          <w:rPr>
            <w:noProof/>
            <w:webHidden/>
          </w:rPr>
          <w:instrText xml:space="preserve"> PAGEREF _Toc366744172 \h </w:instrText>
        </w:r>
        <w:r w:rsidR="000D4A62">
          <w:rPr>
            <w:noProof/>
            <w:webHidden/>
          </w:rPr>
        </w:r>
        <w:r w:rsidR="000D4A62">
          <w:rPr>
            <w:noProof/>
            <w:webHidden/>
          </w:rPr>
          <w:fldChar w:fldCharType="separate"/>
        </w:r>
        <w:r w:rsidR="00766F82">
          <w:rPr>
            <w:noProof/>
            <w:webHidden/>
          </w:rPr>
          <w:t>45</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73" w:history="1">
        <w:r w:rsidR="000D4A62" w:rsidRPr="0008105F">
          <w:rPr>
            <w:rStyle w:val="Hypertextovprepojenie"/>
            <w:noProof/>
          </w:rPr>
          <w:t>2.7.3.</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Vysoké školy</w:t>
        </w:r>
        <w:r w:rsidR="000D4A62">
          <w:rPr>
            <w:noProof/>
            <w:webHidden/>
          </w:rPr>
          <w:tab/>
        </w:r>
        <w:r w:rsidR="000D4A62">
          <w:rPr>
            <w:noProof/>
            <w:webHidden/>
          </w:rPr>
          <w:fldChar w:fldCharType="begin"/>
        </w:r>
        <w:r w:rsidR="000D4A62">
          <w:rPr>
            <w:noProof/>
            <w:webHidden/>
          </w:rPr>
          <w:instrText xml:space="preserve"> PAGEREF _Toc366744173 \h </w:instrText>
        </w:r>
        <w:r w:rsidR="000D4A62">
          <w:rPr>
            <w:noProof/>
            <w:webHidden/>
          </w:rPr>
        </w:r>
        <w:r w:rsidR="000D4A62">
          <w:rPr>
            <w:noProof/>
            <w:webHidden/>
          </w:rPr>
          <w:fldChar w:fldCharType="separate"/>
        </w:r>
        <w:r w:rsidR="00766F82">
          <w:rPr>
            <w:noProof/>
            <w:webHidden/>
          </w:rPr>
          <w:t>46</w:t>
        </w:r>
        <w:r w:rsidR="000D4A62">
          <w:rPr>
            <w:noProof/>
            <w:webHidden/>
          </w:rPr>
          <w:fldChar w:fldCharType="end"/>
        </w:r>
      </w:hyperlink>
    </w:p>
    <w:p w:rsidR="000D4A62" w:rsidRDefault="00605222">
      <w:pPr>
        <w:pStyle w:val="Obsah3"/>
        <w:tabs>
          <w:tab w:val="left" w:pos="1000"/>
          <w:tab w:val="right" w:pos="9060"/>
        </w:tabs>
        <w:rPr>
          <w:rFonts w:asciiTheme="minorHAnsi" w:eastAsiaTheme="minorEastAsia" w:hAnsiTheme="minorHAnsi" w:cstheme="minorBidi"/>
          <w:noProof/>
          <w:sz w:val="22"/>
          <w:szCs w:val="22"/>
          <w:lang w:eastAsia="sk-SK"/>
        </w:rPr>
      </w:pPr>
      <w:hyperlink w:anchor="_Toc366744174" w:history="1">
        <w:r w:rsidR="000D4A62" w:rsidRPr="0008105F">
          <w:rPr>
            <w:rStyle w:val="Hypertextovprepojenie"/>
            <w:noProof/>
          </w:rPr>
          <w:t>2.7.4.</w:t>
        </w:r>
        <w:r w:rsidR="000D4A62">
          <w:rPr>
            <w:rFonts w:asciiTheme="minorHAnsi" w:eastAsiaTheme="minorEastAsia" w:hAnsiTheme="minorHAnsi" w:cstheme="minorBidi"/>
            <w:noProof/>
            <w:sz w:val="22"/>
            <w:szCs w:val="22"/>
            <w:lang w:eastAsia="sk-SK"/>
          </w:rPr>
          <w:tab/>
        </w:r>
        <w:r w:rsidR="000D4A62" w:rsidRPr="0008105F">
          <w:rPr>
            <w:rStyle w:val="Hypertextovprepojenie"/>
            <w:noProof/>
          </w:rPr>
          <w:t>Ďalšie vzdelávanie</w:t>
        </w:r>
        <w:r w:rsidR="000D4A62">
          <w:rPr>
            <w:noProof/>
            <w:webHidden/>
          </w:rPr>
          <w:tab/>
        </w:r>
        <w:r w:rsidR="000D4A62">
          <w:rPr>
            <w:noProof/>
            <w:webHidden/>
          </w:rPr>
          <w:fldChar w:fldCharType="begin"/>
        </w:r>
        <w:r w:rsidR="000D4A62">
          <w:rPr>
            <w:noProof/>
            <w:webHidden/>
          </w:rPr>
          <w:instrText xml:space="preserve"> PAGEREF _Toc366744174 \h </w:instrText>
        </w:r>
        <w:r w:rsidR="000D4A62">
          <w:rPr>
            <w:noProof/>
            <w:webHidden/>
          </w:rPr>
        </w:r>
        <w:r w:rsidR="000D4A62">
          <w:rPr>
            <w:noProof/>
            <w:webHidden/>
          </w:rPr>
          <w:fldChar w:fldCharType="separate"/>
        </w:r>
        <w:r w:rsidR="00766F82">
          <w:rPr>
            <w:noProof/>
            <w:webHidden/>
          </w:rPr>
          <w:t>48</w:t>
        </w:r>
        <w:r w:rsidR="000D4A62">
          <w:rPr>
            <w:noProof/>
            <w:webHidden/>
          </w:rPr>
          <w:fldChar w:fldCharType="end"/>
        </w:r>
      </w:hyperlink>
    </w:p>
    <w:p w:rsidR="000D4A62" w:rsidRDefault="00605222">
      <w:pPr>
        <w:pStyle w:val="Obsah1"/>
        <w:tabs>
          <w:tab w:val="left" w:pos="400"/>
          <w:tab w:val="right" w:pos="9060"/>
        </w:tabs>
        <w:rPr>
          <w:rFonts w:asciiTheme="minorHAnsi" w:eastAsiaTheme="minorEastAsia" w:hAnsiTheme="minorHAnsi" w:cstheme="minorBidi"/>
          <w:b w:val="0"/>
          <w:bCs w:val="0"/>
          <w:caps w:val="0"/>
          <w:noProof/>
          <w:sz w:val="22"/>
          <w:szCs w:val="22"/>
          <w:lang w:eastAsia="sk-SK"/>
        </w:rPr>
      </w:pPr>
      <w:hyperlink w:anchor="_Toc366744175" w:history="1">
        <w:r w:rsidR="000D4A62" w:rsidRPr="0008105F">
          <w:rPr>
            <w:rStyle w:val="Hypertextovprepojenie"/>
            <w:noProof/>
          </w:rPr>
          <w:t>3</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SWOT analýza</w:t>
        </w:r>
        <w:r w:rsidR="000D4A62">
          <w:rPr>
            <w:noProof/>
            <w:webHidden/>
          </w:rPr>
          <w:tab/>
        </w:r>
        <w:r w:rsidR="000D4A62">
          <w:rPr>
            <w:noProof/>
            <w:webHidden/>
          </w:rPr>
          <w:fldChar w:fldCharType="begin"/>
        </w:r>
        <w:r w:rsidR="000D4A62">
          <w:rPr>
            <w:noProof/>
            <w:webHidden/>
          </w:rPr>
          <w:instrText xml:space="preserve"> PAGEREF _Toc366744175 \h </w:instrText>
        </w:r>
        <w:r w:rsidR="000D4A62">
          <w:rPr>
            <w:noProof/>
            <w:webHidden/>
          </w:rPr>
        </w:r>
        <w:r w:rsidR="000D4A62">
          <w:rPr>
            <w:noProof/>
            <w:webHidden/>
          </w:rPr>
          <w:fldChar w:fldCharType="separate"/>
        </w:r>
        <w:r w:rsidR="00766F82">
          <w:rPr>
            <w:noProof/>
            <w:webHidden/>
          </w:rPr>
          <w:t>49</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76" w:history="1">
        <w:r w:rsidR="000D4A62" w:rsidRPr="0008105F">
          <w:rPr>
            <w:rStyle w:val="Hypertextovprepojenie"/>
            <w:noProof/>
          </w:rPr>
          <w:t>3.1.</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SWOT Analýza</w:t>
        </w:r>
        <w:r w:rsidR="000D4A62">
          <w:rPr>
            <w:noProof/>
            <w:webHidden/>
          </w:rPr>
          <w:tab/>
        </w:r>
        <w:r w:rsidR="000D4A62">
          <w:rPr>
            <w:noProof/>
            <w:webHidden/>
          </w:rPr>
          <w:fldChar w:fldCharType="begin"/>
        </w:r>
        <w:r w:rsidR="000D4A62">
          <w:rPr>
            <w:noProof/>
            <w:webHidden/>
          </w:rPr>
          <w:instrText xml:space="preserve"> PAGEREF _Toc366744176 \h </w:instrText>
        </w:r>
        <w:r w:rsidR="000D4A62">
          <w:rPr>
            <w:noProof/>
            <w:webHidden/>
          </w:rPr>
        </w:r>
        <w:r w:rsidR="000D4A62">
          <w:rPr>
            <w:noProof/>
            <w:webHidden/>
          </w:rPr>
          <w:fldChar w:fldCharType="separate"/>
        </w:r>
        <w:r w:rsidR="00766F82">
          <w:rPr>
            <w:noProof/>
            <w:webHidden/>
          </w:rPr>
          <w:t>49</w:t>
        </w:r>
        <w:r w:rsidR="000D4A62">
          <w:rPr>
            <w:noProof/>
            <w:webHidden/>
          </w:rPr>
          <w:fldChar w:fldCharType="end"/>
        </w:r>
      </w:hyperlink>
    </w:p>
    <w:p w:rsidR="000D4A62" w:rsidRDefault="00605222">
      <w:pPr>
        <w:pStyle w:val="Obsah1"/>
        <w:tabs>
          <w:tab w:val="left" w:pos="600"/>
          <w:tab w:val="right" w:pos="9060"/>
        </w:tabs>
        <w:rPr>
          <w:rFonts w:asciiTheme="minorHAnsi" w:eastAsiaTheme="minorEastAsia" w:hAnsiTheme="minorHAnsi" w:cstheme="minorBidi"/>
          <w:b w:val="0"/>
          <w:bCs w:val="0"/>
          <w:caps w:val="0"/>
          <w:noProof/>
          <w:sz w:val="22"/>
          <w:szCs w:val="22"/>
          <w:lang w:eastAsia="sk-SK"/>
        </w:rPr>
      </w:pPr>
      <w:hyperlink w:anchor="_Toc366744177" w:history="1">
        <w:r w:rsidR="000D4A62" w:rsidRPr="0008105F">
          <w:rPr>
            <w:rStyle w:val="Hypertextovprepojenie"/>
            <w:noProof/>
          </w:rPr>
          <w:t>4.</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Identifikácia oblastí špecializácie SR pre RIS3</w:t>
        </w:r>
        <w:r w:rsidR="000D4A62">
          <w:rPr>
            <w:noProof/>
            <w:webHidden/>
          </w:rPr>
          <w:tab/>
        </w:r>
        <w:r w:rsidR="000D4A62">
          <w:rPr>
            <w:noProof/>
            <w:webHidden/>
          </w:rPr>
          <w:fldChar w:fldCharType="begin"/>
        </w:r>
        <w:r w:rsidR="000D4A62">
          <w:rPr>
            <w:noProof/>
            <w:webHidden/>
          </w:rPr>
          <w:instrText xml:space="preserve"> PAGEREF _Toc366744177 \h </w:instrText>
        </w:r>
        <w:r w:rsidR="000D4A62">
          <w:rPr>
            <w:noProof/>
            <w:webHidden/>
          </w:rPr>
        </w:r>
        <w:r w:rsidR="000D4A62">
          <w:rPr>
            <w:noProof/>
            <w:webHidden/>
          </w:rPr>
          <w:fldChar w:fldCharType="separate"/>
        </w:r>
        <w:r w:rsidR="00766F82">
          <w:rPr>
            <w:noProof/>
            <w:webHidden/>
          </w:rPr>
          <w:t>51</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78" w:history="1">
        <w:r w:rsidR="000D4A62" w:rsidRPr="0008105F">
          <w:rPr>
            <w:rStyle w:val="Hypertextovprepojenie"/>
            <w:noProof/>
          </w:rPr>
          <w:t>4.1.</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Oblasti hospodárskej špecializácie</w:t>
        </w:r>
        <w:r w:rsidR="000D4A62">
          <w:rPr>
            <w:noProof/>
            <w:webHidden/>
          </w:rPr>
          <w:tab/>
        </w:r>
        <w:r w:rsidR="000D4A62">
          <w:rPr>
            <w:noProof/>
            <w:webHidden/>
          </w:rPr>
          <w:fldChar w:fldCharType="begin"/>
        </w:r>
        <w:r w:rsidR="000D4A62">
          <w:rPr>
            <w:noProof/>
            <w:webHidden/>
          </w:rPr>
          <w:instrText xml:space="preserve"> PAGEREF _Toc366744178 \h </w:instrText>
        </w:r>
        <w:r w:rsidR="000D4A62">
          <w:rPr>
            <w:noProof/>
            <w:webHidden/>
          </w:rPr>
        </w:r>
        <w:r w:rsidR="000D4A62">
          <w:rPr>
            <w:noProof/>
            <w:webHidden/>
          </w:rPr>
          <w:fldChar w:fldCharType="separate"/>
        </w:r>
        <w:r w:rsidR="00766F82">
          <w:rPr>
            <w:noProof/>
            <w:webHidden/>
          </w:rPr>
          <w:t>51</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79" w:history="1">
        <w:r w:rsidR="000D4A62" w:rsidRPr="0008105F">
          <w:rPr>
            <w:rStyle w:val="Hypertextovprepojenie"/>
            <w:noProof/>
          </w:rPr>
          <w:t>4.2.</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Perspektívne oblasti špecializácie</w:t>
        </w:r>
        <w:r w:rsidR="000D4A62">
          <w:rPr>
            <w:noProof/>
            <w:webHidden/>
          </w:rPr>
          <w:tab/>
        </w:r>
        <w:r w:rsidR="000D4A62">
          <w:rPr>
            <w:noProof/>
            <w:webHidden/>
          </w:rPr>
          <w:fldChar w:fldCharType="begin"/>
        </w:r>
        <w:r w:rsidR="000D4A62">
          <w:rPr>
            <w:noProof/>
            <w:webHidden/>
          </w:rPr>
          <w:instrText xml:space="preserve"> PAGEREF _Toc366744179 \h </w:instrText>
        </w:r>
        <w:r w:rsidR="000D4A62">
          <w:rPr>
            <w:noProof/>
            <w:webHidden/>
          </w:rPr>
        </w:r>
        <w:r w:rsidR="000D4A62">
          <w:rPr>
            <w:noProof/>
            <w:webHidden/>
          </w:rPr>
          <w:fldChar w:fldCharType="separate"/>
        </w:r>
        <w:r w:rsidR="00766F82">
          <w:rPr>
            <w:noProof/>
            <w:webHidden/>
          </w:rPr>
          <w:t>51</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80" w:history="1">
        <w:r w:rsidR="000D4A62" w:rsidRPr="0008105F">
          <w:rPr>
            <w:rStyle w:val="Hypertextovprepojenie"/>
            <w:noProof/>
          </w:rPr>
          <w:t>4.3.</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Oblasti špecializácie z hľadiska dostupných vedeckých a výskumných kapacít</w:t>
        </w:r>
        <w:r w:rsidR="000D4A62">
          <w:rPr>
            <w:noProof/>
            <w:webHidden/>
          </w:rPr>
          <w:tab/>
        </w:r>
        <w:r w:rsidR="000D4A62">
          <w:rPr>
            <w:noProof/>
            <w:webHidden/>
          </w:rPr>
          <w:fldChar w:fldCharType="begin"/>
        </w:r>
        <w:r w:rsidR="000D4A62">
          <w:rPr>
            <w:noProof/>
            <w:webHidden/>
          </w:rPr>
          <w:instrText xml:space="preserve"> PAGEREF _Toc366744180 \h </w:instrText>
        </w:r>
        <w:r w:rsidR="000D4A62">
          <w:rPr>
            <w:noProof/>
            <w:webHidden/>
          </w:rPr>
        </w:r>
        <w:r w:rsidR="000D4A62">
          <w:rPr>
            <w:noProof/>
            <w:webHidden/>
          </w:rPr>
          <w:fldChar w:fldCharType="separate"/>
        </w:r>
        <w:r w:rsidR="00766F82">
          <w:rPr>
            <w:noProof/>
            <w:webHidden/>
          </w:rPr>
          <w:t>52</w:t>
        </w:r>
        <w:r w:rsidR="000D4A62">
          <w:rPr>
            <w:noProof/>
            <w:webHidden/>
          </w:rPr>
          <w:fldChar w:fldCharType="end"/>
        </w:r>
      </w:hyperlink>
    </w:p>
    <w:p w:rsidR="000D4A62" w:rsidRDefault="00605222">
      <w:pPr>
        <w:pStyle w:val="Obsah1"/>
        <w:tabs>
          <w:tab w:val="left" w:pos="600"/>
          <w:tab w:val="right" w:pos="9060"/>
        </w:tabs>
        <w:rPr>
          <w:rFonts w:asciiTheme="minorHAnsi" w:eastAsiaTheme="minorEastAsia" w:hAnsiTheme="minorHAnsi" w:cstheme="minorBidi"/>
          <w:b w:val="0"/>
          <w:bCs w:val="0"/>
          <w:caps w:val="0"/>
          <w:noProof/>
          <w:sz w:val="22"/>
          <w:szCs w:val="22"/>
          <w:lang w:eastAsia="sk-SK"/>
        </w:rPr>
      </w:pPr>
      <w:hyperlink w:anchor="_Toc366744181" w:history="1">
        <w:r w:rsidR="000D4A62" w:rsidRPr="0008105F">
          <w:rPr>
            <w:rStyle w:val="Hypertextovprepojenie"/>
            <w:noProof/>
          </w:rPr>
          <w:t>5.</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VEREJNÁ SPRÁVA (GOVERNANCE) RIADENIA PROCESOV TVORBY A IMPLEMENTÁCIE RIS3</w:t>
        </w:r>
        <w:r w:rsidR="000D4A62">
          <w:rPr>
            <w:noProof/>
            <w:webHidden/>
          </w:rPr>
          <w:tab/>
        </w:r>
        <w:r w:rsidR="000D4A62">
          <w:rPr>
            <w:noProof/>
            <w:webHidden/>
          </w:rPr>
          <w:fldChar w:fldCharType="begin"/>
        </w:r>
        <w:r w:rsidR="000D4A62">
          <w:rPr>
            <w:noProof/>
            <w:webHidden/>
          </w:rPr>
          <w:instrText xml:space="preserve"> PAGEREF _Toc366744181 \h </w:instrText>
        </w:r>
        <w:r w:rsidR="000D4A62">
          <w:rPr>
            <w:noProof/>
            <w:webHidden/>
          </w:rPr>
        </w:r>
        <w:r w:rsidR="000D4A62">
          <w:rPr>
            <w:noProof/>
            <w:webHidden/>
          </w:rPr>
          <w:fldChar w:fldCharType="separate"/>
        </w:r>
        <w:r w:rsidR="00766F82">
          <w:rPr>
            <w:noProof/>
            <w:webHidden/>
          </w:rPr>
          <w:t>53</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82" w:history="1">
        <w:r w:rsidR="000D4A62" w:rsidRPr="0008105F">
          <w:rPr>
            <w:rStyle w:val="Hypertextovprepojenie"/>
            <w:noProof/>
          </w:rPr>
          <w:t>5.1.</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Tvorba RIS3</w:t>
        </w:r>
        <w:r w:rsidR="000D4A62">
          <w:rPr>
            <w:noProof/>
            <w:webHidden/>
          </w:rPr>
          <w:tab/>
        </w:r>
        <w:r w:rsidR="000D4A62">
          <w:rPr>
            <w:noProof/>
            <w:webHidden/>
          </w:rPr>
          <w:fldChar w:fldCharType="begin"/>
        </w:r>
        <w:r w:rsidR="000D4A62">
          <w:rPr>
            <w:noProof/>
            <w:webHidden/>
          </w:rPr>
          <w:instrText xml:space="preserve"> PAGEREF _Toc366744182 \h </w:instrText>
        </w:r>
        <w:r w:rsidR="000D4A62">
          <w:rPr>
            <w:noProof/>
            <w:webHidden/>
          </w:rPr>
        </w:r>
        <w:r w:rsidR="000D4A62">
          <w:rPr>
            <w:noProof/>
            <w:webHidden/>
          </w:rPr>
          <w:fldChar w:fldCharType="separate"/>
        </w:r>
        <w:r w:rsidR="00766F82">
          <w:rPr>
            <w:noProof/>
            <w:webHidden/>
          </w:rPr>
          <w:t>53</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83" w:history="1">
        <w:r w:rsidR="000D4A62" w:rsidRPr="0008105F">
          <w:rPr>
            <w:rStyle w:val="Hypertextovprepojenie"/>
            <w:noProof/>
          </w:rPr>
          <w:t>5.2.</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Inštitucionálna štruktúra implementácie Stratégie pre inteligentnú špecializáciu</w:t>
        </w:r>
        <w:r w:rsidR="000D4A62">
          <w:rPr>
            <w:noProof/>
            <w:webHidden/>
          </w:rPr>
          <w:tab/>
        </w:r>
        <w:r w:rsidR="000D4A62">
          <w:rPr>
            <w:noProof/>
            <w:webHidden/>
          </w:rPr>
          <w:fldChar w:fldCharType="begin"/>
        </w:r>
        <w:r w:rsidR="000D4A62">
          <w:rPr>
            <w:noProof/>
            <w:webHidden/>
          </w:rPr>
          <w:instrText xml:space="preserve"> PAGEREF _Toc366744183 \h </w:instrText>
        </w:r>
        <w:r w:rsidR="000D4A62">
          <w:rPr>
            <w:noProof/>
            <w:webHidden/>
          </w:rPr>
        </w:r>
        <w:r w:rsidR="000D4A62">
          <w:rPr>
            <w:noProof/>
            <w:webHidden/>
          </w:rPr>
          <w:fldChar w:fldCharType="separate"/>
        </w:r>
        <w:r w:rsidR="00766F82">
          <w:rPr>
            <w:noProof/>
            <w:webHidden/>
          </w:rPr>
          <w:t>54</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84" w:history="1">
        <w:r w:rsidR="000D4A62" w:rsidRPr="0008105F">
          <w:rPr>
            <w:rStyle w:val="Hypertextovprepojenie"/>
            <w:noProof/>
          </w:rPr>
          <w:t>5.3.</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Procesné zabezpečenie inštitucionálnej štruktúry implementácie RIS3</w:t>
        </w:r>
        <w:r w:rsidR="000D4A62">
          <w:rPr>
            <w:noProof/>
            <w:webHidden/>
          </w:rPr>
          <w:tab/>
        </w:r>
        <w:r w:rsidR="000D4A62">
          <w:rPr>
            <w:noProof/>
            <w:webHidden/>
          </w:rPr>
          <w:fldChar w:fldCharType="begin"/>
        </w:r>
        <w:r w:rsidR="000D4A62">
          <w:rPr>
            <w:noProof/>
            <w:webHidden/>
          </w:rPr>
          <w:instrText xml:space="preserve"> PAGEREF _Toc366744184 \h </w:instrText>
        </w:r>
        <w:r w:rsidR="000D4A62">
          <w:rPr>
            <w:noProof/>
            <w:webHidden/>
          </w:rPr>
        </w:r>
        <w:r w:rsidR="000D4A62">
          <w:rPr>
            <w:noProof/>
            <w:webHidden/>
          </w:rPr>
          <w:fldChar w:fldCharType="separate"/>
        </w:r>
        <w:r w:rsidR="00766F82">
          <w:rPr>
            <w:noProof/>
            <w:webHidden/>
          </w:rPr>
          <w:t>58</w:t>
        </w:r>
        <w:r w:rsidR="000D4A62">
          <w:rPr>
            <w:noProof/>
            <w:webHidden/>
          </w:rPr>
          <w:fldChar w:fldCharType="end"/>
        </w:r>
      </w:hyperlink>
    </w:p>
    <w:p w:rsidR="000D4A62" w:rsidRDefault="00605222">
      <w:pPr>
        <w:pStyle w:val="Obsah1"/>
        <w:tabs>
          <w:tab w:val="left" w:pos="600"/>
          <w:tab w:val="right" w:pos="9060"/>
        </w:tabs>
        <w:rPr>
          <w:rFonts w:asciiTheme="minorHAnsi" w:eastAsiaTheme="minorEastAsia" w:hAnsiTheme="minorHAnsi" w:cstheme="minorBidi"/>
          <w:b w:val="0"/>
          <w:bCs w:val="0"/>
          <w:caps w:val="0"/>
          <w:noProof/>
          <w:sz w:val="22"/>
          <w:szCs w:val="22"/>
          <w:lang w:eastAsia="sk-SK"/>
        </w:rPr>
      </w:pPr>
      <w:hyperlink w:anchor="_Toc366744185" w:history="1">
        <w:r w:rsidR="000D4A62" w:rsidRPr="0008105F">
          <w:rPr>
            <w:rStyle w:val="Hypertextovprepojenie"/>
            <w:noProof/>
          </w:rPr>
          <w:t>6.</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Vízia a strategické ciele</w:t>
        </w:r>
        <w:r w:rsidR="000D4A62">
          <w:rPr>
            <w:noProof/>
            <w:webHidden/>
          </w:rPr>
          <w:tab/>
        </w:r>
        <w:r w:rsidR="000D4A62">
          <w:rPr>
            <w:noProof/>
            <w:webHidden/>
          </w:rPr>
          <w:fldChar w:fldCharType="begin"/>
        </w:r>
        <w:r w:rsidR="000D4A62">
          <w:rPr>
            <w:noProof/>
            <w:webHidden/>
          </w:rPr>
          <w:instrText xml:space="preserve"> PAGEREF _Toc366744185 \h </w:instrText>
        </w:r>
        <w:r w:rsidR="000D4A62">
          <w:rPr>
            <w:noProof/>
            <w:webHidden/>
          </w:rPr>
        </w:r>
        <w:r w:rsidR="000D4A62">
          <w:rPr>
            <w:noProof/>
            <w:webHidden/>
          </w:rPr>
          <w:fldChar w:fldCharType="separate"/>
        </w:r>
        <w:r w:rsidR="00766F82">
          <w:rPr>
            <w:noProof/>
            <w:webHidden/>
          </w:rPr>
          <w:t>59</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86" w:history="1">
        <w:r w:rsidR="000D4A62" w:rsidRPr="0008105F">
          <w:rPr>
            <w:rStyle w:val="Hypertextovprepojenie"/>
            <w:noProof/>
          </w:rPr>
          <w:t>6.1.</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Vízia</w:t>
        </w:r>
        <w:r w:rsidR="000D4A62">
          <w:rPr>
            <w:noProof/>
            <w:webHidden/>
          </w:rPr>
          <w:tab/>
        </w:r>
        <w:r w:rsidR="000D4A62">
          <w:rPr>
            <w:noProof/>
            <w:webHidden/>
          </w:rPr>
          <w:fldChar w:fldCharType="begin"/>
        </w:r>
        <w:r w:rsidR="000D4A62">
          <w:rPr>
            <w:noProof/>
            <w:webHidden/>
          </w:rPr>
          <w:instrText xml:space="preserve"> PAGEREF _Toc366744186 \h </w:instrText>
        </w:r>
        <w:r w:rsidR="000D4A62">
          <w:rPr>
            <w:noProof/>
            <w:webHidden/>
          </w:rPr>
        </w:r>
        <w:r w:rsidR="000D4A62">
          <w:rPr>
            <w:noProof/>
            <w:webHidden/>
          </w:rPr>
          <w:fldChar w:fldCharType="separate"/>
        </w:r>
        <w:r w:rsidR="00766F82">
          <w:rPr>
            <w:noProof/>
            <w:webHidden/>
          </w:rPr>
          <w:t>59</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87" w:history="1">
        <w:r w:rsidR="000D4A62" w:rsidRPr="0008105F">
          <w:rPr>
            <w:rStyle w:val="Hypertextovprepojenie"/>
            <w:noProof/>
          </w:rPr>
          <w:t>6.2.</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Strategické ciele</w:t>
        </w:r>
        <w:r w:rsidR="000D4A62">
          <w:rPr>
            <w:noProof/>
            <w:webHidden/>
          </w:rPr>
          <w:tab/>
        </w:r>
        <w:r w:rsidR="000D4A62">
          <w:rPr>
            <w:noProof/>
            <w:webHidden/>
          </w:rPr>
          <w:fldChar w:fldCharType="begin"/>
        </w:r>
        <w:r w:rsidR="000D4A62">
          <w:rPr>
            <w:noProof/>
            <w:webHidden/>
          </w:rPr>
          <w:instrText xml:space="preserve"> PAGEREF _Toc366744187 \h </w:instrText>
        </w:r>
        <w:r w:rsidR="000D4A62">
          <w:rPr>
            <w:noProof/>
            <w:webHidden/>
          </w:rPr>
        </w:r>
        <w:r w:rsidR="000D4A62">
          <w:rPr>
            <w:noProof/>
            <w:webHidden/>
          </w:rPr>
          <w:fldChar w:fldCharType="separate"/>
        </w:r>
        <w:r w:rsidR="00766F82">
          <w:rPr>
            <w:noProof/>
            <w:webHidden/>
          </w:rPr>
          <w:t>60</w:t>
        </w:r>
        <w:r w:rsidR="000D4A62">
          <w:rPr>
            <w:noProof/>
            <w:webHidden/>
          </w:rPr>
          <w:fldChar w:fldCharType="end"/>
        </w:r>
      </w:hyperlink>
    </w:p>
    <w:p w:rsidR="000D4A62" w:rsidRDefault="00605222">
      <w:pPr>
        <w:pStyle w:val="Obsah2"/>
        <w:tabs>
          <w:tab w:val="left" w:pos="600"/>
          <w:tab w:val="right" w:pos="9060"/>
        </w:tabs>
        <w:rPr>
          <w:rFonts w:asciiTheme="minorHAnsi" w:eastAsiaTheme="minorEastAsia" w:hAnsiTheme="minorHAnsi" w:cstheme="minorBidi"/>
          <w:b w:val="0"/>
          <w:bCs w:val="0"/>
          <w:noProof/>
          <w:sz w:val="22"/>
          <w:szCs w:val="22"/>
          <w:lang w:eastAsia="sk-SK"/>
        </w:rPr>
      </w:pPr>
      <w:hyperlink w:anchor="_Toc366744188" w:history="1">
        <w:r w:rsidR="000D4A62" w:rsidRPr="0008105F">
          <w:rPr>
            <w:rStyle w:val="Hypertextovprepojenie"/>
            <w:noProof/>
          </w:rPr>
          <w:t>6.3.</w:t>
        </w:r>
        <w:r w:rsidR="000D4A62">
          <w:rPr>
            <w:rFonts w:asciiTheme="minorHAnsi" w:eastAsiaTheme="minorEastAsia" w:hAnsiTheme="minorHAnsi" w:cstheme="minorBidi"/>
            <w:b w:val="0"/>
            <w:bCs w:val="0"/>
            <w:noProof/>
            <w:sz w:val="22"/>
            <w:szCs w:val="22"/>
            <w:lang w:eastAsia="sk-SK"/>
          </w:rPr>
          <w:tab/>
        </w:r>
        <w:r w:rsidR="000D4A62" w:rsidRPr="0008105F">
          <w:rPr>
            <w:rStyle w:val="Hypertextovprepojenie"/>
            <w:noProof/>
          </w:rPr>
          <w:t>Čiastkové ciele a opatrenia</w:t>
        </w:r>
        <w:r w:rsidR="000D4A62">
          <w:rPr>
            <w:noProof/>
            <w:webHidden/>
          </w:rPr>
          <w:tab/>
        </w:r>
        <w:r w:rsidR="000D4A62">
          <w:rPr>
            <w:noProof/>
            <w:webHidden/>
          </w:rPr>
          <w:fldChar w:fldCharType="begin"/>
        </w:r>
        <w:r w:rsidR="000D4A62">
          <w:rPr>
            <w:noProof/>
            <w:webHidden/>
          </w:rPr>
          <w:instrText xml:space="preserve"> PAGEREF _Toc366744188 \h </w:instrText>
        </w:r>
        <w:r w:rsidR="000D4A62">
          <w:rPr>
            <w:noProof/>
            <w:webHidden/>
          </w:rPr>
        </w:r>
        <w:r w:rsidR="000D4A62">
          <w:rPr>
            <w:noProof/>
            <w:webHidden/>
          </w:rPr>
          <w:fldChar w:fldCharType="separate"/>
        </w:r>
        <w:r w:rsidR="00766F82">
          <w:rPr>
            <w:noProof/>
            <w:webHidden/>
          </w:rPr>
          <w:t>61</w:t>
        </w:r>
        <w:r w:rsidR="000D4A62">
          <w:rPr>
            <w:noProof/>
            <w:webHidden/>
          </w:rPr>
          <w:fldChar w:fldCharType="end"/>
        </w:r>
      </w:hyperlink>
    </w:p>
    <w:p w:rsidR="000D4A62" w:rsidRDefault="00605222">
      <w:pPr>
        <w:pStyle w:val="Obsah1"/>
        <w:tabs>
          <w:tab w:val="left" w:pos="400"/>
          <w:tab w:val="right" w:pos="9060"/>
        </w:tabs>
        <w:rPr>
          <w:rFonts w:asciiTheme="minorHAnsi" w:eastAsiaTheme="minorEastAsia" w:hAnsiTheme="minorHAnsi" w:cstheme="minorBidi"/>
          <w:b w:val="0"/>
          <w:bCs w:val="0"/>
          <w:caps w:val="0"/>
          <w:noProof/>
          <w:sz w:val="22"/>
          <w:szCs w:val="22"/>
          <w:lang w:eastAsia="sk-SK"/>
        </w:rPr>
      </w:pPr>
      <w:hyperlink w:anchor="_Toc366744189" w:history="1">
        <w:r w:rsidR="000D4A62" w:rsidRPr="0008105F">
          <w:rPr>
            <w:rStyle w:val="Hypertextovprepojenie"/>
            <w:noProof/>
          </w:rPr>
          <w:t>7</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SÚBOR politík</w:t>
        </w:r>
        <w:r w:rsidR="000D4A62">
          <w:rPr>
            <w:noProof/>
            <w:webHidden/>
          </w:rPr>
          <w:tab/>
        </w:r>
        <w:r w:rsidR="000D4A62">
          <w:rPr>
            <w:noProof/>
            <w:webHidden/>
          </w:rPr>
          <w:fldChar w:fldCharType="begin"/>
        </w:r>
        <w:r w:rsidR="000D4A62">
          <w:rPr>
            <w:noProof/>
            <w:webHidden/>
          </w:rPr>
          <w:instrText xml:space="preserve"> PAGEREF _Toc366744189 \h </w:instrText>
        </w:r>
        <w:r w:rsidR="000D4A62">
          <w:rPr>
            <w:noProof/>
            <w:webHidden/>
          </w:rPr>
        </w:r>
        <w:r w:rsidR="000D4A62">
          <w:rPr>
            <w:noProof/>
            <w:webHidden/>
          </w:rPr>
          <w:fldChar w:fldCharType="separate"/>
        </w:r>
        <w:r w:rsidR="00766F82">
          <w:rPr>
            <w:noProof/>
            <w:webHidden/>
          </w:rPr>
          <w:t>65</w:t>
        </w:r>
        <w:r w:rsidR="000D4A62">
          <w:rPr>
            <w:noProof/>
            <w:webHidden/>
          </w:rPr>
          <w:fldChar w:fldCharType="end"/>
        </w:r>
      </w:hyperlink>
    </w:p>
    <w:p w:rsidR="000D4A62" w:rsidRDefault="00605222">
      <w:pPr>
        <w:pStyle w:val="Obsah1"/>
        <w:tabs>
          <w:tab w:val="left" w:pos="400"/>
          <w:tab w:val="right" w:pos="9060"/>
        </w:tabs>
        <w:rPr>
          <w:rFonts w:asciiTheme="minorHAnsi" w:eastAsiaTheme="minorEastAsia" w:hAnsiTheme="minorHAnsi" w:cstheme="minorBidi"/>
          <w:b w:val="0"/>
          <w:bCs w:val="0"/>
          <w:caps w:val="0"/>
          <w:noProof/>
          <w:sz w:val="22"/>
          <w:szCs w:val="22"/>
          <w:lang w:eastAsia="sk-SK"/>
        </w:rPr>
      </w:pPr>
      <w:hyperlink w:anchor="_Toc366744190" w:history="1">
        <w:r w:rsidR="000D4A62" w:rsidRPr="0008105F">
          <w:rPr>
            <w:rStyle w:val="Hypertextovprepojenie"/>
            <w:noProof/>
          </w:rPr>
          <w:t>8</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Monitoring a hodnotenie</w:t>
        </w:r>
        <w:r w:rsidR="000D4A62">
          <w:rPr>
            <w:noProof/>
            <w:webHidden/>
          </w:rPr>
          <w:tab/>
        </w:r>
        <w:r w:rsidR="000D4A62">
          <w:rPr>
            <w:noProof/>
            <w:webHidden/>
          </w:rPr>
          <w:fldChar w:fldCharType="begin"/>
        </w:r>
        <w:r w:rsidR="000D4A62">
          <w:rPr>
            <w:noProof/>
            <w:webHidden/>
          </w:rPr>
          <w:instrText xml:space="preserve"> PAGEREF _Toc366744190 \h </w:instrText>
        </w:r>
        <w:r w:rsidR="000D4A62">
          <w:rPr>
            <w:noProof/>
            <w:webHidden/>
          </w:rPr>
        </w:r>
        <w:r w:rsidR="000D4A62">
          <w:rPr>
            <w:noProof/>
            <w:webHidden/>
          </w:rPr>
          <w:fldChar w:fldCharType="separate"/>
        </w:r>
        <w:r w:rsidR="00766F82">
          <w:rPr>
            <w:noProof/>
            <w:webHidden/>
          </w:rPr>
          <w:t>72</w:t>
        </w:r>
        <w:r w:rsidR="000D4A62">
          <w:rPr>
            <w:noProof/>
            <w:webHidden/>
          </w:rPr>
          <w:fldChar w:fldCharType="end"/>
        </w:r>
      </w:hyperlink>
    </w:p>
    <w:p w:rsidR="000D4A62" w:rsidRDefault="00605222">
      <w:pPr>
        <w:pStyle w:val="Obsah1"/>
        <w:tabs>
          <w:tab w:val="left" w:pos="400"/>
          <w:tab w:val="right" w:pos="9060"/>
        </w:tabs>
        <w:rPr>
          <w:rFonts w:asciiTheme="minorHAnsi" w:eastAsiaTheme="minorEastAsia" w:hAnsiTheme="minorHAnsi" w:cstheme="minorBidi"/>
          <w:b w:val="0"/>
          <w:bCs w:val="0"/>
          <w:caps w:val="0"/>
          <w:noProof/>
          <w:sz w:val="22"/>
          <w:szCs w:val="22"/>
          <w:lang w:eastAsia="sk-SK"/>
        </w:rPr>
      </w:pPr>
      <w:hyperlink w:anchor="_Toc366744191" w:history="1">
        <w:r w:rsidR="000D4A62" w:rsidRPr="0008105F">
          <w:rPr>
            <w:rStyle w:val="Hypertextovprepojenie"/>
            <w:noProof/>
          </w:rPr>
          <w:t>9</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Záver</w:t>
        </w:r>
        <w:r w:rsidR="000D4A62">
          <w:rPr>
            <w:noProof/>
            <w:webHidden/>
          </w:rPr>
          <w:tab/>
        </w:r>
        <w:r w:rsidR="000D4A62">
          <w:rPr>
            <w:noProof/>
            <w:webHidden/>
          </w:rPr>
          <w:fldChar w:fldCharType="begin"/>
        </w:r>
        <w:r w:rsidR="000D4A62">
          <w:rPr>
            <w:noProof/>
            <w:webHidden/>
          </w:rPr>
          <w:instrText xml:space="preserve"> PAGEREF _Toc366744191 \h </w:instrText>
        </w:r>
        <w:r w:rsidR="000D4A62">
          <w:rPr>
            <w:noProof/>
            <w:webHidden/>
          </w:rPr>
        </w:r>
        <w:r w:rsidR="000D4A62">
          <w:rPr>
            <w:noProof/>
            <w:webHidden/>
          </w:rPr>
          <w:fldChar w:fldCharType="separate"/>
        </w:r>
        <w:r w:rsidR="00766F82">
          <w:rPr>
            <w:noProof/>
            <w:webHidden/>
          </w:rPr>
          <w:t>74</w:t>
        </w:r>
        <w:r w:rsidR="000D4A62">
          <w:rPr>
            <w:noProof/>
            <w:webHidden/>
          </w:rPr>
          <w:fldChar w:fldCharType="end"/>
        </w:r>
      </w:hyperlink>
    </w:p>
    <w:p w:rsidR="000D4A62" w:rsidRDefault="00605222">
      <w:pPr>
        <w:pStyle w:val="Obsah1"/>
        <w:tabs>
          <w:tab w:val="left" w:pos="600"/>
          <w:tab w:val="right" w:pos="9060"/>
        </w:tabs>
        <w:rPr>
          <w:rFonts w:asciiTheme="minorHAnsi" w:eastAsiaTheme="minorEastAsia" w:hAnsiTheme="minorHAnsi" w:cstheme="minorBidi"/>
          <w:b w:val="0"/>
          <w:bCs w:val="0"/>
          <w:caps w:val="0"/>
          <w:noProof/>
          <w:sz w:val="22"/>
          <w:szCs w:val="22"/>
          <w:lang w:eastAsia="sk-SK"/>
        </w:rPr>
      </w:pPr>
      <w:hyperlink w:anchor="_Toc366744192" w:history="1">
        <w:r w:rsidR="000D4A62" w:rsidRPr="0008105F">
          <w:rPr>
            <w:rStyle w:val="Hypertextovprepojenie"/>
            <w:noProof/>
          </w:rPr>
          <w:t>10</w:t>
        </w:r>
        <w:r w:rsidR="000D4A62">
          <w:rPr>
            <w:rFonts w:asciiTheme="minorHAnsi" w:eastAsiaTheme="minorEastAsia" w:hAnsiTheme="minorHAnsi" w:cstheme="minorBidi"/>
            <w:b w:val="0"/>
            <w:bCs w:val="0"/>
            <w:caps w:val="0"/>
            <w:noProof/>
            <w:sz w:val="22"/>
            <w:szCs w:val="22"/>
            <w:lang w:eastAsia="sk-SK"/>
          </w:rPr>
          <w:tab/>
        </w:r>
        <w:r w:rsidR="000D4A62" w:rsidRPr="0008105F">
          <w:rPr>
            <w:rStyle w:val="Hypertextovprepojenie"/>
            <w:noProof/>
          </w:rPr>
          <w:t>PRÍLOHY</w:t>
        </w:r>
        <w:r w:rsidR="000D4A62">
          <w:rPr>
            <w:noProof/>
            <w:webHidden/>
          </w:rPr>
          <w:tab/>
        </w:r>
        <w:r w:rsidR="000D4A62">
          <w:rPr>
            <w:noProof/>
            <w:webHidden/>
          </w:rPr>
          <w:fldChar w:fldCharType="begin"/>
        </w:r>
        <w:r w:rsidR="000D4A62">
          <w:rPr>
            <w:noProof/>
            <w:webHidden/>
          </w:rPr>
          <w:instrText xml:space="preserve"> PAGEREF _Toc366744192 \h </w:instrText>
        </w:r>
        <w:r w:rsidR="000D4A62">
          <w:rPr>
            <w:noProof/>
            <w:webHidden/>
          </w:rPr>
        </w:r>
        <w:r w:rsidR="000D4A62">
          <w:rPr>
            <w:noProof/>
            <w:webHidden/>
          </w:rPr>
          <w:fldChar w:fldCharType="separate"/>
        </w:r>
        <w:r w:rsidR="00766F82">
          <w:rPr>
            <w:noProof/>
            <w:webHidden/>
          </w:rPr>
          <w:t>75</w:t>
        </w:r>
        <w:r w:rsidR="000D4A62">
          <w:rPr>
            <w:noProof/>
            <w:webHidden/>
          </w:rPr>
          <w:fldChar w:fldCharType="end"/>
        </w:r>
      </w:hyperlink>
    </w:p>
    <w:p w:rsidR="005332A3" w:rsidRDefault="00340117" w:rsidP="00634555">
      <w:pPr>
        <w:spacing w:after="120"/>
      </w:pPr>
      <w:r>
        <w:fldChar w:fldCharType="end"/>
      </w:r>
      <w:r w:rsidR="00493CF5">
        <w:br w:type="page"/>
      </w:r>
      <w:bookmarkStart w:id="1" w:name="_Toc360575990"/>
      <w:bookmarkStart w:id="2" w:name="_Toc365831774"/>
      <w:bookmarkStart w:id="3" w:name="_Toc365831966"/>
      <w:bookmarkStart w:id="4" w:name="_Toc356863583"/>
    </w:p>
    <w:p w:rsidR="0025567B" w:rsidRPr="000E1A05" w:rsidRDefault="009B4A3B" w:rsidP="005332A3">
      <w:pPr>
        <w:pStyle w:val="Nadpis1"/>
      </w:pPr>
      <w:bookmarkStart w:id="5" w:name="_Toc366744136"/>
      <w:r w:rsidRPr="000E1A05">
        <w:lastRenderedPageBreak/>
        <w:t>Úvod</w:t>
      </w:r>
      <w:bookmarkEnd w:id="1"/>
      <w:bookmarkEnd w:id="2"/>
      <w:bookmarkEnd w:id="3"/>
      <w:bookmarkEnd w:id="5"/>
    </w:p>
    <w:p w:rsidR="00124729" w:rsidRDefault="009B4A3B" w:rsidP="00124729">
      <w:pPr>
        <w:spacing w:after="120"/>
        <w:ind w:firstLine="340"/>
      </w:pPr>
      <w:r w:rsidRPr="000E1A05">
        <w:t xml:space="preserve"> </w:t>
      </w:r>
      <w:r w:rsidR="00124729">
        <w:t>Slovenská republika</w:t>
      </w:r>
      <w:r w:rsidR="00AC518D">
        <w:t>, ktorá</w:t>
      </w:r>
      <w:r w:rsidR="00124729">
        <w:t xml:space="preserve"> je od roku 2004</w:t>
      </w:r>
      <w:r w:rsidR="00134F8E">
        <w:t xml:space="preserve"> </w:t>
      </w:r>
      <w:r w:rsidR="00124729">
        <w:t xml:space="preserve">integrálnou súčasťou EÚ, </w:t>
      </w:r>
      <w:r w:rsidR="00134F8E">
        <w:t xml:space="preserve"> </w:t>
      </w:r>
      <w:r w:rsidR="00124729">
        <w:t>je úspešným príkladom pozitív</w:t>
      </w:r>
      <w:r w:rsidR="00134F8E">
        <w:t xml:space="preserve"> </w:t>
      </w:r>
      <w:r w:rsidR="00124729">
        <w:t>európskej integrácie.</w:t>
      </w:r>
      <w:r w:rsidR="00134F8E">
        <w:t xml:space="preserve"> </w:t>
      </w:r>
      <w:r w:rsidR="00124729">
        <w:t>Slovensko</w:t>
      </w:r>
      <w:r w:rsidR="00134F8E">
        <w:t xml:space="preserve"> </w:t>
      </w:r>
      <w:r w:rsidR="00124729">
        <w:t xml:space="preserve">má </w:t>
      </w:r>
      <w:r w:rsidR="00CD6B77">
        <w:t xml:space="preserve"> veľký </w:t>
      </w:r>
      <w:r w:rsidR="00124729">
        <w:t xml:space="preserve">záujem na </w:t>
      </w:r>
      <w:r w:rsidR="00117ABC">
        <w:t xml:space="preserve">ďalšom </w:t>
      </w:r>
      <w:r w:rsidR="00AC518D">
        <w:t xml:space="preserve">kontinuálnom </w:t>
      </w:r>
      <w:r w:rsidR="00124729">
        <w:t>zefektívňovaní integrácie a reálnej</w:t>
      </w:r>
      <w:r w:rsidR="00CD6B77">
        <w:t xml:space="preserve"> súdržnosti</w:t>
      </w:r>
      <w:r w:rsidR="00124729">
        <w:t xml:space="preserve">, </w:t>
      </w:r>
      <w:r w:rsidR="00CD6B77">
        <w:t xml:space="preserve"> ktorý </w:t>
      </w:r>
      <w:r w:rsidR="00124729">
        <w:t>je zvýraznený aj všeobecnou spoločenskou podporou. Napokon</w:t>
      </w:r>
      <w:r w:rsidR="00CD6B77">
        <w:t xml:space="preserve">, </w:t>
      </w:r>
      <w:r w:rsidR="00134F8E">
        <w:t xml:space="preserve"> </w:t>
      </w:r>
      <w:r w:rsidR="00CD6B77">
        <w:t>Z</w:t>
      </w:r>
      <w:r w:rsidR="00124729">
        <w:t>mluva o fungovaní Európskej únie ustanovuje, že členské štáty majú považovať svoje hospodárske politiky a podporu zamestnanosti za vec spoločného záujmu a koordinovať ich v rámci Európskej rady.</w:t>
      </w:r>
    </w:p>
    <w:p w:rsidR="00124729" w:rsidRDefault="00124729" w:rsidP="00124729">
      <w:pPr>
        <w:spacing w:after="120"/>
        <w:ind w:firstLine="340"/>
      </w:pPr>
      <w:r>
        <w:t>Stratégia Európa 2020,</w:t>
      </w:r>
      <w:r w:rsidR="00CD6B77">
        <w:t xml:space="preserve"> </w:t>
      </w:r>
      <w:r>
        <w:t xml:space="preserve">schválená závermi Európskej </w:t>
      </w:r>
      <w:r w:rsidR="00CD6B77">
        <w:t>r</w:t>
      </w:r>
      <w:r>
        <w:t>ady 17. júna 2010, je</w:t>
      </w:r>
      <w:r w:rsidR="00134F8E">
        <w:t xml:space="preserve"> </w:t>
      </w:r>
      <w:r>
        <w:t xml:space="preserve">stratégiou pre </w:t>
      </w:r>
      <w:r w:rsidR="00CD6B77">
        <w:t xml:space="preserve">rast a </w:t>
      </w:r>
      <w:r w:rsidRPr="00CD6B77">
        <w:t>zamestnanosť,</w:t>
      </w:r>
      <w:r>
        <w:t xml:space="preserve"> </w:t>
      </w:r>
      <w:r w:rsidR="00CD6B77">
        <w:t xml:space="preserve">pre </w:t>
      </w:r>
      <w:r>
        <w:t>inteligentný, udržateľný a inkluzívny rast,</w:t>
      </w:r>
      <w:r w:rsidR="00134F8E">
        <w:t xml:space="preserve"> </w:t>
      </w:r>
      <w:r>
        <w:t>predstavujúcou</w:t>
      </w:r>
      <w:r w:rsidR="00134F8E">
        <w:t xml:space="preserve"> </w:t>
      </w:r>
      <w:r>
        <w:t>koherentný rámec</w:t>
      </w:r>
      <w:r w:rsidR="00134F8E">
        <w:t xml:space="preserve"> </w:t>
      </w:r>
      <w:r>
        <w:t>pre mobilizáciu nástrojov, politík a pre koordinované konanie.</w:t>
      </w:r>
      <w:r w:rsidR="00134F8E">
        <w:t xml:space="preserve"> </w:t>
      </w:r>
      <w:r>
        <w:t>Iniciačnými politikami pre naštartovanie potenciálu EÚ pre rast sú oblasti inovácií a energetiky.</w:t>
      </w:r>
      <w:r w:rsidR="00134F8E">
        <w:t xml:space="preserve"> </w:t>
      </w:r>
      <w:r>
        <w:t xml:space="preserve">Podpora rastu a konkurencieschopnosti, </w:t>
      </w:r>
      <w:r w:rsidR="00134F8E">
        <w:t xml:space="preserve"> </w:t>
      </w:r>
      <w:r>
        <w:t>najmä riešenie</w:t>
      </w:r>
      <w:r w:rsidR="00134F8E">
        <w:t xml:space="preserve"> </w:t>
      </w:r>
      <w:r>
        <w:t>hlboko zakorenených nerovnováh, ako aj pokrok v štrukturálnych reformách zameraných na uvoľnenie domáceho rastového potenciálu, okrem iného aj otvorením hospodárskej súťaže v oblasti sieťových odvetví, podpora</w:t>
      </w:r>
      <w:r w:rsidR="006A1C16">
        <w:t xml:space="preserve"> </w:t>
      </w:r>
      <w:r>
        <w:t>digitálneho hospodárstva, využívanie potenciálu ekologického hospodárstva, odstránenie neopodstatnených obmedzení voči poskytovateľom služieb a uľahčenie zač</w:t>
      </w:r>
      <w:r w:rsidR="00CD6B77">
        <w:t xml:space="preserve">iatku </w:t>
      </w:r>
      <w:r>
        <w:t xml:space="preserve"> podnikania je podmienkou pre zvýšenie konkurencieschopnosti EÚ v globálnej konkurencii. </w:t>
      </w:r>
    </w:p>
    <w:p w:rsidR="00124729" w:rsidRDefault="00124729" w:rsidP="00124729">
      <w:pPr>
        <w:spacing w:after="120"/>
        <w:ind w:firstLine="340"/>
      </w:pPr>
      <w:r>
        <w:t>V súlade so snahou a úsilím</w:t>
      </w:r>
      <w:r w:rsidR="00134F8E">
        <w:t xml:space="preserve"> </w:t>
      </w:r>
      <w:r>
        <w:t>podporiť proces zvýšenia konkurencieschopnosti Európy a zamestnanosti musia členské krajiny</w:t>
      </w:r>
      <w:r w:rsidR="00134F8E">
        <w:t xml:space="preserve"> </w:t>
      </w:r>
      <w:r>
        <w:t>EÚ zintenzívniť úsil</w:t>
      </w:r>
      <w:r w:rsidR="00CD6B77">
        <w:t>i</w:t>
      </w:r>
      <w:r>
        <w:t>e o napredov</w:t>
      </w:r>
      <w:r w:rsidR="00C230CC">
        <w:t>anie v štrukturálnych reformách</w:t>
      </w:r>
      <w:r>
        <w:t>, pričom</w:t>
      </w:r>
      <w:r w:rsidR="00134F8E">
        <w:t xml:space="preserve"> </w:t>
      </w:r>
      <w:r>
        <w:t>kľúčov</w:t>
      </w:r>
      <w:r w:rsidR="00CD6B77">
        <w:t>é</w:t>
      </w:r>
      <w:r>
        <w:t xml:space="preserve"> je lepšie využitie</w:t>
      </w:r>
      <w:r w:rsidR="00134F8E">
        <w:t xml:space="preserve"> </w:t>
      </w:r>
      <w:r>
        <w:t>európskej hospodársko</w:t>
      </w:r>
      <w:r w:rsidR="00134F8E">
        <w:t xml:space="preserve"> </w:t>
      </w:r>
      <w:r>
        <w:t>- priemyselnej</w:t>
      </w:r>
      <w:r w:rsidR="00134F8E">
        <w:t xml:space="preserve"> </w:t>
      </w:r>
      <w:r>
        <w:t>bázy ako základného stavebného prvku programu</w:t>
      </w:r>
      <w:r w:rsidR="00134F8E">
        <w:t xml:space="preserve"> </w:t>
      </w:r>
      <w:r>
        <w:t>pre rast a konkurencieschopnosť. Strategickým cieľom je implementácia politík pre podporu realizácie technologických a spoločenských inovácií využívajúcich potenciálne silné</w:t>
      </w:r>
      <w:r w:rsidR="00134F8E">
        <w:t xml:space="preserve"> </w:t>
      </w:r>
      <w:r>
        <w:t>oblasti a konkurenčné</w:t>
      </w:r>
      <w:r w:rsidR="00134F8E">
        <w:t xml:space="preserve"> </w:t>
      </w:r>
      <w:r>
        <w:t>výhody jednotlivých regiónov a</w:t>
      </w:r>
      <w:r w:rsidR="00134F8E">
        <w:t xml:space="preserve"> </w:t>
      </w:r>
      <w:r>
        <w:t>členských štátov.</w:t>
      </w:r>
    </w:p>
    <w:p w:rsidR="00124729" w:rsidRDefault="00124729" w:rsidP="00124729">
      <w:pPr>
        <w:spacing w:after="120"/>
        <w:ind w:firstLine="340"/>
      </w:pPr>
      <w:r>
        <w:t>Takéto zameranie politík</w:t>
      </w:r>
      <w:r w:rsidR="00134F8E">
        <w:t xml:space="preserve"> </w:t>
      </w:r>
      <w:r>
        <w:t>môže uvoľniť potenciál rastu EÚ podporou inovácií vo všetkých regiónoch a zároveň zabezpečiť komplementaritu medzi podporou inovácií, výskumu a vývoja, podnikania a informačných a komunikačných technológií ako na úrovni EÚ, ta</w:t>
      </w:r>
      <w:r w:rsidR="00CD6B77">
        <w:t>k</w:t>
      </w:r>
      <w:r>
        <w:t xml:space="preserve"> aj na vnútroštátnej a regionálnej úrovni. V budúcom období nového viacročného finančného rámca</w:t>
      </w:r>
      <w:r w:rsidR="00134F8E">
        <w:t xml:space="preserve"> </w:t>
      </w:r>
      <w:r>
        <w:t>sa regionálna</w:t>
      </w:r>
      <w:r w:rsidR="00134F8E">
        <w:t xml:space="preserve"> </w:t>
      </w:r>
      <w:r>
        <w:t>politika stane</w:t>
      </w:r>
      <w:r w:rsidR="00134F8E">
        <w:t xml:space="preserve"> </w:t>
      </w:r>
      <w:r>
        <w:t>kľúčovým prostriedkom, ktorým sa priority inovácií v Únii</w:t>
      </w:r>
      <w:r w:rsidR="00134F8E">
        <w:t xml:space="preserve"> </w:t>
      </w:r>
      <w:r>
        <w:t>pretransformujú</w:t>
      </w:r>
      <w:r w:rsidR="00134F8E">
        <w:t xml:space="preserve"> </w:t>
      </w:r>
      <w:r>
        <w:t>do praktických opatrení na mieste, obzvlášť v tranzitívnych ekonomikách.</w:t>
      </w:r>
    </w:p>
    <w:p w:rsidR="00124729" w:rsidRDefault="00124729" w:rsidP="00124729">
      <w:pPr>
        <w:spacing w:after="120"/>
        <w:ind w:firstLine="340"/>
      </w:pPr>
      <w:r>
        <w:t>Oznámenie Európskej komisie</w:t>
      </w:r>
      <w:r w:rsidR="00134F8E">
        <w:t xml:space="preserve"> </w:t>
      </w:r>
      <w:r w:rsidR="00CD6B77">
        <w:t xml:space="preserve"> </w:t>
      </w:r>
      <w:r w:rsidR="00591D95">
        <w:t xml:space="preserve">č. </w:t>
      </w:r>
      <w:r>
        <w:t xml:space="preserve">553 zo 6. </w:t>
      </w:r>
      <w:r w:rsidR="007C7B6D">
        <w:t>o</w:t>
      </w:r>
      <w:r>
        <w:t>któbra</w:t>
      </w:r>
      <w:r w:rsidR="007C7B6D">
        <w:t xml:space="preserve"> </w:t>
      </w:r>
      <w:r>
        <w:t>2010</w:t>
      </w:r>
      <w:r w:rsidR="00134F8E">
        <w:t xml:space="preserve"> </w:t>
      </w:r>
      <w:r>
        <w:t>stanovuje opatrenia na dosiahnutie cieľov Stratégie Európa 2020 týkajúcich sa inteligentného rastu prostredníctvom regionálnej politiky a prostredníctvom</w:t>
      </w:r>
      <w:r w:rsidR="00134F8E">
        <w:t xml:space="preserve"> </w:t>
      </w:r>
      <w:r>
        <w:t>jej financovania. Prvým opatrením na</w:t>
      </w:r>
      <w:r w:rsidR="00134F8E">
        <w:t xml:space="preserve"> </w:t>
      </w:r>
      <w:r>
        <w:t>dosiahnutie cieľov Stratégie Európa 2020 týkajúcich sa inteligentného rastu prostredníctvom regionálnej politiky a jej financovania je vytvorenie stratégií inteligentnej špecializácie.</w:t>
      </w:r>
      <w:r w:rsidR="00134F8E">
        <w:t xml:space="preserve"> </w:t>
      </w:r>
      <w:r>
        <w:t>Cieľom je sústrediť zdroje na najsľubnejšie oblasti porovnateľnej výhody, t. j.</w:t>
      </w:r>
      <w:r w:rsidR="00134F8E">
        <w:t xml:space="preserve"> </w:t>
      </w:r>
      <w:r>
        <w:t>súčasné odvetvové alebo medziodvetvové činnosti, ekologické inovácie, trhy s vysokou pridanou hodnotou, jestvujúce siete alebo osobitné oblasti výskumu. V záujme</w:t>
      </w:r>
      <w:r w:rsidR="00134F8E">
        <w:t xml:space="preserve"> </w:t>
      </w:r>
      <w:r>
        <w:t>zvýšenia</w:t>
      </w:r>
      <w:r w:rsidR="00134F8E">
        <w:t xml:space="preserve"> </w:t>
      </w:r>
      <w:r>
        <w:t>efektívnosti a koherencie</w:t>
      </w:r>
      <w:r w:rsidR="00134F8E">
        <w:t xml:space="preserve"> </w:t>
      </w:r>
      <w:r>
        <w:t xml:space="preserve">sú </w:t>
      </w:r>
      <w:r w:rsidR="00591D95">
        <w:t>jednotlivé stratégie</w:t>
      </w:r>
      <w:r w:rsidR="00591D95" w:rsidDel="00591D95">
        <w:t xml:space="preserve"> </w:t>
      </w:r>
      <w:r>
        <w:t>predmetom</w:t>
      </w:r>
      <w:r w:rsidR="00134F8E">
        <w:t xml:space="preserve"> </w:t>
      </w:r>
      <w:r>
        <w:t>medzinárodného partnerského preskúmania. Na základe týchto podmienok a</w:t>
      </w:r>
      <w:r w:rsidR="00134F8E">
        <w:t xml:space="preserve"> </w:t>
      </w:r>
      <w:r>
        <w:t xml:space="preserve">v záujme efektívnej politiky </w:t>
      </w:r>
      <w:r w:rsidR="00591D95">
        <w:t xml:space="preserve">súdržnosti </w:t>
      </w:r>
      <w:r>
        <w:t>sa vypracovanie</w:t>
      </w:r>
      <w:r w:rsidR="00134F8E">
        <w:t xml:space="preserve"> </w:t>
      </w:r>
      <w:r>
        <w:t>stratégií inteligentnej špecializácie</w:t>
      </w:r>
      <w:r w:rsidR="00134F8E">
        <w:t xml:space="preserve"> </w:t>
      </w:r>
      <w:r w:rsidR="00C230CC">
        <w:t xml:space="preserve">stalo </w:t>
      </w:r>
      <w:r w:rsidR="00C230CC" w:rsidRPr="00C230CC">
        <w:rPr>
          <w:i/>
        </w:rPr>
        <w:t xml:space="preserve">ex </w:t>
      </w:r>
      <w:r w:rsidRPr="00C230CC">
        <w:rPr>
          <w:i/>
        </w:rPr>
        <w:t>ante</w:t>
      </w:r>
      <w:r>
        <w:t xml:space="preserve"> podmienenosťou v návrhu legislatívy – všeobecného nariadenia</w:t>
      </w:r>
      <w:r w:rsidR="00134F8E">
        <w:t xml:space="preserve"> </w:t>
      </w:r>
      <w:r>
        <w:t xml:space="preserve">pre </w:t>
      </w:r>
      <w:r w:rsidR="001B5294">
        <w:t xml:space="preserve">európske štrukturálne a investičné fondy </w:t>
      </w:r>
      <w:r w:rsidR="00591D95">
        <w:t xml:space="preserve">na </w:t>
      </w:r>
      <w:r>
        <w:t>obdobi</w:t>
      </w:r>
      <w:r w:rsidR="00AD5A51">
        <w:t>e</w:t>
      </w:r>
      <w:r>
        <w:t xml:space="preserve"> rokov 2014-2020</w:t>
      </w:r>
      <w:r w:rsidR="001B5294">
        <w:t xml:space="preserve"> (ďalej aj „EŠIF“)</w:t>
      </w:r>
      <w:r>
        <w:t>.</w:t>
      </w:r>
    </w:p>
    <w:p w:rsidR="00124729" w:rsidRDefault="00124729" w:rsidP="00124729">
      <w:pPr>
        <w:spacing w:after="120"/>
        <w:ind w:firstLine="340"/>
      </w:pPr>
      <w:r>
        <w:t xml:space="preserve">Základnou premisou tvorby </w:t>
      </w:r>
      <w:r w:rsidR="001B5294">
        <w:t>Stratégie výskumu a inovácií pre inteligentnú špecializáciu SR (ďalej aj „</w:t>
      </w:r>
      <w:r>
        <w:t>stratégi</w:t>
      </w:r>
      <w:r w:rsidR="001B5294">
        <w:t>a</w:t>
      </w:r>
      <w:r>
        <w:t xml:space="preserve"> inteligentnej špecializácie</w:t>
      </w:r>
      <w:r w:rsidR="001B5294">
        <w:t>“ alebo „RIS3</w:t>
      </w:r>
      <w:r w:rsidR="00A83AF3">
        <w:t>“</w:t>
      </w:r>
      <w:r w:rsidR="001B5294">
        <w:t>)</w:t>
      </w:r>
      <w:r>
        <w:t xml:space="preserve"> je preukáza</w:t>
      </w:r>
      <w:r w:rsidR="00591D95">
        <w:t>ť, že Slovenská republika má</w:t>
      </w:r>
      <w:r>
        <w:t xml:space="preserve">  schopnosť strategicky riadiť</w:t>
      </w:r>
      <w:r w:rsidR="00134F8E">
        <w:t xml:space="preserve"> </w:t>
      </w:r>
      <w:r>
        <w:t xml:space="preserve">a koncentrovať permanentne obmedzené zdroje s cieľom udržateľného rozvoja, </w:t>
      </w:r>
      <w:r w:rsidR="00591D95">
        <w:t xml:space="preserve"> </w:t>
      </w:r>
      <w:r>
        <w:t>pritom harmonicky rozvíjať republiku na princípoch inteligentného, udržateľného a inkluzívneho rastu pre posilnenie konkurenčnej schopnosti SR a</w:t>
      </w:r>
      <w:r w:rsidR="00134F8E">
        <w:t xml:space="preserve"> </w:t>
      </w:r>
      <w:r>
        <w:t>Európskej únie ako celku. Z</w:t>
      </w:r>
      <w:r w:rsidR="00591D95">
        <w:t xml:space="preserve"> uvedených </w:t>
      </w:r>
      <w:r>
        <w:t xml:space="preserve"> dôvodov tvorba tejto stratégie, ale aj jej realizácia</w:t>
      </w:r>
      <w:r w:rsidR="00134F8E">
        <w:t xml:space="preserve"> </w:t>
      </w:r>
      <w:r>
        <w:t>musí rešpektovať princíp partnerstva, komplexnú komunikáciu a partic</w:t>
      </w:r>
      <w:r w:rsidR="00591D95">
        <w:t>i</w:t>
      </w:r>
      <w:r>
        <w:t>patívnu prípra</w:t>
      </w:r>
      <w:r w:rsidR="00A83AF3">
        <w:t>vu, schvaľovanie, implementáciu</w:t>
      </w:r>
      <w:r>
        <w:t xml:space="preserve">, monitorovanie a evaluáciu dosiahnutých výsledkov v čo najväčšom okruhu jej priamych i nepriamych účastníkov. </w:t>
      </w:r>
    </w:p>
    <w:p w:rsidR="00124729" w:rsidRDefault="00124729" w:rsidP="00124729">
      <w:pPr>
        <w:rPr>
          <w:b/>
        </w:rPr>
      </w:pPr>
      <w:r>
        <w:lastRenderedPageBreak/>
        <w:t>Takýto</w:t>
      </w:r>
      <w:r w:rsidR="00134F8E">
        <w:t xml:space="preserve"> </w:t>
      </w:r>
      <w:r>
        <w:t>procesný prístup</w:t>
      </w:r>
      <w:r w:rsidR="00134F8E">
        <w:t xml:space="preserve"> </w:t>
      </w:r>
      <w:r>
        <w:t>vyústil do</w:t>
      </w:r>
      <w:r w:rsidR="00134F8E">
        <w:t xml:space="preserve"> </w:t>
      </w:r>
      <w:r>
        <w:t>vízie, ktorá si kladie za cieľ</w:t>
      </w:r>
      <w:r w:rsidR="00134F8E">
        <w:t xml:space="preserve"> </w:t>
      </w:r>
      <w:r w:rsidRPr="00591D95">
        <w:rPr>
          <w:b/>
        </w:rPr>
        <w:t>p</w:t>
      </w:r>
      <w:r>
        <w:rPr>
          <w:b/>
        </w:rPr>
        <w:t>odnietiť</w:t>
      </w:r>
      <w:r w:rsidR="00134F8E">
        <w:rPr>
          <w:b/>
        </w:rPr>
        <w:t xml:space="preserve"> </w:t>
      </w:r>
      <w:r>
        <w:rPr>
          <w:b/>
        </w:rPr>
        <w:t xml:space="preserve">štrukturálnu zmenu slovenskej ekonomiky smerom k rastu založenému na zvyšovaní inovačnej schopnosti a excelentnosti vo </w:t>
      </w:r>
      <w:r w:rsidR="00591D95">
        <w:rPr>
          <w:b/>
        </w:rPr>
        <w:t>výskume a </w:t>
      </w:r>
      <w:r w:rsidR="00A83AF3">
        <w:rPr>
          <w:b/>
        </w:rPr>
        <w:t>inováciách</w:t>
      </w:r>
      <w:r w:rsidR="00591D95">
        <w:rPr>
          <w:b/>
        </w:rPr>
        <w:t xml:space="preserve"> (ďalej </w:t>
      </w:r>
      <w:r w:rsidR="00117ABC">
        <w:rPr>
          <w:b/>
        </w:rPr>
        <w:t xml:space="preserve">aj </w:t>
      </w:r>
      <w:r w:rsidR="00591D95">
        <w:rPr>
          <w:b/>
        </w:rPr>
        <w:t>„</w:t>
      </w:r>
      <w:r>
        <w:rPr>
          <w:b/>
        </w:rPr>
        <w:t>VaI</w:t>
      </w:r>
      <w:r w:rsidR="00591D95">
        <w:rPr>
          <w:b/>
        </w:rPr>
        <w:t>“)</w:t>
      </w:r>
      <w:r>
        <w:rPr>
          <w:b/>
        </w:rPr>
        <w:t xml:space="preserve"> s cieľom podporovať udržateľný rast </w:t>
      </w:r>
      <w:r w:rsidRPr="00064EE3">
        <w:rPr>
          <w:b/>
        </w:rPr>
        <w:t>príjmov,</w:t>
      </w:r>
      <w:r>
        <w:rPr>
          <w:b/>
        </w:rPr>
        <w:t xml:space="preserve"> zamestnanosti a kvality života.</w:t>
      </w:r>
    </w:p>
    <w:p w:rsidR="00124729" w:rsidRDefault="00124729" w:rsidP="00124729">
      <w:pPr>
        <w:spacing w:after="120"/>
        <w:ind w:firstLine="340"/>
      </w:pPr>
      <w:r>
        <w:t>Slovenská republika je malá vysoko otvorená ekonomika s veľkosťou porovnateľnou s regiónmi veľkých krajín EU. Z tohto dôvodu nebol koncept inteligentnej špecializácie aplikovaný vo formálnej</w:t>
      </w:r>
      <w:r w:rsidR="00134F8E">
        <w:t xml:space="preserve"> </w:t>
      </w:r>
      <w:r>
        <w:t>regionálnej dimenzii, ale na národnej úrovni. Predložená stratégia však vytvára podmienky pre rozvoj Slovenskej republiky ako celku, pri súčasnom zohľadnení regionálnych špecifík.</w:t>
      </w:r>
    </w:p>
    <w:p w:rsidR="00124729" w:rsidRDefault="00124729" w:rsidP="00124729">
      <w:pPr>
        <w:spacing w:after="120"/>
        <w:ind w:firstLine="340"/>
      </w:pPr>
      <w:r>
        <w:t xml:space="preserve">Dôvodom nutnosti štrukturálnych zmien je skutočnosť, </w:t>
      </w:r>
      <w:r w:rsidR="00591D95">
        <w:t xml:space="preserve"> </w:t>
      </w:r>
      <w:r>
        <w:t>že Slovenská republika síce</w:t>
      </w:r>
      <w:r w:rsidR="00134F8E">
        <w:t xml:space="preserve"> </w:t>
      </w:r>
      <w:r>
        <w:t>patrí v rámci Európskej únie k najrýchlejšie rastúcim ekonomikám , jej</w:t>
      </w:r>
      <w:r w:rsidR="00134F8E">
        <w:t xml:space="preserve"> </w:t>
      </w:r>
      <w:r>
        <w:t xml:space="preserve">hrubý domáci produkt na obyvateľa v parite kúpnej sily vzrástol zo 47 % priemeru EÚ27 v roku 1995 na 73 % v roku 2012, ale konkurenčná výhoda bola primárne postavená na </w:t>
      </w:r>
      <w:r w:rsidRPr="00064EE3">
        <w:t>nízkych daniach a</w:t>
      </w:r>
      <w:r w:rsidR="00CB1CAD" w:rsidRPr="00A83AF3">
        <w:t xml:space="preserve"> nízkej </w:t>
      </w:r>
      <w:r w:rsidRPr="00064EE3">
        <w:t>cene práce</w:t>
      </w:r>
      <w:r>
        <w:t>.</w:t>
      </w:r>
      <w:r w:rsidR="00134F8E">
        <w:t xml:space="preserve"> </w:t>
      </w:r>
      <w:r>
        <w:t>Slovenská republika naďalej patrí</w:t>
      </w:r>
      <w:r w:rsidR="00134F8E">
        <w:t xml:space="preserve"> </w:t>
      </w:r>
      <w:r>
        <w:t xml:space="preserve">v medzinárodnom porovnaní medzi krajiny s najmenšou inovačnou výkonnosťou, hlboko pod priemerom krajín EÚ. </w:t>
      </w:r>
    </w:p>
    <w:p w:rsidR="00124729" w:rsidRDefault="00124729" w:rsidP="00124729">
      <w:pPr>
        <w:spacing w:after="120"/>
        <w:ind w:firstLine="340"/>
      </w:pPr>
      <w:r>
        <w:t>Slovensko dlhodobo zaostáva v intenzite inovačných aktivít na úrovni podnikov, vo výdavkoch na projekty výskumu, vývoja a inovácií, ktorých realizačné výstupy končia v praxi, v technologickom transfere, vo využívaní kooperačného potenciálu, v patentovej aktivite, v spolupráci výskumných inštitúcií</w:t>
      </w:r>
      <w:r w:rsidR="00134F8E">
        <w:t xml:space="preserve"> </w:t>
      </w:r>
      <w:r>
        <w:t>s priemyslom, vo využití rizikového kapitálu, ale aj v rade aspektov podmieňujúcich efektívne využívanie ľudských zdrojov.</w:t>
      </w:r>
      <w:r w:rsidR="00134F8E">
        <w:t xml:space="preserve"> </w:t>
      </w:r>
      <w:r>
        <w:t>Neuralgickým bodom je tiež</w:t>
      </w:r>
      <w:r w:rsidR="00134F8E">
        <w:t xml:space="preserve"> </w:t>
      </w:r>
      <w:r>
        <w:t>pretrvávajúca slabá úroveň spolupráce vedecko-výskumného, školského a hospodárskeho potenciálu na rozvoji a raste konkurenčnej schopnosti priemyselnej základne, v spojení s tvorbou konkurencieschopných inovatívnych produktov, technológií a služieb.</w:t>
      </w:r>
    </w:p>
    <w:p w:rsidR="00124729" w:rsidRDefault="00134F8E" w:rsidP="00124729">
      <w:pPr>
        <w:spacing w:after="120"/>
        <w:ind w:firstLine="340"/>
      </w:pPr>
      <w:r>
        <w:t xml:space="preserve"> </w:t>
      </w:r>
      <w:r w:rsidR="007D42B8">
        <w:t>P</w:t>
      </w:r>
      <w:r w:rsidR="00124729" w:rsidRPr="007E2CD3">
        <w:t>odiel znalostne intenzívnych služieb na HDP a</w:t>
      </w:r>
      <w:r w:rsidR="007D42B8">
        <w:t> </w:t>
      </w:r>
      <w:r w:rsidR="00124729" w:rsidRPr="007E2CD3">
        <w:t>exporte</w:t>
      </w:r>
      <w:r w:rsidR="007D42B8">
        <w:t xml:space="preserve"> je v porovnaní s ostatnými krajinami na nízkej úrovni a využívanie inovačných procesov v oblasti služieb, kreatívneho priemyslu a</w:t>
      </w:r>
      <w:r w:rsidR="007B04F0">
        <w:t xml:space="preserve"> v</w:t>
      </w:r>
      <w:r w:rsidR="00023FA9">
        <w:t> sociálnej sfére sa naštartoval</w:t>
      </w:r>
      <w:r w:rsidR="007B04F0">
        <w:t>o</w:t>
      </w:r>
      <w:r w:rsidR="00023FA9">
        <w:t xml:space="preserve"> len v posledných rokoch</w:t>
      </w:r>
      <w:r w:rsidR="00124729" w:rsidRPr="007E2CD3">
        <w:t>.</w:t>
      </w:r>
      <w:r w:rsidR="00124729">
        <w:t xml:space="preserve"> </w:t>
      </w:r>
    </w:p>
    <w:p w:rsidR="00124729" w:rsidRDefault="00591D95" w:rsidP="00124729">
      <w:pPr>
        <w:spacing w:after="120"/>
        <w:ind w:firstLine="340"/>
      </w:pPr>
      <w:r>
        <w:t>O</w:t>
      </w:r>
      <w:r w:rsidR="00124729">
        <w:t>blasť výskumu a inovácií</w:t>
      </w:r>
      <w:r w:rsidR="00134F8E">
        <w:t xml:space="preserve"> </w:t>
      </w:r>
      <w:r>
        <w:t xml:space="preserve">možno </w:t>
      </w:r>
      <w:r w:rsidR="00124729">
        <w:t>považovať za</w:t>
      </w:r>
      <w:r w:rsidR="00134F8E">
        <w:t xml:space="preserve"> </w:t>
      </w:r>
      <w:r w:rsidR="00124729">
        <w:t>slabý</w:t>
      </w:r>
      <w:r w:rsidR="00134F8E">
        <w:t xml:space="preserve"> </w:t>
      </w:r>
      <w:r w:rsidR="00124729">
        <w:t>článok</w:t>
      </w:r>
      <w:r w:rsidR="00134F8E">
        <w:t xml:space="preserve"> </w:t>
      </w:r>
      <w:r w:rsidR="00124729">
        <w:t>slovenského hospodárskeho systému,</w:t>
      </w:r>
      <w:r w:rsidR="00134F8E">
        <w:t xml:space="preserve"> </w:t>
      </w:r>
      <w:r w:rsidR="00124729">
        <w:t>o čom svedčia dlhodobo vy</w:t>
      </w:r>
      <w:r w:rsidR="007B04F0">
        <w:t xml:space="preserve">kazované negatívne trendy (1989 – </w:t>
      </w:r>
      <w:r w:rsidR="00124729">
        <w:t>2011):</w:t>
      </w:r>
    </w:p>
    <w:p w:rsidR="00124729" w:rsidRDefault="00124729" w:rsidP="00791A72">
      <w:pPr>
        <w:numPr>
          <w:ilvl w:val="0"/>
          <w:numId w:val="26"/>
        </w:numPr>
        <w:spacing w:after="120"/>
      </w:pPr>
      <w:r>
        <w:t>Pokles celkových výdavkov a počtu zamestnancov výskumu, zvlášť úpadok podnikového výskumu. Počty zamestnancov VaI klesli v období 1989 – 2011 zo 60 548 na 28 596 a výdavky na VaI ako % HDP klesli</w:t>
      </w:r>
      <w:r w:rsidR="00134F8E">
        <w:t xml:space="preserve"> </w:t>
      </w:r>
      <w:r>
        <w:t>z 3,88 na 0,68.</w:t>
      </w:r>
      <w:r w:rsidR="00134F8E">
        <w:t xml:space="preserve"> </w:t>
      </w:r>
    </w:p>
    <w:p w:rsidR="00124729" w:rsidRDefault="00124729" w:rsidP="00791A72">
      <w:pPr>
        <w:numPr>
          <w:ilvl w:val="0"/>
          <w:numId w:val="26"/>
        </w:numPr>
        <w:spacing w:after="120"/>
      </w:pPr>
      <w:r>
        <w:t>Zvyšovanie podielu verejného financovania VaI. Podiel po</w:t>
      </w:r>
      <w:r w:rsidR="007B04F0">
        <w:t>dnikov na celkových výdavkoch</w:t>
      </w:r>
      <w:r>
        <w:t xml:space="preserve"> na VaI v SR klesol zo 69 % na 34 % (1993 – 2011).</w:t>
      </w:r>
    </w:p>
    <w:p w:rsidR="00124729" w:rsidRDefault="00124729" w:rsidP="00791A72">
      <w:pPr>
        <w:numPr>
          <w:ilvl w:val="0"/>
          <w:numId w:val="26"/>
        </w:numPr>
        <w:spacing w:after="120"/>
      </w:pPr>
      <w:r>
        <w:t>Strata cielenosti výskumu a nárast tzv. „necieleného“ všeobecného výskumu bez jasných tematických priorít. Podiel všeobecného a necieleného výskumu stúpol z 38 % na 58 % (1993 – 2011).</w:t>
      </w:r>
    </w:p>
    <w:p w:rsidR="00124729" w:rsidRDefault="00124729" w:rsidP="00791A72">
      <w:pPr>
        <w:numPr>
          <w:ilvl w:val="0"/>
          <w:numId w:val="26"/>
        </w:numPr>
        <w:spacing w:after="120"/>
      </w:pPr>
      <w:r>
        <w:t>Rast podielu základného výskumu na úkor aplikovaného výskumu</w:t>
      </w:r>
      <w:r w:rsidR="0057447F">
        <w:t>.</w:t>
      </w:r>
      <w:r>
        <w:t xml:space="preserve"> Podiel základného výskumu na celkovom financovaní </w:t>
      </w:r>
      <w:r w:rsidR="007E2CD3">
        <w:t>výskumu a vývoja</w:t>
      </w:r>
      <w:r>
        <w:t xml:space="preserve"> stúpol z 22,6 % na 48,9 %, kým podiel aplikovaného výskumu klesol zo 49,4 % na 24,6 % (1994 – 2011).</w:t>
      </w:r>
    </w:p>
    <w:p w:rsidR="00124729" w:rsidRDefault="00124729" w:rsidP="00124729">
      <w:pPr>
        <w:spacing w:after="120"/>
        <w:ind w:firstLine="340"/>
      </w:pPr>
      <w:r>
        <w:t>Takáto situácia si vyžaduj</w:t>
      </w:r>
      <w:r w:rsidR="007B04F0">
        <w:t xml:space="preserve">e prijať pre obdobie rokov 2014 – </w:t>
      </w:r>
      <w:r>
        <w:t>2020 konkrétne,</w:t>
      </w:r>
      <w:r w:rsidR="00134F8E">
        <w:t xml:space="preserve"> </w:t>
      </w:r>
      <w:r>
        <w:t xml:space="preserve">jasne formulované, kvantifikované a objektivizované opatrenia. Ukazuje sa potreba nových stratégií a nevyhnutných zmien hospodárskych štátnych politík, najmä v súvislosti s financovaním a riadením vzdelávania, výskumu, inovácií a podpory podnikania. </w:t>
      </w:r>
    </w:p>
    <w:p w:rsidR="00124729" w:rsidRDefault="00124729" w:rsidP="00124729">
      <w:pPr>
        <w:spacing w:after="120"/>
        <w:ind w:firstLine="340"/>
      </w:pPr>
      <w:r>
        <w:t>Stratégia je</w:t>
      </w:r>
      <w:r w:rsidR="00B33FFE">
        <w:t xml:space="preserve"> </w:t>
      </w:r>
      <w:r>
        <w:t xml:space="preserve">vzhľadom na obmedzenosť zdrojov a kapacít koncentrovaná na obmedzené množstvo priorít, </w:t>
      </w:r>
      <w:r w:rsidR="0057447F">
        <w:t xml:space="preserve">ktoré </w:t>
      </w:r>
      <w:r>
        <w:t>sú</w:t>
      </w:r>
      <w:r w:rsidR="00134F8E">
        <w:t xml:space="preserve"> </w:t>
      </w:r>
      <w:r>
        <w:t>stanovené na základe silných stránok a medzinárodnej špecializácie Slovenska. To je premietnuté do</w:t>
      </w:r>
      <w:r w:rsidR="00134F8E">
        <w:t xml:space="preserve"> </w:t>
      </w:r>
      <w:r>
        <w:t>zamerania</w:t>
      </w:r>
      <w:r w:rsidR="00134F8E">
        <w:t xml:space="preserve"> </w:t>
      </w:r>
      <w:r>
        <w:t>jednotlivých investičných opatrení</w:t>
      </w:r>
      <w:r w:rsidR="00134F8E">
        <w:t xml:space="preserve"> </w:t>
      </w:r>
      <w:r>
        <w:t>tak, aby tieto neboli roztriešten</w:t>
      </w:r>
      <w:r w:rsidR="0057447F">
        <w:t>é</w:t>
      </w:r>
      <w:r>
        <w:t xml:space="preserve"> a aby sa štrukturálne fondy, verejné rozpočty a  súkromné zdroje</w:t>
      </w:r>
      <w:r w:rsidR="00134F8E">
        <w:t xml:space="preserve"> </w:t>
      </w:r>
      <w:r>
        <w:t>sústredili na priority s konkurenčnou výhodou a s  najvyšším</w:t>
      </w:r>
      <w:r w:rsidR="00134F8E">
        <w:t xml:space="preserve"> </w:t>
      </w:r>
      <w:r>
        <w:t>potenciálom rozvoja.</w:t>
      </w:r>
    </w:p>
    <w:p w:rsidR="0030367F" w:rsidRDefault="00124729" w:rsidP="0030367F">
      <w:pPr>
        <w:spacing w:after="120"/>
        <w:ind w:firstLine="340"/>
      </w:pPr>
      <w:r>
        <w:lastRenderedPageBreak/>
        <w:t>Predkladaný dokument</w:t>
      </w:r>
      <w:r w:rsidR="00134F8E">
        <w:t xml:space="preserve"> </w:t>
      </w:r>
      <w:r>
        <w:t>je vypracovaný na základe</w:t>
      </w:r>
      <w:r w:rsidR="00134F8E">
        <w:t xml:space="preserve"> </w:t>
      </w:r>
      <w:r>
        <w:t xml:space="preserve">metodických odporúčaní Európskej komisie: </w:t>
      </w:r>
      <w:r w:rsidR="0030367F">
        <w:t>Usmernenie na prípravu stratégií výskumu a inovácie pre inteligentnú špecializáciu, Regionálna politika, Európska komisia, máj 2012 (</w:t>
      </w:r>
      <w:r w:rsidR="0030367F" w:rsidRPr="000E1A05">
        <w:t>Guide to Research and Innovation</w:t>
      </w:r>
      <w:r w:rsidR="0030367F">
        <w:t xml:space="preserve"> </w:t>
      </w:r>
      <w:r w:rsidR="0030367F" w:rsidRPr="000E1A05">
        <w:t>Strategies</w:t>
      </w:r>
      <w:r w:rsidR="0030367F">
        <w:t xml:space="preserve"> </w:t>
      </w:r>
      <w:r w:rsidR="0030367F" w:rsidRPr="000E1A05">
        <w:t>for</w:t>
      </w:r>
      <w:r w:rsidR="0030367F">
        <w:t xml:space="preserve"> </w:t>
      </w:r>
      <w:r w:rsidR="0030367F" w:rsidRPr="000E1A05">
        <w:t>Smart</w:t>
      </w:r>
      <w:r w:rsidR="0030367F">
        <w:t xml:space="preserve"> </w:t>
      </w:r>
      <w:r w:rsidR="0030367F" w:rsidRPr="000E1A05">
        <w:t>Specialisations, Regional</w:t>
      </w:r>
      <w:r w:rsidR="0030367F">
        <w:t xml:space="preserve"> </w:t>
      </w:r>
      <w:r w:rsidR="0030367F" w:rsidRPr="000E1A05">
        <w:t>Policy, European</w:t>
      </w:r>
      <w:r w:rsidR="0030367F">
        <w:t xml:space="preserve"> </w:t>
      </w:r>
      <w:r w:rsidR="0030367F" w:rsidRPr="000E1A05">
        <w:t>Commission, May 2012</w:t>
      </w:r>
      <w:r w:rsidR="0030367F">
        <w:t>).</w:t>
      </w:r>
    </w:p>
    <w:p w:rsidR="00F37B8F" w:rsidRPr="00E446C8" w:rsidRDefault="00F37B8F" w:rsidP="0030367F">
      <w:pPr>
        <w:spacing w:after="120"/>
        <w:ind w:firstLine="340"/>
      </w:pPr>
      <w:r>
        <w:tab/>
      </w:r>
      <w:r w:rsidR="00A50A2B">
        <w:t>Záverom je potrebné zdôrazniť, že o</w:t>
      </w:r>
      <w:r w:rsidRPr="00407DEE">
        <w:t xml:space="preserve">bdobie platnosti </w:t>
      </w:r>
      <w:r w:rsidR="007B04F0">
        <w:t xml:space="preserve"> NSRR 2007 – </w:t>
      </w:r>
      <w:r w:rsidRPr="00407DEE">
        <w:t xml:space="preserve">2013  bolo </w:t>
      </w:r>
      <w:r w:rsidR="0057447F">
        <w:t xml:space="preserve">zamerané </w:t>
      </w:r>
      <w:r w:rsidRPr="00407DEE">
        <w:t>skôr  na extenzívny rozvoj, pričom  sa vychádzalo z predpokladov tvorby strategickýc</w:t>
      </w:r>
      <w:r w:rsidR="007B04F0">
        <w:t xml:space="preserve">h materiálov ešte v rokoch 2005 – </w:t>
      </w:r>
      <w:r w:rsidRPr="00407DEE">
        <w:t xml:space="preserve">2006, v období celosvetového ekonomického rastu. Previazanosť Obnovenej lisabonskej stratégie s  politikou </w:t>
      </w:r>
      <w:r w:rsidR="0057447F">
        <w:t xml:space="preserve">súdržnosti </w:t>
      </w:r>
      <w:r w:rsidRPr="00407DEE">
        <w:t>nebola systémovo a pevne nastavená, existovala  pomerne malá  pružnosť zmien dokumentov a</w:t>
      </w:r>
      <w:r w:rsidR="0057447F">
        <w:t> </w:t>
      </w:r>
      <w:r w:rsidRPr="00407DEE">
        <w:t>stratégií</w:t>
      </w:r>
      <w:r w:rsidR="0057447F">
        <w:t>.</w:t>
      </w:r>
      <w:r w:rsidRPr="00407DEE">
        <w:t xml:space="preserve">  </w:t>
      </w:r>
      <w:r w:rsidR="0057447F">
        <w:t>T</w:t>
      </w:r>
      <w:r w:rsidRPr="00407DEE">
        <w:t xml:space="preserve">o sa prejavilo  najmä v súvislosti  s dopadmi celosvetovej finančnej a hospodárskej krízy od roku 2008, ktorá naplno ukázala slabnúcu konkurencieschopnosť ekonomík európskeho priestoru, čo sa však nedostatočne odrazilo v zmenách orientácie NSRR </w:t>
      </w:r>
      <w:r w:rsidR="0057447F">
        <w:t xml:space="preserve"> a </w:t>
      </w:r>
      <w:r w:rsidRPr="00407DEE">
        <w:t xml:space="preserve">jednotlivých OP </w:t>
      </w:r>
      <w:r w:rsidR="0057447F">
        <w:t xml:space="preserve">v zmysle </w:t>
      </w:r>
      <w:r>
        <w:t>zamerania na efektívne výsledky</w:t>
      </w:r>
      <w:r w:rsidR="00ED0E97">
        <w:t>.</w:t>
      </w:r>
      <w:r w:rsidR="007B04F0">
        <w:t xml:space="preserve"> V období 2014 – </w:t>
      </w:r>
      <w:r w:rsidRPr="00407DEE">
        <w:t>2020 sa musí úsilie  koncentrova</w:t>
      </w:r>
      <w:r w:rsidR="0057447F">
        <w:t>ť</w:t>
      </w:r>
      <w:r w:rsidRPr="00407DEE">
        <w:t xml:space="preserve">   na  malé množstvo priorít s cieľom maximalizovať</w:t>
      </w:r>
      <w:r w:rsidRPr="00E446C8">
        <w:t xml:space="preserve"> </w:t>
      </w:r>
      <w:r>
        <w:t xml:space="preserve">vynaložené  zdroje  EŠIF, verejného rozpočtu SR </w:t>
      </w:r>
      <w:r w:rsidR="0057447F">
        <w:t xml:space="preserve">a </w:t>
      </w:r>
      <w:r>
        <w:t xml:space="preserve">iných zdrojov pre  </w:t>
      </w:r>
      <w:r w:rsidRPr="00E446C8">
        <w:t>prínos k rastu, konkurencieschopnos</w:t>
      </w:r>
      <w:r>
        <w:t>ti,</w:t>
      </w:r>
      <w:r w:rsidRPr="00E446C8">
        <w:t xml:space="preserve"> zamestnanos</w:t>
      </w:r>
      <w:r>
        <w:t>ti</w:t>
      </w:r>
      <w:r w:rsidRPr="00E446C8">
        <w:t xml:space="preserve"> a</w:t>
      </w:r>
      <w:r>
        <w:t xml:space="preserve"> k </w:t>
      </w:r>
      <w:r w:rsidRPr="00E446C8">
        <w:t>zvýšeni</w:t>
      </w:r>
      <w:r>
        <w:t>u</w:t>
      </w:r>
      <w:r w:rsidRPr="00E446C8">
        <w:t xml:space="preserve"> konvergencie.</w:t>
      </w:r>
    </w:p>
    <w:p w:rsidR="009B4A3B" w:rsidRPr="000E1A05" w:rsidRDefault="009B4A3B" w:rsidP="00493CF5">
      <w:pPr>
        <w:pStyle w:val="Nadpis1"/>
      </w:pPr>
      <w:r w:rsidRPr="000E1A05">
        <w:br w:type="page"/>
      </w:r>
      <w:bookmarkStart w:id="6" w:name="_Toc360575991"/>
      <w:bookmarkStart w:id="7" w:name="_Toc365831775"/>
      <w:bookmarkStart w:id="8" w:name="_Toc365831967"/>
      <w:bookmarkStart w:id="9" w:name="_Toc366744137"/>
      <w:r w:rsidRPr="000E1A05">
        <w:lastRenderedPageBreak/>
        <w:t>Analýza</w:t>
      </w:r>
      <w:bookmarkEnd w:id="6"/>
      <w:bookmarkEnd w:id="7"/>
      <w:bookmarkEnd w:id="8"/>
      <w:bookmarkEnd w:id="9"/>
    </w:p>
    <w:p w:rsidR="009B4A3B" w:rsidRPr="00D019F9" w:rsidRDefault="009B4A3B" w:rsidP="00D019F9">
      <w:pPr>
        <w:pStyle w:val="Nadpis2"/>
      </w:pPr>
      <w:bookmarkStart w:id="10" w:name="_TOC_250023"/>
      <w:bookmarkStart w:id="11" w:name="_Toc360575992"/>
      <w:bookmarkStart w:id="12" w:name="_Toc365831776"/>
      <w:bookmarkStart w:id="13" w:name="_Toc365831968"/>
      <w:bookmarkStart w:id="14" w:name="_Toc366744138"/>
      <w:r w:rsidRPr="00D019F9">
        <w:t>Analýza vybraných faktorov ekonomiky Slovenskej republiky</w:t>
      </w:r>
      <w:bookmarkEnd w:id="10"/>
      <w:bookmarkEnd w:id="11"/>
      <w:bookmarkEnd w:id="12"/>
      <w:bookmarkEnd w:id="13"/>
      <w:bookmarkEnd w:id="14"/>
    </w:p>
    <w:p w:rsidR="009B4A3B" w:rsidRPr="00D019F9" w:rsidRDefault="009B4A3B" w:rsidP="007B04F0">
      <w:pPr>
        <w:pStyle w:val="Nadpis3"/>
        <w:spacing w:after="240"/>
      </w:pPr>
      <w:bookmarkStart w:id="15" w:name="_TOC_250022"/>
      <w:bookmarkStart w:id="16" w:name="_Toc360575993"/>
      <w:bookmarkStart w:id="17" w:name="_Toc365831777"/>
      <w:bookmarkStart w:id="18" w:name="_Toc365831969"/>
      <w:bookmarkStart w:id="19" w:name="_Toc366744139"/>
      <w:r w:rsidRPr="00D019F9">
        <w:t>Zdroje ekonomického rastu a charakter konkurenčnej výhody</w:t>
      </w:r>
      <w:bookmarkEnd w:id="15"/>
      <w:bookmarkEnd w:id="16"/>
      <w:bookmarkEnd w:id="17"/>
      <w:bookmarkEnd w:id="18"/>
      <w:bookmarkEnd w:id="19"/>
    </w:p>
    <w:p w:rsidR="009B4A3B" w:rsidRPr="000E1A05" w:rsidRDefault="009B4A3B" w:rsidP="00DB7CC6">
      <w:pPr>
        <w:ind w:firstLine="340"/>
      </w:pPr>
      <w:r w:rsidRPr="000E1A05">
        <w:t>Slovenská republika patrí v rámci Európskej únie k najrýchlejšie rastúcim ekonomikám. Hrubý domáci produkt na obyvateľa v parite kúpnej sily vzrástol zo 47 % priemeru EÚ27 v roku 1995 na 73 % v roku 2012. Rýchlosť konvergencie k priemeru EÚ27 bola v SR vyššia ako v ostatných nových členských krajinách v strednej Európe. Rýchla konvergencia v mierach hrubého domáceho produktu na jedného obyvateľa bola v SR podmienená prudkým tempom rastu produktivity práce. Kým v roku 1995 činila hodinová produktivita práce v parite kúpnej sily v SR len 47 % priemeru EÚ27, v roku 2011 to bolo 73,8 %. Asi jednu polovicu nárastu produktivity práce zabezpečila celková produktivita faktorov (</w:t>
      </w:r>
      <w:r w:rsidR="006E354B">
        <w:t>CPF</w:t>
      </w:r>
      <w:r w:rsidRPr="000E1A05">
        <w:t xml:space="preserve">). Príspevok </w:t>
      </w:r>
      <w:r w:rsidR="006E354B">
        <w:t>CPF</w:t>
      </w:r>
      <w:r w:rsidRPr="000E1A05">
        <w:t xml:space="preserve"> k ekonomickému rastu bol v SR podstatne vyšší ako v EÚ27 a podobný ako v Česku, Maďarsku a Rumunsku. Veľký podiel TFP na celkovom ekonomickom raste je asociovaný so zmenšovaním technologickej medzery prostredníctvom difúzie poznatkov zo zahraničia. Za podstatnou časťou tejto difúzie boli priame zahraničné investície (PZI) </w:t>
      </w:r>
      <w:r w:rsidR="0091095D">
        <w:t>nadnárodných</w:t>
      </w:r>
      <w:r w:rsidRPr="000E1A05">
        <w:t xml:space="preserve"> spoločností. V roku 2011 podiel stavu priamych zahraničných investícií v ekonomike SR na celkovom hrubom domácom produkte dosiahol 57,4 %. Táto hodnota bola porovnateľná s Českom (62,0 %) a Maďarskom (64,1 %). Prílev PZI však nebol na Slovensku sprevádzaný zahraničnými podnikovými investíciami do </w:t>
      </w:r>
      <w:r w:rsidR="007B04F0">
        <w:t>výskumu a vývoja. V rokoch 2006 –</w:t>
      </w:r>
      <w:r w:rsidRPr="000E1A05">
        <w:t xml:space="preserve"> 2011 umiestnili zahraničné firmy na Slovensku v priemere 2071 mil. eur PZI ročne, no hodnota ich investícií do výskumu a vývoja v tom istom období činila len 19,7 mil. eur ročne,</w:t>
      </w:r>
      <w:r w:rsidR="0091095D">
        <w:t xml:space="preserve"> </w:t>
      </w:r>
      <w:r w:rsidRPr="000E1A05">
        <w:t>t. j. necelé jedno percento z objemu PZI.</w:t>
      </w:r>
    </w:p>
    <w:p w:rsidR="009B4A3B" w:rsidRPr="000E1A05" w:rsidRDefault="009B4A3B" w:rsidP="00DB7CC6">
      <w:pPr>
        <w:ind w:firstLine="340"/>
      </w:pPr>
      <w:r w:rsidRPr="000E1A05">
        <w:t>Relatívne vysoká úroveň HDP na jedného obyvateľa v SR v rámci regiónu sa javí v inom svetle, ak sa vykoná dekompozícia HDP podľa príjmovej stránky. V Európskej únii z celkového HDP v priemere ide 49 % na kompenzáciu pracovníkov, 39 % pripadá na hrubý prevádzkový prebytok a cca 12 % pripadá na dane z produkcie. V SR podiel miezd na HDP ešte v roku 1997 predstavoval 43 %, no v roku 2012 činil už len 37,5 % a bol tretí najnižší v Európe, po Bulharsku a Rumunsku. Na druhej strane v roku 1997 podiel ziskov na HDP činil len 48 %, no do roku 2012 stúpol na 55,4 % (druhá najvyššia hodnota v Európe)</w:t>
      </w:r>
      <w:r w:rsidR="0057447F">
        <w:t>,</w:t>
      </w:r>
      <w:r w:rsidRPr="000E1A05">
        <w:t xml:space="preserve"> čo bolo spôsobené jednak inou štruktúrou daní v roku 1997 ako aj politikou </w:t>
      </w:r>
      <w:r w:rsidR="0057447F">
        <w:t>„</w:t>
      </w:r>
      <w:r w:rsidRPr="000E1A05">
        <w:t>lákania</w:t>
      </w:r>
      <w:r w:rsidR="0057447F">
        <w:t>“</w:t>
      </w:r>
      <w:r w:rsidRPr="000E1A05">
        <w:t xml:space="preserve"> PZI prostredníctvom daňových stimulov. Typ konkurencie, ktorý si Slovensko vybralo, bol založený na nízkych daniach a mzdových nákladoch, nie však na investíciách do výskumu a inovácií. Tento štýl konkurencie nie je dlhodobo udržateľný. Doteraz bol rast produktivity práce zabezpečovaný najmä transfermi technológií a organizačných inovácií v rámci </w:t>
      </w:r>
      <w:r w:rsidR="0091095D">
        <w:t>nadnárodných</w:t>
      </w:r>
      <w:r w:rsidRPr="000E1A05">
        <w:t xml:space="preserve"> spoločností (MNS).</w:t>
      </w:r>
    </w:p>
    <w:p w:rsidR="009B4A3B" w:rsidRPr="000E1A05" w:rsidRDefault="009B4A3B" w:rsidP="00DB7CC6">
      <w:pPr>
        <w:ind w:firstLine="340"/>
      </w:pPr>
      <w:r w:rsidRPr="000E1A05">
        <w:t>Konkurenčnú schopnosť krajín každoročne hodnotí Správa o globálnej konkurenčnej schopnosti vydáva</w:t>
      </w:r>
      <w:r w:rsidR="002F0C93">
        <w:t>ná</w:t>
      </w:r>
      <w:r w:rsidRPr="000E1A05">
        <w:t xml:space="preserve"> Svetov</w:t>
      </w:r>
      <w:r w:rsidR="002F0C93">
        <w:t>ým</w:t>
      </w:r>
      <w:r w:rsidRPr="000E1A05">
        <w:t xml:space="preserve"> ekonomick</w:t>
      </w:r>
      <w:r w:rsidR="002F0C93">
        <w:t>ým</w:t>
      </w:r>
      <w:r w:rsidRPr="000E1A05">
        <w:t xml:space="preserve"> fór</w:t>
      </w:r>
      <w:r w:rsidR="002F0C93">
        <w:t>o</w:t>
      </w:r>
      <w:r w:rsidRPr="000E1A05">
        <w:t>m (WEF), v rámci ktorej sa sleduje 12 pilierov konkurencieschopnosti v 144 krajinách.</w:t>
      </w:r>
    </w:p>
    <w:p w:rsidR="009B4A3B" w:rsidRPr="000E1A05" w:rsidRDefault="009B4A3B" w:rsidP="00DB7CC6">
      <w:pPr>
        <w:ind w:firstLine="340"/>
      </w:pPr>
      <w:r w:rsidRPr="000E1A05">
        <w:t>Slovenská</w:t>
      </w:r>
      <w:r w:rsidR="0091095D">
        <w:t xml:space="preserve"> </w:t>
      </w:r>
      <w:r w:rsidRPr="000E1A05">
        <w:t>ekonomika</w:t>
      </w:r>
      <w:r w:rsidR="0091095D">
        <w:t xml:space="preserve"> </w:t>
      </w:r>
      <w:r w:rsidRPr="000E1A05">
        <w:t>dosahuje</w:t>
      </w:r>
      <w:r w:rsidR="0091095D">
        <w:t xml:space="preserve"> </w:t>
      </w:r>
      <w:r w:rsidR="00022C74">
        <w:t>silné postave</w:t>
      </w:r>
      <w:r w:rsidRPr="000E1A05">
        <w:t>nie</w:t>
      </w:r>
      <w:r w:rsidR="002F0C93">
        <w:t xml:space="preserve"> </w:t>
      </w:r>
      <w:r w:rsidRPr="000E1A05">
        <w:t>v porovnaní so</w:t>
      </w:r>
      <w:r w:rsidR="0091095D">
        <w:t xml:space="preserve"> </w:t>
      </w:r>
      <w:r w:rsidRPr="000E1A05">
        <w:t>stredoeurópskymi ekonomikami a inovačnými lídrami len v oblasti priamych zahraničných investícií a transferu technológií. Zvýšený prílev zahraničných investícií do ekonomiky sa prenáša aj do vyspelosti výrobného procesu, v ktorom dosahuje slovenská ekonomika v porovnaní so svojimi susedmi relatívne dobré postavenie (34. miesto).</w:t>
      </w:r>
    </w:p>
    <w:p w:rsidR="009B4A3B" w:rsidRPr="000E1A05" w:rsidRDefault="009B4A3B" w:rsidP="00DB7CC6">
      <w:pPr>
        <w:ind w:firstLine="340"/>
      </w:pPr>
      <w:r w:rsidRPr="000E1A05">
        <w:t>V ukazovateli charakter konkurenčnej výhody je postavenie Slovenska v rámci krajín V4 najhoršie (115. miesto), z hľadiska tohto hodnotenia konkurenčná výhoda Slovenska</w:t>
      </w:r>
      <w:r w:rsidR="0091095D">
        <w:t xml:space="preserve"> </w:t>
      </w:r>
      <w:r w:rsidRPr="000E1A05">
        <w:t xml:space="preserve">ostáva závislá viac od cenových a nákladových faktorov (cena práce, nízke dane, daňové stimuly a pod.) než od kvalitatívnych faktorov (napr. kvalita inštitúcií, vzdelávacieho systému alebo národného inovačného systému). Rizikom je, že po postupnom </w:t>
      </w:r>
      <w:r w:rsidRPr="000E1A05">
        <w:lastRenderedPageBreak/>
        <w:t>(a prirodzenom) vyčerpaní cenových konkurenčných výhod nebude Slovensko disponovať adekvátnymi kvalitatívnymi faktormi ekonomického rastu.</w:t>
      </w:r>
    </w:p>
    <w:p w:rsidR="009B4A3B" w:rsidRPr="000E1A05" w:rsidRDefault="009B4A3B" w:rsidP="00DB7CC6">
      <w:pPr>
        <w:ind w:firstLine="340"/>
      </w:pPr>
      <w:r w:rsidRPr="000E1A05">
        <w:t>V inovačných faktoroch ako potenciál pre inovácie, kvalita vedeckovýskumných i</w:t>
      </w:r>
      <w:r w:rsidR="00134F8E">
        <w:t>nštitúcií a výdavkov firiem na výskum a vývoj</w:t>
      </w:r>
      <w:r w:rsidRPr="000E1A05">
        <w:t xml:space="preserve"> alebo dostupnosť vedcov a inžinierov vykazuje Slovensko veľmi zlé postavenie, keď sa nachádza v druhej polovici rebríčka 144 hodnotených krajín. V týchto indikátoroch značne zaostáva aj za svojimi susedmi.</w:t>
      </w:r>
    </w:p>
    <w:p w:rsidR="009B4A3B" w:rsidRPr="000E1A05" w:rsidRDefault="009B4A3B" w:rsidP="00DB7CC6">
      <w:pPr>
        <w:ind w:firstLine="340"/>
      </w:pPr>
      <w:r w:rsidRPr="000E1A05">
        <w:t>Charakteristickou črtou nielen pre Slovensko, ale pre celý stredoeurópsky región</w:t>
      </w:r>
      <w:r w:rsidR="002F0C93">
        <w:t>,</w:t>
      </w:r>
      <w:r w:rsidRPr="000E1A05">
        <w:t xml:space="preserve"> je veľké zaostávanie v ukazovateli „Vládne objednávky technologicky vyspelých produktov“ (127. miesto). Verejný sektor môže vytváraním dopytu po technologicky náročných produktoch stimulovať inovačný rozvoj domáceho podnikového prostredia.</w:t>
      </w:r>
    </w:p>
    <w:p w:rsidR="009B4A3B" w:rsidRPr="000E1A05" w:rsidRDefault="009B4A3B" w:rsidP="00DB7CC6">
      <w:pPr>
        <w:ind w:firstLine="340"/>
      </w:pPr>
      <w:r w:rsidRPr="000E1A05">
        <w:t>Pre Slovensko nevyznieva pozitívne ani umiestnenie v oblasti kvality vzdelávania v matematických a prírodných vedách (83. miesto). Ide o dôležitý faktor kvality ľudského kapitálu, na ktorom spočíva budúci inovačný rozvoj každej krajiny.</w:t>
      </w:r>
    </w:p>
    <w:p w:rsidR="009B4A3B" w:rsidRPr="000E1A05" w:rsidRDefault="009B4A3B" w:rsidP="00DB7CC6">
      <w:pPr>
        <w:ind w:firstLine="340"/>
      </w:pPr>
      <w:r w:rsidRPr="000E1A05">
        <w:t xml:space="preserve">V porovnaní s referenčnými krajinami strednej Európy je na Slovensku relatívne dobrá dostupnosť rizikového kapitálu (60. miesto). Tento ukazovateľ hovorí o hodnotení dostupnosti rizikového kapitálu, ale nie o jeho využívaní, ktoré </w:t>
      </w:r>
      <w:r w:rsidR="002F0C93">
        <w:t xml:space="preserve">- </w:t>
      </w:r>
      <w:r w:rsidRPr="000E1A05">
        <w:t xml:space="preserve">ako sme uviedli v predchádzajúcom texte </w:t>
      </w:r>
      <w:r w:rsidR="002F0C93">
        <w:t xml:space="preserve">- </w:t>
      </w:r>
      <w:r w:rsidRPr="000E1A05">
        <w:t>je jedno z najnižších v Európe.</w:t>
      </w:r>
    </w:p>
    <w:p w:rsidR="009B4A3B" w:rsidRPr="00D019F9" w:rsidRDefault="009B4A3B" w:rsidP="00D019F9">
      <w:pPr>
        <w:pStyle w:val="Nadpis2"/>
      </w:pPr>
      <w:bookmarkStart w:id="20" w:name="_TOC_250021"/>
      <w:bookmarkStart w:id="21" w:name="_Toc360575994"/>
      <w:bookmarkStart w:id="22" w:name="_Toc365831778"/>
      <w:bookmarkStart w:id="23" w:name="_Toc365831970"/>
      <w:bookmarkStart w:id="24" w:name="_Toc366744140"/>
      <w:r w:rsidRPr="00D019F9">
        <w:t>Trendy v exportnej špecializácii</w:t>
      </w:r>
      <w:bookmarkEnd w:id="20"/>
      <w:bookmarkEnd w:id="21"/>
      <w:bookmarkEnd w:id="22"/>
      <w:bookmarkEnd w:id="23"/>
      <w:bookmarkEnd w:id="24"/>
    </w:p>
    <w:p w:rsidR="009B4A3B" w:rsidRPr="00D019F9" w:rsidRDefault="009B4A3B" w:rsidP="002C57EC">
      <w:pPr>
        <w:pStyle w:val="Nadpis3"/>
        <w:spacing w:after="240"/>
      </w:pPr>
      <w:bookmarkStart w:id="25" w:name="_Toc360575995"/>
      <w:bookmarkStart w:id="26" w:name="_Toc365831779"/>
      <w:bookmarkStart w:id="27" w:name="_Toc365831971"/>
      <w:bookmarkStart w:id="28" w:name="_Toc366744141"/>
      <w:r w:rsidRPr="00D019F9">
        <w:t>Základné trendy vo vývoji slovenského exportu</w:t>
      </w:r>
      <w:bookmarkEnd w:id="25"/>
      <w:bookmarkEnd w:id="26"/>
      <w:bookmarkEnd w:id="27"/>
      <w:bookmarkEnd w:id="28"/>
    </w:p>
    <w:p w:rsidR="009B4A3B" w:rsidRPr="000E1A05" w:rsidRDefault="009B4A3B" w:rsidP="00DB7CC6">
      <w:pPr>
        <w:ind w:firstLine="340"/>
      </w:pPr>
      <w:r w:rsidRPr="000E1A05">
        <w:t xml:space="preserve">Slovensko má malú a veľmi otvorenú ekonomiku. Podiel exportov tovarov a služieb na hrubom domácom </w:t>
      </w:r>
      <w:r w:rsidR="00AE5259">
        <w:t xml:space="preserve">produkte narástol v rokoch 1995 – </w:t>
      </w:r>
      <w:r w:rsidRPr="000E1A05">
        <w:t>2012 z 57,8 % na 95,4 % (</w:t>
      </w:r>
      <w:r w:rsidR="00AE5259">
        <w:t>Graf</w:t>
      </w:r>
      <w:r w:rsidRPr="000E1A05">
        <w:t xml:space="preserve"> 1). K dramatick</w:t>
      </w:r>
      <w:r w:rsidR="002F0C93">
        <w:t>ému</w:t>
      </w:r>
      <w:r w:rsidRPr="000E1A05">
        <w:t xml:space="preserve"> nárast</w:t>
      </w:r>
      <w:r w:rsidR="002F0C93">
        <w:t>u</w:t>
      </w:r>
      <w:r w:rsidRPr="000E1A05">
        <w:t xml:space="preserve"> otvorenosti našej ekonomiky došlo najmä po roku 2000 v súvislosti so zavádzaním ekonomických reforiem, ekonomickou konju</w:t>
      </w:r>
      <w:r w:rsidR="002F0C93">
        <w:t>n</w:t>
      </w:r>
      <w:r w:rsidRPr="000E1A05">
        <w:t>ktúrou v</w:t>
      </w:r>
      <w:r w:rsidR="00ED5EC9">
        <w:t>o</w:t>
      </w:r>
      <w:r w:rsidRPr="000E1A05">
        <w:t> svete a s potvrdením statusu SR ako budúcej členskej krajiny EÚ. Ďalší významný nárast nastal po roku 2005 v súvislosti s príchodom veľkých zahraničných investorov do sektorov automobilového priemyslu a spotrebnej elektroniky. V súčasnosti dosahuje Slovensko vysoký stupeň integrácie do globálnych sietí obchodu s tovarom a službami.</w:t>
      </w:r>
    </w:p>
    <w:p w:rsidR="009B4A3B" w:rsidRPr="00D019F9" w:rsidRDefault="009B4A3B" w:rsidP="009038F6">
      <w:pPr>
        <w:pStyle w:val="Nadpis4"/>
        <w:spacing w:after="240"/>
      </w:pPr>
      <w:r w:rsidRPr="00D019F9">
        <w:t>Export tovarov</w:t>
      </w:r>
    </w:p>
    <w:p w:rsidR="009B4A3B" w:rsidRPr="000E1A05" w:rsidRDefault="00901498" w:rsidP="00DB7CC6">
      <w:pPr>
        <w:spacing w:after="0"/>
        <w:ind w:firstLine="340"/>
      </w:pPr>
      <w:r>
        <w:t xml:space="preserve">V rokoch 1997 – </w:t>
      </w:r>
      <w:r w:rsidR="009B4A3B" w:rsidRPr="000E1A05">
        <w:t>2011 v slovenskom exporte tovarov bolo možné badať jasný trend k špecializácii na určité typy produktov:</w:t>
      </w:r>
    </w:p>
    <w:p w:rsidR="009B4A3B" w:rsidRPr="000E1A05" w:rsidRDefault="009B4A3B" w:rsidP="00791A72">
      <w:pPr>
        <w:pStyle w:val="Odsekzoznamu1"/>
        <w:numPr>
          <w:ilvl w:val="0"/>
          <w:numId w:val="4"/>
        </w:numPr>
      </w:pPr>
      <w:r w:rsidRPr="000E1A05">
        <w:t>podiel ôsmich najdôležitejších tried výrobkov na celkovom vývoze stúpol z 53,5 % na 73,9 %,</w:t>
      </w:r>
    </w:p>
    <w:p w:rsidR="009B4A3B" w:rsidRPr="000E1A05" w:rsidRDefault="009B4A3B" w:rsidP="00791A72">
      <w:pPr>
        <w:pStyle w:val="Odsekzoznamu1"/>
        <w:numPr>
          <w:ilvl w:val="0"/>
          <w:numId w:val="4"/>
        </w:numPr>
      </w:pPr>
      <w:r w:rsidRPr="000E1A05">
        <w:t>podiel troch najvýznamnejších tried výrobkov (84-Jadrové</w:t>
      </w:r>
      <w:r w:rsidR="00134F8E">
        <w:t xml:space="preserve"> </w:t>
      </w:r>
      <w:r w:rsidRPr="000E1A05">
        <w:t>reaktory,</w:t>
      </w:r>
      <w:r w:rsidR="00134F8E">
        <w:t xml:space="preserve"> </w:t>
      </w:r>
      <w:r w:rsidRPr="000E1A05">
        <w:t>kotly,</w:t>
      </w:r>
      <w:r w:rsidR="00134F8E">
        <w:t xml:space="preserve"> </w:t>
      </w:r>
      <w:r w:rsidRPr="000E1A05">
        <w:t>stroje, prístroje, časti, 85-Elektrické stroje prístroje a zariadenia, a 87-Vozidlá</w:t>
      </w:r>
      <w:r w:rsidR="00134F8E">
        <w:t xml:space="preserve"> </w:t>
      </w:r>
      <w:r w:rsidRPr="000E1A05">
        <w:t>iné</w:t>
      </w:r>
      <w:r w:rsidR="00134F8E">
        <w:t xml:space="preserve"> </w:t>
      </w:r>
      <w:r w:rsidRPr="000E1A05">
        <w:t>ako koľajové, ich časti a príslušenstvo) narástol z 26,0 % na 53,2 %.</w:t>
      </w:r>
    </w:p>
    <w:p w:rsidR="009B4A3B" w:rsidRDefault="009B4A3B" w:rsidP="00DB7CC6">
      <w:pPr>
        <w:ind w:firstLine="340"/>
      </w:pPr>
      <w:r w:rsidRPr="000E1A05">
        <w:t>V roku 2011 vyše polovicu slovenského exportu tovarov tvorili len tri triedy výrobkov. Najrýchlejšie rástli exporty v triede 85-Elektrické stroje prístroje a zariadenia (zo 7,0 % na</w:t>
      </w:r>
      <w:r w:rsidR="00901498">
        <w:t xml:space="preserve"> </w:t>
      </w:r>
      <w:r w:rsidRPr="000E1A05">
        <w:t>29,0 %). V roku 2009 podiel tejto triedy na celkových exportoch dosiahol dokonca 25,8 %. Odvetvie sa však ukázalo ako pomerne zraniteľné v čase krízy.</w:t>
      </w:r>
    </w:p>
    <w:p w:rsidR="005332A3" w:rsidRPr="00D00787" w:rsidRDefault="00D00787" w:rsidP="005332A3">
      <w:pPr>
        <w:rPr>
          <w:i/>
          <w:w w:val="90"/>
        </w:rPr>
      </w:pPr>
      <w:r>
        <w:rPr>
          <w:w w:val="90"/>
        </w:rPr>
        <w:br w:type="page"/>
      </w:r>
      <w:r w:rsidR="005332A3" w:rsidRPr="00D00787">
        <w:rPr>
          <w:b/>
          <w:i/>
          <w:w w:val="90"/>
        </w:rPr>
        <w:lastRenderedPageBreak/>
        <w:t>Graf 1</w:t>
      </w:r>
      <w:r w:rsidR="005332A3" w:rsidRPr="00D00787">
        <w:rPr>
          <w:i/>
          <w:w w:val="90"/>
        </w:rPr>
        <w:t xml:space="preserve"> I</w:t>
      </w:r>
      <w:r w:rsidR="005332A3" w:rsidRPr="00D00787">
        <w:rPr>
          <w:i/>
          <w:spacing w:val="-3"/>
          <w:w w:val="90"/>
        </w:rPr>
        <w:t>n</w:t>
      </w:r>
      <w:r w:rsidR="005332A3" w:rsidRPr="00D00787">
        <w:rPr>
          <w:i/>
          <w:spacing w:val="1"/>
          <w:w w:val="90"/>
        </w:rPr>
        <w:t>t</w:t>
      </w:r>
      <w:r w:rsidR="005332A3" w:rsidRPr="00D00787">
        <w:rPr>
          <w:i/>
          <w:spacing w:val="-1"/>
          <w:w w:val="90"/>
        </w:rPr>
        <w:t>e</w:t>
      </w:r>
      <w:r w:rsidR="005332A3" w:rsidRPr="00D00787">
        <w:rPr>
          <w:i/>
          <w:spacing w:val="-2"/>
          <w:w w:val="90"/>
        </w:rPr>
        <w:t>g</w:t>
      </w:r>
      <w:r w:rsidR="005332A3" w:rsidRPr="00D00787">
        <w:rPr>
          <w:i/>
          <w:w w:val="90"/>
        </w:rPr>
        <w:t>r</w:t>
      </w:r>
      <w:r w:rsidR="005332A3" w:rsidRPr="00D00787">
        <w:rPr>
          <w:i/>
          <w:spacing w:val="-2"/>
          <w:w w:val="90"/>
        </w:rPr>
        <w:t>ác</w:t>
      </w:r>
      <w:r w:rsidR="005332A3" w:rsidRPr="00D00787">
        <w:rPr>
          <w:i/>
          <w:w w:val="90"/>
        </w:rPr>
        <w:t xml:space="preserve">ia </w:t>
      </w:r>
      <w:r w:rsidR="005332A3" w:rsidRPr="00D00787">
        <w:rPr>
          <w:i/>
          <w:spacing w:val="-2"/>
          <w:w w:val="90"/>
        </w:rPr>
        <w:t>S</w:t>
      </w:r>
      <w:r w:rsidR="005332A3" w:rsidRPr="00D00787">
        <w:rPr>
          <w:i/>
          <w:w w:val="90"/>
        </w:rPr>
        <w:t>R do s</w:t>
      </w:r>
      <w:r w:rsidR="005332A3" w:rsidRPr="00D00787">
        <w:rPr>
          <w:i/>
          <w:spacing w:val="-1"/>
          <w:w w:val="90"/>
        </w:rPr>
        <w:t>ve</w:t>
      </w:r>
      <w:r w:rsidR="005332A3" w:rsidRPr="00D00787">
        <w:rPr>
          <w:i/>
          <w:spacing w:val="1"/>
          <w:w w:val="90"/>
        </w:rPr>
        <w:t>t</w:t>
      </w:r>
      <w:r w:rsidR="005332A3" w:rsidRPr="00D00787">
        <w:rPr>
          <w:i/>
          <w:w w:val="90"/>
        </w:rPr>
        <w:t>o</w:t>
      </w:r>
      <w:r w:rsidR="005332A3" w:rsidRPr="00D00787">
        <w:rPr>
          <w:i/>
          <w:spacing w:val="-1"/>
          <w:w w:val="90"/>
        </w:rPr>
        <w:t>vý</w:t>
      </w:r>
      <w:r w:rsidR="005332A3" w:rsidRPr="00D00787">
        <w:rPr>
          <w:i/>
          <w:spacing w:val="-2"/>
          <w:w w:val="90"/>
        </w:rPr>
        <w:t>c</w:t>
      </w:r>
      <w:r w:rsidR="005332A3" w:rsidRPr="00D00787">
        <w:rPr>
          <w:i/>
          <w:w w:val="90"/>
        </w:rPr>
        <w:t>h si</w:t>
      </w:r>
      <w:r w:rsidR="005332A3" w:rsidRPr="00D00787">
        <w:rPr>
          <w:i/>
          <w:spacing w:val="-1"/>
          <w:w w:val="90"/>
        </w:rPr>
        <w:t>e</w:t>
      </w:r>
      <w:r w:rsidR="005332A3" w:rsidRPr="00D00787">
        <w:rPr>
          <w:i/>
          <w:spacing w:val="1"/>
          <w:w w:val="90"/>
        </w:rPr>
        <w:t>t</w:t>
      </w:r>
      <w:r w:rsidR="005332A3" w:rsidRPr="00D00787">
        <w:rPr>
          <w:i/>
          <w:w w:val="90"/>
        </w:rPr>
        <w:t>í ob</w:t>
      </w:r>
      <w:r w:rsidR="005332A3" w:rsidRPr="00D00787">
        <w:rPr>
          <w:i/>
          <w:spacing w:val="-1"/>
          <w:w w:val="90"/>
        </w:rPr>
        <w:t>c</w:t>
      </w:r>
      <w:r w:rsidR="005332A3" w:rsidRPr="00D00787">
        <w:rPr>
          <w:i/>
          <w:spacing w:val="-3"/>
          <w:w w:val="90"/>
        </w:rPr>
        <w:t>h</w:t>
      </w:r>
      <w:r w:rsidR="005332A3" w:rsidRPr="00D00787">
        <w:rPr>
          <w:i/>
          <w:w w:val="90"/>
        </w:rPr>
        <w:t>o</w:t>
      </w:r>
      <w:r w:rsidR="005332A3" w:rsidRPr="00D00787">
        <w:rPr>
          <w:i/>
          <w:spacing w:val="-3"/>
          <w:w w:val="90"/>
        </w:rPr>
        <w:t>d</w:t>
      </w:r>
      <w:r w:rsidR="005332A3" w:rsidRPr="00D00787">
        <w:rPr>
          <w:i/>
          <w:w w:val="90"/>
        </w:rPr>
        <w:t>u s </w:t>
      </w:r>
      <w:r w:rsidR="005332A3" w:rsidRPr="00D00787">
        <w:rPr>
          <w:i/>
          <w:spacing w:val="1"/>
          <w:w w:val="90"/>
        </w:rPr>
        <w:t>t</w:t>
      </w:r>
      <w:r w:rsidR="005332A3" w:rsidRPr="00D00787">
        <w:rPr>
          <w:i/>
          <w:w w:val="90"/>
        </w:rPr>
        <w:t>o</w:t>
      </w:r>
      <w:r w:rsidR="005332A3" w:rsidRPr="00D00787">
        <w:rPr>
          <w:i/>
          <w:spacing w:val="-1"/>
          <w:w w:val="90"/>
        </w:rPr>
        <w:t>v</w:t>
      </w:r>
      <w:r w:rsidR="005332A3" w:rsidRPr="00D00787">
        <w:rPr>
          <w:i/>
          <w:spacing w:val="-2"/>
          <w:w w:val="90"/>
        </w:rPr>
        <w:t>a</w:t>
      </w:r>
      <w:r w:rsidR="005332A3" w:rsidRPr="00D00787">
        <w:rPr>
          <w:i/>
          <w:w w:val="90"/>
        </w:rPr>
        <w:t>rom a s</w:t>
      </w:r>
      <w:r w:rsidR="005332A3" w:rsidRPr="00D00787">
        <w:rPr>
          <w:i/>
          <w:spacing w:val="-3"/>
          <w:w w:val="90"/>
        </w:rPr>
        <w:t>l</w:t>
      </w:r>
      <w:r w:rsidR="005332A3" w:rsidRPr="00D00787">
        <w:rPr>
          <w:i/>
          <w:w w:val="90"/>
        </w:rPr>
        <w:t>u</w:t>
      </w:r>
      <w:r w:rsidR="005332A3" w:rsidRPr="00D00787">
        <w:rPr>
          <w:i/>
          <w:spacing w:val="-2"/>
          <w:w w:val="90"/>
        </w:rPr>
        <w:t>ž</w:t>
      </w:r>
      <w:r w:rsidR="005332A3" w:rsidRPr="00D00787">
        <w:rPr>
          <w:i/>
          <w:w w:val="90"/>
        </w:rPr>
        <w:t>b</w:t>
      </w:r>
      <w:r w:rsidR="005332A3" w:rsidRPr="00D00787">
        <w:rPr>
          <w:i/>
          <w:spacing w:val="-1"/>
          <w:w w:val="90"/>
        </w:rPr>
        <w:t>am</w:t>
      </w:r>
      <w:r w:rsidR="005332A3" w:rsidRPr="00D00787">
        <w:rPr>
          <w:i/>
          <w:w w:val="90"/>
        </w:rPr>
        <w:t xml:space="preserve">i </w:t>
      </w:r>
      <w:r w:rsidR="005332A3" w:rsidRPr="00D00787">
        <w:rPr>
          <w:i/>
          <w:spacing w:val="-1"/>
          <w:w w:val="90"/>
        </w:rPr>
        <w:t>(e</w:t>
      </w:r>
      <w:r w:rsidR="005332A3" w:rsidRPr="00D00787">
        <w:rPr>
          <w:i/>
          <w:spacing w:val="-4"/>
          <w:w w:val="90"/>
        </w:rPr>
        <w:t>x</w:t>
      </w:r>
      <w:r w:rsidR="005332A3" w:rsidRPr="00D00787">
        <w:rPr>
          <w:i/>
          <w:w w:val="90"/>
        </w:rPr>
        <w:t>po</w:t>
      </w:r>
      <w:r w:rsidR="005332A3" w:rsidRPr="00D00787">
        <w:rPr>
          <w:i/>
          <w:spacing w:val="-1"/>
          <w:w w:val="90"/>
        </w:rPr>
        <w:t>r</w:t>
      </w:r>
      <w:r w:rsidR="005332A3" w:rsidRPr="00D00787">
        <w:rPr>
          <w:i/>
          <w:spacing w:val="1"/>
          <w:w w:val="90"/>
        </w:rPr>
        <w:t>t</w:t>
      </w:r>
      <w:r w:rsidR="005332A3" w:rsidRPr="00D00787">
        <w:rPr>
          <w:i/>
          <w:w w:val="90"/>
        </w:rPr>
        <w:t xml:space="preserve"> </w:t>
      </w:r>
      <w:r w:rsidR="005332A3" w:rsidRPr="00D00787">
        <w:rPr>
          <w:i/>
          <w:spacing w:val="-2"/>
          <w:w w:val="90"/>
        </w:rPr>
        <w:t>a</w:t>
      </w:r>
      <w:r w:rsidR="005332A3" w:rsidRPr="00D00787">
        <w:rPr>
          <w:i/>
          <w:spacing w:val="-1"/>
          <w:w w:val="90"/>
        </w:rPr>
        <w:t>k</w:t>
      </w:r>
      <w:r w:rsidR="005332A3" w:rsidRPr="00D00787">
        <w:rPr>
          <w:i/>
          <w:w w:val="90"/>
        </w:rPr>
        <w:t>o % HDP</w:t>
      </w:r>
      <w:r w:rsidR="005332A3" w:rsidRPr="00D00787">
        <w:rPr>
          <w:i/>
          <w:spacing w:val="-1"/>
          <w:w w:val="90"/>
        </w:rPr>
        <w:t>)</w:t>
      </w:r>
      <w:r w:rsidR="005332A3" w:rsidRPr="00D00787">
        <w:rPr>
          <w:i/>
          <w:w w:val="90"/>
        </w:rPr>
        <w:t>.</w:t>
      </w:r>
    </w:p>
    <w:p w:rsidR="009B4A3B" w:rsidRPr="000E1A05" w:rsidRDefault="00CD6B77" w:rsidP="00021CB3">
      <w:pPr>
        <w:pStyle w:val="Zkladntext"/>
        <w:spacing w:line="254" w:lineRule="auto"/>
        <w:ind w:right="111"/>
        <w:rPr>
          <w:w w:val="90"/>
        </w:rPr>
      </w:pPr>
      <w:r>
        <w:rPr>
          <w:noProof/>
          <w:lang w:val="sk-SK" w:eastAsia="sk-SK"/>
        </w:rPr>
        <w:drawing>
          <wp:inline distT="0" distB="0" distL="0" distR="0" wp14:anchorId="386982B7" wp14:editId="42C87FA5">
            <wp:extent cx="5746750" cy="3168650"/>
            <wp:effectExtent l="0" t="0" r="0" b="0"/>
            <wp:docPr id="1" name="Graf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332A3" w:rsidRPr="00D00787">
        <w:rPr>
          <w:b/>
          <w:i/>
          <w:spacing w:val="-2"/>
          <w:w w:val="90"/>
        </w:rPr>
        <w:t>Z</w:t>
      </w:r>
      <w:r w:rsidR="005332A3" w:rsidRPr="00D00787">
        <w:rPr>
          <w:b/>
          <w:i/>
          <w:w w:val="90"/>
        </w:rPr>
        <w:t>d</w:t>
      </w:r>
      <w:r w:rsidR="005332A3" w:rsidRPr="00D00787">
        <w:rPr>
          <w:b/>
          <w:i/>
          <w:spacing w:val="-1"/>
          <w:w w:val="90"/>
        </w:rPr>
        <w:t>r</w:t>
      </w:r>
      <w:r w:rsidR="005332A3" w:rsidRPr="00D00787">
        <w:rPr>
          <w:b/>
          <w:i/>
          <w:w w:val="90"/>
        </w:rPr>
        <w:t>o</w:t>
      </w:r>
      <w:r w:rsidR="005332A3" w:rsidRPr="00D00787">
        <w:rPr>
          <w:b/>
          <w:i/>
          <w:spacing w:val="-1"/>
          <w:w w:val="90"/>
        </w:rPr>
        <w:t>j</w:t>
      </w:r>
      <w:r w:rsidR="005332A3" w:rsidRPr="00D00787">
        <w:rPr>
          <w:i/>
          <w:spacing w:val="-1"/>
          <w:w w:val="90"/>
        </w:rPr>
        <w:t xml:space="preserve"> </w:t>
      </w:r>
      <w:r w:rsidR="005332A3" w:rsidRPr="00D00787">
        <w:rPr>
          <w:i/>
          <w:spacing w:val="-4"/>
          <w:w w:val="90"/>
        </w:rPr>
        <w:t>Š</w:t>
      </w:r>
      <w:r w:rsidR="005332A3" w:rsidRPr="00D00787">
        <w:rPr>
          <w:i/>
          <w:spacing w:val="1"/>
          <w:w w:val="90"/>
        </w:rPr>
        <w:t>t</w:t>
      </w:r>
      <w:r w:rsidR="005332A3" w:rsidRPr="00D00787">
        <w:rPr>
          <w:i/>
          <w:spacing w:val="-2"/>
          <w:w w:val="90"/>
        </w:rPr>
        <w:t>a</w:t>
      </w:r>
      <w:r w:rsidR="005332A3" w:rsidRPr="00D00787">
        <w:rPr>
          <w:i/>
          <w:spacing w:val="1"/>
          <w:w w:val="90"/>
        </w:rPr>
        <w:t>t</w:t>
      </w:r>
      <w:r w:rsidR="005332A3" w:rsidRPr="00D00787">
        <w:rPr>
          <w:i/>
          <w:w w:val="90"/>
        </w:rPr>
        <w:t>i</w:t>
      </w:r>
      <w:r w:rsidR="005332A3" w:rsidRPr="00D00787">
        <w:rPr>
          <w:i/>
          <w:spacing w:val="-4"/>
          <w:w w:val="90"/>
        </w:rPr>
        <w:t>s</w:t>
      </w:r>
      <w:r w:rsidR="005332A3" w:rsidRPr="00D00787">
        <w:rPr>
          <w:i/>
          <w:spacing w:val="1"/>
          <w:w w:val="90"/>
        </w:rPr>
        <w:t>t</w:t>
      </w:r>
      <w:r w:rsidR="005332A3" w:rsidRPr="00D00787">
        <w:rPr>
          <w:i/>
          <w:w w:val="90"/>
        </w:rPr>
        <w:t>i</w:t>
      </w:r>
      <w:r w:rsidR="005332A3" w:rsidRPr="00D00787">
        <w:rPr>
          <w:i/>
          <w:spacing w:val="-2"/>
          <w:w w:val="90"/>
        </w:rPr>
        <w:t>c</w:t>
      </w:r>
      <w:r w:rsidR="005332A3" w:rsidRPr="00D00787">
        <w:rPr>
          <w:i/>
          <w:spacing w:val="-1"/>
          <w:w w:val="90"/>
        </w:rPr>
        <w:t>k</w:t>
      </w:r>
      <w:r w:rsidR="005332A3" w:rsidRPr="00D00787">
        <w:rPr>
          <w:i/>
          <w:w w:val="90"/>
        </w:rPr>
        <w:t>ý ú</w:t>
      </w:r>
      <w:r w:rsidR="005332A3" w:rsidRPr="00D00787">
        <w:rPr>
          <w:i/>
          <w:spacing w:val="-1"/>
          <w:w w:val="90"/>
        </w:rPr>
        <w:t>r</w:t>
      </w:r>
      <w:r w:rsidR="005332A3" w:rsidRPr="00D00787">
        <w:rPr>
          <w:i/>
          <w:spacing w:val="-2"/>
          <w:w w:val="90"/>
        </w:rPr>
        <w:t>a</w:t>
      </w:r>
      <w:r w:rsidR="005332A3" w:rsidRPr="00D00787">
        <w:rPr>
          <w:i/>
          <w:w w:val="90"/>
        </w:rPr>
        <w:t xml:space="preserve">d </w:t>
      </w:r>
      <w:r w:rsidR="005332A3" w:rsidRPr="00D00787">
        <w:rPr>
          <w:i/>
          <w:spacing w:val="-4"/>
          <w:w w:val="90"/>
        </w:rPr>
        <w:t>S</w:t>
      </w:r>
      <w:r w:rsidR="005332A3" w:rsidRPr="00D00787">
        <w:rPr>
          <w:i/>
          <w:w w:val="90"/>
        </w:rPr>
        <w:t>lo</w:t>
      </w:r>
      <w:r w:rsidR="005332A3" w:rsidRPr="00D00787">
        <w:rPr>
          <w:i/>
          <w:spacing w:val="-1"/>
          <w:w w:val="90"/>
        </w:rPr>
        <w:t>ve</w:t>
      </w:r>
      <w:r w:rsidR="005332A3" w:rsidRPr="00D00787">
        <w:rPr>
          <w:i/>
          <w:w w:val="90"/>
        </w:rPr>
        <w:t>n</w:t>
      </w:r>
      <w:r w:rsidR="005332A3" w:rsidRPr="00D00787">
        <w:rPr>
          <w:i/>
          <w:spacing w:val="-2"/>
          <w:w w:val="90"/>
        </w:rPr>
        <w:t>s</w:t>
      </w:r>
      <w:r w:rsidR="005332A3" w:rsidRPr="00D00787">
        <w:rPr>
          <w:i/>
          <w:spacing w:val="-1"/>
          <w:w w:val="90"/>
        </w:rPr>
        <w:t>ke</w:t>
      </w:r>
      <w:r w:rsidR="005332A3" w:rsidRPr="00D00787">
        <w:rPr>
          <w:i/>
          <w:w w:val="90"/>
        </w:rPr>
        <w:t xml:space="preserve">j </w:t>
      </w:r>
      <w:r w:rsidR="005332A3" w:rsidRPr="00D00787">
        <w:rPr>
          <w:i/>
          <w:spacing w:val="-3"/>
          <w:w w:val="90"/>
        </w:rPr>
        <w:t>r</w:t>
      </w:r>
      <w:r w:rsidR="005332A3" w:rsidRPr="00D00787">
        <w:rPr>
          <w:i/>
          <w:spacing w:val="-1"/>
          <w:w w:val="90"/>
        </w:rPr>
        <w:t>e</w:t>
      </w:r>
      <w:r w:rsidR="005332A3" w:rsidRPr="00D00787">
        <w:rPr>
          <w:i/>
          <w:spacing w:val="-3"/>
          <w:w w:val="90"/>
        </w:rPr>
        <w:t>p</w:t>
      </w:r>
      <w:r w:rsidR="005332A3" w:rsidRPr="00D00787">
        <w:rPr>
          <w:i/>
          <w:w w:val="90"/>
        </w:rPr>
        <w:t>ub</w:t>
      </w:r>
      <w:r w:rsidR="005332A3" w:rsidRPr="00D00787">
        <w:rPr>
          <w:i/>
          <w:spacing w:val="-1"/>
          <w:w w:val="90"/>
        </w:rPr>
        <w:t>l</w:t>
      </w:r>
      <w:r w:rsidR="005332A3" w:rsidRPr="00D00787">
        <w:rPr>
          <w:i/>
          <w:w w:val="90"/>
        </w:rPr>
        <w:t>i</w:t>
      </w:r>
      <w:r w:rsidR="005332A3" w:rsidRPr="00D00787">
        <w:rPr>
          <w:i/>
          <w:spacing w:val="-1"/>
          <w:w w:val="90"/>
        </w:rPr>
        <w:t>ky</w:t>
      </w:r>
      <w:r w:rsidR="005332A3" w:rsidRPr="00D00787">
        <w:rPr>
          <w:i/>
          <w:w w:val="90"/>
        </w:rPr>
        <w:t xml:space="preserve">: </w:t>
      </w:r>
      <w:r w:rsidR="005332A3" w:rsidRPr="00D00787">
        <w:rPr>
          <w:i/>
          <w:spacing w:val="-1"/>
          <w:w w:val="90"/>
        </w:rPr>
        <w:t>da</w:t>
      </w:r>
      <w:r w:rsidR="005332A3" w:rsidRPr="00D00787">
        <w:rPr>
          <w:i/>
          <w:w w:val="90"/>
        </w:rPr>
        <w:t>t</w:t>
      </w:r>
      <w:r w:rsidR="005332A3" w:rsidRPr="00D00787">
        <w:rPr>
          <w:i/>
          <w:spacing w:val="-1"/>
          <w:w w:val="90"/>
        </w:rPr>
        <w:t>abá</w:t>
      </w:r>
      <w:r w:rsidR="005332A3" w:rsidRPr="00D00787">
        <w:rPr>
          <w:i/>
          <w:spacing w:val="2"/>
          <w:w w:val="90"/>
        </w:rPr>
        <w:t>z</w:t>
      </w:r>
      <w:r w:rsidR="005332A3" w:rsidRPr="00D00787">
        <w:rPr>
          <w:i/>
          <w:w w:val="90"/>
        </w:rPr>
        <w:t xml:space="preserve">a </w:t>
      </w:r>
      <w:r w:rsidR="005332A3" w:rsidRPr="00D00787">
        <w:rPr>
          <w:i/>
          <w:spacing w:val="-2"/>
          <w:w w:val="90"/>
        </w:rPr>
        <w:t>S</w:t>
      </w:r>
      <w:r w:rsidR="005332A3" w:rsidRPr="00D00787">
        <w:rPr>
          <w:i/>
          <w:w w:val="90"/>
        </w:rPr>
        <w:t>l</w:t>
      </w:r>
      <w:r w:rsidR="005332A3" w:rsidRPr="00D00787">
        <w:rPr>
          <w:i/>
          <w:spacing w:val="-1"/>
          <w:w w:val="90"/>
        </w:rPr>
        <w:t>ov</w:t>
      </w:r>
      <w:r w:rsidR="005332A3" w:rsidRPr="00D00787">
        <w:rPr>
          <w:i/>
          <w:w w:val="90"/>
        </w:rPr>
        <w:t>s</w:t>
      </w:r>
      <w:r w:rsidR="005332A3" w:rsidRPr="00D00787">
        <w:rPr>
          <w:i/>
          <w:spacing w:val="1"/>
          <w:w w:val="90"/>
        </w:rPr>
        <w:t>t</w:t>
      </w:r>
      <w:r w:rsidR="005332A3" w:rsidRPr="00D00787">
        <w:rPr>
          <w:i/>
          <w:spacing w:val="-1"/>
          <w:w w:val="90"/>
        </w:rPr>
        <w:t>a</w:t>
      </w:r>
      <w:r w:rsidR="005332A3" w:rsidRPr="00D00787">
        <w:rPr>
          <w:i/>
          <w:spacing w:val="2"/>
          <w:w w:val="90"/>
        </w:rPr>
        <w:t>t</w:t>
      </w:r>
      <w:r w:rsidR="005E7AEE">
        <w:rPr>
          <w:i/>
          <w:w w:val="90"/>
        </w:rPr>
        <w:t>;</w:t>
      </w:r>
      <w:r w:rsidR="005332A3" w:rsidRPr="00D00787">
        <w:rPr>
          <w:i/>
          <w:w w:val="90"/>
        </w:rPr>
        <w:t xml:space="preserve"> N</w:t>
      </w:r>
      <w:r w:rsidR="005332A3" w:rsidRPr="00D00787">
        <w:rPr>
          <w:i/>
          <w:spacing w:val="-4"/>
          <w:w w:val="90"/>
        </w:rPr>
        <w:t>á</w:t>
      </w:r>
      <w:r w:rsidR="005332A3" w:rsidRPr="00D00787">
        <w:rPr>
          <w:i/>
          <w:w w:val="90"/>
        </w:rPr>
        <w:t>ro</w:t>
      </w:r>
      <w:r w:rsidR="005332A3" w:rsidRPr="00D00787">
        <w:rPr>
          <w:i/>
          <w:spacing w:val="-3"/>
          <w:w w:val="90"/>
        </w:rPr>
        <w:t>d</w:t>
      </w:r>
      <w:r w:rsidR="005332A3" w:rsidRPr="00D00787">
        <w:rPr>
          <w:i/>
          <w:w w:val="90"/>
        </w:rPr>
        <w:t>ná b</w:t>
      </w:r>
      <w:r w:rsidR="005332A3" w:rsidRPr="00D00787">
        <w:rPr>
          <w:i/>
          <w:spacing w:val="-3"/>
          <w:w w:val="90"/>
        </w:rPr>
        <w:t>a</w:t>
      </w:r>
      <w:r w:rsidR="005332A3" w:rsidRPr="00D00787">
        <w:rPr>
          <w:i/>
          <w:w w:val="90"/>
        </w:rPr>
        <w:t>n</w:t>
      </w:r>
      <w:r w:rsidR="005332A3" w:rsidRPr="00D00787">
        <w:rPr>
          <w:i/>
          <w:spacing w:val="-1"/>
          <w:w w:val="90"/>
        </w:rPr>
        <w:t>k</w:t>
      </w:r>
      <w:r w:rsidR="005332A3" w:rsidRPr="00D00787">
        <w:rPr>
          <w:i/>
          <w:w w:val="90"/>
        </w:rPr>
        <w:t xml:space="preserve">a </w:t>
      </w:r>
      <w:r w:rsidR="005332A3" w:rsidRPr="00D00787">
        <w:rPr>
          <w:i/>
          <w:spacing w:val="-2"/>
          <w:w w:val="90"/>
        </w:rPr>
        <w:t>S</w:t>
      </w:r>
      <w:r w:rsidR="005332A3" w:rsidRPr="00D00787">
        <w:rPr>
          <w:i/>
          <w:w w:val="90"/>
        </w:rPr>
        <w:t>lo</w:t>
      </w:r>
      <w:r w:rsidR="005332A3" w:rsidRPr="00D00787">
        <w:rPr>
          <w:i/>
          <w:spacing w:val="-1"/>
          <w:w w:val="90"/>
        </w:rPr>
        <w:t>v</w:t>
      </w:r>
      <w:r w:rsidR="005332A3" w:rsidRPr="00D00787">
        <w:rPr>
          <w:i/>
          <w:spacing w:val="-4"/>
          <w:w w:val="90"/>
        </w:rPr>
        <w:t>e</w:t>
      </w:r>
      <w:r w:rsidR="005332A3" w:rsidRPr="00D00787">
        <w:rPr>
          <w:i/>
          <w:w w:val="90"/>
        </w:rPr>
        <w:t>n</w:t>
      </w:r>
      <w:r w:rsidR="005332A3" w:rsidRPr="00D00787">
        <w:rPr>
          <w:i/>
          <w:spacing w:val="-2"/>
          <w:w w:val="90"/>
        </w:rPr>
        <w:t>s</w:t>
      </w:r>
      <w:r w:rsidR="005332A3" w:rsidRPr="00D00787">
        <w:rPr>
          <w:i/>
          <w:spacing w:val="-1"/>
          <w:w w:val="90"/>
        </w:rPr>
        <w:t>k</w:t>
      </w:r>
      <w:r w:rsidR="005332A3" w:rsidRPr="00D00787">
        <w:rPr>
          <w:i/>
          <w:spacing w:val="-2"/>
          <w:w w:val="90"/>
        </w:rPr>
        <w:t>a</w:t>
      </w:r>
      <w:r w:rsidR="005332A3" w:rsidRPr="00D00787">
        <w:rPr>
          <w:i/>
          <w:w w:val="90"/>
        </w:rPr>
        <w:t xml:space="preserve">: </w:t>
      </w:r>
      <w:r w:rsidR="005332A3" w:rsidRPr="00D00787">
        <w:rPr>
          <w:i/>
          <w:spacing w:val="-2"/>
          <w:w w:val="90"/>
        </w:rPr>
        <w:t>Š</w:t>
      </w:r>
      <w:r w:rsidR="005332A3" w:rsidRPr="00D00787">
        <w:rPr>
          <w:i/>
          <w:spacing w:val="1"/>
          <w:w w:val="90"/>
        </w:rPr>
        <w:t>t</w:t>
      </w:r>
      <w:r w:rsidR="005332A3" w:rsidRPr="00D00787">
        <w:rPr>
          <w:i/>
          <w:spacing w:val="-1"/>
          <w:w w:val="90"/>
        </w:rPr>
        <w:t>a</w:t>
      </w:r>
      <w:r w:rsidR="005332A3" w:rsidRPr="00D00787">
        <w:rPr>
          <w:i/>
          <w:spacing w:val="1"/>
          <w:w w:val="90"/>
        </w:rPr>
        <w:t>t</w:t>
      </w:r>
      <w:r w:rsidR="005332A3" w:rsidRPr="00D00787">
        <w:rPr>
          <w:i/>
          <w:w w:val="90"/>
        </w:rPr>
        <w:t>is</w:t>
      </w:r>
      <w:r w:rsidR="005332A3" w:rsidRPr="00D00787">
        <w:rPr>
          <w:i/>
          <w:spacing w:val="1"/>
          <w:w w:val="90"/>
        </w:rPr>
        <w:t>t</w:t>
      </w:r>
      <w:r w:rsidR="005332A3" w:rsidRPr="00D00787">
        <w:rPr>
          <w:i/>
          <w:w w:val="90"/>
        </w:rPr>
        <w:t>i</w:t>
      </w:r>
      <w:r w:rsidR="005332A3" w:rsidRPr="00D00787">
        <w:rPr>
          <w:i/>
          <w:spacing w:val="-1"/>
          <w:w w:val="90"/>
        </w:rPr>
        <w:t>k</w:t>
      </w:r>
      <w:r w:rsidR="005332A3" w:rsidRPr="00D00787">
        <w:rPr>
          <w:i/>
          <w:w w:val="90"/>
        </w:rPr>
        <w:t xml:space="preserve">a </w:t>
      </w:r>
      <w:r w:rsidR="005332A3" w:rsidRPr="00D00787">
        <w:rPr>
          <w:i/>
          <w:spacing w:val="-1"/>
          <w:w w:val="90"/>
        </w:rPr>
        <w:t>p</w:t>
      </w:r>
      <w:r w:rsidR="005332A3" w:rsidRPr="00D00787">
        <w:rPr>
          <w:i/>
          <w:w w:val="90"/>
        </w:rPr>
        <w:t>l</w:t>
      </w:r>
      <w:r w:rsidR="005332A3" w:rsidRPr="00D00787">
        <w:rPr>
          <w:i/>
          <w:spacing w:val="-1"/>
          <w:w w:val="90"/>
        </w:rPr>
        <w:t>a</w:t>
      </w:r>
      <w:r w:rsidR="005332A3" w:rsidRPr="00D00787">
        <w:rPr>
          <w:i/>
          <w:spacing w:val="1"/>
          <w:w w:val="90"/>
        </w:rPr>
        <w:t>t</w:t>
      </w:r>
      <w:r w:rsidR="005332A3" w:rsidRPr="00D00787">
        <w:rPr>
          <w:i/>
          <w:spacing w:val="-1"/>
          <w:w w:val="90"/>
        </w:rPr>
        <w:t>obn</w:t>
      </w:r>
      <w:r w:rsidR="005332A3" w:rsidRPr="00D00787">
        <w:rPr>
          <w:i/>
          <w:spacing w:val="-2"/>
          <w:w w:val="90"/>
        </w:rPr>
        <w:t>e</w:t>
      </w:r>
      <w:r w:rsidR="005332A3" w:rsidRPr="00D00787">
        <w:rPr>
          <w:i/>
          <w:w w:val="90"/>
        </w:rPr>
        <w:t xml:space="preserve">j </w:t>
      </w:r>
      <w:r w:rsidR="005332A3" w:rsidRPr="00D00787">
        <w:rPr>
          <w:i/>
          <w:spacing w:val="-1"/>
          <w:w w:val="90"/>
        </w:rPr>
        <w:t>b</w:t>
      </w:r>
      <w:r w:rsidR="005332A3" w:rsidRPr="00D00787">
        <w:rPr>
          <w:i/>
          <w:w w:val="90"/>
        </w:rPr>
        <w:t>il</w:t>
      </w:r>
      <w:r w:rsidR="005332A3" w:rsidRPr="00D00787">
        <w:rPr>
          <w:i/>
          <w:spacing w:val="-1"/>
          <w:w w:val="90"/>
        </w:rPr>
        <w:t>a</w:t>
      </w:r>
      <w:r w:rsidR="005332A3" w:rsidRPr="00D00787">
        <w:rPr>
          <w:i/>
          <w:spacing w:val="1"/>
          <w:w w:val="90"/>
        </w:rPr>
        <w:t>n</w:t>
      </w:r>
      <w:r w:rsidR="005332A3" w:rsidRPr="00D00787">
        <w:rPr>
          <w:i/>
          <w:spacing w:val="-2"/>
          <w:w w:val="90"/>
        </w:rPr>
        <w:t>c</w:t>
      </w:r>
      <w:r w:rsidR="005332A3" w:rsidRPr="00D00787">
        <w:rPr>
          <w:i/>
          <w:w w:val="90"/>
        </w:rPr>
        <w:t>i</w:t>
      </w:r>
      <w:r w:rsidR="005332A3" w:rsidRPr="00D00787">
        <w:rPr>
          <w:i/>
          <w:spacing w:val="1"/>
          <w:w w:val="90"/>
        </w:rPr>
        <w:t>e</w:t>
      </w:r>
      <w:r w:rsidR="005332A3" w:rsidRPr="000E1A05">
        <w:rPr>
          <w:w w:val="90"/>
        </w:rPr>
        <w:t>.</w:t>
      </w:r>
    </w:p>
    <w:p w:rsidR="009B4A3B" w:rsidRPr="000E1A05" w:rsidRDefault="009B4A3B" w:rsidP="00DB7CC6">
      <w:pPr>
        <w:ind w:firstLine="340"/>
      </w:pPr>
      <w:r w:rsidRPr="000E1A05">
        <w:t xml:space="preserve">Z ostatných významných exportných odvetví klesá podiel vývozu železa a ocele (podiel na celkových vývozoch poklesol </w:t>
      </w:r>
      <w:r w:rsidR="00C573B7">
        <w:t xml:space="preserve">z 12,4 % na 6,0 % v rokoch 1997 – </w:t>
      </w:r>
      <w:r w:rsidRPr="000E1A05">
        <w:t>2011). Viac-menej stabilné podiely v export</w:t>
      </w:r>
      <w:r w:rsidR="00F8739D">
        <w:t>e</w:t>
      </w:r>
      <w:r w:rsidRPr="000E1A05">
        <w:t xml:space="preserve"> si udržiavajú najmä odvetvia naviazané na automobilový priemysel, ako výroba kaučuku (2,3 % verzus 2,4 % v</w:t>
      </w:r>
      <w:r w:rsidR="00F8739D">
        <w:t> </w:t>
      </w:r>
      <w:r w:rsidR="00C573B7">
        <w:t xml:space="preserve"> období rokov 1997 – </w:t>
      </w:r>
      <w:r w:rsidRPr="000E1A05">
        <w:t>2011), plasty (4,4 % verzus 3,3 %) a výrobky zo železa a ocele (3,8 % verzus 2,7 %).</w:t>
      </w:r>
    </w:p>
    <w:p w:rsidR="009B4A3B" w:rsidRPr="000E1A05" w:rsidRDefault="009B4A3B" w:rsidP="00DB7CC6">
      <w:pPr>
        <w:ind w:firstLine="340"/>
      </w:pPr>
      <w:r w:rsidRPr="000E1A05">
        <w:t>Konkurenčnú výhodu Slovenska v rámci hlavných exportných trhov (Európska</w:t>
      </w:r>
      <w:r w:rsidR="00134F8E">
        <w:t xml:space="preserve"> </w:t>
      </w:r>
      <w:r w:rsidRPr="000E1A05">
        <w:t>únia,</w:t>
      </w:r>
      <w:r w:rsidR="00134F8E">
        <w:t xml:space="preserve"> </w:t>
      </w:r>
      <w:r w:rsidRPr="000E1A05">
        <w:t>Čína a Rusko) možno charakterizovať indexmi exportnej špecializácie. Balassov index odhalenej komparatívnej výhody (</w:t>
      </w:r>
      <w:r w:rsidRPr="00ED5EC9">
        <w:rPr>
          <w:i/>
        </w:rPr>
        <w:t>revealed</w:t>
      </w:r>
      <w:r w:rsidR="0091095D" w:rsidRPr="00ED5EC9">
        <w:rPr>
          <w:i/>
        </w:rPr>
        <w:t xml:space="preserve"> </w:t>
      </w:r>
      <w:r w:rsidRPr="00ED5EC9">
        <w:rPr>
          <w:i/>
        </w:rPr>
        <w:t>comparative</w:t>
      </w:r>
      <w:r w:rsidR="0091095D" w:rsidRPr="00ED5EC9">
        <w:rPr>
          <w:i/>
        </w:rPr>
        <w:t xml:space="preserve"> </w:t>
      </w:r>
      <w:r w:rsidRPr="00ED5EC9">
        <w:rPr>
          <w:i/>
        </w:rPr>
        <w:t>advantage</w:t>
      </w:r>
      <w:r w:rsidRPr="000E1A05">
        <w:t>, RCA</w:t>
      </w:r>
      <w:r w:rsidRPr="000E1A05">
        <w:rPr>
          <w:rStyle w:val="Odkaznapoznmkupodiarou"/>
          <w:rFonts w:cs="Calibri"/>
        </w:rPr>
        <w:footnoteReference w:id="1"/>
      </w:r>
      <w:r w:rsidRPr="000E1A05">
        <w:t>) indikuje, že v porovnaní s EÚ27 sa väčšina výhod SR sústreďuje najmä do export</w:t>
      </w:r>
      <w:r w:rsidR="00F8739D">
        <w:t>u</w:t>
      </w:r>
      <w:r w:rsidRPr="000E1A05">
        <w:t xml:space="preserve"> automobilov (RCA = 1,628), spotrebnej elektroniky (RCA = </w:t>
      </w:r>
      <w:r w:rsidRPr="008A7812">
        <w:t>5,005</w:t>
      </w:r>
      <w:r w:rsidRPr="000E1A05">
        <w:t>), elektrických strojov a prístrojov okrem spotrebnej elektroniky (RCA = 1,131) a železa a ocele (RCA = 1,832). Miernu komparatívnu výhodu má</w:t>
      </w:r>
      <w:r w:rsidR="0091095D">
        <w:t xml:space="preserve"> </w:t>
      </w:r>
      <w:r w:rsidRPr="000E1A05">
        <w:t>Slovensko aj v exporte strojov a prístrojov (RCA = 1,041).</w:t>
      </w:r>
    </w:p>
    <w:p w:rsidR="009B4A3B" w:rsidRPr="000E1A05" w:rsidRDefault="009B4A3B" w:rsidP="00C573B7">
      <w:pPr>
        <w:pStyle w:val="Nadpis4"/>
        <w:spacing w:after="240"/>
      </w:pPr>
      <w:r w:rsidRPr="000E1A05">
        <w:rPr>
          <w:spacing w:val="-2"/>
        </w:rPr>
        <w:t>E</w:t>
      </w:r>
      <w:r w:rsidRPr="000E1A05">
        <w:t>xp</w:t>
      </w:r>
      <w:r w:rsidRPr="000E1A05">
        <w:rPr>
          <w:spacing w:val="-4"/>
        </w:rPr>
        <w:t>o</w:t>
      </w:r>
      <w:r w:rsidRPr="000E1A05">
        <w:rPr>
          <w:spacing w:val="-1"/>
        </w:rPr>
        <w:t>r</w:t>
      </w:r>
      <w:r w:rsidRPr="000E1A05">
        <w:t>t</w:t>
      </w:r>
      <w:r w:rsidR="0091095D">
        <w:t xml:space="preserve"> </w:t>
      </w:r>
      <w:r w:rsidRPr="000E1A05">
        <w:t>s</w:t>
      </w:r>
      <w:r w:rsidRPr="000E1A05">
        <w:rPr>
          <w:spacing w:val="-1"/>
        </w:rPr>
        <w:t>lu</w:t>
      </w:r>
      <w:r w:rsidRPr="000E1A05">
        <w:t>ži</w:t>
      </w:r>
      <w:r w:rsidRPr="000E1A05">
        <w:rPr>
          <w:spacing w:val="-2"/>
        </w:rPr>
        <w:t>e</w:t>
      </w:r>
      <w:r w:rsidRPr="000E1A05">
        <w:t>b</w:t>
      </w:r>
    </w:p>
    <w:p w:rsidR="009B4A3B" w:rsidRPr="000E1A05" w:rsidRDefault="009B4A3B" w:rsidP="00DB7CC6">
      <w:pPr>
        <w:ind w:firstLine="340"/>
      </w:pPr>
      <w:r w:rsidRPr="000E1A05">
        <w:t>Služby zaznamenali v rokoch</w:t>
      </w:r>
      <w:r w:rsidR="007C7194">
        <w:t xml:space="preserve"> 1995 – </w:t>
      </w:r>
      <w:r w:rsidRPr="000E1A05">
        <w:t>2012 relatívny pokles významu na slovenských exportoch. Je to dané jednak rastúcim významom exportov automobilov a motorových vozidiel, a jednak stagnáciou rastu príjmov z exportov služieb cestovného ruchu a dopravy (vrátane inkás za tranzit ropy a plynu).</w:t>
      </w:r>
    </w:p>
    <w:p w:rsidR="009B4A3B" w:rsidRPr="000E1A05" w:rsidRDefault="009B4A3B" w:rsidP="00DB7CC6">
      <w:pPr>
        <w:ind w:firstLine="340"/>
      </w:pPr>
      <w:r w:rsidRPr="000E1A05">
        <w:t>Podiel poznatkovo-intenzívnych služieb na inkasách bežného účtu platobnej bilancie predstavoval 48,13 % v EÚ27</w:t>
      </w:r>
      <w:r w:rsidR="00F8739D">
        <w:t>,</w:t>
      </w:r>
      <w:r w:rsidRPr="000E1A05">
        <w:t xml:space="preserve"> ale len 23,13 % v SR v roku 2011. Balassov index odhalenej komparatívnej výhody indikuje, že v porovnaní s EÚ27 sa väčšina výhod SR sústreďuje najmä do exportov služieb s nízkou úrovňou pridanej hodnoty. V štruktúre exportov služieb SR dominovali najmä dopravné služby (31,3 %, RCA = 1,54) a služby cestovného ruchu (36,7 %, RCA = 1,84). V rámci skupiny poznatkovo-intenzívnych služieb SR zaostáva v inkasách za služby výskumu a vývoja (RCA = 0,79) a službách reklamy, marketingu a dizajnu (RCA = 0,82). Slovensko má však dobrú pozíciu a nadpriemernú špecializáciu v oblasti počítačových a informačných služieb (RCA = 1,15). Podiel týchto služieb na celkových exportoch slovenských služieb neustále narastá, z 0,37 % v roku 1996 (prvý dostupný údaj) na 8,67 % v roku 2011. Slovensko bolo úspešné pri vývoze počítačových a </w:t>
      </w:r>
      <w:r w:rsidRPr="000E1A05">
        <w:lastRenderedPageBreak/>
        <w:t>informačných služieb do USA, kam smerovala až jedna štvrtina exportov v rokoch 2008</w:t>
      </w:r>
      <w:r w:rsidR="007C7194">
        <w:t xml:space="preserve"> – </w:t>
      </w:r>
      <w:r w:rsidRPr="000E1A05">
        <w:t>2011. Nepriaznivo sa vyvíjal trend v ostatných komerčných službách, ktorých podiel na celkovom</w:t>
      </w:r>
      <w:r w:rsidR="006B6F35">
        <w:t xml:space="preserve"> </w:t>
      </w:r>
      <w:r w:rsidRPr="000E1A05">
        <w:t>exporte služieb klesol v rokoch 1996</w:t>
      </w:r>
      <w:r w:rsidR="007C7194">
        <w:t xml:space="preserve"> – </w:t>
      </w:r>
      <w:r w:rsidRPr="000E1A05">
        <w:t>2011 z 22,4 % na 14,9 %.</w:t>
      </w:r>
    </w:p>
    <w:p w:rsidR="009B4A3B" w:rsidRPr="000E1A05" w:rsidRDefault="009B4A3B" w:rsidP="00E16318">
      <w:pPr>
        <w:ind w:firstLine="340"/>
      </w:pPr>
      <w:r w:rsidRPr="000E1A05">
        <w:t>Ďalší rozvoj IKT bude podporený implementáciou Stratégie ďalšieho rozvoja digitálnych služieb a infraštruktúry prístupovej siete novej generácie na Slovensku, ktorá vytvorí podmienky rozvoja sektora IKT prostredníctvom verejného obstarávania technologicky vyspelých riešení. Digitálna ekonomika tak bude priamo vplývať na realizáciu Stratégie inteligentnej špecializácie prostredníctvom realizácie nasledujúcich opatrení:</w:t>
      </w:r>
    </w:p>
    <w:p w:rsidR="009B4A3B" w:rsidRPr="000E1A05" w:rsidRDefault="009B4A3B" w:rsidP="00791A72">
      <w:pPr>
        <w:pStyle w:val="Odsekzoznamu1"/>
        <w:numPr>
          <w:ilvl w:val="0"/>
          <w:numId w:val="5"/>
        </w:numPr>
        <w:spacing w:after="0"/>
      </w:pPr>
      <w:r w:rsidRPr="000E1A05">
        <w:t>účasťou občanov Slovenska na tvorbe systému a jeho zlepšovaní (napr. zabezpečením všeobecnej dostupnosti k širokopásmovému pripojeniu, ktorý umožní ich efektívnu účasť na jednotnom Európskom digitálnom trhu),</w:t>
      </w:r>
    </w:p>
    <w:p w:rsidR="009B4A3B" w:rsidRPr="000E1A05" w:rsidRDefault="009B4A3B" w:rsidP="00791A72">
      <w:pPr>
        <w:pStyle w:val="Odsekzoznamu1"/>
        <w:numPr>
          <w:ilvl w:val="0"/>
          <w:numId w:val="5"/>
        </w:numPr>
        <w:spacing w:after="0"/>
      </w:pPr>
      <w:r w:rsidRPr="000E1A05">
        <w:t>efektívn</w:t>
      </w:r>
      <w:r w:rsidR="006B6F35">
        <w:t>ym</w:t>
      </w:r>
      <w:r w:rsidRPr="000E1A05">
        <w:t xml:space="preserve"> poskytovan</w:t>
      </w:r>
      <w:r w:rsidR="006B6F35">
        <w:t>ím</w:t>
      </w:r>
      <w:r w:rsidRPr="000E1A05">
        <w:t xml:space="preserve"> elektronických služieb občanom a podnikateľom,</w:t>
      </w:r>
    </w:p>
    <w:p w:rsidR="009B4A3B" w:rsidRPr="000E1A05" w:rsidRDefault="009B4A3B" w:rsidP="00791A72">
      <w:pPr>
        <w:pStyle w:val="Odsekzoznamu1"/>
        <w:numPr>
          <w:ilvl w:val="0"/>
          <w:numId w:val="5"/>
        </w:numPr>
        <w:spacing w:after="0"/>
      </w:pPr>
      <w:r w:rsidRPr="000E1A05">
        <w:t>zabezpečen</w:t>
      </w:r>
      <w:r w:rsidR="006B6F35">
        <w:t>ím</w:t>
      </w:r>
      <w:r w:rsidRPr="000E1A05">
        <w:t xml:space="preserve"> postupného prechodu verejnej správy (eGover</w:t>
      </w:r>
      <w:r w:rsidR="006B6F35">
        <w:t>n</w:t>
      </w:r>
      <w:r w:rsidRPr="000E1A05">
        <w:t>ment) na úroveň inteligentnej verejnej správy (Smart</w:t>
      </w:r>
      <w:r w:rsidR="00497D9B">
        <w:t xml:space="preserve"> </w:t>
      </w:r>
      <w:r w:rsidRPr="000E1A05">
        <w:t>Gover</w:t>
      </w:r>
      <w:r w:rsidR="006B6F35">
        <w:t>n</w:t>
      </w:r>
      <w:r w:rsidRPr="000E1A05">
        <w:t>ment).</w:t>
      </w:r>
    </w:p>
    <w:p w:rsidR="009B4A3B" w:rsidRPr="00D019F9" w:rsidRDefault="009B4A3B" w:rsidP="007C7194">
      <w:pPr>
        <w:pStyle w:val="Nadpis3"/>
        <w:spacing w:after="240"/>
      </w:pPr>
      <w:bookmarkStart w:id="29" w:name="_TOC_250020"/>
      <w:bookmarkStart w:id="30" w:name="_Toc360575996"/>
      <w:bookmarkStart w:id="31" w:name="_Toc365831780"/>
      <w:bookmarkStart w:id="32" w:name="_Toc365831972"/>
      <w:bookmarkStart w:id="33" w:name="_Toc366744142"/>
      <w:r w:rsidRPr="00D019F9">
        <w:t>Technologická náročnosť odvetví</w:t>
      </w:r>
      <w:bookmarkEnd w:id="29"/>
      <w:bookmarkEnd w:id="30"/>
      <w:bookmarkEnd w:id="31"/>
      <w:bookmarkEnd w:id="32"/>
      <w:bookmarkEnd w:id="33"/>
    </w:p>
    <w:p w:rsidR="009B4A3B" w:rsidRPr="000E1A05" w:rsidRDefault="009B4A3B" w:rsidP="00DB7CC6">
      <w:pPr>
        <w:ind w:firstLine="340"/>
      </w:pPr>
      <w:r w:rsidRPr="000E1A05">
        <w:t>Význam jednotlivých odvetví pre slovenskú ekonomiku je dôležité zhodnotiť aj z pohľadu technologickej náročnosti ich produkcie, keďže je evidentná súvislosť medzi technologickou úrovňou spoločnosti a životnou úrovňou obyvateľstva. Odvetvia s vyššou technologickou náročnosťou produkcie sa dokážu na zahraničných trhoch presadiť vysokou kvalitou (a nielen nízkymi cenami), tvoria vyšší podiel pridanej hodnoty a vedú k technologickému rozvoju danej krajiny.</w:t>
      </w:r>
    </w:p>
    <w:p w:rsidR="009B4A3B" w:rsidRPr="000E1A05" w:rsidRDefault="009B4A3B" w:rsidP="00DB7CC6">
      <w:pPr>
        <w:ind w:firstLine="340"/>
      </w:pPr>
      <w:r w:rsidRPr="000E1A05">
        <w:t xml:space="preserve">Pri porovnaní podielov technologicky náročnej produkcie spracovateľského priemyslu na jeho celkovej produkcii dosahuje Slovensko mierne nadpriemerné hodnoty tak pri vysokých </w:t>
      </w:r>
      <w:r w:rsidR="006B6F35">
        <w:t xml:space="preserve">technológiách </w:t>
      </w:r>
      <w:r w:rsidRPr="000E1A05">
        <w:t xml:space="preserve">(13,7 % voči 9,6 % v EÚ27) ako aj pri stredne vysokých </w:t>
      </w:r>
      <w:r w:rsidR="006B6F35" w:rsidRPr="000E1A05">
        <w:t xml:space="preserve">technológiách </w:t>
      </w:r>
      <w:r w:rsidRPr="000E1A05">
        <w:t xml:space="preserve">(40 % voči 33,1 % v EÚ27). Ekonomika SR je významnejšie špecializovaná v oblasti priemyslu, najmä v oblasti priemyselnej výroby s vyššou strednou technológiou (MHTM) s lokalizačným kvocientom vo výške 1,80 a nižšou strednou technológiou s lokalizačným kvocientom vo výške 1,70 (MLTM). V EU27 pracuje približne 4,5 % pracovníkov v priemyselnej výrobe so stredne vysokou technológiou, kým v SR je tento podiel na úrovni 8,1 %. Slovensko je treťou najviac špecializovanou ekonomikou v tejto oblasti v EU. Na Slovensku je takmer 65 % tejto produkcie tvorenej </w:t>
      </w:r>
      <w:r w:rsidRPr="00064EE3">
        <w:t>produkciou</w:t>
      </w:r>
      <w:r w:rsidRPr="000E1A05">
        <w:t xml:space="preserve"> motorových vozidiel a súčiastok pre motorové vozidlá. Takýto vysoký podiel na produkcii náročnej na stredne</w:t>
      </w:r>
      <w:r w:rsidR="00497D9B">
        <w:t xml:space="preserve"> a v</w:t>
      </w:r>
      <w:r w:rsidRPr="000E1A05">
        <w:t>ysoké technológie nemá žiadna iná krajina EÚ27. Podobne je to v prípade priemyselnej výroby stredne nižšou technológiou</w:t>
      </w:r>
      <w:r w:rsidR="00C32D5B">
        <w:t>:</w:t>
      </w:r>
      <w:r w:rsidR="00497D9B">
        <w:t xml:space="preserve"> </w:t>
      </w:r>
      <w:r w:rsidR="00C32D5B">
        <w:t xml:space="preserve"> </w:t>
      </w:r>
      <w:r w:rsidRPr="000E1A05">
        <w:t>v EU27 je podiel na celkovej zamestnanosti na úrovni 4,4 % a v SR 7,5 %, čo je 176 tisíc pracovníkov.</w:t>
      </w:r>
    </w:p>
    <w:p w:rsidR="009B4A3B" w:rsidRPr="000E1A05" w:rsidRDefault="009B4A3B" w:rsidP="00DB7CC6">
      <w:pPr>
        <w:ind w:firstLine="340"/>
      </w:pPr>
      <w:r w:rsidRPr="000E1A05">
        <w:t>Výroba farmaceutických výrobkov a prípravkov tvorí v EÚ27 približne 38 % z celkovej produkcie spracovateľského priemyslu náročnej na vysoké technológie. Na Slovensku je podiel výroby farmaceutických výrobkov a prípravkov v skupine vysokých technológií len 4,4%.</w:t>
      </w:r>
    </w:p>
    <w:p w:rsidR="009B4A3B" w:rsidRPr="000E1A05" w:rsidRDefault="009B4A3B" w:rsidP="00DB7CC6">
      <w:pPr>
        <w:ind w:firstLine="340"/>
      </w:pPr>
      <w:r w:rsidRPr="000E1A05">
        <w:t>Pri porovnaní podielu poznatkovo náročných služieb na podnikateľských službách patrí Slovensko medzi krajiny s ich nižším zastúpením (39,6</w:t>
      </w:r>
      <w:r w:rsidR="00C32D5B">
        <w:t xml:space="preserve"> </w:t>
      </w:r>
      <w:r w:rsidRPr="000E1A05">
        <w:t>%)</w:t>
      </w:r>
      <w:r w:rsidR="00C32D5B">
        <w:t xml:space="preserve">. </w:t>
      </w:r>
      <w:r w:rsidRPr="000E1A05">
        <w:t xml:space="preserve"> </w:t>
      </w:r>
      <w:r w:rsidR="00C32D5B">
        <w:t>P</w:t>
      </w:r>
      <w:r w:rsidRPr="000E1A05">
        <w:t xml:space="preserve">oznatkovo náročné služby súvisiace s vysokými technológiami </w:t>
      </w:r>
      <w:r w:rsidR="00C32D5B">
        <w:t xml:space="preserve">tvoria </w:t>
      </w:r>
      <w:r w:rsidRPr="000E1A05">
        <w:t>iba 12,6 % (v priemere za EÚ27 dosahujú 15,7</w:t>
      </w:r>
      <w:r w:rsidR="00C32D5B">
        <w:t xml:space="preserve"> </w:t>
      </w:r>
      <w:r w:rsidRPr="000E1A05">
        <w:t>% na celkových podnikateľských službách).</w:t>
      </w:r>
    </w:p>
    <w:p w:rsidR="009B4A3B" w:rsidRPr="000E1A05" w:rsidRDefault="009B4A3B" w:rsidP="00DB7CC6">
      <w:pPr>
        <w:ind w:firstLine="340"/>
      </w:pPr>
      <w:r w:rsidRPr="000E1A05">
        <w:t xml:space="preserve">Služby súvisiace s výskumom a vývojom majú na poznatkovo intenzívnych službách súvisiacich s vysokými technológiami v EÚ27 </w:t>
      </w:r>
      <w:r w:rsidR="00C32D5B">
        <w:t xml:space="preserve"> podiel </w:t>
      </w:r>
      <w:r w:rsidRPr="000E1A05">
        <w:t xml:space="preserve">5,2 </w:t>
      </w:r>
      <w:r w:rsidR="006C04DC">
        <w:t>%</w:t>
      </w:r>
      <w:r w:rsidRPr="000E1A05">
        <w:t>, pričom na Slovensku je to len 1,7</w:t>
      </w:r>
      <w:r w:rsidR="006C04DC">
        <w:t xml:space="preserve"> </w:t>
      </w:r>
      <w:r w:rsidRPr="000E1A05">
        <w:t>%.</w:t>
      </w:r>
    </w:p>
    <w:p w:rsidR="009B4A3B" w:rsidRDefault="009B4A3B" w:rsidP="00DB7CC6">
      <w:pPr>
        <w:ind w:firstLine="340"/>
      </w:pPr>
      <w:r w:rsidRPr="000E1A05">
        <w:t xml:space="preserve">Z uvedeného je zrejmé, že prosperujúce krajiny západnej Európy sú technologicky vyspelejšie a majú aj vyššie zastúpenie pokročilých technológii v ekonomických aktivitách. Slovensko by malo vytvoriť predpoklady </w:t>
      </w:r>
      <w:r w:rsidRPr="000E1A05">
        <w:lastRenderedPageBreak/>
        <w:t>ďalšej technologickej konvergencie aj prostredníctvom vývoja vlastných technologických riešení</w:t>
      </w:r>
      <w:r w:rsidR="006C04DC">
        <w:t xml:space="preserve">, </w:t>
      </w:r>
      <w:r w:rsidRPr="000E1A05">
        <w:t>nielen nákupom technológií zo zahraničia</w:t>
      </w:r>
      <w:r w:rsidR="00C32D5B">
        <w:t xml:space="preserve">, </w:t>
      </w:r>
      <w:r w:rsidRPr="000E1A05">
        <w:t>najmä z vyspelých krajín.</w:t>
      </w:r>
    </w:p>
    <w:p w:rsidR="003018F4" w:rsidRPr="00822E3C" w:rsidRDefault="00822E3C" w:rsidP="003018F4">
      <w:pPr>
        <w:pStyle w:val="Nadpis3"/>
        <w:spacing w:after="240"/>
      </w:pPr>
      <w:bookmarkStart w:id="34" w:name="_Toc365831781"/>
      <w:bookmarkStart w:id="35" w:name="_Toc365831973"/>
      <w:r>
        <w:t xml:space="preserve">  </w:t>
      </w:r>
      <w:bookmarkStart w:id="36" w:name="_Toc366744143"/>
      <w:r w:rsidRPr="00ED5EC9">
        <w:t>Energetický mix</w:t>
      </w:r>
      <w:bookmarkEnd w:id="36"/>
    </w:p>
    <w:p w:rsidR="00822E3C" w:rsidRDefault="00822E3C" w:rsidP="00822E3C">
      <w:r w:rsidRPr="00F65AF7">
        <w:t>Slovenská republika má vyvážený podiel jadrového paliva a fosílnych palív na hrubej domácej spotrebe energie. Podiely jednotlivých zdrojov na hrubej domácej spotrebe boli v r. 2011 nasledovné: zemný plyn 26</w:t>
      </w:r>
      <w:r w:rsidR="00C32D5B">
        <w:t xml:space="preserve"> </w:t>
      </w:r>
      <w:r w:rsidRPr="00F65AF7">
        <w:t>%, uhlie 22</w:t>
      </w:r>
      <w:r w:rsidR="00C32D5B">
        <w:t> </w:t>
      </w:r>
      <w:r w:rsidRPr="00F65AF7">
        <w:t>%, jadrové palivo 22</w:t>
      </w:r>
      <w:r w:rsidR="00C32D5B">
        <w:t xml:space="preserve"> </w:t>
      </w:r>
      <w:r w:rsidRPr="00F65AF7">
        <w:t>%, ropa 21</w:t>
      </w:r>
      <w:r w:rsidR="00C32D5B">
        <w:t xml:space="preserve"> </w:t>
      </w:r>
      <w:r w:rsidRPr="00F65AF7">
        <w:t>%, obnoviteľné zdroje vrátane vodných elektrární 9 %.</w:t>
      </w:r>
    </w:p>
    <w:p w:rsidR="00822E3C" w:rsidRDefault="00822E3C" w:rsidP="00822E3C">
      <w:pPr>
        <w:rPr>
          <w:b/>
        </w:rPr>
      </w:pPr>
      <w:r w:rsidRPr="00F65AF7">
        <w:rPr>
          <w:b/>
        </w:rPr>
        <w:t>Stav zásobovania SR energiou a</w:t>
      </w:r>
      <w:r>
        <w:rPr>
          <w:b/>
        </w:rPr>
        <w:t> </w:t>
      </w:r>
      <w:r w:rsidRPr="00F65AF7">
        <w:rPr>
          <w:b/>
        </w:rPr>
        <w:t>palivami</w:t>
      </w:r>
    </w:p>
    <w:p w:rsidR="00822E3C" w:rsidRDefault="00822E3C" w:rsidP="00822E3C">
      <w:r w:rsidRPr="00F65AF7">
        <w:t>Celková spotreba uhlia má v SR dlhodobo klesajúci trend. V roku 2011 bola na úrovni 7</w:t>
      </w:r>
      <w:r w:rsidR="00C32D5B">
        <w:t xml:space="preserve"> </w:t>
      </w:r>
      <w:r w:rsidRPr="00F65AF7">
        <w:t xml:space="preserve">500 kiloton (kt). Pokles spotreby za posledné </w:t>
      </w:r>
      <w:r w:rsidR="00C32D5B">
        <w:t xml:space="preserve">štyri </w:t>
      </w:r>
      <w:r w:rsidRPr="00F65AF7">
        <w:t xml:space="preserve"> roky predstavuje 15,6 %. Výrazne poklesol najmä objem dovozu čierneho uhlia.</w:t>
      </w:r>
      <w:r>
        <w:t xml:space="preserve"> </w:t>
      </w:r>
      <w:r w:rsidRPr="00F65AF7">
        <w:t>Domáca produkcia hnedého uhlia a lignitu sa pohybuje na úrovni 2</w:t>
      </w:r>
      <w:r w:rsidR="00C32D5B">
        <w:t xml:space="preserve"> </w:t>
      </w:r>
      <w:r w:rsidRPr="00F65AF7">
        <w:t>300 kt za rok, spotreba na úrovni 3 000 kt. Celková ťažba dosiahla v roku 2011: 2 376 kt a v roku 2012: 2 292 kt</w:t>
      </w:r>
      <w:r w:rsidR="00C32D5B">
        <w:t xml:space="preserve"> - </w:t>
      </w:r>
      <w:r w:rsidRPr="00F65AF7">
        <w:t xml:space="preserve"> pokles  predstavuje 3,5 %. Deficit sa vykrýva importom najmä z Českej republiky.</w:t>
      </w:r>
      <w:r>
        <w:t xml:space="preserve"> </w:t>
      </w:r>
      <w:r w:rsidRPr="00F65AF7">
        <w:t>Produkcia domáceho hnedého uhlia je takmer výhradne určená na výrobu elektriny a tepla v Elektrárni Nováky (ENO), preto vývoj ťažby je úzko spojený s prevádzkou tejto elektrárne.</w:t>
      </w:r>
    </w:p>
    <w:p w:rsidR="00822E3C" w:rsidRDefault="00822E3C" w:rsidP="00822E3C">
      <w:r w:rsidRPr="00F65AF7">
        <w:t>Hlavným zdrojom nášho ropného priemyslu je ropa, ktorá sa dováža z Ruska a z Azerbajdžanu. Aktuáln</w:t>
      </w:r>
      <w:r w:rsidR="003018F4">
        <w:t xml:space="preserve">a preprava ropy je na úrovni 10 – </w:t>
      </w:r>
      <w:r w:rsidRPr="00F65AF7">
        <w:t>11 mil. ton/rok. Z toho do 6 mil. ton tvoria dodávky pre</w:t>
      </w:r>
      <w:r>
        <w:t xml:space="preserve"> Slovensko</w:t>
      </w:r>
      <w:r w:rsidRPr="00F65AF7">
        <w:t xml:space="preserve">, zvyšok pre rafinérie v Českej republike a malé množstvo </w:t>
      </w:r>
      <w:r w:rsidR="00CA37C7">
        <w:t>pre iných odberateľov</w:t>
      </w:r>
      <w:r w:rsidRPr="00F65AF7">
        <w:t>.</w:t>
      </w:r>
      <w:r>
        <w:t xml:space="preserve"> </w:t>
      </w:r>
      <w:r w:rsidRPr="00743275">
        <w:t xml:space="preserve">Domáca spotreba zemného plynu v ostatných rokoch má klesajúcu tendenciu a pohybuje </w:t>
      </w:r>
      <w:r w:rsidR="00C32D5B">
        <w:t xml:space="preserve">sa </w:t>
      </w:r>
      <w:r w:rsidRPr="00743275">
        <w:t xml:space="preserve">na úrovni 6 </w:t>
      </w:r>
      <w:r w:rsidR="003018F4">
        <w:t>–</w:t>
      </w:r>
      <w:r w:rsidRPr="00743275">
        <w:t xml:space="preserve"> 5,2 mld. m</w:t>
      </w:r>
      <w:r w:rsidRPr="00743275">
        <w:rPr>
          <w:vertAlign w:val="superscript"/>
        </w:rPr>
        <w:t>3</w:t>
      </w:r>
      <w:r w:rsidRPr="00743275">
        <w:t>. V roku 2011 predstavovala: 5,4 mld. m</w:t>
      </w:r>
      <w:r w:rsidRPr="00743275">
        <w:rPr>
          <w:vertAlign w:val="superscript"/>
        </w:rPr>
        <w:t>3</w:t>
      </w:r>
      <w:r w:rsidRPr="00743275">
        <w:t>, v roku 2012: 5,2 mld. m</w:t>
      </w:r>
      <w:r w:rsidRPr="00743275">
        <w:rPr>
          <w:vertAlign w:val="superscript"/>
        </w:rPr>
        <w:t>3</w:t>
      </w:r>
      <w:r>
        <w:rPr>
          <w:vertAlign w:val="superscript"/>
        </w:rPr>
        <w:t xml:space="preserve">. </w:t>
      </w:r>
      <w:r w:rsidRPr="00743275">
        <w:t>Na spotrebe zemného plynu sa domáca ťažba podieľa približne 2</w:t>
      </w:r>
      <w:r w:rsidR="00C32D5B">
        <w:t xml:space="preserve"> </w:t>
      </w:r>
      <w:r w:rsidRPr="00743275">
        <w:t xml:space="preserve">%. </w:t>
      </w:r>
    </w:p>
    <w:p w:rsidR="00822E3C" w:rsidRDefault="00822E3C" w:rsidP="00822E3C">
      <w:r w:rsidRPr="00743275">
        <w:t>Najväčší energetický potenciál z</w:t>
      </w:r>
      <w:r>
        <w:t> obnoviteľných zdrojov energie</w:t>
      </w:r>
      <w:r w:rsidRPr="00743275">
        <w:t xml:space="preserve"> má biomasa s teoretickým potenciálom 120 PJ,  čo predstavuje až 15 % spotreby energie SR. Vodné elektrárne zohrávajú významnú rolu v našej elektroenergetike, pretože pokrývajú 17 až 19 % spotreby elektriny. Ku koncu roka 2011 inštalovaný výkon </w:t>
      </w:r>
      <w:r>
        <w:t xml:space="preserve">fotovoltických zdrojov dosiahol cca 500 MW. </w:t>
      </w:r>
      <w:r w:rsidRPr="00743275">
        <w:t>Geotermálna energia sa v súčasnosti využíva len na účely vykurovania rôznych objektov a do roku 2020 sa neočakáva väčší rozmach geotermálnych elektrární.</w:t>
      </w:r>
      <w:r>
        <w:t xml:space="preserve"> </w:t>
      </w:r>
      <w:r w:rsidRPr="00743275">
        <w:t>V roku 2009 bolo energeticky zhodnotených cca 6,8</w:t>
      </w:r>
      <w:r w:rsidR="00C32D5B">
        <w:t xml:space="preserve"> </w:t>
      </w:r>
      <w:r w:rsidRPr="00743275">
        <w:t>% komunálnych odpadov, čo je nízke percento z celkového množstva odpadu.</w:t>
      </w:r>
    </w:p>
    <w:p w:rsidR="00822E3C" w:rsidRDefault="00822E3C" w:rsidP="00822E3C">
      <w:r w:rsidRPr="00743275">
        <w:t>Zásobovanie elektrinou Slovenska je vzhľadom na dlhodobo budovanú optimálnu štruktúru výrobnej základne a dobre vybudovanú rozvodnú sústavu spoľahlivé, s minimálnym výskytom výpadkov, ktoré by ohrozili bezpečnosť zásobovania elektrinou. Po dobudovaní dvoch blokov v JE Mochovce v rokoch 1998 a 2000 sa Slovensko stalo sebestačné v zásobovaní elektrinou a do roku 2006 bolo exportérom. Po odstavení JE V-1 Jaslovské B</w:t>
      </w:r>
      <w:r w:rsidR="003018F4">
        <w:t xml:space="preserve">ohunice v rokoch 2006 a 2008 a </w:t>
      </w:r>
      <w:r w:rsidRPr="00743275">
        <w:t>ďalších blokov v tepelných elektrárňach sa koncom roka 2006 Slovensko stalo závislé na dovoze elektriny.</w:t>
      </w:r>
      <w:r>
        <w:t xml:space="preserve"> </w:t>
      </w:r>
      <w:r w:rsidRPr="00923149">
        <w:t>Inštalovaný výkon elektrární v roku 2012 vzrástol o 279 MW (3,4 %) a dosiahol 8 431 MW.  Maximálne zaťaženie vzrástlo o 2,6 % a dosiahlo hodnotu 4 395 MW.</w:t>
      </w:r>
      <w:r>
        <w:t xml:space="preserve"> P</w:t>
      </w:r>
      <w:r w:rsidRPr="00923149">
        <w:t xml:space="preserve">odiel bezuhlíkovej výroby elektriny sa  pohybuje na úrovni 74 % celkovej výroby.  </w:t>
      </w:r>
    </w:p>
    <w:p w:rsidR="00822E3C" w:rsidRDefault="00822E3C" w:rsidP="00822E3C">
      <w:r>
        <w:t>E</w:t>
      </w:r>
      <w:r w:rsidRPr="00C97ABB">
        <w:t>nergetick</w:t>
      </w:r>
      <w:r>
        <w:t>á</w:t>
      </w:r>
      <w:r w:rsidRPr="00C97ABB">
        <w:t xml:space="preserve"> náročnos</w:t>
      </w:r>
      <w:r>
        <w:t>ť</w:t>
      </w:r>
      <w:r w:rsidRPr="00C97ABB">
        <w:t xml:space="preserve"> v rokoch 2001</w:t>
      </w:r>
      <w:r w:rsidR="003018F4">
        <w:t xml:space="preserve"> –</w:t>
      </w:r>
      <w:r>
        <w:t xml:space="preserve"> </w:t>
      </w:r>
      <w:r w:rsidRPr="00C97ABB">
        <w:t>2005 (12,158 TJ/mil. EUR) zaznamenal</w:t>
      </w:r>
      <w:r>
        <w:t>a</w:t>
      </w:r>
      <w:r w:rsidRPr="00C97ABB">
        <w:t xml:space="preserve">  v roku 2008 výrazný pokles o 31,5</w:t>
      </w:r>
      <w:r w:rsidR="00C32D5B">
        <w:t xml:space="preserve"> </w:t>
      </w:r>
      <w:r w:rsidRPr="00C97ABB">
        <w:t xml:space="preserve">% a v roku 2009 dokonca </w:t>
      </w:r>
      <w:r w:rsidR="00C32D5B">
        <w:t xml:space="preserve">až </w:t>
      </w:r>
      <w:r w:rsidRPr="00C97ABB">
        <w:t>o 33,2</w:t>
      </w:r>
      <w:r w:rsidR="00C32D5B">
        <w:t xml:space="preserve"> </w:t>
      </w:r>
      <w:r w:rsidRPr="00C97ABB">
        <w:t xml:space="preserve">%. </w:t>
      </w:r>
    </w:p>
    <w:p w:rsidR="00822E3C" w:rsidRDefault="00822E3C" w:rsidP="00822E3C">
      <w:pPr>
        <w:ind w:firstLine="180"/>
      </w:pPr>
      <w:r w:rsidRPr="00C97ABB">
        <w:t xml:space="preserve">Vývoj absolútnej spotreby </w:t>
      </w:r>
      <w:r>
        <w:t>v priemysle</w:t>
      </w:r>
      <w:r w:rsidRPr="00C97ABB">
        <w:t xml:space="preserve"> sa </w:t>
      </w:r>
      <w:r w:rsidR="00C32D5B" w:rsidRPr="00C97ABB">
        <w:t>od roku 2001</w:t>
      </w:r>
      <w:r w:rsidR="003E3B9B">
        <w:t xml:space="preserve"> </w:t>
      </w:r>
      <w:r w:rsidRPr="00C97ABB">
        <w:t>postupne znižuje. Medziročný pokles spotreby energie v priemysle v rokoch 2008 a 2009 predstav</w:t>
      </w:r>
      <w:r w:rsidR="003E3B9B">
        <w:t>oval</w:t>
      </w:r>
      <w:r w:rsidRPr="00C97ABB">
        <w:t xml:space="preserve"> 13,65</w:t>
      </w:r>
      <w:r w:rsidR="00C32D5B">
        <w:t xml:space="preserve"> </w:t>
      </w:r>
      <w:r w:rsidRPr="00C97ABB">
        <w:t>%</w:t>
      </w:r>
      <w:r>
        <w:t xml:space="preserve">, čo </w:t>
      </w:r>
      <w:r w:rsidR="003E3B9B">
        <w:t>bolo</w:t>
      </w:r>
      <w:r>
        <w:t xml:space="preserve"> spôsobené znižovaním </w:t>
      </w:r>
      <w:r w:rsidRPr="00C97ABB">
        <w:t>energetickej náročnosti prevádzky, transferu nových, energeticky úspornejších technológií</w:t>
      </w:r>
      <w:r>
        <w:t>, ako aj dopadmi krízy.</w:t>
      </w:r>
      <w:r w:rsidRPr="00C97ABB">
        <w:t xml:space="preserve"> Tieto úspory sa dosiahli vďaka investíciám do inovácií a zvyšovania konkurencieschopnosti, boli financované hlavne zo súkromných zdrojov</w:t>
      </w:r>
      <w:r>
        <w:t>,</w:t>
      </w:r>
      <w:r w:rsidRPr="00C97ABB">
        <w:t xml:space="preserve"> čiastočne aj zo zdrojov EÚ a čiastočne podporou zo </w:t>
      </w:r>
      <w:r w:rsidR="003E3B9B">
        <w:t>štátneho rozpočtu</w:t>
      </w:r>
      <w:r w:rsidRPr="00C97ABB">
        <w:t xml:space="preserve"> SR ako investičné stimuly. Najvyššie celkové úspory sa dosiahli v strojárenskom (automobily) a potravinárskom priemysle. Sektor priemyslu vykazuje </w:t>
      </w:r>
      <w:r w:rsidR="003E3B9B">
        <w:t xml:space="preserve"> v </w:t>
      </w:r>
      <w:r w:rsidRPr="00C97ABB">
        <w:t xml:space="preserve">oboch </w:t>
      </w:r>
      <w:r w:rsidR="003E3B9B">
        <w:t xml:space="preserve">uvedených </w:t>
      </w:r>
      <w:r w:rsidRPr="00C97ABB">
        <w:t>obdobiach mimoriadne vysokú úsporu.</w:t>
      </w:r>
    </w:p>
    <w:p w:rsidR="00822E3C" w:rsidRPr="00C97ABB" w:rsidRDefault="00822E3C" w:rsidP="001C344C">
      <w:pPr>
        <w:spacing w:before="240"/>
        <w:ind w:firstLine="360"/>
      </w:pPr>
      <w:r w:rsidRPr="00C97ABB">
        <w:lastRenderedPageBreak/>
        <w:t>Celková spotreba sektora</w:t>
      </w:r>
      <w:r>
        <w:t xml:space="preserve"> služieb</w:t>
      </w:r>
      <w:r w:rsidRPr="00C97ABB">
        <w:t xml:space="preserve"> v období 2001</w:t>
      </w:r>
      <w:r w:rsidR="00EB554A">
        <w:t xml:space="preserve"> –</w:t>
      </w:r>
      <w:r>
        <w:t xml:space="preserve"> </w:t>
      </w:r>
      <w:r w:rsidRPr="00C97ABB">
        <w:t>2009 kolíše, pričom od roku 2007 spotreba mierne rastie.  Neelektrická spotreba zaznamenala pokles od roku 2000, ale od roku 2005 rast</w:t>
      </w:r>
      <w:r w:rsidR="003E3B9B">
        <w:t>ie</w:t>
      </w:r>
      <w:r w:rsidRPr="00C97ABB">
        <w:t xml:space="preserve">, </w:t>
      </w:r>
      <w:r w:rsidR="003E3B9B">
        <w:t>čo</w:t>
      </w:r>
      <w:r w:rsidRPr="00C97ABB">
        <w:t xml:space="preserve"> je možn</w:t>
      </w:r>
      <w:r w:rsidR="003E3B9B">
        <w:t>é</w:t>
      </w:r>
      <w:r w:rsidRPr="00C97ABB">
        <w:t xml:space="preserve"> vysvetliť zvýšením kvality a rozsahu poskytovaných služieb – nárast</w:t>
      </w:r>
      <w:r w:rsidR="003E3B9B">
        <w:t>om</w:t>
      </w:r>
      <w:r w:rsidRPr="00C97ABB">
        <w:t xml:space="preserve"> počtu subjektov poskytujúcich služby. Elektrická spotreba do roku 2004 mierne klesala, avšak od roku 2005 je zaznamenaný nárast</w:t>
      </w:r>
      <w:r w:rsidR="003E3B9B">
        <w:t>.</w:t>
      </w:r>
      <w:r w:rsidR="00EB554A">
        <w:t xml:space="preserve"> </w:t>
      </w:r>
      <w:r w:rsidRPr="00C97ABB">
        <w:t>V oboch indikátoroch sa prejavila úspora energie v porovnaní s obdobím 2001</w:t>
      </w:r>
      <w:r w:rsidR="00EB554A">
        <w:t xml:space="preserve"> –</w:t>
      </w:r>
      <w:r>
        <w:t xml:space="preserve"> </w:t>
      </w:r>
      <w:r w:rsidRPr="00C97ABB">
        <w:t>2005, ktorú možno vysvetliť zavádzaním úsporných elektrických spotrebičov a svet</w:t>
      </w:r>
      <w:r w:rsidR="00EB554A">
        <w:t>elných zdrojov v tomto sektore.</w:t>
      </w:r>
    </w:p>
    <w:p w:rsidR="00822E3C" w:rsidRDefault="00822E3C" w:rsidP="001C344C">
      <w:pPr>
        <w:rPr>
          <w:b/>
        </w:rPr>
      </w:pPr>
      <w:r w:rsidRPr="00731DBA">
        <w:rPr>
          <w:b/>
        </w:rPr>
        <w:t xml:space="preserve">Výskum a vývoj v energetike </w:t>
      </w:r>
    </w:p>
    <w:p w:rsidR="00822E3C" w:rsidRDefault="00822E3C" w:rsidP="00822E3C">
      <w:r>
        <w:t>S</w:t>
      </w:r>
      <w:r w:rsidRPr="00FC1FF2">
        <w:t xml:space="preserve">R je široko zapojená do medzinárodných aktivít v oblasti výskumu, vývoja a inovácií formou dvojstranných zmlúv o vedecko-technickej spolupráci so štátmi EÚ aj mimo EÚ. </w:t>
      </w:r>
      <w:r w:rsidR="003E3B9B">
        <w:t>Slovensko j</w:t>
      </w:r>
      <w:r w:rsidRPr="00FC1FF2">
        <w:t>e členom IEA</w:t>
      </w:r>
      <w:r w:rsidR="003E3B9B">
        <w:t xml:space="preserve">, </w:t>
      </w:r>
      <w:r w:rsidRPr="00FC1FF2">
        <w:t xml:space="preserve">  prostredníctvom pracovísk VŠ a SAV </w:t>
      </w:r>
      <w:r w:rsidR="003E3B9B">
        <w:t xml:space="preserve">sa </w:t>
      </w:r>
      <w:r w:rsidR="003E3B9B" w:rsidRPr="00FC1FF2">
        <w:t xml:space="preserve">podieľa </w:t>
      </w:r>
      <w:r w:rsidRPr="00FC1FF2">
        <w:t>na vedecko-technickej spolupráci v rámci EÚ prostredníctvom 7. RP EÚ a EURATOM-u.</w:t>
      </w:r>
    </w:p>
    <w:p w:rsidR="00822E3C" w:rsidRPr="00822E3C" w:rsidRDefault="00822E3C" w:rsidP="00822E3C">
      <w:r w:rsidRPr="00FC1FF2">
        <w:t>Podpora vedy a výskum</w:t>
      </w:r>
      <w:r w:rsidR="003E3B9B">
        <w:t>u</w:t>
      </w:r>
      <w:r w:rsidRPr="00FC1FF2">
        <w:t xml:space="preserve"> predstavuje jednu z priorít Stratégie EÚ do roku 2020. Európska komisia prijala strategický dokument „Strategický plá</w:t>
      </w:r>
      <w:r w:rsidR="00663C9B">
        <w:t xml:space="preserve">n pre energetické technológie“ </w:t>
      </w:r>
      <w:r w:rsidRPr="00FC1FF2">
        <w:t>(SET plán), ktorý  predstavuje technologický pilier energetickej politiky EÚ.</w:t>
      </w:r>
      <w:r w:rsidR="003E3B9B">
        <w:t xml:space="preserve"> </w:t>
      </w:r>
      <w:r w:rsidRPr="00FC1FF2">
        <w:t>Jedn</w:t>
      </w:r>
      <w:r w:rsidR="003E3B9B">
        <w:t>a</w:t>
      </w:r>
      <w:r w:rsidRPr="00FC1FF2">
        <w:t xml:space="preserve"> z priemyselných iniciatív </w:t>
      </w:r>
      <w:r w:rsidR="003E3B9B">
        <w:t xml:space="preserve">sa </w:t>
      </w:r>
      <w:r w:rsidRPr="00FC1FF2">
        <w:t xml:space="preserve">týka jadrovej energetiky. V rámci nej sa </w:t>
      </w:r>
      <w:r w:rsidR="003E3B9B">
        <w:t xml:space="preserve">SR </w:t>
      </w:r>
      <w:r w:rsidRPr="00FC1FF2">
        <w:t>angažuje v projekte Allegro, ktorý je projektom spolupráce v oblasti jadrovej energie medzi Slovenskom, Maďarskom a Českou republikou  a Francúzskom.</w:t>
      </w:r>
    </w:p>
    <w:p w:rsidR="003C1CD7" w:rsidRPr="0058063E" w:rsidRDefault="003C1CD7" w:rsidP="001C344C">
      <w:pPr>
        <w:pStyle w:val="Nadpis3"/>
        <w:spacing w:after="240"/>
      </w:pPr>
      <w:bookmarkStart w:id="37" w:name="_Toc366744144"/>
      <w:r w:rsidRPr="0058063E">
        <w:t>Surovinový potenciál Slovenska</w:t>
      </w:r>
      <w:bookmarkEnd w:id="34"/>
      <w:bookmarkEnd w:id="35"/>
      <w:bookmarkEnd w:id="37"/>
    </w:p>
    <w:p w:rsidR="00F12812" w:rsidRDefault="001853ED" w:rsidP="00F12812">
      <w:pPr>
        <w:ind w:firstLine="340"/>
      </w:pPr>
      <w:r>
        <w:t xml:space="preserve"> </w:t>
      </w:r>
      <w:r w:rsidR="003252BF">
        <w:t>A</w:t>
      </w:r>
      <w:r>
        <w:t>ž na niekoľko výnimiek</w:t>
      </w:r>
      <w:r w:rsidR="003252BF" w:rsidRPr="003252BF">
        <w:t xml:space="preserve"> </w:t>
      </w:r>
      <w:r w:rsidR="003252BF">
        <w:t xml:space="preserve">Slovensko nemá </w:t>
      </w:r>
      <w:r>
        <w:t>dostatočnú surovinovú základňu pre potreby svojho hospodárstva</w:t>
      </w:r>
      <w:r w:rsidR="003252BF">
        <w:t>.</w:t>
      </w:r>
      <w:r>
        <w:t xml:space="preserve"> </w:t>
      </w:r>
      <w:r w:rsidR="003252BF">
        <w:t>P</w:t>
      </w:r>
      <w:r w:rsidR="005446F1">
        <w:t>reto je dôležité koncentrovať</w:t>
      </w:r>
      <w:r w:rsidR="00E13039">
        <w:t xml:space="preserve"> </w:t>
      </w:r>
      <w:r w:rsidR="005446F1">
        <w:t>dostupné zdroje</w:t>
      </w:r>
      <w:r w:rsidR="00E13039">
        <w:t xml:space="preserve"> </w:t>
      </w:r>
      <w:r w:rsidR="005446F1">
        <w:t>a VaI na tie oblasti</w:t>
      </w:r>
      <w:r w:rsidR="003252BF">
        <w:t>, v ktorých Slovensko</w:t>
      </w:r>
      <w:r w:rsidR="005446F1">
        <w:t xml:space="preserve"> má  dostatočné surovinové zdroje v </w:t>
      </w:r>
      <w:r w:rsidR="003252BF">
        <w:t>e</w:t>
      </w:r>
      <w:r w:rsidR="005446F1">
        <w:t>urópskom kontexte.</w:t>
      </w:r>
    </w:p>
    <w:p w:rsidR="00CF050A" w:rsidRPr="005332A3" w:rsidRDefault="00CF050A" w:rsidP="00F12812">
      <w:pPr>
        <w:ind w:firstLine="340"/>
        <w:rPr>
          <w:b/>
        </w:rPr>
      </w:pPr>
      <w:r w:rsidRPr="005332A3">
        <w:rPr>
          <w:b/>
        </w:rPr>
        <w:t>Vodné zdroje:</w:t>
      </w:r>
    </w:p>
    <w:p w:rsidR="00F12812" w:rsidRPr="00F12812" w:rsidRDefault="0092572B" w:rsidP="00F12812">
      <w:pPr>
        <w:ind w:firstLine="340"/>
      </w:pPr>
      <w:r w:rsidRPr="0092572B">
        <w:t>S</w:t>
      </w:r>
      <w:r w:rsidR="00F12812" w:rsidRPr="0092572B">
        <w:t>tratégia trvalo udržateľného rozvoja konštatuje, že dostupnosť vodných zdrojov vystupuje do popredia ako jeden</w:t>
      </w:r>
      <w:r w:rsidR="003252BF">
        <w:t xml:space="preserve"> </w:t>
      </w:r>
      <w:r w:rsidR="00F12812" w:rsidRPr="0092572B">
        <w:t>z globálnych problémov ľudstva</w:t>
      </w:r>
      <w:r w:rsidR="00F12812" w:rsidRPr="0092572B">
        <w:rPr>
          <w:vertAlign w:val="superscript"/>
        </w:rPr>
        <w:footnoteReference w:id="2"/>
      </w:r>
      <w:r w:rsidR="00F12812" w:rsidRPr="0092572B">
        <w:t xml:space="preserve">. Slovensko má </w:t>
      </w:r>
      <w:r w:rsidR="003252BF">
        <w:t xml:space="preserve"> </w:t>
      </w:r>
      <w:r w:rsidR="00F12812" w:rsidRPr="0092572B">
        <w:t xml:space="preserve">zatiaľ dobrý prístup k vodným zdrojom, no </w:t>
      </w:r>
      <w:r w:rsidR="00CD4EEE" w:rsidRPr="0092572B">
        <w:t xml:space="preserve">na vodu </w:t>
      </w:r>
      <w:r w:rsidR="00F12812" w:rsidRPr="0092572B">
        <w:t>je potrebné nazerať ako na strategickú surovinu a otázku národnej bezpečnosti. S po</w:t>
      </w:r>
      <w:r w:rsidR="003252BF">
        <w:t>s</w:t>
      </w:r>
      <w:r w:rsidR="00F12812" w:rsidRPr="0092572B">
        <w:t xml:space="preserve">tupujúcou klimatickou zmenou sa očakáva pokles zásob vôd a priemerných ročných odtokov, zvýšenie variability priemerných ročných prietokov a prehĺbenie odtokových extrémov a významné zníženie podzemných zdrojov vody. Z hľadiska adaptácie na klimatickú zmenu bude potrebné vykonať opatrenia zamerané na revitalizáciu krajiny (napr. stavbu priehrad, nádrží a úprav korýt vodných tokov). Vo vodnom hospodárstve bude pretrvávať trend poklesu zamestnanosti aj napriek nárastu produkcie. Analýzy dôsledkov klimatickej zmeny a možných adaptačných opatrení naznačujú, že pokles zamestnanosti bude sprevádzaný postupným rastom produktivity práce. </w:t>
      </w:r>
      <w:r w:rsidR="003252BF">
        <w:t>A</w:t>
      </w:r>
      <w:r w:rsidR="00F12812" w:rsidRPr="0092572B">
        <w:t>k by sa nerealizovali žiadne adaptačné opatrenia, v roku 2050 môže</w:t>
      </w:r>
      <w:r w:rsidR="003252BF">
        <w:t xml:space="preserve"> SR</w:t>
      </w:r>
      <w:r w:rsidR="00F12812" w:rsidRPr="0092572B">
        <w:t xml:space="preserve"> očakávať skoro 5</w:t>
      </w:r>
      <w:r w:rsidR="003252BF">
        <w:t> </w:t>
      </w:r>
      <w:r w:rsidR="00F12812" w:rsidRPr="0092572B">
        <w:t>% pokles produkcie oproti základnému scenáru</w:t>
      </w:r>
      <w:r w:rsidR="00F12812" w:rsidRPr="0092572B">
        <w:rPr>
          <w:vertAlign w:val="superscript"/>
        </w:rPr>
        <w:footnoteReference w:id="3"/>
      </w:r>
      <w:r w:rsidR="00F12812" w:rsidRPr="0092572B">
        <w:t>.</w:t>
      </w:r>
    </w:p>
    <w:p w:rsidR="00CF050A" w:rsidRPr="005332A3" w:rsidRDefault="00CF050A" w:rsidP="00EB57E1">
      <w:pPr>
        <w:ind w:firstLine="340"/>
        <w:rPr>
          <w:rFonts w:cs="Times New Roman"/>
          <w:b/>
          <w:lang w:eastAsia="sk-SK"/>
        </w:rPr>
      </w:pPr>
      <w:r w:rsidRPr="005332A3">
        <w:rPr>
          <w:rFonts w:cs="Times New Roman"/>
          <w:b/>
          <w:lang w:eastAsia="sk-SK"/>
        </w:rPr>
        <w:t>Magnezit:</w:t>
      </w:r>
    </w:p>
    <w:p w:rsidR="00EB57E1" w:rsidRDefault="00EB57E1" w:rsidP="00EB57E1">
      <w:pPr>
        <w:ind w:firstLine="340"/>
      </w:pPr>
      <w:r w:rsidRPr="000302D0">
        <w:rPr>
          <w:rFonts w:cs="Times New Roman"/>
          <w:lang w:eastAsia="sk-SK"/>
        </w:rPr>
        <w:t>Slovenské bilančné a nebilančné zásoby magnezitu sa odhadujú na 1 157 mil. ton</w:t>
      </w:r>
      <w:r w:rsidRPr="000302D0">
        <w:rPr>
          <w:rStyle w:val="Odkaznapoznmkupodiarou"/>
        </w:rPr>
        <w:footnoteReference w:id="4"/>
      </w:r>
      <w:r w:rsidRPr="000302D0">
        <w:rPr>
          <w:rFonts w:cs="Times New Roman"/>
          <w:lang w:eastAsia="sk-SK"/>
        </w:rPr>
        <w:t xml:space="preserve">. Overené zásoby zabezpečujú pri aktuálnej výške ťažby životnosť produkcie na najvýznamnejšom slovenskom ložisku Jelšava na vyše 100 rokov. Vyťažená surovina je spracovávaná v úpravniach na polotovary – tehliarsky a oceliarsky magnezit, zásadité žiaruvzdorné hmoty, kaustický magnezit, drevený/mletý magnezit, resp. sa finalizuje až na žiaruvzdorné bázické stavivá. Významný potenciál pre Slovensko, ale aj pre EÚ, by malo zavedenie výroby </w:t>
      </w:r>
      <w:r w:rsidRPr="000302D0">
        <w:rPr>
          <w:rFonts w:cs="Times New Roman"/>
          <w:lang w:eastAsia="sk-SK"/>
        </w:rPr>
        <w:lastRenderedPageBreak/>
        <w:t>horčíka na Slovensku s využitím magnezitu ako vstupnej s</w:t>
      </w:r>
      <w:r w:rsidR="00A50B7D">
        <w:rPr>
          <w:rFonts w:cs="Times New Roman"/>
          <w:lang w:eastAsia="sk-SK"/>
        </w:rPr>
        <w:t xml:space="preserve">uroviny. Za obdobie rokov 2001 </w:t>
      </w:r>
      <w:r w:rsidR="00A50B7D" w:rsidRPr="000302D0">
        <w:rPr>
          <w:rFonts w:cs="Times New Roman"/>
          <w:lang w:eastAsia="sk-SK"/>
        </w:rPr>
        <w:t>–</w:t>
      </w:r>
      <w:r w:rsidRPr="000302D0">
        <w:rPr>
          <w:rFonts w:cs="Times New Roman"/>
          <w:lang w:eastAsia="sk-SK"/>
        </w:rPr>
        <w:t xml:space="preserve"> 2012 sa spotreba horčíka takmer zdvojnásobila a</w:t>
      </w:r>
      <w:r w:rsidR="00CD4EEE">
        <w:rPr>
          <w:rFonts w:cs="Times New Roman"/>
          <w:lang w:eastAsia="sk-SK"/>
        </w:rPr>
        <w:t> </w:t>
      </w:r>
      <w:r w:rsidRPr="000302D0">
        <w:rPr>
          <w:rFonts w:cs="Times New Roman"/>
          <w:lang w:eastAsia="sk-SK"/>
        </w:rPr>
        <w:t>7</w:t>
      </w:r>
      <w:r w:rsidR="00CD4EEE">
        <w:rPr>
          <w:rFonts w:cs="Times New Roman"/>
          <w:lang w:eastAsia="sk-SK"/>
        </w:rPr>
        <w:t xml:space="preserve"> </w:t>
      </w:r>
      <w:r w:rsidRPr="000302D0">
        <w:rPr>
          <w:rFonts w:cs="Times New Roman"/>
          <w:lang w:eastAsia="sk-SK"/>
        </w:rPr>
        <w:t xml:space="preserve">%-ný medziročný rast je očakávaný aj v ďalších rokoch. Takmer polovica z celosvetovej produkcie horčíka </w:t>
      </w:r>
      <w:r w:rsidRPr="00064EE3">
        <w:rPr>
          <w:rFonts w:cs="Times New Roman"/>
          <w:lang w:eastAsia="sk-SK"/>
        </w:rPr>
        <w:t>(803 kt v roku 2012)</w:t>
      </w:r>
      <w:r w:rsidRPr="000302D0">
        <w:rPr>
          <w:rFonts w:cs="Times New Roman"/>
          <w:lang w:eastAsia="sk-SK"/>
        </w:rPr>
        <w:t xml:space="preserve"> sa spotrebuje v Európe. </w:t>
      </w:r>
      <w:r w:rsidRPr="000302D0">
        <w:rPr>
          <w:rFonts w:cs="Times New Roman"/>
          <w:b/>
          <w:lang w:eastAsia="sk-SK"/>
        </w:rPr>
        <w:t xml:space="preserve">Kvôli 100%-nej závislosti na dodávkach z mimoeurópskych regiónov a súčasne veľkej spotrebe vyhlásila EÚ horčík </w:t>
      </w:r>
      <w:r w:rsidR="00CD4EEE">
        <w:rPr>
          <w:rFonts w:cs="Times New Roman"/>
          <w:b/>
          <w:lang w:eastAsia="sk-SK"/>
        </w:rPr>
        <w:t xml:space="preserve">za </w:t>
      </w:r>
      <w:r w:rsidRPr="000302D0">
        <w:rPr>
          <w:rFonts w:cs="Times New Roman"/>
          <w:b/>
          <w:lang w:eastAsia="sk-SK"/>
        </w:rPr>
        <w:t>jeden zo 14 kritických prvkov s vysokým dovozným rizikom</w:t>
      </w:r>
      <w:r w:rsidRPr="000302D0">
        <w:rPr>
          <w:rFonts w:cs="Times New Roman"/>
          <w:lang w:eastAsia="sk-SK"/>
        </w:rPr>
        <w:t xml:space="preserve">. </w:t>
      </w:r>
      <w:r w:rsidRPr="000302D0">
        <w:t xml:space="preserve">Z celosvetovej produkcie </w:t>
      </w:r>
      <w:r w:rsidR="00CB1CAD">
        <w:t xml:space="preserve">roku  2011 </w:t>
      </w:r>
      <w:r w:rsidRPr="00064EE3">
        <w:t>(</w:t>
      </w:r>
      <w:r w:rsidRPr="00CD79A9">
        <w:t>756 tis. ton</w:t>
      </w:r>
      <w:r w:rsidRPr="00064EE3">
        <w:t>)</w:t>
      </w:r>
      <w:r w:rsidRPr="000302D0">
        <w:t xml:space="preserve"> sa takmer 87</w:t>
      </w:r>
      <w:r w:rsidR="00CD4EEE">
        <w:t xml:space="preserve"> </w:t>
      </w:r>
      <w:r w:rsidRPr="000302D0">
        <w:t xml:space="preserve">% horčíka vyrába v Číne, kde sa výhradne používa zastaranejšia, environmentálne a na ľudskú prácu náročnejšia termická redukcia, ktorá je však z hľadiska investičných a prevádzkových nákladov oproti modernejšej elektrolytickej metóde výrazne lacnejšia. Na kvalifikované rozhodovanie o možnosti výroby horčíka na Slovensku </w:t>
      </w:r>
      <w:r w:rsidR="000302D0">
        <w:t>bude</w:t>
      </w:r>
      <w:r w:rsidR="00E13039">
        <w:t xml:space="preserve"> </w:t>
      </w:r>
      <w:r w:rsidRPr="000302D0">
        <w:t xml:space="preserve">potrebné vypracovať nezávislú a objektívnu štúdiu realizovateľnosti. V </w:t>
      </w:r>
      <w:r w:rsidR="00CD4EEE">
        <w:t xml:space="preserve">nej </w:t>
      </w:r>
      <w:r w:rsidR="000302D0">
        <w:t>bude</w:t>
      </w:r>
      <w:r w:rsidRPr="000302D0">
        <w:t xml:space="preserve"> potrebné najmä posúdiť, či je možné v podmienkach Slovenska navrhnúť a zaviesť výrobnú technológiu, ktorá dokáže pri zachovaní európskych environmentálnych a iných legislatívnych požiadaviek a kvalitatívnych požiadaviek zákazníkov na výsledný produkt vyrábať horčík, ktorý môže cenovo konkurovať čínskym dodávkam</w:t>
      </w:r>
      <w:r w:rsidR="000302D0">
        <w:t xml:space="preserve"> a poskytnúť surovinovú bezpečnosť pre EÚ.</w:t>
      </w:r>
      <w:r w:rsidRPr="000302D0">
        <w:t xml:space="preserve"> Ďal</w:t>
      </w:r>
      <w:r w:rsidR="00CD4EEE">
        <w:t xml:space="preserve">ej treba </w:t>
      </w:r>
      <w:r w:rsidRPr="000302D0">
        <w:t xml:space="preserve"> posúdiť bariéry, ktoré treba prekonať, aby na Slovensku vyrábaný horčík a výrobky z neho boli akceptované zo strany odberateľov, najmä z automobilového sektoru</w:t>
      </w:r>
      <w:r w:rsidR="00CD4EEE">
        <w:t>.</w:t>
      </w:r>
    </w:p>
    <w:p w:rsidR="00CF050A" w:rsidRPr="005332A3" w:rsidRDefault="00CF050A" w:rsidP="00493CF5">
      <w:pPr>
        <w:ind w:firstLine="340"/>
        <w:rPr>
          <w:b/>
        </w:rPr>
      </w:pPr>
      <w:r w:rsidRPr="005332A3">
        <w:rPr>
          <w:b/>
        </w:rPr>
        <w:t>Drevo:</w:t>
      </w:r>
    </w:p>
    <w:p w:rsidR="001853ED" w:rsidRDefault="001853ED" w:rsidP="00493CF5">
      <w:pPr>
        <w:ind w:firstLine="340"/>
      </w:pPr>
      <w:r w:rsidRPr="00B766D6">
        <w:t xml:space="preserve">Oznámenie Komisie Rade a Európskemu parlamentu o inovatívnom a trvalo udržateľnom drevospracujúcom priemysle konštatuje, že drevospracujúci priemysel v EÚ s výrobou </w:t>
      </w:r>
      <w:r w:rsidRPr="005D48F5">
        <w:rPr>
          <w:b/>
        </w:rPr>
        <w:t>v hodnote 365 miliárd € a pridanou hodnotou približne 120 miliárd € poskytuje viac ako 3 milióny pracovných miest v 344 tis. podnikoch</w:t>
      </w:r>
      <w:r w:rsidRPr="00B766D6">
        <w:t xml:space="preserve">. </w:t>
      </w:r>
      <w:r w:rsidR="00CD4EEE">
        <w:t>Drevospracujúci priemysel m</w:t>
      </w:r>
      <w:r w:rsidRPr="00B766D6">
        <w:t>á dôležitú úlohu pri zachovávaní zamestnanosti vo vidieckych oblastiach</w:t>
      </w:r>
      <w:r w:rsidR="00CD4EEE">
        <w:t xml:space="preserve">, jeho </w:t>
      </w:r>
      <w:r w:rsidRPr="00B766D6">
        <w:t xml:space="preserve"> </w:t>
      </w:r>
      <w:r w:rsidR="00CD4EEE">
        <w:t>o</w:t>
      </w:r>
      <w:r w:rsidRPr="00B766D6">
        <w:t>dvetvia  sú všeobecne konkurencieschopné a sú svetovými lídrami v mnohých oblastiach. Čelia však mnohým problémom, najmä pokiaľ ide o prístup k surovinám, inovácie, obchod s výrobkami lesného hospodárstva a informácie o</w:t>
      </w:r>
      <w:r w:rsidR="00CD4EEE">
        <w:t> </w:t>
      </w:r>
      <w:r w:rsidRPr="00B766D6">
        <w:t>nich</w:t>
      </w:r>
      <w:r w:rsidR="00CD4EEE">
        <w:t>.</w:t>
      </w:r>
    </w:p>
    <w:p w:rsidR="00EF6975" w:rsidRPr="00B766D6" w:rsidRDefault="001853ED" w:rsidP="00D00787">
      <w:pPr>
        <w:suppressAutoHyphens/>
        <w:ind w:firstLine="426"/>
        <w:rPr>
          <w:b/>
        </w:rPr>
      </w:pPr>
      <w:r w:rsidRPr="00B766D6">
        <w:t xml:space="preserve">Drevospracujúci priemysel na Slovensku v súčasnosti produkuje tovary v hodnote okolo </w:t>
      </w:r>
      <w:r w:rsidRPr="00EF7E30">
        <w:rPr>
          <w:b/>
        </w:rPr>
        <w:t>3 miliárd € ročne a poskytuje približne 40 tisíc pracovných miest</w:t>
      </w:r>
      <w:r w:rsidRPr="00B766D6">
        <w:t>. Je významným faktorom trvalo udržateľnej zamestnanosti aj vo vidieckych oblastiach</w:t>
      </w:r>
      <w:r>
        <w:t xml:space="preserve">. </w:t>
      </w:r>
      <w:r w:rsidRPr="00B766D6">
        <w:t>Dodávky dreva vzrástli za obdobie rokov 2000 až 2011 o  50 % (zo 6 mil. m</w:t>
      </w:r>
      <w:r w:rsidRPr="00B766D6">
        <w:rPr>
          <w:vertAlign w:val="superscript"/>
        </w:rPr>
        <w:t>3</w:t>
      </w:r>
      <w:r w:rsidRPr="00B766D6">
        <w:t xml:space="preserve"> na 9 mil.</w:t>
      </w:r>
      <w:r w:rsidR="00D33445">
        <w:t xml:space="preserve"> </w:t>
      </w:r>
      <w:r w:rsidRPr="00B766D6">
        <w:t xml:space="preserve"> m</w:t>
      </w:r>
      <w:r w:rsidRPr="00B766D6">
        <w:rPr>
          <w:vertAlign w:val="superscript"/>
        </w:rPr>
        <w:t>3</w:t>
      </w:r>
      <w:r w:rsidRPr="00B766D6">
        <w:t>). Export dreva v absolútnych hodnotách vzrástol za sledované obdobie z </w:t>
      </w:r>
      <w:r w:rsidRPr="00EF7E30">
        <w:rPr>
          <w:b/>
        </w:rPr>
        <w:t>1,3 až 1,6 mil. m</w:t>
      </w:r>
      <w:r w:rsidRPr="00EF7E30">
        <w:rPr>
          <w:b/>
          <w:vertAlign w:val="superscript"/>
        </w:rPr>
        <w:t>3</w:t>
      </w:r>
      <w:r w:rsidRPr="00EF7E30">
        <w:rPr>
          <w:b/>
        </w:rPr>
        <w:t xml:space="preserve"> na 2,6 mil. m</w:t>
      </w:r>
      <w:r w:rsidRPr="00EF7E30">
        <w:rPr>
          <w:b/>
          <w:vertAlign w:val="superscript"/>
        </w:rPr>
        <w:t>3</w:t>
      </w:r>
      <w:r w:rsidRPr="00B766D6">
        <w:t xml:space="preserve"> v rokoch 2009 a 2011, čo je zhruba dvojnásobný nárast</w:t>
      </w:r>
      <w:r w:rsidR="00CD4EEE">
        <w:t>.</w:t>
      </w:r>
      <w:r w:rsidR="00DB3AD3">
        <w:t xml:space="preserve"> </w:t>
      </w:r>
      <w:r w:rsidR="00CD4EEE">
        <w:t>T</w:t>
      </w:r>
      <w:r w:rsidR="00DB3AD3">
        <w:t>reba však povedať</w:t>
      </w:r>
      <w:r w:rsidR="00CD4EEE">
        <w:t>,</w:t>
      </w:r>
      <w:r w:rsidR="00DB3AD3">
        <w:t xml:space="preserve"> že uvedené sa vzťahuje dominantne na vývoz surového dreva</w:t>
      </w:r>
      <w:r w:rsidR="00CD4EEE">
        <w:t>,</w:t>
      </w:r>
      <w:r w:rsidR="00EF6975">
        <w:t xml:space="preserve"> čím š</w:t>
      </w:r>
      <w:r w:rsidR="00EF6975" w:rsidRPr="00B766D6">
        <w:t>tát prichádza o daňové príjmy zo spracovania drevnej hmoty na produkciu s vyššou pridanou hodnotou</w:t>
      </w:r>
      <w:r w:rsidR="00E13039">
        <w:t xml:space="preserve"> </w:t>
      </w:r>
      <w:r w:rsidR="00EF6975">
        <w:t>a</w:t>
      </w:r>
      <w:r w:rsidR="00CD4EEE">
        <w:t> čo má</w:t>
      </w:r>
      <w:r w:rsidR="00EF6975">
        <w:t> negatívny vplyv na tvorbu</w:t>
      </w:r>
      <w:r w:rsidR="00E13039">
        <w:t xml:space="preserve"> </w:t>
      </w:r>
      <w:r w:rsidR="00EF6975" w:rsidRPr="00B766D6">
        <w:t xml:space="preserve">stabilných pracovných </w:t>
      </w:r>
      <w:r w:rsidR="00EF6975">
        <w:t>miest</w:t>
      </w:r>
      <w:r w:rsidR="00CD4EEE">
        <w:t>,</w:t>
      </w:r>
      <w:r w:rsidR="00E13039">
        <w:t xml:space="preserve"> </w:t>
      </w:r>
      <w:r w:rsidR="00EF6975" w:rsidRPr="00B766D6">
        <w:t xml:space="preserve">zamestnanosť </w:t>
      </w:r>
      <w:r w:rsidR="00EF6975">
        <w:t xml:space="preserve"> a</w:t>
      </w:r>
      <w:r w:rsidR="00E13039">
        <w:t xml:space="preserve"> </w:t>
      </w:r>
      <w:r w:rsidR="00EF6975" w:rsidRPr="00B766D6">
        <w:t>na rozvoj vidieka.</w:t>
      </w:r>
    </w:p>
    <w:p w:rsidR="001853ED" w:rsidRDefault="00D3255B" w:rsidP="00D00787">
      <w:pPr>
        <w:pStyle w:val="Odsekzoznamu"/>
        <w:ind w:left="0" w:firstLine="426"/>
      </w:pPr>
      <w:r>
        <w:t>V</w:t>
      </w:r>
      <w:r w:rsidR="001853ED" w:rsidRPr="00B42A00">
        <w:t xml:space="preserve">zhľadom na </w:t>
      </w:r>
      <w:r>
        <w:t xml:space="preserve">potenciál a tradíciu </w:t>
      </w:r>
      <w:r w:rsidR="001853ED" w:rsidRPr="00B42A00">
        <w:t xml:space="preserve">využívania </w:t>
      </w:r>
      <w:r>
        <w:t>a spracovania dreva ako ekologicky priaznivej a</w:t>
      </w:r>
      <w:r w:rsidR="00E13039">
        <w:t xml:space="preserve"> </w:t>
      </w:r>
      <w:r w:rsidR="001853ED" w:rsidRPr="00B42A00">
        <w:t xml:space="preserve">obnoviteľnej suroviny má domáci lesnícko-drevársky sektor ambíciu a podmienky </w:t>
      </w:r>
      <w:r w:rsidR="001853ED" w:rsidRPr="00D33445">
        <w:rPr>
          <w:rStyle w:val="Siln"/>
          <w:b w:val="0"/>
          <w:color w:val="auto"/>
        </w:rPr>
        <w:t xml:space="preserve">stať sa </w:t>
      </w:r>
      <w:r w:rsidRPr="00D33445">
        <w:rPr>
          <w:rStyle w:val="Siln"/>
          <w:b w:val="0"/>
          <w:color w:val="auto"/>
        </w:rPr>
        <w:t>významný</w:t>
      </w:r>
      <w:r w:rsidR="00D33445" w:rsidRPr="00D33445">
        <w:rPr>
          <w:rStyle w:val="Siln"/>
          <w:b w:val="0"/>
          <w:color w:val="auto"/>
        </w:rPr>
        <w:t>m</w:t>
      </w:r>
      <w:r w:rsidRPr="00D33445">
        <w:rPr>
          <w:rStyle w:val="Siln"/>
          <w:b w:val="0"/>
          <w:color w:val="auto"/>
        </w:rPr>
        <w:t xml:space="preserve"> odvetvím</w:t>
      </w:r>
      <w:r w:rsidR="001853ED" w:rsidRPr="00D33445">
        <w:rPr>
          <w:rStyle w:val="Siln"/>
          <w:color w:val="auto"/>
        </w:rPr>
        <w:t xml:space="preserve"> </w:t>
      </w:r>
      <w:r w:rsidR="001853ED" w:rsidRPr="00D33445">
        <w:t>slov</w:t>
      </w:r>
      <w:r w:rsidR="001853ED" w:rsidRPr="00B42A00">
        <w:t>enskej ekonomiky. Navyše ukladaním uhlíka v lesoch, v produktoch z vyťaženého dreva a jeho náhradou za neobnoviteľné suroviny a</w:t>
      </w:r>
      <w:r w:rsidR="001853ED">
        <w:t> </w:t>
      </w:r>
      <w:r w:rsidR="001853ED" w:rsidRPr="00B42A00">
        <w:t xml:space="preserve">energiu sektor významnou mierou prispieva k zmierňovaniu klimatickej zmeny. </w:t>
      </w:r>
    </w:p>
    <w:p w:rsidR="009B4A3B" w:rsidRPr="00D019F9" w:rsidRDefault="009B4A3B" w:rsidP="00D33445">
      <w:pPr>
        <w:pStyle w:val="Nadpis3"/>
        <w:spacing w:after="240"/>
      </w:pPr>
      <w:bookmarkStart w:id="38" w:name="_TOC_250019"/>
      <w:bookmarkStart w:id="39" w:name="_Toc360575997"/>
      <w:bookmarkStart w:id="40" w:name="_Toc365831782"/>
      <w:bookmarkStart w:id="41" w:name="_Toc365831974"/>
      <w:bookmarkStart w:id="42" w:name="_Toc366744145"/>
      <w:r w:rsidRPr="00D019F9">
        <w:t>Ukotvenosť najvýznamnejších odvetví v slovenskej ekonomike</w:t>
      </w:r>
      <w:bookmarkEnd w:id="38"/>
      <w:bookmarkEnd w:id="39"/>
      <w:bookmarkEnd w:id="40"/>
      <w:bookmarkEnd w:id="41"/>
      <w:bookmarkEnd w:id="42"/>
    </w:p>
    <w:p w:rsidR="009B4A3B" w:rsidRPr="000E1A05" w:rsidRDefault="009B4A3B" w:rsidP="00D33445">
      <w:pPr>
        <w:spacing w:after="240"/>
        <w:ind w:firstLine="340"/>
      </w:pPr>
      <w:r w:rsidRPr="000E1A05">
        <w:t>Previazanosť najvýznamnejších odvetví na domácu výrobu</w:t>
      </w:r>
      <w:r w:rsidR="003C6E29">
        <w:t xml:space="preserve">, </w:t>
      </w:r>
      <w:r w:rsidRPr="000E1A05">
        <w:t xml:space="preserve"> </w:t>
      </w:r>
      <w:r w:rsidR="003C6E29">
        <w:t xml:space="preserve">ich schopnosť podnecovať ekonomické aktivity u svojich domácich subdodávateľov </w:t>
      </w:r>
      <w:r w:rsidRPr="000E1A05">
        <w:t xml:space="preserve">je </w:t>
      </w:r>
      <w:r w:rsidR="0071257D">
        <w:t xml:space="preserve"> dôležitým </w:t>
      </w:r>
      <w:r w:rsidRPr="000E1A05">
        <w:t xml:space="preserve">parametrom rozvoja spoločnosti poukazujúcim na ich ukotvenie do ekonomického a sociálneho rámca krajiny. Len v prípade dostatočnej ukotvenosti exportne intenzívnych odvetví do štruktúry ekonomiky je možné využiť a rozvíjať </w:t>
      </w:r>
      <w:r w:rsidR="00627E5C">
        <w:t xml:space="preserve"> ich </w:t>
      </w:r>
      <w:r w:rsidRPr="000E1A05">
        <w:t>potenciál.</w:t>
      </w:r>
    </w:p>
    <w:p w:rsidR="009B4A3B" w:rsidRPr="000E1A05" w:rsidRDefault="009B4A3B" w:rsidP="00DB7CC6">
      <w:pPr>
        <w:ind w:firstLine="340"/>
      </w:pPr>
      <w:r w:rsidRPr="000E1A05">
        <w:t>V ideálnom prípade sú odvetvia, na ktoré sa krajina špecializuje vo vývoze</w:t>
      </w:r>
      <w:r w:rsidR="00627E5C">
        <w:t xml:space="preserve">, </w:t>
      </w:r>
      <w:r w:rsidRPr="000E1A05">
        <w:t xml:space="preserve"> (a) lukratívne z hľadiska vysokej pridanej hodnoty, (b) dobre ukotvené v produkčnej štruktúre ekonomiky a</w:t>
      </w:r>
      <w:r w:rsidR="00627E5C">
        <w:t xml:space="preserve"> </w:t>
      </w:r>
      <w:r w:rsidRPr="000E1A05">
        <w:t>(c) prepojené na iné odvetvia domácej ekonomiky.</w:t>
      </w:r>
    </w:p>
    <w:p w:rsidR="009B4A3B" w:rsidRPr="000E1A05" w:rsidRDefault="009B4A3B" w:rsidP="00DB7CC6">
      <w:pPr>
        <w:ind w:firstLine="340"/>
      </w:pPr>
      <w:r w:rsidRPr="000E1A05">
        <w:lastRenderedPageBreak/>
        <w:t xml:space="preserve">Hlavné exportné odvetvia slovenského priemyslu sa zatiaľ vyznačujú vysokým stupňom medzispotreby a nízkym stupňom pridanej hodnoty (výroba motorových vozidiel 13,8 </w:t>
      </w:r>
      <w:r w:rsidR="002445AD">
        <w:t xml:space="preserve">% za roky 2007 – </w:t>
      </w:r>
      <w:r w:rsidRPr="000E1A05">
        <w:t>2009, výroba počítačových, elektronických a optických výrobkov 13,2 %, výroba kovov 28,4 %, výroba kovových konštrukcií 38,5 %, priemerná úroveň pridanej hodnoty v slovenskej ekonomike  40,7</w:t>
      </w:r>
      <w:r w:rsidR="00134F8E">
        <w:t xml:space="preserve"> </w:t>
      </w:r>
      <w:r w:rsidRPr="000E1A05">
        <w:t>%). V sledovanom období nedošlo k podstatnému nárastu podielu pridanej hodnoty na celkovej produkcii ani v jednom zo sledovaných odvetví. V službách sa prejavil pozitívny trend v náraste významu vývozu počítačových a informačných služieb.</w:t>
      </w:r>
    </w:p>
    <w:p w:rsidR="009B4A3B" w:rsidRPr="000E1A05" w:rsidRDefault="009B4A3B" w:rsidP="00DB7CC6">
      <w:pPr>
        <w:ind w:firstLine="340"/>
      </w:pPr>
      <w:r w:rsidRPr="000E1A05">
        <w:t>V absolútnych objemoch vo vývoze dominujú tovary a z nich najmä motorové vozidlá, výrobky spotrebnej elektroni</w:t>
      </w:r>
      <w:r w:rsidR="002445AD">
        <w:t>ky a kovy a kovové konštrukcie.</w:t>
      </w:r>
      <w:r w:rsidR="003C6E29">
        <w:t xml:space="preserve"> </w:t>
      </w:r>
      <w:r w:rsidR="00CD79A9">
        <w:t>A</w:t>
      </w:r>
      <w:r w:rsidRPr="000E1A05">
        <w:t xml:space="preserve">nalýza </w:t>
      </w:r>
      <w:r w:rsidR="00CD79A9">
        <w:t xml:space="preserve">vstupov a výstupov </w:t>
      </w:r>
      <w:r w:rsidR="002445AD">
        <w:t xml:space="preserve">za roky 2007 – </w:t>
      </w:r>
      <w:r w:rsidRPr="000E1A05">
        <w:t>2009 indikuje, že najmä odvetvia výroby motorových vozidiel a spotrebnej elektroniky sú čoraz viac integrované do produkčných štruktúr slovenskej ekonomiky, t. j. klesá ich komplexná dovozná náročnosť. Rastúca ukotvenosť týchto rozhodujúcich exportných odvetví do domácej ekonomiky:</w:t>
      </w:r>
    </w:p>
    <w:p w:rsidR="009B4A3B" w:rsidRPr="000E1A05" w:rsidRDefault="003C6E29" w:rsidP="00791A72">
      <w:pPr>
        <w:pStyle w:val="Odsekzoznamu1"/>
        <w:numPr>
          <w:ilvl w:val="0"/>
          <w:numId w:val="6"/>
        </w:numPr>
        <w:spacing w:after="0"/>
      </w:pPr>
      <w:r>
        <w:t xml:space="preserve">má </w:t>
      </w:r>
      <w:r w:rsidR="009B4A3B" w:rsidRPr="000E1A05">
        <w:t xml:space="preserve">pozitívne </w:t>
      </w:r>
      <w:r>
        <w:t xml:space="preserve">dopady </w:t>
      </w:r>
      <w:r w:rsidR="009B4A3B" w:rsidRPr="000E1A05">
        <w:t>na zamestnanosť a hospodársky rast,</w:t>
      </w:r>
    </w:p>
    <w:p w:rsidR="009B4A3B" w:rsidRPr="000E1A05" w:rsidRDefault="009B4A3B" w:rsidP="00791A72">
      <w:pPr>
        <w:pStyle w:val="Odsekzoznamu1"/>
        <w:numPr>
          <w:ilvl w:val="0"/>
          <w:numId w:val="6"/>
        </w:numPr>
        <w:spacing w:after="0"/>
      </w:pPr>
      <w:r w:rsidRPr="000E1A05">
        <w:t>znižuje riziko ekonomického kolapsu v prípade odchodu významných zahraničných investorov zo Slovenska,</w:t>
      </w:r>
    </w:p>
    <w:p w:rsidR="009B4A3B" w:rsidRPr="000E1A05" w:rsidRDefault="009B4A3B" w:rsidP="00791A72">
      <w:pPr>
        <w:pStyle w:val="Odsekzoznamu1"/>
        <w:numPr>
          <w:ilvl w:val="0"/>
          <w:numId w:val="6"/>
        </w:numPr>
      </w:pPr>
      <w:r w:rsidRPr="000E1A05">
        <w:t>prispieva k rastu zamestnanosti.</w:t>
      </w:r>
    </w:p>
    <w:p w:rsidR="009B4A3B" w:rsidRPr="000E1A05" w:rsidRDefault="009B4A3B" w:rsidP="00DB7CC6">
      <w:pPr>
        <w:ind w:firstLine="340"/>
      </w:pPr>
      <w:r w:rsidRPr="000E1A05">
        <w:t xml:space="preserve">Analýza medziodvetvových tokov dodávok tovarov a služieb indikuje, že hlavné exportné odvetvia sú navzájom </w:t>
      </w:r>
      <w:r w:rsidR="003C6E29">
        <w:t xml:space="preserve"> </w:t>
      </w:r>
      <w:r w:rsidRPr="000E1A05">
        <w:t>dobre prepojené v rámci dodávateľsko-odberateľských sietí a tiež s inými, stredne významnými odvetviami (výroba gumy a plastov, výroba strojov a zariadení, výroba elektrických strojov, výroba kovových výrobkov a konštrukcií). Ide o klasický príklad previazanej rôznorodosti komplementárnych produkcií, ktoré sa kombinujú pri výrobe komplexných výrobkov typu automobilov či spotrebnej elektroniky.</w:t>
      </w:r>
    </w:p>
    <w:p w:rsidR="009B4A3B" w:rsidRPr="000E1A05" w:rsidRDefault="009B4A3B" w:rsidP="00DB7CC6">
      <w:pPr>
        <w:ind w:firstLine="340"/>
      </w:pPr>
      <w:r w:rsidRPr="000E1A05">
        <w:t xml:space="preserve">Z hľadiska inteligentnej špecializácie je vhodné zamerať sa na ďalší rozvoj komplementárnych odvetví súvisiacich s výrobou automobilov a spotrebnej elektroniky a zvyšovať úroveň </w:t>
      </w:r>
      <w:r w:rsidR="003C6E29" w:rsidRPr="000E1A05">
        <w:t xml:space="preserve">ich </w:t>
      </w:r>
      <w:r w:rsidRPr="000E1A05">
        <w:t>pridanej hodnoty. Zvyšovaniu pridanej hodnoty môže významne napomôcť aj výskum, a to najmä v oblasti kovových i nekovových materiálov. Ide o prioritné oblasti materiálového výskumu a priemyselných technológií (doprava, strojárstvo, elektrotechnika). Významnou prioritou sú aj informačné a komunikačné technológie, ktoré sa čoraz lepšie uplatňujú jednak ako samostatný vývozný artikel, jednak ako komplementárny vstup pri výrobe automobilov a spotrebnej elektroniky (napr. navigačné softvéry, riadiace systémy, komunikačné systémy a pod.).</w:t>
      </w:r>
    </w:p>
    <w:p w:rsidR="009B4A3B" w:rsidRPr="00D019F9" w:rsidRDefault="009B4A3B" w:rsidP="00601DEA">
      <w:pPr>
        <w:pStyle w:val="Nadpis3"/>
        <w:spacing w:after="240"/>
      </w:pPr>
      <w:bookmarkStart w:id="43" w:name="_TOC_250018"/>
      <w:bookmarkStart w:id="44" w:name="_Toc360575998"/>
      <w:bookmarkStart w:id="45" w:name="_Toc365831783"/>
      <w:bookmarkStart w:id="46" w:name="_Toc365831975"/>
      <w:bookmarkStart w:id="47" w:name="_Toc366744146"/>
      <w:r w:rsidRPr="00D019F9">
        <w:t>Prepojenie prioritných odvetví s výskumom a poznatkovo-intenzívnymi službami</w:t>
      </w:r>
      <w:bookmarkEnd w:id="43"/>
      <w:bookmarkEnd w:id="44"/>
      <w:bookmarkEnd w:id="45"/>
      <w:bookmarkEnd w:id="46"/>
      <w:bookmarkEnd w:id="47"/>
    </w:p>
    <w:p w:rsidR="009B4A3B" w:rsidRPr="000E1A05" w:rsidRDefault="009B4A3B" w:rsidP="00DB7CC6">
      <w:pPr>
        <w:ind w:firstLine="340"/>
      </w:pPr>
      <w:r w:rsidRPr="000E1A05">
        <w:t>Slovensko patrilo v roku 2011 v EÚ27 ku krajinám s najnižším podielom podnikového výskumu a vývoja na hrubom domácom produkte – len 0,2 % HDP (EÚ27: 1,9 % HDP)</w:t>
      </w:r>
      <w:r>
        <w:t>.</w:t>
      </w:r>
      <w:r w:rsidRPr="000E1A05">
        <w:t xml:space="preserve"> Veľmi nízke podnikové výdavky sa na Slovensku odrážali aj vo veľmi nízkych </w:t>
      </w:r>
      <w:r w:rsidR="00064EE3">
        <w:t xml:space="preserve">vstupoch </w:t>
      </w:r>
      <w:r w:rsidRPr="000E1A05">
        <w:t>výskumu a vývoja do produkcie kľúčových odvetví</w:t>
      </w:r>
      <w:r w:rsidR="003C6E29">
        <w:t>,</w:t>
      </w:r>
      <w:r w:rsidRPr="000E1A05">
        <w:t xml:space="preserve"> a to v</w:t>
      </w:r>
      <w:r>
        <w:t> </w:t>
      </w:r>
      <w:r w:rsidRPr="000E1A05">
        <w:t xml:space="preserve">absolútnom i relatívnom vyjadrení. V najväčšom slovenskom odvetví – výrobe motorových vozidiel – činil </w:t>
      </w:r>
      <w:r w:rsidR="00064EE3">
        <w:t xml:space="preserve">vstup </w:t>
      </w:r>
      <w:r w:rsidRPr="000E1A05">
        <w:t xml:space="preserve">výskumu a vývoja v priemere 20,3 mil. eur ročne, t. j. cca 0,2 % celkových </w:t>
      </w:r>
      <w:r w:rsidR="00064EE3">
        <w:t xml:space="preserve">vstupov </w:t>
      </w:r>
      <w:r w:rsidRPr="000E1A05">
        <w:t>do tohto odvetvia. V</w:t>
      </w:r>
      <w:r>
        <w:t> </w:t>
      </w:r>
      <w:r w:rsidRPr="000E1A05">
        <w:t xml:space="preserve">absolútnom porovnaní </w:t>
      </w:r>
      <w:r w:rsidR="00064EE3">
        <w:t xml:space="preserve">to bolo </w:t>
      </w:r>
      <w:r w:rsidRPr="000E1A05">
        <w:t xml:space="preserve">cca 10-krát </w:t>
      </w:r>
      <w:r w:rsidR="00064EE3">
        <w:t xml:space="preserve">menej </w:t>
      </w:r>
      <w:r w:rsidRPr="000E1A05">
        <w:t xml:space="preserve"> ako u hlavných konkurentov Slovenska pri výrobe automobilov (Česka a Maďarska). O niečo lepšia bola relatívna pozícia Slovenska vo výrobe elektrických strojov, prístrojov a zariadení. Priemerný ročný </w:t>
      </w:r>
      <w:r w:rsidR="00064EE3">
        <w:t xml:space="preserve">vstup </w:t>
      </w:r>
      <w:r w:rsidRPr="000E1A05">
        <w:t>výskumu a vývoja za obdobie 2007</w:t>
      </w:r>
      <w:r w:rsidR="006601BD">
        <w:t xml:space="preserve"> </w:t>
      </w:r>
      <w:r w:rsidR="006601BD" w:rsidRPr="000E1A05">
        <w:t>–</w:t>
      </w:r>
      <w:r w:rsidR="006601BD">
        <w:t xml:space="preserve"> </w:t>
      </w:r>
      <w:r w:rsidRPr="000E1A05">
        <w:t xml:space="preserve">2009 činil 11,8 mil. eur a bol druhý najvyšší v regióne </w:t>
      </w:r>
      <w:r w:rsidR="003C6E29">
        <w:t>(</w:t>
      </w:r>
      <w:r w:rsidRPr="000E1A05">
        <w:t>po Maďarsku</w:t>
      </w:r>
      <w:r w:rsidR="003C6E29">
        <w:t>)</w:t>
      </w:r>
      <w:r w:rsidRPr="000E1A05">
        <w:t xml:space="preserve">. Celková intenzita </w:t>
      </w:r>
      <w:r w:rsidR="00064EE3">
        <w:t xml:space="preserve">vstupov </w:t>
      </w:r>
      <w:r w:rsidRPr="000E1A05">
        <w:t>(0,2 % z celkových</w:t>
      </w:r>
      <w:r w:rsidR="00CD79A9">
        <w:t xml:space="preserve"> vstupov </w:t>
      </w:r>
      <w:r w:rsidRPr="000E1A05">
        <w:t>) však bola nízka.</w:t>
      </w:r>
    </w:p>
    <w:p w:rsidR="009B4A3B" w:rsidRPr="000E1A05" w:rsidRDefault="009B4A3B" w:rsidP="00DB7CC6">
      <w:pPr>
        <w:ind w:firstLine="340"/>
      </w:pPr>
      <w:r w:rsidRPr="000E1A05">
        <w:t xml:space="preserve">Čo sa týka </w:t>
      </w:r>
      <w:r w:rsidR="00064EE3">
        <w:t xml:space="preserve">vstupov </w:t>
      </w:r>
      <w:r w:rsidRPr="000E1A05">
        <w:t xml:space="preserve">poznatkovo-intenzívnych služieb (odvetvia NACE J62-63, M69-75), po odpočítaní služieb výskumu a vývoja je </w:t>
      </w:r>
      <w:r w:rsidR="00194267">
        <w:t xml:space="preserve">ich </w:t>
      </w:r>
      <w:r w:rsidRPr="000E1A05">
        <w:t>objem v SR porovnateľný s Českom a Maďarskom. Vo všetkých porovnávaných krajinách dominujú v</w:t>
      </w:r>
      <w:r w:rsidR="00064EE3">
        <w:t xml:space="preserve">o vstupoch </w:t>
      </w:r>
      <w:r w:rsidRPr="000E1A05">
        <w:t>do kľúčových odvetví n</w:t>
      </w:r>
      <w:r>
        <w:t xml:space="preserve">ajmä triedy M69 (služby práva, účtovníctva), </w:t>
      </w:r>
      <w:r w:rsidRPr="000E1A05">
        <w:t>M70 (manažment a poradenstvo) a M71 (architektúra, projekcia a dizajn). V</w:t>
      </w:r>
      <w:r>
        <w:t> </w:t>
      </w:r>
      <w:r w:rsidRPr="000E1A05">
        <w:t xml:space="preserve">porovnaní s ostatnými konkurentmi má Slovensko vyššie </w:t>
      </w:r>
      <w:r w:rsidR="00601DEA">
        <w:t>vstupy</w:t>
      </w:r>
      <w:r w:rsidRPr="000E1A05">
        <w:t xml:space="preserve"> služieb tried J62-63 (počítačové a informačné služby). </w:t>
      </w:r>
      <w:r w:rsidRPr="00064EE3">
        <w:t>Pre Slovensko nebude jednoduché dobehnúť v krátkom čase Česko a Maďarsko vo výdavkoch na priemyselný vývoj a výskum.</w:t>
      </w:r>
    </w:p>
    <w:p w:rsidR="009B4A3B" w:rsidRPr="000E1A05" w:rsidRDefault="009B4A3B" w:rsidP="00DB7CC6">
      <w:pPr>
        <w:ind w:firstLine="340"/>
      </w:pPr>
      <w:r w:rsidRPr="000E1A05">
        <w:lastRenderedPageBreak/>
        <w:t xml:space="preserve">Slovensko je </w:t>
      </w:r>
      <w:r w:rsidR="00194267">
        <w:t xml:space="preserve"> viac </w:t>
      </w:r>
      <w:r w:rsidRPr="000E1A05">
        <w:t xml:space="preserve">konkurencieschopné v oblasti </w:t>
      </w:r>
      <w:r w:rsidR="00064EE3">
        <w:t xml:space="preserve">vstupov </w:t>
      </w:r>
      <w:r w:rsidR="006601BD">
        <w:t>poznatkovo-</w:t>
      </w:r>
      <w:r w:rsidRPr="000E1A05">
        <w:t>intenzívnych služieb pre kľúčové odvetvia ekonomiky, a to najmä v oblasti výroby motorových vozidiel, spotrebnej elektroniky, strojov a prístrojov a kovov.</w:t>
      </w:r>
      <w:r w:rsidR="00134F8E">
        <w:t xml:space="preserve"> </w:t>
      </w:r>
    </w:p>
    <w:p w:rsidR="009B4A3B" w:rsidRPr="000E1A05" w:rsidRDefault="009B4A3B" w:rsidP="00DB7CC6">
      <w:pPr>
        <w:ind w:firstLine="340"/>
      </w:pPr>
      <w:r>
        <w:t xml:space="preserve">Vzrastajúcu ukotvenosť odvetví je potrebné podporiť realizáciou vhodných </w:t>
      </w:r>
      <w:r w:rsidRPr="000E1A05">
        <w:t xml:space="preserve">mechanizmov najmä v oblasti </w:t>
      </w:r>
      <w:r>
        <w:t xml:space="preserve">výskumných, vývojových a inovačných </w:t>
      </w:r>
      <w:r w:rsidRPr="000E1A05">
        <w:t>aktivít.</w:t>
      </w:r>
    </w:p>
    <w:p w:rsidR="009B4A3B" w:rsidRPr="00B450ED" w:rsidRDefault="009B4A3B" w:rsidP="00B450ED">
      <w:pPr>
        <w:pStyle w:val="Nadpis2"/>
      </w:pPr>
      <w:bookmarkStart w:id="48" w:name="_TOC_250017"/>
      <w:bookmarkStart w:id="49" w:name="_Toc360575999"/>
      <w:bookmarkStart w:id="50" w:name="_Toc365831784"/>
      <w:bookmarkStart w:id="51" w:name="_Toc365831976"/>
      <w:bookmarkStart w:id="52" w:name="_Toc366744147"/>
      <w:r w:rsidRPr="00B450ED">
        <w:t>Inovačné prostredie na Slovensku</w:t>
      </w:r>
      <w:bookmarkEnd w:id="48"/>
      <w:bookmarkEnd w:id="49"/>
      <w:bookmarkEnd w:id="50"/>
      <w:bookmarkEnd w:id="51"/>
      <w:bookmarkEnd w:id="52"/>
    </w:p>
    <w:p w:rsidR="009B4A3B" w:rsidRPr="00D019F9" w:rsidRDefault="009B4A3B" w:rsidP="00601DEA">
      <w:pPr>
        <w:pStyle w:val="Nadpis3"/>
        <w:spacing w:after="240"/>
      </w:pPr>
      <w:bookmarkStart w:id="53" w:name="_Toc360576000"/>
      <w:bookmarkStart w:id="54" w:name="_Toc365831785"/>
      <w:bookmarkStart w:id="55" w:name="_Toc365831977"/>
      <w:bookmarkStart w:id="56" w:name="_Toc366744148"/>
      <w:r w:rsidRPr="00D019F9">
        <w:t>Hodnotenie inovačnej výkonnosti</w:t>
      </w:r>
      <w:bookmarkEnd w:id="53"/>
      <w:bookmarkEnd w:id="54"/>
      <w:bookmarkEnd w:id="55"/>
      <w:bookmarkEnd w:id="56"/>
    </w:p>
    <w:p w:rsidR="007A416D" w:rsidRDefault="009B4A3B" w:rsidP="007A416D">
      <w:pPr>
        <w:ind w:firstLine="340"/>
      </w:pPr>
      <w:r w:rsidRPr="000E1A05">
        <w:t>Slovenská republika dlhodobo patrí v rámci medzinárodného porovnania Innovation</w:t>
      </w:r>
      <w:r w:rsidR="00497D9B">
        <w:t xml:space="preserve"> </w:t>
      </w:r>
      <w:r w:rsidRPr="000E1A05">
        <w:t>Union</w:t>
      </w:r>
      <w:r w:rsidR="00497D9B">
        <w:t xml:space="preserve"> </w:t>
      </w:r>
      <w:r w:rsidRPr="000E1A05">
        <w:t xml:space="preserve">Scoreboard (IUS) medzi </w:t>
      </w:r>
      <w:r w:rsidR="00601DEA">
        <w:t>štáty EÚ</w:t>
      </w:r>
      <w:r w:rsidRPr="000E1A05">
        <w:t>, ktoré v inovačnej výkonnosti zaostávajú za priemerom EÚ.</w:t>
      </w:r>
      <w:r w:rsidR="00194267">
        <w:t xml:space="preserve"> </w:t>
      </w:r>
      <w:r w:rsidRPr="000E1A05">
        <w:t>V roku 2011 sa Slovensko v</w:t>
      </w:r>
      <w:r w:rsidR="00194267">
        <w:t> </w:t>
      </w:r>
      <w:r w:rsidRPr="000E1A05">
        <w:t xml:space="preserve"> medzinárodnom porovnaní umiestnilo na 20. mieste </w:t>
      </w:r>
      <w:r w:rsidR="00194267">
        <w:t>v</w:t>
      </w:r>
      <w:r w:rsidRPr="000E1A05">
        <w:t xml:space="preserve"> rámci 27 krajín EÚ a patr</w:t>
      </w:r>
      <w:r w:rsidR="00194267">
        <w:t>ilo</w:t>
      </w:r>
      <w:r w:rsidRPr="000E1A05">
        <w:t xml:space="preserve"> do skupiny miernych inovátorov s druhou najnižšou inovačnou výkonnosťou v</w:t>
      </w:r>
      <w:r>
        <w:t> </w:t>
      </w:r>
      <w:r w:rsidRPr="000E1A05">
        <w:t xml:space="preserve">skupine. </w:t>
      </w:r>
      <w:r w:rsidR="007A416D">
        <w:t xml:space="preserve">Pre presnejšiu špecifikáciu vývoja uvádzame, </w:t>
      </w:r>
      <w:r w:rsidR="00194267">
        <w:t xml:space="preserve"> </w:t>
      </w:r>
      <w:r w:rsidR="007A416D">
        <w:t>že</w:t>
      </w:r>
      <w:r w:rsidR="007A416D" w:rsidRPr="005F087A">
        <w:t xml:space="preserve"> Slovensko patr</w:t>
      </w:r>
      <w:r w:rsidR="00A62A86">
        <w:t>i</w:t>
      </w:r>
      <w:r w:rsidR="007A416D">
        <w:t>lo</w:t>
      </w:r>
      <w:r w:rsidR="007A416D" w:rsidRPr="005F087A">
        <w:t xml:space="preserve"> medzi krajiny s najvyšším rastom inovačného výkonu v období od roku 2010 do roka 2012 (19,9 %)</w:t>
      </w:r>
      <w:r w:rsidR="00194267">
        <w:t xml:space="preserve">, teda na </w:t>
      </w:r>
      <w:r w:rsidR="007A416D" w:rsidRPr="005F087A">
        <w:t>zač</w:t>
      </w:r>
      <w:r w:rsidR="00194267">
        <w:t xml:space="preserve">iatku implementácie </w:t>
      </w:r>
      <w:r w:rsidR="007A416D" w:rsidRPr="005F087A">
        <w:t xml:space="preserve"> stratégie Európa 2020</w:t>
      </w:r>
      <w:r w:rsidR="00A62A86">
        <w:t>.</w:t>
      </w:r>
      <w:r w:rsidR="007A416D">
        <w:t xml:space="preserve"> </w:t>
      </w:r>
    </w:p>
    <w:p w:rsidR="009B4A3B" w:rsidRPr="000E1A05" w:rsidRDefault="00194267" w:rsidP="004B1678">
      <w:pPr>
        <w:spacing w:before="240"/>
        <w:ind w:firstLine="340"/>
      </w:pPr>
      <w:r>
        <w:t xml:space="preserve"> Z hľadiska </w:t>
      </w:r>
      <w:r w:rsidR="009B4A3B" w:rsidRPr="000E1A05">
        <w:t xml:space="preserve">regiónov NUTS II </w:t>
      </w:r>
      <w:r>
        <w:t xml:space="preserve">sa </w:t>
      </w:r>
      <w:r w:rsidR="009B4A3B" w:rsidRPr="000E1A05">
        <w:t xml:space="preserve">v roku 2011 </w:t>
      </w:r>
      <w:r>
        <w:t xml:space="preserve">podľa </w:t>
      </w:r>
      <w:r w:rsidR="009B4A3B" w:rsidRPr="000E1A05">
        <w:t>Regional</w:t>
      </w:r>
      <w:r w:rsidR="00497D9B">
        <w:t xml:space="preserve"> </w:t>
      </w:r>
      <w:r w:rsidR="009B4A3B" w:rsidRPr="000E1A05">
        <w:t>Innovation</w:t>
      </w:r>
      <w:r w:rsidR="00497D9B">
        <w:t xml:space="preserve"> </w:t>
      </w:r>
      <w:r w:rsidR="009B4A3B" w:rsidRPr="000E1A05">
        <w:t>Scoreboard 2012 Bratislavský kraj rad</w:t>
      </w:r>
      <w:r>
        <w:t>il</w:t>
      </w:r>
      <w:r w:rsidR="009B4A3B" w:rsidRPr="000E1A05">
        <w:t xml:space="preserve"> k miernym inovátorom s vysokou výkonnosťou (stabilne od roku 2007, </w:t>
      </w:r>
      <w:r>
        <w:t xml:space="preserve">okrem </w:t>
      </w:r>
      <w:r w:rsidR="009B4A3B" w:rsidRPr="000E1A05">
        <w:t>roku 2009), Západné a Stredné Slovensko k miernym inovátorom so strednou výkonnosťou (ZS v</w:t>
      </w:r>
      <w:r w:rsidR="009B4A3B">
        <w:t> </w:t>
      </w:r>
      <w:r w:rsidR="009B4A3B" w:rsidRPr="000E1A05">
        <w:t>roku 2007 malo vysokú výkonnosť, naopak SS nízku) a Východné Slovensko k miernym inovátorom s nízkou výkonnosťou (od roku 2007).</w:t>
      </w:r>
    </w:p>
    <w:p w:rsidR="00C376D6" w:rsidRPr="00064EE3" w:rsidRDefault="00C376D6" w:rsidP="00C376D6">
      <w:pPr>
        <w:ind w:firstLine="340"/>
      </w:pPr>
      <w:r>
        <w:t>Prvou</w:t>
      </w:r>
      <w:r w:rsidRPr="000E1A05">
        <w:t xml:space="preserve"> dimenziou hodnotenia inovačnej výkonnosti podľa IUS sú </w:t>
      </w:r>
      <w:r>
        <w:t>zdroje rozdelené na ľudský kapitál a financovanie. Pozitívnymi</w:t>
      </w:r>
      <w:r w:rsidR="00194267">
        <w:t xml:space="preserve"> prvkami </w:t>
      </w:r>
      <w:r w:rsidRPr="000E1A05">
        <w:t>inovačného rozvoja je vysoký podiel absolventov doktorandského štúdia (3,1 na 1000 obyv. 25 – 34 ročných</w:t>
      </w:r>
      <w:r>
        <w:t>, avšak s nedostatočne zastúpenými technickými a prírodovednými smermi</w:t>
      </w:r>
      <w:r w:rsidRPr="000E1A05">
        <w:t>)</w:t>
      </w:r>
      <w:r>
        <w:t>,</w:t>
      </w:r>
      <w:r w:rsidRPr="000E1A05">
        <w:t xml:space="preserve"> a</w:t>
      </w:r>
      <w:r>
        <w:t xml:space="preserve">ko aj </w:t>
      </w:r>
      <w:r w:rsidRPr="000E1A05">
        <w:t>podiel mladých ľudí s ukončeným stredoškolským vzdelaním (93,3 %). V týchto dvoch ukazovateľoch dosahuje Slovensko najlepšie postav</w:t>
      </w:r>
      <w:r w:rsidR="00194267">
        <w:t>e</w:t>
      </w:r>
      <w:r w:rsidRPr="000E1A05">
        <w:t xml:space="preserve">nie v rámci </w:t>
      </w:r>
      <w:r w:rsidR="00601DEA">
        <w:t>celej EÚ. Horšie je to v podiele</w:t>
      </w:r>
      <w:r w:rsidRPr="000E1A05">
        <w:t xml:space="preserve"> vysokoškolsky vzdelanej populácie 30</w:t>
      </w:r>
      <w:r w:rsidR="006601BD">
        <w:t xml:space="preserve"> </w:t>
      </w:r>
      <w:r w:rsidR="006601BD" w:rsidRPr="000E1A05">
        <w:t>–</w:t>
      </w:r>
      <w:r w:rsidR="006601BD">
        <w:t xml:space="preserve"> </w:t>
      </w:r>
      <w:r w:rsidRPr="000E1A05">
        <w:t xml:space="preserve">34 ročných, kde sa </w:t>
      </w:r>
      <w:r w:rsidR="007479F5">
        <w:t xml:space="preserve">SR </w:t>
      </w:r>
      <w:r w:rsidRPr="000E1A05">
        <w:t xml:space="preserve">nachádza  </w:t>
      </w:r>
      <w:r w:rsidR="007479F5" w:rsidRPr="000E1A05">
        <w:t>na 24. mieste v</w:t>
      </w:r>
      <w:r w:rsidR="007479F5">
        <w:t> </w:t>
      </w:r>
      <w:r w:rsidR="007479F5" w:rsidRPr="000E1A05">
        <w:t xml:space="preserve">EÚ </w:t>
      </w:r>
      <w:r w:rsidRPr="000E1A05">
        <w:t>(s hodnotou 23,4</w:t>
      </w:r>
      <w:r w:rsidR="007479F5">
        <w:t> </w:t>
      </w:r>
      <w:r w:rsidRPr="000E1A05">
        <w:t xml:space="preserve"> % populácie vo veku 30</w:t>
      </w:r>
      <w:r w:rsidR="006601BD">
        <w:t xml:space="preserve"> </w:t>
      </w:r>
      <w:r w:rsidR="006601BD" w:rsidRPr="000E1A05">
        <w:t>–</w:t>
      </w:r>
      <w:r w:rsidR="006601BD">
        <w:t xml:space="preserve"> </w:t>
      </w:r>
      <w:r w:rsidRPr="000E1A05">
        <w:t>34 r. s ukončeným vysokoškolským vzdelaním)</w:t>
      </w:r>
      <w:r w:rsidR="007479F5" w:rsidRPr="00064EE3">
        <w:t>, avšak s kontinuálnym medziročným nárastom a predpokladom dosiahnutia cieľa stratégie Európa 2020, t.j.  40 % v roku 2020</w:t>
      </w:r>
      <w:r w:rsidR="006601BD">
        <w:t>.</w:t>
      </w:r>
    </w:p>
    <w:p w:rsidR="00C376D6" w:rsidRPr="000E1A05" w:rsidRDefault="00C376D6" w:rsidP="00C376D6">
      <w:pPr>
        <w:ind w:firstLine="340"/>
      </w:pPr>
      <w:r w:rsidRPr="00064EE3">
        <w:t>Kvalita vedecko-výskumného systému Slovenska podľa hodnotenia IUS vo viacerých kritériách výrazne zaostáva. Sl</w:t>
      </w:r>
      <w:r w:rsidRPr="000E1A05">
        <w:t xml:space="preserve">ovenská </w:t>
      </w:r>
      <w:r w:rsidR="00740D0B">
        <w:t xml:space="preserve">veda je značne uzavretá, miera zapojenia do medzinárodného výskumného kontextu je nízka,  rovnako aj </w:t>
      </w:r>
      <w:r w:rsidRPr="000E1A05">
        <w:t xml:space="preserve">úroveň </w:t>
      </w:r>
      <w:r>
        <w:t xml:space="preserve">v </w:t>
      </w:r>
      <w:r w:rsidRPr="000E1A05">
        <w:t>počt</w:t>
      </w:r>
      <w:r>
        <w:t>e</w:t>
      </w:r>
      <w:r w:rsidRPr="000E1A05">
        <w:t xml:space="preserve"> najcitovanejších vedeckých publikácií.</w:t>
      </w:r>
      <w:r>
        <w:t xml:space="preserve"> </w:t>
      </w:r>
      <w:r w:rsidRPr="00A31EAE">
        <w:t xml:space="preserve">Naproti tomu v počte medzinárodných vedeckých publikácií aspoň s jedným spoluautorom mimo EÚ publikácií je Slovensko nad úrovňou priemeru EÚ (379 publikácií v SR vs. 300 v EÚ), čo je spôsobené najmä považovaním publikácií v </w:t>
      </w:r>
      <w:r w:rsidR="00740D0B">
        <w:t>s</w:t>
      </w:r>
      <w:r w:rsidRPr="00A31EAE">
        <w:t>lovenskom jazyku v Čechách za medzinárodné vedecké publikácie.</w:t>
      </w:r>
      <w:r w:rsidRPr="001179E5">
        <w:rPr>
          <w:sz w:val="16"/>
          <w:szCs w:val="16"/>
        </w:rPr>
        <w:t xml:space="preserve">  </w:t>
      </w:r>
      <w:r>
        <w:t xml:space="preserve"> </w:t>
      </w:r>
    </w:p>
    <w:p w:rsidR="00C376D6" w:rsidRPr="000E1A05" w:rsidRDefault="00C376D6" w:rsidP="00C376D6">
      <w:pPr>
        <w:ind w:firstLine="340"/>
      </w:pPr>
      <w:r w:rsidRPr="00A31EAE">
        <w:t xml:space="preserve">V oblasti financovania inovácií sa Slovensko dlhodobo vyznačuje nedostatočným </w:t>
      </w:r>
      <w:r w:rsidR="009C0D46">
        <w:t xml:space="preserve">využívaním rizikového kapitálu, </w:t>
      </w:r>
      <w:r w:rsidR="00740D0B">
        <w:t xml:space="preserve">a to </w:t>
      </w:r>
      <w:r w:rsidRPr="00A31EAE">
        <w:t>z dôvodu nedostatočnej konkurencieschopnosti tohto nástroja, ako aj jeho problémovým zavedením do praxe</w:t>
      </w:r>
      <w:r w:rsidRPr="000E1A05">
        <w:t>. V roku 2010 výška investovaného rizikového kapitálu predstavovala 0,03 % HDP, pričom v rámci EÚ majú invest</w:t>
      </w:r>
      <w:r w:rsidR="00600FFF">
        <w:t>ície rizikového kapitálu cca 6-</w:t>
      </w:r>
      <w:r w:rsidRPr="000E1A05">
        <w:t>násobne vyššiu úroveň (0,2 %).</w:t>
      </w:r>
    </w:p>
    <w:p w:rsidR="00C376D6" w:rsidRPr="000E1A05" w:rsidRDefault="00C376D6" w:rsidP="00C376D6">
      <w:pPr>
        <w:ind w:firstLine="340"/>
      </w:pPr>
      <w:r w:rsidRPr="000E1A05">
        <w:t>Druhou dimenziou hodnotenia inovačnej výkonnosti sú podnikové aktivity. Nevyhovujúca situácia je predovšetkým v oblasti duševného vlastníctva, kde zaostávame za priemerom EÚ, susednými ekonomikami aj európskymi inovačnými lídrami</w:t>
      </w:r>
      <w:r>
        <w:t xml:space="preserve"> najmä </w:t>
      </w:r>
      <w:r w:rsidRPr="000E1A05">
        <w:t xml:space="preserve">v oblasti patentov. Krajiny ako Fínsko alebo Švédsko vytvoria takmer 25-krát viac patentov na miliardu </w:t>
      </w:r>
      <w:r w:rsidR="00740D0B">
        <w:t xml:space="preserve"> </w:t>
      </w:r>
      <w:r w:rsidR="00274D0D">
        <w:t xml:space="preserve">EUR </w:t>
      </w:r>
      <w:r w:rsidRPr="000E1A05">
        <w:t>HDP</w:t>
      </w:r>
      <w:r w:rsidR="00740D0B" w:rsidRPr="00740D0B">
        <w:t xml:space="preserve"> </w:t>
      </w:r>
      <w:r w:rsidR="00740D0B" w:rsidRPr="000E1A05">
        <w:t>ako Slovensko</w:t>
      </w:r>
      <w:r w:rsidRPr="000E1A05">
        <w:t xml:space="preserve">. Istým vysvetlením tohto zlého stavu v oblasti „produkcie“ foriem duševného vlastníctva môže byť porovnanie dvoch ukazovateľov IUS – podnikových výdavkov na </w:t>
      </w:r>
      <w:r>
        <w:t>výskum a vývoj</w:t>
      </w:r>
      <w:r w:rsidRPr="000E1A05">
        <w:t xml:space="preserve"> a výdavkov na inovácie, ktoré nesúvisia s </w:t>
      </w:r>
      <w:r>
        <w:t>výskumom a vývojom</w:t>
      </w:r>
      <w:r w:rsidRPr="000E1A05">
        <w:t xml:space="preserve">. </w:t>
      </w:r>
      <w:r w:rsidR="00740D0B">
        <w:t xml:space="preserve"> </w:t>
      </w:r>
      <w:r w:rsidRPr="00CD165C">
        <w:t xml:space="preserve">Slovenské podniky uprednostňujú nákup hotových technológií (v rámci OP KaHR </w:t>
      </w:r>
      <w:r w:rsidR="00740D0B">
        <w:t xml:space="preserve">či OP BK </w:t>
      </w:r>
      <w:r w:rsidRPr="00CD165C">
        <w:t xml:space="preserve">ide najčastejšie o podporu obstarania </w:t>
      </w:r>
      <w:r w:rsidRPr="00CD165C">
        <w:lastRenderedPageBreak/>
        <w:t>CNC obrábacej linky), externých znalostí alebo externého výskumu a vývoja (0,65 % z obratu podnikov SR vs. 0,56 % z obratu podnikov v EÚ) pred podnikovými výdavkami na vlastný výskum a vývoj (0,25% v SR vs. 1,25 % v EÚ).</w:t>
      </w:r>
    </w:p>
    <w:p w:rsidR="00493CF5" w:rsidRDefault="00C376D6" w:rsidP="00DB7CC6">
      <w:pPr>
        <w:ind w:firstLine="340"/>
      </w:pPr>
      <w:r>
        <w:t>Na S</w:t>
      </w:r>
      <w:r w:rsidR="009B4A3B" w:rsidRPr="000E1A05">
        <w:t xml:space="preserve">lovensku sa málo patentuje (aj) preto, lebo podniky málo investujú do </w:t>
      </w:r>
      <w:r w:rsidR="00740D0B">
        <w:t>v</w:t>
      </w:r>
      <w:r w:rsidR="00134F8E">
        <w:t>ýskumu a vývoja</w:t>
      </w:r>
      <w:r w:rsidR="009B4A3B" w:rsidRPr="000E1A05">
        <w:t xml:space="preserve"> a radšej kúpia hotové technológie a poznatky. Dôvodom tejto skutočnosti pravdepodobne je</w:t>
      </w:r>
      <w:r w:rsidR="00740D0B">
        <w:t xml:space="preserve"> fakt</w:t>
      </w:r>
      <w:r w:rsidR="009B4A3B" w:rsidRPr="000E1A05">
        <w:t>, že prítomné MN</w:t>
      </w:r>
      <w:r w:rsidR="00740D0B">
        <w:t>S</w:t>
      </w:r>
      <w:r w:rsidR="009B4A3B" w:rsidRPr="000E1A05">
        <w:t xml:space="preserve"> realizujú uvedené aktivity najčastejšie v domovských krajinách.</w:t>
      </w:r>
    </w:p>
    <w:p w:rsidR="009B4A3B" w:rsidRPr="00D00787" w:rsidRDefault="005332A3" w:rsidP="00DB7CC6">
      <w:pPr>
        <w:ind w:firstLine="340"/>
        <w:rPr>
          <w:i/>
        </w:rPr>
      </w:pPr>
      <w:r w:rsidRPr="00D00787">
        <w:rPr>
          <w:b/>
          <w:i/>
        </w:rPr>
        <w:t>Graf</w:t>
      </w:r>
      <w:r w:rsidR="00493CF5" w:rsidRPr="00D00787">
        <w:rPr>
          <w:b/>
          <w:i/>
        </w:rPr>
        <w:t xml:space="preserve"> 2</w:t>
      </w:r>
      <w:r w:rsidR="00493CF5" w:rsidRPr="00D00787">
        <w:rPr>
          <w:i/>
        </w:rPr>
        <w:t xml:space="preserve"> </w:t>
      </w:r>
      <w:r w:rsidR="00654B73" w:rsidRPr="00D00787">
        <w:rPr>
          <w:i/>
        </w:rPr>
        <w:t>Úroveň indikátorov inovačnej výkonnosti Slovenska podľa Innovation Scoreboard 2012</w:t>
      </w:r>
    </w:p>
    <w:p w:rsidR="009B4A3B" w:rsidRPr="000E1A05" w:rsidRDefault="00CD6B77" w:rsidP="00DB7CC6">
      <w:pPr>
        <w:ind w:firstLine="340"/>
      </w:pPr>
      <w:r>
        <w:rPr>
          <w:noProof/>
          <w:lang w:eastAsia="sk-SK"/>
        </w:rPr>
        <w:drawing>
          <wp:inline distT="0" distB="0" distL="0" distR="0" wp14:anchorId="20D5BCA1" wp14:editId="42B21E3E">
            <wp:extent cx="5384800" cy="5187950"/>
            <wp:effectExtent l="0" t="0" r="0" b="0"/>
            <wp:docPr id="2" name="Graf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682" w:type="dxa"/>
        <w:tblLayout w:type="fixed"/>
        <w:tblCellMar>
          <w:left w:w="30" w:type="dxa"/>
          <w:right w:w="30" w:type="dxa"/>
        </w:tblCellMar>
        <w:tblLook w:val="0000" w:firstRow="0" w:lastRow="0" w:firstColumn="0" w:lastColumn="0" w:noHBand="0" w:noVBand="0"/>
      </w:tblPr>
      <w:tblGrid>
        <w:gridCol w:w="4860"/>
        <w:gridCol w:w="1250"/>
        <w:gridCol w:w="3572"/>
      </w:tblGrid>
      <w:tr w:rsidR="00DF3358" w:rsidRPr="008314A3" w:rsidTr="00CA37C7">
        <w:trPr>
          <w:trHeight w:val="257"/>
        </w:trPr>
        <w:tc>
          <w:tcPr>
            <w:tcW w:w="4850" w:type="dxa"/>
            <w:gridSpan w:val="2"/>
            <w:tcBorders>
              <w:top w:val="nil"/>
              <w:left w:val="nil"/>
              <w:bottom w:val="single" w:sz="4" w:space="0" w:color="auto"/>
              <w:right w:val="nil"/>
            </w:tcBorders>
          </w:tcPr>
          <w:p w:rsidR="00DF3358" w:rsidRPr="00DF3358" w:rsidRDefault="00DF3358" w:rsidP="00CA37C7">
            <w:pPr>
              <w:autoSpaceDE w:val="0"/>
              <w:autoSpaceDN w:val="0"/>
              <w:adjustRightInd w:val="0"/>
              <w:spacing w:after="0" w:line="240" w:lineRule="auto"/>
              <w:rPr>
                <w:rFonts w:cstheme="minorHAnsi"/>
                <w:bCs/>
                <w:i/>
                <w:color w:val="000000"/>
                <w:sz w:val="18"/>
                <w:szCs w:val="18"/>
              </w:rPr>
            </w:pPr>
            <w:r w:rsidRPr="00DF3358">
              <w:rPr>
                <w:rFonts w:cstheme="minorHAnsi"/>
                <w:bCs/>
                <w:i/>
                <w:color w:val="000000"/>
                <w:sz w:val="18"/>
                <w:szCs w:val="18"/>
              </w:rPr>
              <w:t>Legenda ku Grafu 2 Úroveň indikátorov inovačnej výkonnosti Slovenska podľa Innovation Scoreboard 2012</w:t>
            </w:r>
          </w:p>
          <w:p w:rsidR="00DF3358" w:rsidRPr="008314A3" w:rsidRDefault="00DF3358" w:rsidP="00CA37C7">
            <w:pPr>
              <w:autoSpaceDE w:val="0"/>
              <w:autoSpaceDN w:val="0"/>
              <w:adjustRightInd w:val="0"/>
              <w:spacing w:after="0" w:line="240" w:lineRule="auto"/>
              <w:rPr>
                <w:rFonts w:cstheme="minorHAnsi"/>
                <w:bCs/>
                <w:i/>
                <w:color w:val="000000"/>
                <w:sz w:val="16"/>
                <w:szCs w:val="16"/>
              </w:rPr>
            </w:pPr>
          </w:p>
        </w:tc>
        <w:tc>
          <w:tcPr>
            <w:tcW w:w="2835" w:type="dxa"/>
            <w:tcBorders>
              <w:top w:val="nil"/>
              <w:left w:val="nil"/>
              <w:bottom w:val="single" w:sz="4" w:space="0" w:color="auto"/>
              <w:right w:val="nil"/>
            </w:tcBorders>
          </w:tcPr>
          <w:p w:rsidR="00DF3358" w:rsidRPr="008314A3" w:rsidRDefault="00DF3358" w:rsidP="00CA37C7">
            <w:pPr>
              <w:autoSpaceDE w:val="0"/>
              <w:autoSpaceDN w:val="0"/>
              <w:adjustRightInd w:val="0"/>
              <w:spacing w:after="0" w:line="240" w:lineRule="auto"/>
              <w:rPr>
                <w:rFonts w:cstheme="minorHAnsi"/>
                <w:b/>
                <w:bCs/>
                <w:color w:val="000000"/>
                <w:sz w:val="16"/>
                <w:szCs w:val="16"/>
              </w:rPr>
            </w:pP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jc w:val="center"/>
              <w:rPr>
                <w:rFonts w:cstheme="minorHAnsi"/>
                <w:b/>
                <w:bCs/>
                <w:i/>
                <w:color w:val="000000"/>
                <w:sz w:val="16"/>
                <w:szCs w:val="16"/>
              </w:rPr>
            </w:pPr>
            <w:r w:rsidRPr="008314A3">
              <w:rPr>
                <w:rFonts w:cstheme="minorHAnsi"/>
                <w:b/>
                <w:bCs/>
                <w:i/>
                <w:color w:val="000000"/>
                <w:sz w:val="16"/>
                <w:szCs w:val="16"/>
              </w:rPr>
              <w:t>Anglický text</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jc w:val="center"/>
              <w:rPr>
                <w:rFonts w:cstheme="minorHAnsi"/>
                <w:b/>
                <w:bCs/>
                <w:i/>
                <w:color w:val="000000"/>
                <w:sz w:val="16"/>
                <w:szCs w:val="16"/>
              </w:rPr>
            </w:pPr>
            <w:r w:rsidRPr="008314A3">
              <w:rPr>
                <w:rFonts w:cstheme="minorHAnsi"/>
                <w:b/>
                <w:bCs/>
                <w:i/>
                <w:color w:val="000000"/>
                <w:sz w:val="16"/>
                <w:szCs w:val="16"/>
              </w:rPr>
              <w:t>Slovenský text</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t>1.1.1 New doctorate graduates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ind w:right="-880"/>
              <w:rPr>
                <w:rFonts w:cstheme="minorHAnsi"/>
                <w:bCs/>
                <w:i/>
                <w:color w:val="000000"/>
                <w:sz w:val="16"/>
                <w:szCs w:val="16"/>
              </w:rPr>
            </w:pPr>
            <w:r w:rsidRPr="008314A3">
              <w:rPr>
                <w:rFonts w:cstheme="minorHAnsi"/>
                <w:bCs/>
                <w:i/>
                <w:color w:val="000000"/>
                <w:sz w:val="16"/>
                <w:szCs w:val="16"/>
              </w:rPr>
              <w:t>Noví absolventi doktorandského štúdia</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t>1.1.2 Population completed tertiary education</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bCs/>
                <w:i/>
                <w:color w:val="000000"/>
                <w:sz w:val="16"/>
                <w:szCs w:val="16"/>
              </w:rPr>
            </w:pPr>
            <w:r w:rsidRPr="008314A3">
              <w:rPr>
                <w:rFonts w:cstheme="minorHAnsi"/>
                <w:bCs/>
                <w:i/>
                <w:color w:val="000000"/>
                <w:sz w:val="16"/>
                <w:szCs w:val="16"/>
              </w:rPr>
              <w:t>Obyvateľstvo s ukončeným terciárnym vzdelávaním</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t>1.1.3 Youth with upper secondary level education</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bCs/>
                <w:i/>
                <w:color w:val="000000"/>
                <w:sz w:val="16"/>
                <w:szCs w:val="16"/>
              </w:rPr>
            </w:pPr>
            <w:r w:rsidRPr="008314A3">
              <w:rPr>
                <w:rFonts w:cstheme="minorHAnsi"/>
                <w:bCs/>
                <w:i/>
                <w:color w:val="000000"/>
                <w:sz w:val="16"/>
                <w:szCs w:val="16"/>
              </w:rPr>
              <w:t>Mládež s vyšším stredným vzdelaním</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t>1.2.1 International scientific co-publications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bCs/>
                <w:i/>
                <w:color w:val="000000"/>
                <w:sz w:val="16"/>
                <w:szCs w:val="16"/>
              </w:rPr>
            </w:pPr>
            <w:r w:rsidRPr="008314A3">
              <w:rPr>
                <w:rFonts w:cstheme="minorHAnsi"/>
                <w:bCs/>
                <w:i/>
                <w:color w:val="000000"/>
                <w:sz w:val="16"/>
                <w:szCs w:val="16"/>
              </w:rPr>
              <w:t>Medzinárodné vedecké ko</w:t>
            </w:r>
            <w:r>
              <w:rPr>
                <w:rFonts w:cstheme="minorHAnsi"/>
                <w:bCs/>
                <w:i/>
                <w:color w:val="000000"/>
                <w:sz w:val="16"/>
                <w:szCs w:val="16"/>
              </w:rPr>
              <w:t>-</w:t>
            </w:r>
            <w:r w:rsidRPr="008314A3">
              <w:rPr>
                <w:rFonts w:cstheme="minorHAnsi"/>
                <w:bCs/>
                <w:i/>
                <w:color w:val="000000"/>
                <w:sz w:val="16"/>
                <w:szCs w:val="16"/>
              </w:rPr>
              <w:t>publikácie</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t>1.2.2 Scientific publications among top 10% most cited</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bCs/>
                <w:i/>
                <w:color w:val="000000"/>
                <w:sz w:val="16"/>
                <w:szCs w:val="16"/>
              </w:rPr>
            </w:pPr>
            <w:r w:rsidRPr="008314A3">
              <w:rPr>
                <w:rFonts w:cstheme="minorHAnsi"/>
                <w:bCs/>
                <w:i/>
                <w:color w:val="000000"/>
                <w:sz w:val="16"/>
                <w:szCs w:val="16"/>
              </w:rPr>
              <w:t xml:space="preserve">Vedecké publikácie </w:t>
            </w:r>
            <w:r>
              <w:rPr>
                <w:rFonts w:cstheme="minorHAnsi"/>
                <w:bCs/>
                <w:i/>
                <w:color w:val="000000"/>
                <w:sz w:val="16"/>
                <w:szCs w:val="16"/>
              </w:rPr>
              <w:t xml:space="preserve">patriace </w:t>
            </w:r>
            <w:r w:rsidRPr="008314A3">
              <w:rPr>
                <w:rFonts w:cstheme="minorHAnsi"/>
                <w:bCs/>
                <w:i/>
                <w:color w:val="000000"/>
                <w:sz w:val="16"/>
                <w:szCs w:val="16"/>
              </w:rPr>
              <w:t>medzi 10 % najcitovanejších</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t>1.2.3 Non-EU doctorate students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bCs/>
                <w:i/>
                <w:color w:val="000000"/>
                <w:sz w:val="16"/>
                <w:szCs w:val="16"/>
              </w:rPr>
            </w:pPr>
            <w:r w:rsidRPr="008314A3">
              <w:rPr>
                <w:rFonts w:cstheme="minorHAnsi"/>
                <w:bCs/>
                <w:i/>
                <w:color w:val="000000"/>
                <w:sz w:val="16"/>
                <w:szCs w:val="16"/>
              </w:rPr>
              <w:t>Mimoeurópski študenti doktorandského štúdia</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t>1.3.1 Public R&amp;D expenditure</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bCs/>
                <w:i/>
                <w:color w:val="000000"/>
                <w:sz w:val="16"/>
                <w:szCs w:val="16"/>
              </w:rPr>
            </w:pPr>
            <w:r w:rsidRPr="008314A3">
              <w:rPr>
                <w:rFonts w:cstheme="minorHAnsi"/>
                <w:bCs/>
                <w:i/>
                <w:color w:val="000000"/>
                <w:sz w:val="16"/>
                <w:szCs w:val="16"/>
              </w:rPr>
              <w:t>Verejné výdavky na VaV</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i/>
                <w:color w:val="000000"/>
                <w:sz w:val="16"/>
                <w:szCs w:val="16"/>
              </w:rPr>
            </w:pPr>
            <w:r w:rsidRPr="008314A3">
              <w:rPr>
                <w:rFonts w:cstheme="minorHAnsi"/>
                <w:i/>
                <w:color w:val="000000"/>
                <w:sz w:val="16"/>
                <w:szCs w:val="16"/>
              </w:rPr>
              <w:lastRenderedPageBreak/>
              <w:t>2.1.1 Business R&amp;D expenditure</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8314A3" w:rsidRDefault="00DF3358" w:rsidP="00CA37C7">
            <w:pPr>
              <w:autoSpaceDE w:val="0"/>
              <w:autoSpaceDN w:val="0"/>
              <w:adjustRightInd w:val="0"/>
              <w:spacing w:after="0" w:line="240" w:lineRule="auto"/>
              <w:rPr>
                <w:rFonts w:cstheme="minorHAnsi"/>
                <w:bCs/>
                <w:i/>
                <w:color w:val="000000"/>
                <w:sz w:val="16"/>
                <w:szCs w:val="16"/>
              </w:rPr>
            </w:pPr>
            <w:r>
              <w:rPr>
                <w:rFonts w:cstheme="minorHAnsi"/>
                <w:bCs/>
                <w:i/>
                <w:color w:val="000000"/>
                <w:sz w:val="16"/>
                <w:szCs w:val="16"/>
              </w:rPr>
              <w:t>Súkromné v</w:t>
            </w:r>
            <w:r w:rsidRPr="008314A3">
              <w:rPr>
                <w:rFonts w:cstheme="minorHAnsi"/>
                <w:bCs/>
                <w:i/>
                <w:color w:val="000000"/>
                <w:sz w:val="16"/>
                <w:szCs w:val="16"/>
              </w:rPr>
              <w:t>ýdavky na VaV</w:t>
            </w:r>
          </w:p>
        </w:tc>
      </w:tr>
      <w:tr w:rsidR="00DF3358" w:rsidRPr="00202685"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2.1.2 Non-R&amp;D innovation expenditure</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Výdavky na inovácie mimo výskumu a vývoja</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2.2.1 SMEs innovating in-house</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MSP inovujúce in-house (vnútropodnikové inovácie MSP)</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2.2.2 Innovative SMEs collaborating with others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Inovatívne MSP spolupracujúce s inými</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2.2.3 Public-private co-publications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600FFF" w:rsidP="00CA37C7">
            <w:pPr>
              <w:autoSpaceDE w:val="0"/>
              <w:autoSpaceDN w:val="0"/>
              <w:adjustRightInd w:val="0"/>
              <w:spacing w:after="0" w:line="240" w:lineRule="auto"/>
              <w:rPr>
                <w:rFonts w:cstheme="minorHAnsi"/>
                <w:bCs/>
                <w:i/>
                <w:color w:val="000000"/>
                <w:sz w:val="16"/>
                <w:szCs w:val="16"/>
              </w:rPr>
            </w:pPr>
            <w:r>
              <w:rPr>
                <w:rFonts w:cstheme="minorHAnsi"/>
                <w:bCs/>
                <w:i/>
                <w:color w:val="000000"/>
                <w:sz w:val="16"/>
                <w:szCs w:val="16"/>
              </w:rPr>
              <w:t>Verejno-súkromné ko-</w:t>
            </w:r>
            <w:r w:rsidR="00DF3358" w:rsidRPr="00DF3358">
              <w:rPr>
                <w:rFonts w:cstheme="minorHAnsi"/>
                <w:bCs/>
                <w:i/>
                <w:color w:val="000000"/>
                <w:sz w:val="16"/>
                <w:szCs w:val="16"/>
              </w:rPr>
              <w:t>publikácie</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2.3.1 PCT patent applications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Medzinárodné žiadosti o udelenie patentu</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2.3.2 PCT patent applications in societal challenges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Medzinárodné žiadosti o udelenie patentu na riešenie spoločenských problémov</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2.3.3 Community trademarks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Obchodné (ochranné) známky spoločenstva</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2.3.4 Community designs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Designy spoločenstva</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3.1.1 SMEs introducing product or process innovations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MSP zavádzajúce produktové alebo procesné inovácie</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3.1.2 SMEs introducing marketing/organisational innovations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MSP zavádzajúce marketingové/organizačné inovácie</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3.2.1 Employment in knowledge-intensive activities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Zamestnanosť v poznatkovo intenzívnych aktivitách</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3.2.2 Medium and high-tech product exports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Export medium-tech a high-tech výrobkov</w:t>
            </w:r>
          </w:p>
        </w:tc>
      </w:tr>
      <w:tr w:rsidR="00DF3358" w:rsidRPr="008314A3"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3.2.3 Knowledge-intensive services exports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Export poznatkovo intenzívnych služieb</w:t>
            </w:r>
          </w:p>
        </w:tc>
      </w:tr>
      <w:tr w:rsidR="00DF3358" w:rsidRPr="00202685" w:rsidTr="00CA37C7">
        <w:trPr>
          <w:trHeight w:val="257"/>
        </w:trPr>
        <w:tc>
          <w:tcPr>
            <w:tcW w:w="3858" w:type="dxa"/>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i/>
                <w:color w:val="000000"/>
                <w:sz w:val="16"/>
                <w:szCs w:val="16"/>
              </w:rPr>
            </w:pPr>
            <w:r w:rsidRPr="00DF3358">
              <w:rPr>
                <w:rFonts w:cstheme="minorHAnsi"/>
                <w:i/>
                <w:color w:val="000000"/>
                <w:sz w:val="16"/>
                <w:szCs w:val="16"/>
              </w:rPr>
              <w:t>3.2.4 Sales of new to market and new to firm innovations</w:t>
            </w:r>
          </w:p>
        </w:tc>
        <w:tc>
          <w:tcPr>
            <w:tcW w:w="3827" w:type="dxa"/>
            <w:gridSpan w:val="2"/>
            <w:tcBorders>
              <w:top w:val="single" w:sz="4" w:space="0" w:color="auto"/>
              <w:left w:val="single" w:sz="4" w:space="0" w:color="auto"/>
              <w:bottom w:val="single" w:sz="4" w:space="0" w:color="auto"/>
              <w:right w:val="single" w:sz="4" w:space="0" w:color="auto"/>
            </w:tcBorders>
          </w:tcPr>
          <w:p w:rsidR="00DF3358" w:rsidRPr="00DF3358" w:rsidRDefault="00DF3358" w:rsidP="00CA37C7">
            <w:pPr>
              <w:autoSpaceDE w:val="0"/>
              <w:autoSpaceDN w:val="0"/>
              <w:adjustRightInd w:val="0"/>
              <w:spacing w:after="0" w:line="240" w:lineRule="auto"/>
              <w:rPr>
                <w:rFonts w:cstheme="minorHAnsi"/>
                <w:bCs/>
                <w:i/>
                <w:color w:val="000000"/>
                <w:sz w:val="16"/>
                <w:szCs w:val="16"/>
              </w:rPr>
            </w:pPr>
            <w:r w:rsidRPr="00DF3358">
              <w:rPr>
                <w:rFonts w:cstheme="minorHAnsi"/>
                <w:bCs/>
                <w:i/>
                <w:color w:val="000000"/>
                <w:sz w:val="16"/>
                <w:szCs w:val="16"/>
              </w:rPr>
              <w:t>Predaj inovácií nových pre trh a nových pre firmu</w:t>
            </w:r>
          </w:p>
        </w:tc>
      </w:tr>
    </w:tbl>
    <w:p w:rsidR="009B4A3B" w:rsidRPr="000E1A05" w:rsidRDefault="009B4A3B" w:rsidP="00DF3358">
      <w:pPr>
        <w:spacing w:before="240"/>
        <w:ind w:firstLine="340"/>
      </w:pPr>
      <w:r w:rsidRPr="000E1A05">
        <w:t>Inovačný rozvoj súvisí aj so vzájomnou spoluprácou podnikov s výskumnými a vzdelávacími inštitúciami vytváraním partnerstiev, zhlukov (klastrov) a podnikových sietí. V podiele inovatívnych malých a stredných podnikov (MSP), ktoré spolupracujú v inovovaní s ostatnými aktérmi</w:t>
      </w:r>
      <w:r w:rsidR="00D417C1">
        <w:t>,</w:t>
      </w:r>
      <w:r w:rsidRPr="000E1A05">
        <w:t xml:space="preserve"> dosahuje Slovensko hodnotu 8,3 % všetkých MSP (priemer EÚ je 11,7 %). V tomto ukazovateli síce za inovačne vyspelými krajinami SR zaostáva, ale vykazuje vyššiu hodnotu ako Poľsko a Maďarsko. IUS meria spoluprácu medzi podnikmi a verejnými organizáciami </w:t>
      </w:r>
      <w:r w:rsidR="00134F8E">
        <w:t>výskumu a vývoja</w:t>
      </w:r>
      <w:r w:rsidRPr="000E1A05">
        <w:t xml:space="preserve"> pomocou spoluautorstva vedeckých publikácií. V tomto indikátore dosahuje Slovensko (15,7 publikácií na 1 mil. obyv.) tretinovú výkonnosť EÚ (52,8 publikácií na 1 mil. obyv.) a polovičnú výkonnosť Česka a</w:t>
      </w:r>
      <w:r w:rsidR="00D417C1">
        <w:t> </w:t>
      </w:r>
      <w:r w:rsidRPr="000E1A05">
        <w:t>Maďarska</w:t>
      </w:r>
      <w:r w:rsidR="00D417C1">
        <w:t xml:space="preserve">, </w:t>
      </w:r>
      <w:r w:rsidRPr="000E1A05">
        <w:t xml:space="preserve"> avšak 3x vyššiu výkonnosť ako Poľsko.</w:t>
      </w:r>
    </w:p>
    <w:p w:rsidR="005332A3" w:rsidRDefault="009B4A3B" w:rsidP="00DB7CC6">
      <w:pPr>
        <w:ind w:firstLine="340"/>
      </w:pPr>
      <w:r w:rsidRPr="000E1A05">
        <w:t>Treťou dimenziou inovačnej výkonnosti sú ekonomické efekty inovácií. Z analyzovaných indikátorov výrazne silnou</w:t>
      </w:r>
      <w:r>
        <w:t xml:space="preserve"> stránkou slovenskej ekonomiky </w:t>
      </w:r>
      <w:r w:rsidRPr="000E1A05">
        <w:t xml:space="preserve">je príspevok exportu stredne vysokých a vysokých technológií (medium and high-tech) k obchodnej bilancii (4,35; priemer za EÚ je 1,28), v ktorom je </w:t>
      </w:r>
      <w:r w:rsidR="008E7469">
        <w:t xml:space="preserve">SR </w:t>
      </w:r>
      <w:r w:rsidRPr="000E1A05">
        <w:t xml:space="preserve">na 6. mieste v EÚ a v predaji produktov nových na trhu a nových pre firmu (ako % z obratu), </w:t>
      </w:r>
      <w:r w:rsidR="008E7469">
        <w:t xml:space="preserve"> </w:t>
      </w:r>
      <w:r w:rsidRPr="000E1A05">
        <w:t xml:space="preserve">v čom je </w:t>
      </w:r>
      <w:r w:rsidR="008E7469">
        <w:t xml:space="preserve">SR </w:t>
      </w:r>
      <w:r w:rsidRPr="000E1A05">
        <w:t xml:space="preserve">hodnotou 23,3 % na 2. mieste v EÚ. Najhoršie postavenie v ekonomických efektoch inovácií má indikátor príjmy z predaja licencií do zahraničia, v ktorých Slovensko podľa IUS vykazuje minimálne hodnoty. Príjmy z predaja licencií za patenty priamo súvisia s nízkou patentovou „produkciou“ domáceho </w:t>
      </w:r>
      <w:r w:rsidR="00134F8E">
        <w:t>výskumu a vývoja</w:t>
      </w:r>
      <w:r w:rsidRPr="000E1A05">
        <w:t>.</w:t>
      </w:r>
    </w:p>
    <w:p w:rsidR="009B4A3B" w:rsidRPr="00D019F9" w:rsidRDefault="009B4A3B" w:rsidP="00DF3358">
      <w:pPr>
        <w:pStyle w:val="Nadpis3"/>
        <w:spacing w:after="240"/>
      </w:pPr>
      <w:bookmarkStart w:id="57" w:name="_Toc360576001"/>
      <w:bookmarkStart w:id="58" w:name="_Toc365831786"/>
      <w:bookmarkStart w:id="59" w:name="_Toc365831978"/>
      <w:bookmarkStart w:id="60" w:name="_Toc366744149"/>
      <w:r w:rsidRPr="00D019F9">
        <w:t>Financovanie Va</w:t>
      </w:r>
      <w:bookmarkEnd w:id="57"/>
      <w:r w:rsidR="00486C0E">
        <w:t>I</w:t>
      </w:r>
      <w:bookmarkEnd w:id="58"/>
      <w:bookmarkEnd w:id="59"/>
      <w:bookmarkEnd w:id="60"/>
    </w:p>
    <w:p w:rsidR="009B4A3B" w:rsidRPr="000E1A05" w:rsidRDefault="009B4A3B" w:rsidP="00DB7CC6">
      <w:pPr>
        <w:ind w:firstLine="340"/>
      </w:pPr>
      <w:r w:rsidRPr="000E1A05">
        <w:t>Z hľadiska výdavkov na Va</w:t>
      </w:r>
      <w:r w:rsidR="0067726C">
        <w:t>I</w:t>
      </w:r>
      <w:r w:rsidRPr="000E1A05">
        <w:t xml:space="preserve"> je Slovensko charakteristické dlhod</w:t>
      </w:r>
      <w:r>
        <w:t xml:space="preserve">obým </w:t>
      </w:r>
      <w:r w:rsidRPr="000E1A05">
        <w:t>podfinancovan</w:t>
      </w:r>
      <w:r>
        <w:t>ím</w:t>
      </w:r>
      <w:r w:rsidRPr="000E1A05">
        <w:t>.</w:t>
      </w:r>
      <w:r w:rsidR="002D31E3">
        <w:t xml:space="preserve"> </w:t>
      </w:r>
      <w:r w:rsidR="002867E0" w:rsidRPr="00497D9B">
        <w:t xml:space="preserve">Jednou z  príčin bola </w:t>
      </w:r>
      <w:r w:rsidR="00486C0E">
        <w:t>zvolená forma</w:t>
      </w:r>
      <w:r w:rsidR="00134F8E">
        <w:t xml:space="preserve"> </w:t>
      </w:r>
      <w:r w:rsidR="002867E0" w:rsidRPr="00497D9B">
        <w:t>privatizáci</w:t>
      </w:r>
      <w:r w:rsidR="00486C0E">
        <w:t>e</w:t>
      </w:r>
      <w:r w:rsidR="002867E0" w:rsidRPr="00497D9B">
        <w:t xml:space="preserve"> veľkých podnikov</w:t>
      </w:r>
      <w:r w:rsidR="00486C0E">
        <w:t xml:space="preserve">, </w:t>
      </w:r>
      <w:r w:rsidR="00600FFF">
        <w:t>v rámci ktorej</w:t>
      </w:r>
      <w:r w:rsidR="00486C0E">
        <w:t xml:space="preserve"> </w:t>
      </w:r>
      <w:r w:rsidR="00933EB9">
        <w:t>sa</w:t>
      </w:r>
      <w:r w:rsidR="00486C0E">
        <w:t> odčlen</w:t>
      </w:r>
      <w:r w:rsidR="00933EB9">
        <w:t>ili</w:t>
      </w:r>
      <w:r w:rsidR="00486C0E">
        <w:t xml:space="preserve"> a samostatne privatiz</w:t>
      </w:r>
      <w:r w:rsidR="00933EB9">
        <w:t>ovali</w:t>
      </w:r>
      <w:r w:rsidR="00486C0E">
        <w:t xml:space="preserve"> VaI pracov</w:t>
      </w:r>
      <w:r w:rsidR="00933EB9">
        <w:t>i</w:t>
      </w:r>
      <w:r w:rsidR="00486C0E">
        <w:t>sk</w:t>
      </w:r>
      <w:r w:rsidR="00933EB9">
        <w:t>á</w:t>
      </w:r>
      <w:r w:rsidR="00BA7EE6">
        <w:t>, čím došlo k ich odlúčeniu od praxe</w:t>
      </w:r>
      <w:r w:rsidR="002867E0" w:rsidRPr="00497D9B">
        <w:t>.</w:t>
      </w:r>
      <w:r w:rsidRPr="000E1A05">
        <w:t xml:space="preserve"> V predchádzajúcej dekáde sa celkové výdavky na </w:t>
      </w:r>
      <w:r w:rsidR="00134F8E">
        <w:t>výskum a vývoj</w:t>
      </w:r>
      <w:r w:rsidRPr="000E1A05">
        <w:t xml:space="preserve"> pohybovali okolo 0,5 % HDP, pričom v priebehu posledných rokoch vzrástli nad 0,6 % HDP (</w:t>
      </w:r>
      <w:r w:rsidR="00933EB9">
        <w:t xml:space="preserve">v </w:t>
      </w:r>
      <w:r w:rsidRPr="000E1A05">
        <w:t xml:space="preserve">poslednom </w:t>
      </w:r>
      <w:r w:rsidR="00933EB9">
        <w:t xml:space="preserve">vykázanom </w:t>
      </w:r>
      <w:r w:rsidR="00600FFF">
        <w:t>roku 2011 to bolo 0,68 %</w:t>
      </w:r>
      <w:r w:rsidRPr="000E1A05">
        <w:t>)</w:t>
      </w:r>
      <w:r w:rsidR="00600FFF">
        <w:t>.</w:t>
      </w:r>
      <w:r w:rsidRPr="000E1A05">
        <w:t xml:space="preserve"> </w:t>
      </w:r>
      <w:r w:rsidR="00933EB9">
        <w:t>N</w:t>
      </w:r>
      <w:r w:rsidRPr="000E1A05">
        <w:t xml:space="preserve">árast bol spôsobený nárastom kapitálových výdavkov na prístroje a zariadenia, čo môže byť výsledkom čerpania štrukturálnych fondov zameraných na </w:t>
      </w:r>
      <w:r w:rsidR="00933EB9">
        <w:t>v</w:t>
      </w:r>
      <w:r w:rsidR="00134F8E">
        <w:t>ýskum a vývoj</w:t>
      </w:r>
      <w:r w:rsidRPr="000E1A05">
        <w:t>. V</w:t>
      </w:r>
      <w:r>
        <w:t xml:space="preserve"> rokoch 2010</w:t>
      </w:r>
      <w:r w:rsidR="00600FFF">
        <w:t xml:space="preserve"> – </w:t>
      </w:r>
      <w:r w:rsidRPr="000E1A05">
        <w:t>2011 došlo k významnému navýšeniu zdrojov určených na kompenzáciu mzdových a odvodových nákladov pracovníkov</w:t>
      </w:r>
      <w:r>
        <w:t>, čo bolo spôsobené najmä zmenou vykazovania financovania na strane verejných vysokých škôl</w:t>
      </w:r>
      <w:r w:rsidRPr="000E1A05">
        <w:t xml:space="preserve">. </w:t>
      </w:r>
      <w:r w:rsidR="00933EB9">
        <w:t xml:space="preserve"> </w:t>
      </w:r>
      <w:r w:rsidRPr="000E1A05">
        <w:t>Ak porovnáme celkové výdavky na Va</w:t>
      </w:r>
      <w:r w:rsidR="0067726C">
        <w:t>I</w:t>
      </w:r>
      <w:r w:rsidRPr="000E1A05">
        <w:t xml:space="preserve"> v ostatných európskych ekonomikách</w:t>
      </w:r>
      <w:r>
        <w:t xml:space="preserve"> (</w:t>
      </w:r>
      <w:r w:rsidRPr="000E1A05">
        <w:t>2,03 % HDP</w:t>
      </w:r>
      <w:r>
        <w:t xml:space="preserve"> v roku 2011)</w:t>
      </w:r>
      <w:r w:rsidRPr="000E1A05">
        <w:t>, Slovensko patrí medzi krajiny z najnižšími výdavkami. Významn</w:t>
      </w:r>
      <w:r w:rsidR="00933EB9">
        <w:t>á</w:t>
      </w:r>
      <w:r w:rsidRPr="000E1A05">
        <w:t xml:space="preserve"> je aj skutočnosť, že podstatná časť verejných zdrojov určených na Va</w:t>
      </w:r>
      <w:r w:rsidR="0067726C">
        <w:t>I</w:t>
      </w:r>
      <w:r w:rsidRPr="000E1A05">
        <w:t xml:space="preserve"> aktivity kryje výdavky na zá</w:t>
      </w:r>
      <w:r>
        <w:t xml:space="preserve">kladný výskum bez väzby na ekonomickú </w:t>
      </w:r>
      <w:r w:rsidRPr="000E1A05">
        <w:t>výkonnosť krajiny.</w:t>
      </w:r>
    </w:p>
    <w:p w:rsidR="009B4A3B" w:rsidRPr="000E1A05" w:rsidRDefault="009B4A3B" w:rsidP="00DB7CC6">
      <w:pPr>
        <w:ind w:firstLine="340"/>
      </w:pPr>
      <w:r>
        <w:t>P</w:t>
      </w:r>
      <w:r w:rsidRPr="000E1A05">
        <w:t>odiel podnikových výdavkov na Va</w:t>
      </w:r>
      <w:r w:rsidR="0067726C">
        <w:t>I</w:t>
      </w:r>
      <w:r w:rsidRPr="000E1A05">
        <w:t xml:space="preserve"> sa dlhodobo pohybuj</w:t>
      </w:r>
      <w:r w:rsidR="00933EB9">
        <w:t>e</w:t>
      </w:r>
      <w:r w:rsidRPr="000E1A05">
        <w:t xml:space="preserve"> okolo hodnoty 0,25 % HDP</w:t>
      </w:r>
      <w:r>
        <w:t xml:space="preserve"> (v porovnaní s </w:t>
      </w:r>
      <w:r w:rsidRPr="000E1A05">
        <w:t>inovačne vyspelý</w:t>
      </w:r>
      <w:r>
        <w:t>mi</w:t>
      </w:r>
      <w:r w:rsidRPr="000E1A05">
        <w:t xml:space="preserve"> ekonomik</w:t>
      </w:r>
      <w:r>
        <w:t>ami</w:t>
      </w:r>
      <w:r w:rsidRPr="000E1A05">
        <w:t xml:space="preserve"> nad 2 % HDP</w:t>
      </w:r>
      <w:r>
        <w:t>)</w:t>
      </w:r>
      <w:r w:rsidRPr="000E1A05">
        <w:t xml:space="preserve">. Vo Fínsku v roku 2011 to bolo 2,67 </w:t>
      </w:r>
      <w:r w:rsidR="00600FFF">
        <w:t>%</w:t>
      </w:r>
      <w:r w:rsidR="00933EB9">
        <w:t>,</w:t>
      </w:r>
      <w:r w:rsidRPr="000E1A05">
        <w:t xml:space="preserve"> vo Švédsku 2,34</w:t>
      </w:r>
      <w:r w:rsidR="00933EB9">
        <w:t xml:space="preserve"> %</w:t>
      </w:r>
      <w:r w:rsidRPr="000E1A05">
        <w:t>, v</w:t>
      </w:r>
      <w:r>
        <w:t> </w:t>
      </w:r>
      <w:r w:rsidRPr="000E1A05">
        <w:t xml:space="preserve">Česku 1,11 </w:t>
      </w:r>
      <w:r w:rsidR="00933EB9">
        <w:t xml:space="preserve">% </w:t>
      </w:r>
      <w:r w:rsidRPr="000E1A05">
        <w:t>a</w:t>
      </w:r>
      <w:r w:rsidR="00933EB9">
        <w:t xml:space="preserve"> v </w:t>
      </w:r>
      <w:r w:rsidRPr="000E1A05">
        <w:t>Maďarsku 0,75 % HDP (Eurostat, 2013). Dôvodom je najmä skutočnosť, že MN</w:t>
      </w:r>
      <w:r w:rsidR="00933EB9">
        <w:t>S</w:t>
      </w:r>
      <w:r w:rsidRPr="000E1A05">
        <w:t xml:space="preserve"> pôsobiace </w:t>
      </w:r>
      <w:r w:rsidRPr="000E1A05">
        <w:lastRenderedPageBreak/>
        <w:t xml:space="preserve">na Slovensku realizujú </w:t>
      </w:r>
      <w:r w:rsidR="00134F8E">
        <w:t>výskum</w:t>
      </w:r>
      <w:r w:rsidR="00933EB9">
        <w:t>né</w:t>
      </w:r>
      <w:r w:rsidR="00134F8E">
        <w:t xml:space="preserve"> a vývoj</w:t>
      </w:r>
      <w:r w:rsidR="00933EB9">
        <w:t>ové</w:t>
      </w:r>
      <w:r w:rsidRPr="000E1A05">
        <w:t xml:space="preserve"> aktivity najmä v domovských krajinách. Slovenské veľké firmy, ale aj mnohé stredné firmy intenzívne rozvíjajú výskumno-inovačné aktivity a prejavujú záujem budovať Va</w:t>
      </w:r>
      <w:r w:rsidR="0067726C">
        <w:t>I</w:t>
      </w:r>
      <w:r w:rsidRPr="000E1A05">
        <w:t xml:space="preserve"> centrá na Slovensku.</w:t>
      </w:r>
    </w:p>
    <w:p w:rsidR="009B4A3B" w:rsidRPr="00D00787" w:rsidRDefault="009B4A3B" w:rsidP="00F414A5">
      <w:pPr>
        <w:pStyle w:val="Zkladntext"/>
        <w:ind w:right="1084"/>
        <w:rPr>
          <w:i/>
          <w:w w:val="90"/>
        </w:rPr>
      </w:pPr>
      <w:r w:rsidRPr="00D00787">
        <w:rPr>
          <w:b/>
          <w:i/>
          <w:w w:val="90"/>
        </w:rPr>
        <w:t>G</w:t>
      </w:r>
      <w:r w:rsidRPr="00D00787">
        <w:rPr>
          <w:b/>
          <w:i/>
          <w:spacing w:val="-1"/>
          <w:w w:val="90"/>
        </w:rPr>
        <w:t>ra</w:t>
      </w:r>
      <w:r w:rsidRPr="00D00787">
        <w:rPr>
          <w:b/>
          <w:i/>
          <w:w w:val="90"/>
        </w:rPr>
        <w:t>f</w:t>
      </w:r>
      <w:r w:rsidR="00654B73" w:rsidRPr="00D00787">
        <w:rPr>
          <w:b/>
          <w:i/>
          <w:w w:val="90"/>
        </w:rPr>
        <w:t xml:space="preserve"> </w:t>
      </w:r>
      <w:r w:rsidR="005332A3" w:rsidRPr="00D00787">
        <w:rPr>
          <w:b/>
          <w:i/>
          <w:w w:val="90"/>
        </w:rPr>
        <w:t>3</w:t>
      </w:r>
      <w:r w:rsidRPr="00D00787">
        <w:rPr>
          <w:i/>
          <w:w w:val="90"/>
        </w:rPr>
        <w:t xml:space="preserve"> </w:t>
      </w:r>
      <w:r w:rsidRPr="00D00787">
        <w:rPr>
          <w:i/>
          <w:spacing w:val="-2"/>
          <w:w w:val="90"/>
        </w:rPr>
        <w:t>Š</w:t>
      </w:r>
      <w:r w:rsidRPr="00D00787">
        <w:rPr>
          <w:i/>
          <w:spacing w:val="-3"/>
          <w:w w:val="90"/>
        </w:rPr>
        <w:t>t</w:t>
      </w:r>
      <w:r w:rsidRPr="00D00787">
        <w:rPr>
          <w:i/>
          <w:spacing w:val="-1"/>
          <w:w w:val="90"/>
        </w:rPr>
        <w:t>r</w:t>
      </w:r>
      <w:r w:rsidRPr="00D00787">
        <w:rPr>
          <w:i/>
          <w:w w:val="90"/>
        </w:rPr>
        <w:t>u</w:t>
      </w:r>
      <w:r w:rsidRPr="00D00787">
        <w:rPr>
          <w:i/>
          <w:spacing w:val="-1"/>
          <w:w w:val="90"/>
        </w:rPr>
        <w:t>k</w:t>
      </w:r>
      <w:r w:rsidRPr="00D00787">
        <w:rPr>
          <w:i/>
          <w:spacing w:val="-3"/>
          <w:w w:val="90"/>
        </w:rPr>
        <w:t>t</w:t>
      </w:r>
      <w:r w:rsidRPr="00D00787">
        <w:rPr>
          <w:i/>
          <w:w w:val="90"/>
        </w:rPr>
        <w:t>ú</w:t>
      </w:r>
      <w:r w:rsidRPr="00D00787">
        <w:rPr>
          <w:i/>
          <w:spacing w:val="-1"/>
          <w:w w:val="90"/>
        </w:rPr>
        <w:t>r</w:t>
      </w:r>
      <w:r w:rsidRPr="00D00787">
        <w:rPr>
          <w:i/>
          <w:w w:val="90"/>
        </w:rPr>
        <w:t>a</w:t>
      </w:r>
      <w:r w:rsidR="00497D9B" w:rsidRPr="00D00787">
        <w:rPr>
          <w:i/>
          <w:w w:val="90"/>
        </w:rPr>
        <w:t xml:space="preserve"> </w:t>
      </w:r>
      <w:r w:rsidRPr="00D00787">
        <w:rPr>
          <w:i/>
          <w:spacing w:val="-1"/>
          <w:w w:val="90"/>
        </w:rPr>
        <w:t>vý</w:t>
      </w:r>
      <w:r w:rsidRPr="00D00787">
        <w:rPr>
          <w:i/>
          <w:w w:val="90"/>
        </w:rPr>
        <w:t>d</w:t>
      </w:r>
      <w:r w:rsidRPr="00D00787">
        <w:rPr>
          <w:i/>
          <w:spacing w:val="-1"/>
          <w:w w:val="90"/>
        </w:rPr>
        <w:t>avk</w:t>
      </w:r>
      <w:r w:rsidRPr="00D00787">
        <w:rPr>
          <w:i/>
          <w:w w:val="90"/>
        </w:rPr>
        <w:t>ov</w:t>
      </w:r>
      <w:r w:rsidR="00497D9B" w:rsidRPr="00D00787">
        <w:rPr>
          <w:i/>
          <w:w w:val="90"/>
        </w:rPr>
        <w:t xml:space="preserve"> </w:t>
      </w:r>
      <w:r w:rsidRPr="00D00787">
        <w:rPr>
          <w:i/>
          <w:w w:val="90"/>
        </w:rPr>
        <w:t>na</w:t>
      </w:r>
      <w:r w:rsidR="00497D9B" w:rsidRPr="00D00787">
        <w:rPr>
          <w:i/>
          <w:w w:val="90"/>
        </w:rPr>
        <w:t xml:space="preserve"> </w:t>
      </w:r>
      <w:r w:rsidR="00134F8E" w:rsidRPr="00D00787">
        <w:rPr>
          <w:i/>
          <w:w w:val="90"/>
        </w:rPr>
        <w:t>výskum a vývoj</w:t>
      </w:r>
      <w:r w:rsidR="00497D9B" w:rsidRPr="00D00787">
        <w:rPr>
          <w:i/>
          <w:w w:val="90"/>
        </w:rPr>
        <w:t xml:space="preserve"> </w:t>
      </w:r>
      <w:r w:rsidRPr="00D00787">
        <w:rPr>
          <w:i/>
          <w:w w:val="90"/>
        </w:rPr>
        <w:t>na</w:t>
      </w:r>
      <w:r w:rsidR="00497D9B" w:rsidRPr="00D00787">
        <w:rPr>
          <w:i/>
          <w:w w:val="90"/>
        </w:rPr>
        <w:t xml:space="preserve"> </w:t>
      </w:r>
      <w:r w:rsidRPr="00D00787">
        <w:rPr>
          <w:i/>
          <w:spacing w:val="-2"/>
          <w:w w:val="90"/>
        </w:rPr>
        <w:t>S</w:t>
      </w:r>
      <w:r w:rsidRPr="00D00787">
        <w:rPr>
          <w:i/>
          <w:w w:val="90"/>
        </w:rPr>
        <w:t>lo</w:t>
      </w:r>
      <w:r w:rsidRPr="00D00787">
        <w:rPr>
          <w:i/>
          <w:spacing w:val="-1"/>
          <w:w w:val="90"/>
        </w:rPr>
        <w:t>ve</w:t>
      </w:r>
      <w:r w:rsidRPr="00D00787">
        <w:rPr>
          <w:i/>
          <w:w w:val="90"/>
        </w:rPr>
        <w:t>n</w:t>
      </w:r>
      <w:r w:rsidRPr="00D00787">
        <w:rPr>
          <w:i/>
          <w:spacing w:val="-2"/>
          <w:w w:val="90"/>
        </w:rPr>
        <w:t>s</w:t>
      </w:r>
      <w:r w:rsidRPr="00D00787">
        <w:rPr>
          <w:i/>
          <w:spacing w:val="-1"/>
          <w:w w:val="90"/>
        </w:rPr>
        <w:t>k</w:t>
      </w:r>
      <w:r w:rsidRPr="00D00787">
        <w:rPr>
          <w:i/>
          <w:w w:val="90"/>
        </w:rPr>
        <w:t>u</w:t>
      </w:r>
      <w:r w:rsidR="00497D9B" w:rsidRPr="00D00787">
        <w:rPr>
          <w:i/>
          <w:w w:val="90"/>
        </w:rPr>
        <w:t xml:space="preserve"> </w:t>
      </w:r>
      <w:r w:rsidRPr="00D00787">
        <w:rPr>
          <w:i/>
          <w:w w:val="90"/>
        </w:rPr>
        <w:t>podľa</w:t>
      </w:r>
      <w:r w:rsidR="00497D9B" w:rsidRPr="00D00787">
        <w:rPr>
          <w:i/>
          <w:w w:val="90"/>
        </w:rPr>
        <w:t xml:space="preserve"> </w:t>
      </w:r>
      <w:r w:rsidRPr="00D00787">
        <w:rPr>
          <w:i/>
          <w:spacing w:val="-2"/>
          <w:w w:val="90"/>
        </w:rPr>
        <w:t>s</w:t>
      </w:r>
      <w:r w:rsidRPr="00D00787">
        <w:rPr>
          <w:i/>
          <w:spacing w:val="-1"/>
          <w:w w:val="90"/>
        </w:rPr>
        <w:t>ek</w:t>
      </w:r>
      <w:r w:rsidRPr="00D00787">
        <w:rPr>
          <w:i/>
          <w:spacing w:val="-3"/>
          <w:w w:val="90"/>
        </w:rPr>
        <w:t>t</w:t>
      </w:r>
      <w:r w:rsidRPr="00D00787">
        <w:rPr>
          <w:i/>
          <w:w w:val="90"/>
        </w:rPr>
        <w:t>o</w:t>
      </w:r>
      <w:r w:rsidRPr="00D00787">
        <w:rPr>
          <w:i/>
          <w:spacing w:val="-1"/>
          <w:w w:val="90"/>
        </w:rPr>
        <w:t>r</w:t>
      </w:r>
      <w:r w:rsidRPr="00D00787">
        <w:rPr>
          <w:i/>
          <w:w w:val="90"/>
        </w:rPr>
        <w:t>a</w:t>
      </w:r>
      <w:r w:rsidR="00497D9B" w:rsidRPr="00D00787">
        <w:rPr>
          <w:i/>
          <w:w w:val="90"/>
        </w:rPr>
        <w:t xml:space="preserve"> </w:t>
      </w:r>
      <w:r w:rsidRPr="00D00787">
        <w:rPr>
          <w:i/>
          <w:spacing w:val="-3"/>
          <w:w w:val="90"/>
        </w:rPr>
        <w:t>p</w:t>
      </w:r>
      <w:r w:rsidRPr="00D00787">
        <w:rPr>
          <w:i/>
          <w:w w:val="90"/>
        </w:rPr>
        <w:t>ou</w:t>
      </w:r>
      <w:r w:rsidRPr="00D00787">
        <w:rPr>
          <w:i/>
          <w:spacing w:val="-4"/>
          <w:w w:val="90"/>
        </w:rPr>
        <w:t>ž</w:t>
      </w:r>
      <w:r w:rsidRPr="00D00787">
        <w:rPr>
          <w:i/>
          <w:w w:val="90"/>
        </w:rPr>
        <w:t>itia</w:t>
      </w:r>
      <w:r w:rsidR="00497D9B" w:rsidRPr="00D00787">
        <w:rPr>
          <w:i/>
          <w:w w:val="90"/>
        </w:rPr>
        <w:t xml:space="preserve"> </w:t>
      </w:r>
      <w:r w:rsidRPr="00D00787">
        <w:rPr>
          <w:i/>
          <w:spacing w:val="-3"/>
          <w:w w:val="90"/>
        </w:rPr>
        <w:t>(</w:t>
      </w:r>
      <w:r w:rsidRPr="00D00787">
        <w:rPr>
          <w:i/>
          <w:w w:val="90"/>
        </w:rPr>
        <w:t>v</w:t>
      </w:r>
      <w:r w:rsidR="00F728E6" w:rsidRPr="00D00787">
        <w:rPr>
          <w:i/>
          <w:w w:val="90"/>
        </w:rPr>
        <w:t xml:space="preserve"> </w:t>
      </w:r>
      <w:r w:rsidRPr="00D00787">
        <w:rPr>
          <w:i/>
          <w:w w:val="90"/>
        </w:rPr>
        <w:t>%</w:t>
      </w:r>
      <w:r w:rsidR="00F728E6" w:rsidRPr="00D00787">
        <w:rPr>
          <w:i/>
          <w:w w:val="90"/>
        </w:rPr>
        <w:t xml:space="preserve"> </w:t>
      </w:r>
      <w:r w:rsidRPr="00D00787">
        <w:rPr>
          <w:i/>
          <w:w w:val="90"/>
        </w:rPr>
        <w:t>HDP)</w:t>
      </w:r>
    </w:p>
    <w:p w:rsidR="009B4A3B" w:rsidRPr="000E1A05" w:rsidRDefault="00CD6B77" w:rsidP="00F414A5">
      <w:pPr>
        <w:pStyle w:val="Zkladntext"/>
        <w:ind w:right="1084"/>
      </w:pPr>
      <w:r>
        <w:rPr>
          <w:noProof/>
          <w:sz w:val="24"/>
          <w:szCs w:val="24"/>
          <w:lang w:val="sk-SK" w:eastAsia="sk-SK"/>
        </w:rPr>
        <w:drawing>
          <wp:inline distT="0" distB="0" distL="0" distR="0" wp14:anchorId="463EFB60" wp14:editId="793E7D52">
            <wp:extent cx="5778500" cy="2057400"/>
            <wp:effectExtent l="0" t="0" r="0" b="0"/>
            <wp:docPr id="3"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1" cstate="print">
                      <a:extLst>
                        <a:ext uri="{28A0092B-C50C-407E-A947-70E740481C1C}">
                          <a14:useLocalDpi xmlns:a14="http://schemas.microsoft.com/office/drawing/2010/main" val="0"/>
                        </a:ext>
                      </a:extLst>
                    </a:blip>
                    <a:srcRect b="-124"/>
                    <a:stretch>
                      <a:fillRect/>
                    </a:stretch>
                  </pic:blipFill>
                  <pic:spPr bwMode="auto">
                    <a:xfrm>
                      <a:off x="0" y="0"/>
                      <a:ext cx="5778500" cy="2057400"/>
                    </a:xfrm>
                    <a:prstGeom prst="rect">
                      <a:avLst/>
                    </a:prstGeom>
                    <a:noFill/>
                    <a:ln>
                      <a:noFill/>
                    </a:ln>
                  </pic:spPr>
                </pic:pic>
              </a:graphicData>
            </a:graphic>
          </wp:inline>
        </w:drawing>
      </w:r>
    </w:p>
    <w:p w:rsidR="009B4A3B" w:rsidRPr="00D00787" w:rsidRDefault="009B4A3B" w:rsidP="005332A3">
      <w:pPr>
        <w:spacing w:before="83"/>
        <w:rPr>
          <w:i/>
        </w:rPr>
      </w:pPr>
      <w:r w:rsidRPr="00D00787">
        <w:rPr>
          <w:b/>
          <w:i/>
          <w:w w:val="90"/>
        </w:rPr>
        <w:t>Zd</w:t>
      </w:r>
      <w:r w:rsidRPr="00D00787">
        <w:rPr>
          <w:b/>
          <w:i/>
          <w:spacing w:val="-1"/>
          <w:w w:val="90"/>
        </w:rPr>
        <w:t>r</w:t>
      </w:r>
      <w:r w:rsidRPr="00D00787">
        <w:rPr>
          <w:b/>
          <w:i/>
          <w:w w:val="90"/>
        </w:rPr>
        <w:t>o</w:t>
      </w:r>
      <w:r w:rsidRPr="00D00787">
        <w:rPr>
          <w:b/>
          <w:i/>
          <w:spacing w:val="-1"/>
          <w:w w:val="90"/>
        </w:rPr>
        <w:t>j</w:t>
      </w:r>
      <w:r w:rsidR="00777C5C">
        <w:rPr>
          <w:b/>
          <w:i/>
          <w:spacing w:val="-1"/>
          <w:w w:val="90"/>
        </w:rPr>
        <w:t>:</w:t>
      </w:r>
      <w:r w:rsidR="005332A3" w:rsidRPr="00D00787">
        <w:rPr>
          <w:i/>
          <w:w w:val="90"/>
        </w:rPr>
        <w:t xml:space="preserve"> </w:t>
      </w:r>
      <w:r w:rsidR="00600FFF">
        <w:rPr>
          <w:i/>
          <w:spacing w:val="-1"/>
          <w:w w:val="90"/>
        </w:rPr>
        <w:t>V</w:t>
      </w:r>
      <w:r w:rsidRPr="00D00787">
        <w:rPr>
          <w:i/>
          <w:w w:val="90"/>
        </w:rPr>
        <w:t>lastné</w:t>
      </w:r>
      <w:r w:rsidR="00F728E6" w:rsidRPr="00D00787">
        <w:rPr>
          <w:i/>
          <w:w w:val="90"/>
        </w:rPr>
        <w:t xml:space="preserve"> </w:t>
      </w:r>
      <w:r w:rsidRPr="00D00787">
        <w:rPr>
          <w:i/>
          <w:w w:val="90"/>
        </w:rPr>
        <w:t>sp</w:t>
      </w:r>
      <w:r w:rsidRPr="00D00787">
        <w:rPr>
          <w:i/>
          <w:spacing w:val="-1"/>
          <w:w w:val="90"/>
        </w:rPr>
        <w:t>r</w:t>
      </w:r>
      <w:r w:rsidRPr="00D00787">
        <w:rPr>
          <w:i/>
          <w:w w:val="90"/>
        </w:rPr>
        <w:t>aco</w:t>
      </w:r>
      <w:r w:rsidRPr="00D00787">
        <w:rPr>
          <w:i/>
          <w:spacing w:val="-1"/>
          <w:w w:val="90"/>
        </w:rPr>
        <w:t>v</w:t>
      </w:r>
      <w:r w:rsidRPr="00D00787">
        <w:rPr>
          <w:i/>
          <w:w w:val="90"/>
        </w:rPr>
        <w:t>anie</w:t>
      </w:r>
      <w:r w:rsidR="00F728E6" w:rsidRPr="00D00787">
        <w:rPr>
          <w:i/>
          <w:w w:val="90"/>
        </w:rPr>
        <w:t xml:space="preserve"> </w:t>
      </w:r>
      <w:r w:rsidRPr="00D00787">
        <w:rPr>
          <w:i/>
          <w:w w:val="90"/>
        </w:rPr>
        <w:t>na</w:t>
      </w:r>
      <w:r w:rsidR="00F728E6" w:rsidRPr="00D00787">
        <w:rPr>
          <w:i/>
          <w:w w:val="90"/>
        </w:rPr>
        <w:t xml:space="preserve"> </w:t>
      </w:r>
      <w:r w:rsidRPr="00D00787">
        <w:rPr>
          <w:i/>
          <w:w w:val="90"/>
        </w:rPr>
        <w:t>základe</w:t>
      </w:r>
      <w:r w:rsidR="00F728E6" w:rsidRPr="00D00787">
        <w:rPr>
          <w:i/>
          <w:w w:val="90"/>
        </w:rPr>
        <w:t xml:space="preserve"> </w:t>
      </w:r>
      <w:r w:rsidRPr="00D00787">
        <w:rPr>
          <w:i/>
          <w:w w:val="90"/>
        </w:rPr>
        <w:t>úda</w:t>
      </w:r>
      <w:r w:rsidRPr="00D00787">
        <w:rPr>
          <w:i/>
          <w:spacing w:val="-3"/>
          <w:w w:val="90"/>
        </w:rPr>
        <w:t>j</w:t>
      </w:r>
      <w:r w:rsidRPr="00D00787">
        <w:rPr>
          <w:i/>
          <w:w w:val="90"/>
        </w:rPr>
        <w:t>ov</w:t>
      </w:r>
      <w:r w:rsidR="00F728E6" w:rsidRPr="00D00787">
        <w:rPr>
          <w:i/>
          <w:w w:val="90"/>
        </w:rPr>
        <w:t xml:space="preserve"> </w:t>
      </w:r>
      <w:r w:rsidRPr="00D00787">
        <w:rPr>
          <w:i/>
          <w:spacing w:val="2"/>
          <w:w w:val="90"/>
        </w:rPr>
        <w:t>E</w:t>
      </w:r>
      <w:r w:rsidRPr="00D00787">
        <w:rPr>
          <w:i/>
          <w:spacing w:val="-1"/>
          <w:w w:val="90"/>
        </w:rPr>
        <w:t>U</w:t>
      </w:r>
      <w:r w:rsidRPr="00D00787">
        <w:rPr>
          <w:i/>
          <w:w w:val="90"/>
        </w:rPr>
        <w:t>R</w:t>
      </w:r>
      <w:r w:rsidRPr="00D00787">
        <w:rPr>
          <w:i/>
          <w:spacing w:val="-2"/>
          <w:w w:val="90"/>
        </w:rPr>
        <w:t>O</w:t>
      </w:r>
      <w:r w:rsidRPr="00D00787">
        <w:rPr>
          <w:i/>
          <w:w w:val="90"/>
        </w:rPr>
        <w:t>S</w:t>
      </w:r>
      <w:r w:rsidRPr="00D00787">
        <w:rPr>
          <w:i/>
          <w:spacing w:val="-2"/>
          <w:w w:val="90"/>
        </w:rPr>
        <w:t>T</w:t>
      </w:r>
      <w:r w:rsidRPr="00D00787">
        <w:rPr>
          <w:i/>
          <w:w w:val="90"/>
        </w:rPr>
        <w:t>AT</w:t>
      </w:r>
      <w:r w:rsidR="003B35FF">
        <w:rPr>
          <w:i/>
          <w:w w:val="90"/>
        </w:rPr>
        <w:t xml:space="preserve"> </w:t>
      </w:r>
      <w:r w:rsidRPr="00D00787">
        <w:rPr>
          <w:i/>
          <w:spacing w:val="-1"/>
          <w:w w:val="90"/>
        </w:rPr>
        <w:t>(</w:t>
      </w:r>
      <w:r w:rsidRPr="00D00787">
        <w:rPr>
          <w:i/>
          <w:w w:val="90"/>
        </w:rPr>
        <w:t>2</w:t>
      </w:r>
      <w:r w:rsidRPr="00D00787">
        <w:rPr>
          <w:i/>
          <w:spacing w:val="2"/>
          <w:w w:val="90"/>
        </w:rPr>
        <w:t>0</w:t>
      </w:r>
      <w:r w:rsidRPr="00D00787">
        <w:rPr>
          <w:i/>
          <w:w w:val="90"/>
        </w:rPr>
        <w:t>13)</w:t>
      </w:r>
    </w:p>
    <w:p w:rsidR="009B4A3B" w:rsidRPr="000E1A05" w:rsidRDefault="009B4A3B" w:rsidP="004B1678">
      <w:pPr>
        <w:ind w:firstLine="340"/>
      </w:pPr>
      <w:r w:rsidRPr="000E1A05">
        <w:t xml:space="preserve">Ak sa pozrieme na štruktúru výdavkov na </w:t>
      </w:r>
      <w:r w:rsidR="00600FFF">
        <w:t>výskum a vývoj</w:t>
      </w:r>
      <w:r w:rsidR="00497D9B">
        <w:t xml:space="preserve"> </w:t>
      </w:r>
      <w:r w:rsidRPr="000E1A05">
        <w:t>z hľadiska zdrojov, môžem</w:t>
      </w:r>
      <w:r w:rsidR="00777C5C">
        <w:t>e</w:t>
      </w:r>
      <w:r w:rsidRPr="000E1A05">
        <w:t xml:space="preserve"> pozorovať dve hlavné tendencie: dominanciu verejného sektora (v roku 2011 financoval slovenských verejný sektor výdavky na </w:t>
      </w:r>
      <w:r w:rsidR="00134F8E">
        <w:t>výskum a vývoj</w:t>
      </w:r>
      <w:r w:rsidRPr="000E1A05">
        <w:t xml:space="preserve"> vo výške 0,34 % HDP) a rastúci podiel zahraničných zdrojov, pričom signifikantný je najmä vplyv štrukturálnych fondov EÚ, ktoré tvorili v roku 2011 až 60</w:t>
      </w:r>
      <w:r w:rsidR="00777C5C">
        <w:t xml:space="preserve"> </w:t>
      </w:r>
      <w:r w:rsidRPr="000E1A05">
        <w:t xml:space="preserve">% všetkých zahraničných zdrojov výdavkov na </w:t>
      </w:r>
      <w:r w:rsidR="00134F8E">
        <w:t>výskum a vývoj</w:t>
      </w:r>
      <w:r w:rsidRPr="000E1A05">
        <w:t xml:space="preserve"> plynúcich na Slovensko. Za kritické parametre z hľadiska </w:t>
      </w:r>
      <w:r w:rsidR="00497CDD">
        <w:t>RIS3</w:t>
      </w:r>
      <w:r w:rsidRPr="000E1A05">
        <w:t xml:space="preserve"> rozvoja možno považovať najmä:</w:t>
      </w:r>
    </w:p>
    <w:p w:rsidR="009B4A3B" w:rsidRPr="000E1A05" w:rsidRDefault="00777C5C" w:rsidP="00791A72">
      <w:pPr>
        <w:pStyle w:val="Odsekzoznamu1"/>
        <w:numPr>
          <w:ilvl w:val="0"/>
          <w:numId w:val="15"/>
        </w:numPr>
        <w:spacing w:after="0"/>
        <w:ind w:left="714" w:hanging="357"/>
      </w:pPr>
      <w:r>
        <w:t>n</w:t>
      </w:r>
      <w:r w:rsidR="009B4A3B" w:rsidRPr="00E16318">
        <w:t>evhodnú</w:t>
      </w:r>
      <w:r w:rsidR="00497D9B">
        <w:t xml:space="preserve"> </w:t>
      </w:r>
      <w:r w:rsidR="009B4A3B" w:rsidRPr="00E16318">
        <w:t>štruktúru</w:t>
      </w:r>
      <w:r w:rsidR="00497D9B">
        <w:t xml:space="preserve"> </w:t>
      </w:r>
      <w:r w:rsidR="009B4A3B" w:rsidRPr="00E16318">
        <w:t>absolventov</w:t>
      </w:r>
      <w:r w:rsidR="00497D9B">
        <w:t xml:space="preserve"> </w:t>
      </w:r>
      <w:r w:rsidR="009B4A3B" w:rsidRPr="00E16318">
        <w:t>doktorandského</w:t>
      </w:r>
      <w:r w:rsidR="00497D9B">
        <w:t xml:space="preserve"> </w:t>
      </w:r>
      <w:r w:rsidR="009B4A3B" w:rsidRPr="00E16318">
        <w:t>štúdia</w:t>
      </w:r>
      <w:r w:rsidR="00497D9B">
        <w:t xml:space="preserve"> </w:t>
      </w:r>
      <w:r w:rsidR="009B4A3B" w:rsidRPr="00E16318">
        <w:t>s nedostatočne zastúpenými technickými a prírodovednými odbormi,</w:t>
      </w:r>
    </w:p>
    <w:p w:rsidR="009B4A3B" w:rsidRPr="000E1A05" w:rsidRDefault="009B4A3B" w:rsidP="00791A72">
      <w:pPr>
        <w:pStyle w:val="Odsekzoznamu1"/>
        <w:numPr>
          <w:ilvl w:val="0"/>
          <w:numId w:val="15"/>
        </w:numPr>
        <w:spacing w:after="0"/>
        <w:ind w:left="714" w:hanging="357"/>
      </w:pPr>
      <w:r>
        <w:t>n</w:t>
      </w:r>
      <w:r w:rsidRPr="00E16318">
        <w:t>ízk</w:t>
      </w:r>
      <w:r>
        <w:t xml:space="preserve">y počet </w:t>
      </w:r>
      <w:r w:rsidRPr="00E16318">
        <w:t xml:space="preserve">excelentných </w:t>
      </w:r>
      <w:r>
        <w:t xml:space="preserve">vedeckých </w:t>
      </w:r>
      <w:r w:rsidRPr="00E16318">
        <w:t>tímov,</w:t>
      </w:r>
    </w:p>
    <w:p w:rsidR="009B4A3B" w:rsidRPr="000E1A05" w:rsidRDefault="009B4A3B" w:rsidP="00791A72">
      <w:pPr>
        <w:pStyle w:val="Odsekzoznamu1"/>
        <w:numPr>
          <w:ilvl w:val="0"/>
          <w:numId w:val="15"/>
        </w:numPr>
        <w:spacing w:after="0"/>
        <w:ind w:left="714" w:hanging="357"/>
      </w:pPr>
      <w:r>
        <w:t>c</w:t>
      </w:r>
      <w:r w:rsidRPr="00E16318">
        <w:t xml:space="preserve">elkovo nízke výdavky a orientácia </w:t>
      </w:r>
      <w:r w:rsidR="00134F8E">
        <w:t>výskum</w:t>
      </w:r>
      <w:r w:rsidR="00777C5C">
        <w:t>u</w:t>
      </w:r>
      <w:r w:rsidR="00134F8E">
        <w:t xml:space="preserve"> a vývoja</w:t>
      </w:r>
      <w:r w:rsidRPr="00E16318">
        <w:t>,</w:t>
      </w:r>
    </w:p>
    <w:p w:rsidR="009B4A3B" w:rsidRPr="000E1A05" w:rsidRDefault="009B4A3B" w:rsidP="00791A72">
      <w:pPr>
        <w:pStyle w:val="Odsekzoznamu1"/>
        <w:numPr>
          <w:ilvl w:val="0"/>
          <w:numId w:val="15"/>
        </w:numPr>
        <w:spacing w:after="0"/>
        <w:ind w:left="714" w:hanging="357"/>
      </w:pPr>
      <w:r>
        <w:t>n</w:t>
      </w:r>
      <w:r w:rsidRPr="00E16318">
        <w:t>edostatočná inovačná aktivita MSP,</w:t>
      </w:r>
    </w:p>
    <w:p w:rsidR="009B4A3B" w:rsidRPr="000E1A05" w:rsidRDefault="009B4A3B" w:rsidP="00791A72">
      <w:pPr>
        <w:pStyle w:val="Odsekzoznamu1"/>
        <w:numPr>
          <w:ilvl w:val="0"/>
          <w:numId w:val="15"/>
        </w:numPr>
        <w:spacing w:after="0"/>
        <w:ind w:left="714" w:hanging="357"/>
      </w:pPr>
      <w:r w:rsidRPr="00E16318">
        <w:t xml:space="preserve">nedostatočná spolupráca inovačných aktérov (najmä firmy </w:t>
      </w:r>
      <w:r w:rsidR="00134F8E">
        <w:t>–</w:t>
      </w:r>
      <w:r w:rsidR="00777C5C">
        <w:t xml:space="preserve"> </w:t>
      </w:r>
      <w:r w:rsidR="00134F8E">
        <w:t>výskumno-vývojové</w:t>
      </w:r>
      <w:r w:rsidRPr="00E16318">
        <w:t xml:space="preserve"> pracoviská),</w:t>
      </w:r>
    </w:p>
    <w:p w:rsidR="009B4A3B" w:rsidRPr="000E1A05" w:rsidRDefault="009B4A3B" w:rsidP="00791A72">
      <w:pPr>
        <w:pStyle w:val="Odsekzoznamu1"/>
        <w:numPr>
          <w:ilvl w:val="0"/>
          <w:numId w:val="15"/>
        </w:numPr>
        <w:spacing w:after="0"/>
        <w:ind w:left="714" w:hanging="357"/>
      </w:pPr>
      <w:r>
        <w:t>n</w:t>
      </w:r>
      <w:r w:rsidRPr="00E16318">
        <w:t>ízke zastúpenie znalostne intenzívnych činností v ekonomike,</w:t>
      </w:r>
    </w:p>
    <w:p w:rsidR="009B4A3B" w:rsidRPr="000E1A05" w:rsidRDefault="009B4A3B" w:rsidP="00791A72">
      <w:pPr>
        <w:pStyle w:val="Odsekzoznamu1"/>
        <w:numPr>
          <w:ilvl w:val="0"/>
          <w:numId w:val="15"/>
        </w:numPr>
        <w:spacing w:after="0"/>
        <w:ind w:left="714" w:hanging="357"/>
      </w:pPr>
      <w:r>
        <w:t>n</w:t>
      </w:r>
      <w:r w:rsidRPr="00E16318">
        <w:t>ízka patentová aktivita.</w:t>
      </w:r>
    </w:p>
    <w:p w:rsidR="009B4A3B" w:rsidRPr="00D019F9" w:rsidRDefault="009B4A3B" w:rsidP="00083E17">
      <w:pPr>
        <w:pStyle w:val="Nadpis3"/>
        <w:spacing w:after="240"/>
      </w:pPr>
      <w:bookmarkStart w:id="61" w:name="_Toc365831787"/>
      <w:bookmarkStart w:id="62" w:name="_Toc365831979"/>
      <w:bookmarkStart w:id="63" w:name="_Toc360576002"/>
      <w:bookmarkStart w:id="64" w:name="_Toc366744150"/>
      <w:r w:rsidRPr="00D019F9">
        <w:t>Nástroje financovania</w:t>
      </w:r>
      <w:r w:rsidR="00497D9B">
        <w:t xml:space="preserve"> </w:t>
      </w:r>
      <w:r w:rsidRPr="00D019F9">
        <w:t>výskumu a vývoja</w:t>
      </w:r>
      <w:bookmarkEnd w:id="61"/>
      <w:bookmarkEnd w:id="62"/>
      <w:bookmarkEnd w:id="63"/>
      <w:bookmarkEnd w:id="64"/>
    </w:p>
    <w:p w:rsidR="009B4A3B" w:rsidRPr="000E1A05" w:rsidRDefault="009B4A3B" w:rsidP="00D00787">
      <w:pPr>
        <w:ind w:firstLine="340"/>
      </w:pPr>
      <w:r w:rsidRPr="000E1A05">
        <w:t>Nástroje na podporu výskumu a vývoja vyplývajúce z platných legislatívnych ustanovení sú nasledovné:</w:t>
      </w:r>
    </w:p>
    <w:p w:rsidR="009B4A3B" w:rsidRPr="00D2715B" w:rsidRDefault="009B4A3B" w:rsidP="00D00787">
      <w:pPr>
        <w:ind w:firstLine="340"/>
      </w:pPr>
      <w:r w:rsidRPr="00D2715B">
        <w:rPr>
          <w:b/>
          <w:bCs/>
        </w:rPr>
        <w:t>Štátne programy</w:t>
      </w:r>
      <w:r w:rsidRPr="00D2715B">
        <w:t xml:space="preserve"> sú </w:t>
      </w:r>
      <w:r w:rsidR="00777C5C">
        <w:t xml:space="preserve">realizované </w:t>
      </w:r>
      <w:r w:rsidRPr="00D2715B">
        <w:t xml:space="preserve">podľa zákona č.172/2005 Z. z. </w:t>
      </w:r>
      <w:r w:rsidR="00777C5C">
        <w:t>V</w:t>
      </w:r>
      <w:r w:rsidR="00A36DE9">
        <w:t xml:space="preserve"> </w:t>
      </w:r>
      <w:r w:rsidRPr="00D2715B">
        <w:t>súlade s prioritami štátnej vednej a technickej politiky vlád</w:t>
      </w:r>
      <w:r w:rsidR="00083E17">
        <w:t>a</w:t>
      </w:r>
      <w:r w:rsidRPr="00D2715B">
        <w:t xml:space="preserve"> SR schvál</w:t>
      </w:r>
      <w:r w:rsidR="00777C5C">
        <w:t>ila</w:t>
      </w:r>
      <w:r w:rsidRPr="00D2715B">
        <w:t xml:space="preserve"> desať štátnych programov výskumu a vývoja. Tento nástroj podľa uvedeného zákona bol využívaný s účinnosťou od 01. 07. 2005. </w:t>
      </w:r>
    </w:p>
    <w:p w:rsidR="009B4A3B" w:rsidRPr="00D2715B" w:rsidRDefault="009B4A3B" w:rsidP="00195E85">
      <w:pPr>
        <w:ind w:firstLine="340"/>
      </w:pPr>
      <w:r w:rsidRPr="00D2715B">
        <w:rPr>
          <w:b/>
          <w:bCs/>
        </w:rPr>
        <w:t>Agentúrou na podporu výskumu a vývoja</w:t>
      </w:r>
      <w:r w:rsidRPr="00D2715B">
        <w:t xml:space="preserve"> (ďalej len „APVV“) sú podporované programy výskumu a vývoja APVV podľa zákona č. 172/2005 Z. z. Programy agentúry schvaľuje vláda SR po prerokovaní v Rade vlády SR pre vedu, techniku a inovácie. APVV k 31.12.2012 prostredníctvom grantovej schémy podporila 22 projektov sumou </w:t>
      </w:r>
      <w:r w:rsidR="005C6756">
        <w:t xml:space="preserve">viac ako </w:t>
      </w:r>
      <w:r w:rsidRPr="00D2715B">
        <w:t xml:space="preserve">1 023 </w:t>
      </w:r>
      <w:r w:rsidR="005C6756">
        <w:t>tis.</w:t>
      </w:r>
      <w:r w:rsidR="00E13039">
        <w:t xml:space="preserve"> </w:t>
      </w:r>
      <w:r w:rsidR="00134F8E">
        <w:t>EUR</w:t>
      </w:r>
      <w:r w:rsidRPr="00D2715B">
        <w:t>. APVV bude transform</w:t>
      </w:r>
      <w:r w:rsidR="00777C5C">
        <w:t>ovaná</w:t>
      </w:r>
      <w:r w:rsidRPr="00D2715B">
        <w:t xml:space="preserve"> na výkonnejšiu inštitúciu, koordinujúcu svoje zameranie s ASFEU. V rokoch 2014</w:t>
      </w:r>
      <w:r w:rsidR="00083E17">
        <w:t xml:space="preserve"> – </w:t>
      </w:r>
      <w:r w:rsidRPr="00D2715B">
        <w:t xml:space="preserve">2020 sú plánované výdavky na prevádzku a programy APVV v celkovej sume 316 mil. </w:t>
      </w:r>
      <w:r w:rsidR="00134F8E">
        <w:t>EUR</w:t>
      </w:r>
      <w:r w:rsidRPr="00D2715B">
        <w:t xml:space="preserve">. Tento nástroj bude oproti súčasnosti navýšený na </w:t>
      </w:r>
      <w:r w:rsidR="00777C5C">
        <w:t>troj</w:t>
      </w:r>
      <w:r w:rsidRPr="00D2715B">
        <w:t>násobok, čo dáva predpoklad efektívnejšej účinnosti.</w:t>
      </w:r>
    </w:p>
    <w:p w:rsidR="009B4A3B" w:rsidRPr="00D2715B" w:rsidRDefault="009B4A3B" w:rsidP="00195E85">
      <w:pPr>
        <w:ind w:firstLine="340"/>
      </w:pPr>
      <w:r w:rsidRPr="00D2715B">
        <w:rPr>
          <w:b/>
          <w:bCs/>
        </w:rPr>
        <w:lastRenderedPageBreak/>
        <w:t>Stimuly pre výskum a vývoj</w:t>
      </w:r>
      <w:r w:rsidR="00134F8E">
        <w:t xml:space="preserve"> </w:t>
      </w:r>
      <w:r w:rsidRPr="00D2715B">
        <w:t xml:space="preserve">sú poskytované podnikateľom v zmysle zákona č. 185/2009 Z. z. o stimuloch pre výskum a vývoj v znení neskorších predpisov na </w:t>
      </w:r>
      <w:r w:rsidRPr="00D2715B">
        <w:rPr>
          <w:rStyle w:val="Textzstupnhosymbolu1"/>
          <w:rFonts w:ascii="Calibri" w:hAnsi="Calibri" w:cs="Calibri"/>
          <w:color w:val="auto"/>
        </w:rPr>
        <w:t xml:space="preserve">riešenie projektov </w:t>
      </w:r>
      <w:r w:rsidR="00EA1EAA">
        <w:rPr>
          <w:rStyle w:val="Textzstupnhosymbolu1"/>
          <w:rFonts w:ascii="Calibri" w:hAnsi="Calibri" w:cs="Calibri"/>
          <w:color w:val="auto"/>
        </w:rPr>
        <w:t>výskumu a vývoja</w:t>
      </w:r>
      <w:r w:rsidRPr="00D2715B">
        <w:rPr>
          <w:rStyle w:val="Textzstupnhosymbolu1"/>
          <w:rFonts w:ascii="Calibri" w:hAnsi="Calibri" w:cs="Calibri"/>
          <w:color w:val="auto"/>
        </w:rPr>
        <w:t xml:space="preserve"> so zámerom, </w:t>
      </w:r>
      <w:r w:rsidRPr="00D2715B">
        <w:t xml:space="preserve">aby </w:t>
      </w:r>
      <w:r w:rsidR="004E1864">
        <w:t xml:space="preserve">podnikatelia </w:t>
      </w:r>
      <w:r w:rsidRPr="00D2715B">
        <w:t>vo väčšej miere zakladali svoj rozvoj a podnikateľské zámery na výsledkoch V</w:t>
      </w:r>
      <w:r w:rsidR="004C258D">
        <w:t>a</w:t>
      </w:r>
      <w:r w:rsidRPr="00D2715B">
        <w:t>I, na rozšírení personálnych kapacít v oblasti V</w:t>
      </w:r>
      <w:r w:rsidR="004C258D">
        <w:t>a</w:t>
      </w:r>
      <w:r w:rsidRPr="00D2715B">
        <w:t xml:space="preserve">I, ako aj zvýšenie objemu investícií do výskumu a vývoja. Celkom bolo podporených 16 subjektov sumou </w:t>
      </w:r>
      <w:r w:rsidR="001853CB">
        <w:t xml:space="preserve">viac ako </w:t>
      </w:r>
      <w:r w:rsidRPr="00D2715B">
        <w:t>7 50</w:t>
      </w:r>
      <w:r w:rsidR="001853CB">
        <w:t>0</w:t>
      </w:r>
      <w:r w:rsidR="00E13039">
        <w:t xml:space="preserve"> </w:t>
      </w:r>
      <w:r w:rsidR="001853CB">
        <w:t xml:space="preserve">tis. </w:t>
      </w:r>
      <w:r w:rsidR="00134F8E">
        <w:t>EUR</w:t>
      </w:r>
      <w:r w:rsidRPr="00D2715B">
        <w:t xml:space="preserve">. </w:t>
      </w:r>
      <w:r w:rsidR="0065398D" w:rsidRPr="0065398D">
        <w:t xml:space="preserve">Stimuly sú rozhodujúcim nástrojom podpory podnikateľského sektora. </w:t>
      </w:r>
      <w:r w:rsidR="00DF3358">
        <w:t xml:space="preserve">V rokoch 2014 – </w:t>
      </w:r>
      <w:r w:rsidRPr="00D2715B">
        <w:t xml:space="preserve">2020 sú plánované výdavky na stimuly pre </w:t>
      </w:r>
      <w:r w:rsidR="00EA1EAA">
        <w:t>výskum a vývoj</w:t>
      </w:r>
      <w:r w:rsidRPr="00D2715B">
        <w:t xml:space="preserve"> v celkovej sume 108 mil. </w:t>
      </w:r>
      <w:r w:rsidR="00134F8E">
        <w:t>EUR</w:t>
      </w:r>
      <w:r w:rsidR="0065398D">
        <w:t>, ktorú</w:t>
      </w:r>
      <w:r w:rsidRPr="00D2715B">
        <w:t xml:space="preserve"> je žiaduce vo vzťahu k vývoju zdrojov zdvojnásobiť do roku 2020.</w:t>
      </w:r>
    </w:p>
    <w:p w:rsidR="009B4A3B" w:rsidRPr="00D2715B" w:rsidRDefault="009B4A3B" w:rsidP="00195E85">
      <w:pPr>
        <w:ind w:firstLine="340"/>
      </w:pPr>
      <w:r w:rsidRPr="00D2715B">
        <w:rPr>
          <w:b/>
          <w:bCs/>
        </w:rPr>
        <w:t>Dotácie právnickým osobám a fyzickým osobám</w:t>
      </w:r>
      <w:r w:rsidRPr="00D2715B">
        <w:t xml:space="preserve">, </w:t>
      </w:r>
      <w:r w:rsidR="0065398D">
        <w:t xml:space="preserve">poskytované </w:t>
      </w:r>
      <w:r w:rsidRPr="00D2715B">
        <w:t xml:space="preserve">podľa zákona č. 172/2005 Z. z. o organizácii štátnej podpory výskumu a vývoja v znení neskorších predpisov (ďalej len „zákon č. 172/2005 Z. z.“), poskytujú ústredné orgány štátnej správy (ďalej len „ÚOŠS“) v rozsahu ich zriaďovateľskej alebo vecnej pôsobnosti. </w:t>
      </w:r>
      <w:r w:rsidR="0065398D">
        <w:t>N</w:t>
      </w:r>
      <w:r w:rsidRPr="00D2715B">
        <w:t>ástroj bol zavedený s účinnosťou</w:t>
      </w:r>
      <w:r w:rsidR="00083E17">
        <w:t xml:space="preserve"> od 01. júla 2005. V rokoch 2014 – </w:t>
      </w:r>
      <w:r w:rsidRPr="00D2715B">
        <w:t>2020 sú plánované výdavky na V</w:t>
      </w:r>
      <w:r w:rsidR="000501BA">
        <w:t>a</w:t>
      </w:r>
      <w:r w:rsidRPr="00D2715B">
        <w:t>I v celkovej sume</w:t>
      </w:r>
      <w:r w:rsidR="00351DE9">
        <w:t xml:space="preserve"> cca</w:t>
      </w:r>
      <w:r w:rsidR="00E13039">
        <w:t xml:space="preserve"> </w:t>
      </w:r>
      <w:r w:rsidR="009A114A" w:rsidRPr="00351DE9">
        <w:t>11</w:t>
      </w:r>
      <w:r w:rsidRPr="00351DE9">
        <w:t>5</w:t>
      </w:r>
      <w:r w:rsidR="00134F8E" w:rsidRPr="00351DE9">
        <w:t xml:space="preserve"> </w:t>
      </w:r>
      <w:r w:rsidRPr="00351DE9">
        <w:t xml:space="preserve">mil. </w:t>
      </w:r>
      <w:r w:rsidR="00134F8E" w:rsidRPr="00351DE9">
        <w:t>EUR</w:t>
      </w:r>
      <w:r w:rsidRPr="00351DE9">
        <w:t>.</w:t>
      </w:r>
    </w:p>
    <w:p w:rsidR="009B4A3B" w:rsidRPr="00D2715B" w:rsidRDefault="009B4A3B" w:rsidP="00195E85">
      <w:pPr>
        <w:ind w:firstLine="340"/>
      </w:pPr>
      <w:r w:rsidRPr="00D2715B">
        <w:rPr>
          <w:b/>
          <w:bCs/>
        </w:rPr>
        <w:t>Dotácia na vedecko-technické služby</w:t>
      </w:r>
      <w:r w:rsidRPr="00D2715B">
        <w:t xml:space="preserve"> podľa zákona č. 172/2005 Z. z. sa môže poskytnúť zo štátneho rozpočtu na vykonávanie činností právnickými osobami a fyzickými osobami – podnikateľmi na podporu výskumu a vývoja. Poskytovateľom môže byť ÚOŠS alebo Slovenská akadémia vi</w:t>
      </w:r>
      <w:r w:rsidR="00083E17">
        <w:t>ed. Dotácia je štátnou pomocou,</w:t>
      </w:r>
      <w:r w:rsidR="0065398D">
        <w:t xml:space="preserve"> zatiaľ bola poskytnutá päťkrát v objeme </w:t>
      </w:r>
      <w:r w:rsidR="00351DE9">
        <w:t>cca</w:t>
      </w:r>
      <w:r w:rsidR="00E13039">
        <w:t xml:space="preserve"> </w:t>
      </w:r>
      <w:r w:rsidRPr="00D2715B">
        <w:t>2</w:t>
      </w:r>
      <w:r w:rsidR="009A114A">
        <w:t>50 tis.</w:t>
      </w:r>
      <w:r w:rsidRPr="00D2715B">
        <w:t xml:space="preserve"> </w:t>
      </w:r>
      <w:r w:rsidR="00134F8E">
        <w:t>EUR</w:t>
      </w:r>
      <w:r w:rsidR="00083E17">
        <w:t xml:space="preserve">. V rokoch 2014 – </w:t>
      </w:r>
      <w:r w:rsidRPr="00D2715B">
        <w:t>2020 sú plánované výdavky na vedecko-technické služby v celkovej sume</w:t>
      </w:r>
      <w:r w:rsidR="00E13039">
        <w:t xml:space="preserve"> </w:t>
      </w:r>
      <w:r w:rsidR="00351DE9">
        <w:t xml:space="preserve">viac ako </w:t>
      </w:r>
      <w:r w:rsidRPr="00D2715B">
        <w:t>73</w:t>
      </w:r>
      <w:r w:rsidR="00E13039">
        <w:t xml:space="preserve"> </w:t>
      </w:r>
      <w:r w:rsidRPr="00D2715B">
        <w:t xml:space="preserve">mil. </w:t>
      </w:r>
      <w:r w:rsidR="00134F8E">
        <w:t>EUR</w:t>
      </w:r>
      <w:r w:rsidR="0065398D">
        <w:t>.</w:t>
      </w:r>
    </w:p>
    <w:p w:rsidR="00DA7E4E" w:rsidRPr="005332A3" w:rsidRDefault="009B4A3B" w:rsidP="00341902">
      <w:pPr>
        <w:ind w:firstLine="284"/>
        <w:rPr>
          <w:u w:val="single"/>
        </w:rPr>
      </w:pPr>
      <w:r w:rsidRPr="005332A3">
        <w:rPr>
          <w:spacing w:val="5"/>
          <w:sz w:val="24"/>
          <w:szCs w:val="24"/>
          <w:u w:val="single"/>
          <w:lang w:eastAsia="sk-SK"/>
        </w:rPr>
        <w:t>Operačný program Výskum a vývoj</w:t>
      </w:r>
      <w:r w:rsidRPr="005332A3">
        <w:rPr>
          <w:u w:val="single"/>
        </w:rPr>
        <w:t xml:space="preserve"> </w:t>
      </w:r>
    </w:p>
    <w:p w:rsidR="00C53CEC" w:rsidRPr="000E1A05" w:rsidRDefault="0065398D" w:rsidP="00C53CEC">
      <w:pPr>
        <w:ind w:firstLine="340"/>
      </w:pPr>
      <w:r>
        <w:t xml:space="preserve">Operačný program Výskum a vývoj </w:t>
      </w:r>
      <w:r w:rsidR="009B4A3B" w:rsidRPr="00D2715B">
        <w:t>(ďalej len „OP VaV“) plní úlohu modernizovať a zefektívniť systém podpory výskumu a vývoja a skvalitnenie infraštruktúry tak, aby sa zvýšila konkurencieschopnosť ekonomiky, znížili regionálne disparity, vznikli nové inovatívne (high-tech) MSP, podporila tvorba nových pracovných miest a zlepšili sa podmienky vzdelávacieho procesu na vysokých školách.</w:t>
      </w:r>
      <w:r w:rsidR="00497D9B">
        <w:t xml:space="preserve"> </w:t>
      </w:r>
      <w:r w:rsidR="009B4A3B" w:rsidRPr="00D2715B">
        <w:t xml:space="preserve">K 31.05.2013 bolo nakontrahovaných </w:t>
      </w:r>
      <w:r w:rsidR="0069503B">
        <w:t>via</w:t>
      </w:r>
      <w:r>
        <w:t>c</w:t>
      </w:r>
      <w:r w:rsidR="0069503B">
        <w:t xml:space="preserve"> </w:t>
      </w:r>
      <w:r w:rsidR="0069503B" w:rsidRPr="00CD79A9">
        <w:t>ako</w:t>
      </w:r>
      <w:r w:rsidR="00E13039" w:rsidRPr="00F104BD">
        <w:t xml:space="preserve"> </w:t>
      </w:r>
      <w:r w:rsidR="009B4A3B" w:rsidRPr="00CD79A9">
        <w:t>1 118</w:t>
      </w:r>
      <w:r w:rsidR="009B4A3B" w:rsidRPr="00D2715B">
        <w:t xml:space="preserve"> </w:t>
      </w:r>
      <w:r w:rsidR="0069503B">
        <w:t>tis.</w:t>
      </w:r>
      <w:r w:rsidR="00E13039">
        <w:t xml:space="preserve"> </w:t>
      </w:r>
      <w:r w:rsidR="00134F8E">
        <w:t>EUR</w:t>
      </w:r>
      <w:r w:rsidR="009B4A3B" w:rsidRPr="00D2715B">
        <w:t xml:space="preserve">, čo predstavuje 81,91 % vo vzťahu k celkovej alokácii. Celkový počet projektov je 485. Rezervy v efektívnosti prostriedkov je potrebné hľadať v zavedení pravidiel obsahovej koordinácie a komunikácie medzi riadiacim orgánom </w:t>
      </w:r>
      <w:r w:rsidR="00131548">
        <w:t xml:space="preserve">MŠVVAŠ SR </w:t>
      </w:r>
      <w:r w:rsidR="009B4A3B" w:rsidRPr="00D2715B">
        <w:t>a</w:t>
      </w:r>
      <w:r w:rsidR="00131548">
        <w:t> implementačnou agentúrou</w:t>
      </w:r>
      <w:r w:rsidR="00E13039">
        <w:t xml:space="preserve"> </w:t>
      </w:r>
      <w:r w:rsidR="009B4A3B" w:rsidRPr="00D2715B">
        <w:t>ASFEU</w:t>
      </w:r>
      <w:r w:rsidR="00E13039">
        <w:t xml:space="preserve"> </w:t>
      </w:r>
      <w:r w:rsidR="00131548">
        <w:t>ako</w:t>
      </w:r>
      <w:r w:rsidR="00E13039">
        <w:t xml:space="preserve"> </w:t>
      </w:r>
      <w:r w:rsidR="009B4A3B" w:rsidRPr="00D2715B">
        <w:t>a</w:t>
      </w:r>
      <w:r w:rsidR="00131548">
        <w:t>j komunikáci</w:t>
      </w:r>
      <w:r>
        <w:t>e</w:t>
      </w:r>
      <w:r w:rsidR="00131548">
        <w:t xml:space="preserve"> s</w:t>
      </w:r>
      <w:r w:rsidR="00E13039">
        <w:t xml:space="preserve"> </w:t>
      </w:r>
      <w:r w:rsidR="009B4A3B" w:rsidRPr="00D2715B">
        <w:t>APVV</w:t>
      </w:r>
      <w:r w:rsidR="00131548">
        <w:t>.</w:t>
      </w:r>
      <w:r>
        <w:t xml:space="preserve"> </w:t>
      </w:r>
      <w:r w:rsidR="00C53CEC">
        <w:t>V</w:t>
      </w:r>
      <w:r w:rsidR="00E13039">
        <w:t xml:space="preserve"> </w:t>
      </w:r>
      <w:r w:rsidR="00C53CEC">
        <w:t>procese implementácie sa identifikovali tieto</w:t>
      </w:r>
      <w:r w:rsidR="00C53CEC" w:rsidRPr="000E1A05">
        <w:t xml:space="preserve"> slabé stránky:</w:t>
      </w:r>
    </w:p>
    <w:p w:rsidR="00131548" w:rsidRPr="0069503B" w:rsidRDefault="0065398D" w:rsidP="00791A72">
      <w:pPr>
        <w:numPr>
          <w:ilvl w:val="0"/>
          <w:numId w:val="31"/>
        </w:numPr>
        <w:spacing w:after="0"/>
        <w:ind w:left="357" w:hanging="357"/>
        <w:rPr>
          <w:bCs/>
        </w:rPr>
      </w:pPr>
      <w:r>
        <w:rPr>
          <w:bCs/>
        </w:rPr>
        <w:t>n</w:t>
      </w:r>
      <w:r w:rsidR="00131548" w:rsidRPr="0069503B">
        <w:rPr>
          <w:bCs/>
        </w:rPr>
        <w:t>edostatočné prepojenie na</w:t>
      </w:r>
      <w:r w:rsidR="00E13039">
        <w:rPr>
          <w:bCs/>
        </w:rPr>
        <w:t xml:space="preserve"> </w:t>
      </w:r>
      <w:r w:rsidR="00131548" w:rsidRPr="0069503B">
        <w:rPr>
          <w:bCs/>
        </w:rPr>
        <w:t>štátne p</w:t>
      </w:r>
      <w:r w:rsidR="00C53CEC" w:rsidRPr="0069503B">
        <w:rPr>
          <w:bCs/>
        </w:rPr>
        <w:t>o</w:t>
      </w:r>
      <w:r w:rsidR="00131548" w:rsidRPr="0069503B">
        <w:rPr>
          <w:bCs/>
        </w:rPr>
        <w:t>l</w:t>
      </w:r>
      <w:r w:rsidR="00C53CEC" w:rsidRPr="0069503B">
        <w:rPr>
          <w:bCs/>
        </w:rPr>
        <w:t>i</w:t>
      </w:r>
      <w:r w:rsidR="00131548" w:rsidRPr="0069503B">
        <w:rPr>
          <w:bCs/>
        </w:rPr>
        <w:t xml:space="preserve">tiky výskumu a vývoja a relatívna izolovanosť implementácie OP </w:t>
      </w:r>
      <w:r>
        <w:rPr>
          <w:bCs/>
        </w:rPr>
        <w:t>VaV,</w:t>
      </w:r>
    </w:p>
    <w:p w:rsidR="00621A5B" w:rsidRPr="0065398D" w:rsidRDefault="0065398D" w:rsidP="0065398D">
      <w:pPr>
        <w:numPr>
          <w:ilvl w:val="0"/>
          <w:numId w:val="31"/>
        </w:numPr>
        <w:spacing w:after="0"/>
        <w:ind w:left="357" w:hanging="357"/>
        <w:rPr>
          <w:bCs/>
        </w:rPr>
      </w:pPr>
      <w:r>
        <w:rPr>
          <w:bCs/>
        </w:rPr>
        <w:t>c</w:t>
      </w:r>
      <w:r w:rsidR="00131548" w:rsidRPr="0065398D">
        <w:rPr>
          <w:bCs/>
        </w:rPr>
        <w:t xml:space="preserve">hýbajúca stratégia implementácie pre celé programové obdobie, </w:t>
      </w:r>
      <w:r w:rsidR="00EF6D22" w:rsidRPr="0065398D">
        <w:rPr>
          <w:bCs/>
        </w:rPr>
        <w:t>vo väzbe</w:t>
      </w:r>
      <w:r w:rsidR="00E13039" w:rsidRPr="0065398D">
        <w:rPr>
          <w:bCs/>
        </w:rPr>
        <w:t xml:space="preserve"> </w:t>
      </w:r>
      <w:r w:rsidR="00C55937" w:rsidRPr="0065398D">
        <w:rPr>
          <w:bCs/>
        </w:rPr>
        <w:t>n</w:t>
      </w:r>
      <w:r w:rsidR="00621A5B" w:rsidRPr="0065398D">
        <w:rPr>
          <w:bCs/>
        </w:rPr>
        <w:t>a splnenie cieľov</w:t>
      </w:r>
      <w:r w:rsidR="00E13039" w:rsidRPr="0065398D">
        <w:rPr>
          <w:bCs/>
        </w:rPr>
        <w:t xml:space="preserve"> </w:t>
      </w:r>
      <w:r w:rsidR="00131548" w:rsidRPr="0065398D">
        <w:rPr>
          <w:bCs/>
        </w:rPr>
        <w:t xml:space="preserve">OP </w:t>
      </w:r>
      <w:r>
        <w:rPr>
          <w:bCs/>
        </w:rPr>
        <w:t>VaV, n</w:t>
      </w:r>
      <w:r w:rsidR="00131548" w:rsidRPr="0065398D">
        <w:rPr>
          <w:bCs/>
        </w:rPr>
        <w:t xml:space="preserve">ízka miera komplementarity a synergií v procese implementácie </w:t>
      </w:r>
      <w:r w:rsidRPr="0065398D">
        <w:rPr>
          <w:bCs/>
        </w:rPr>
        <w:t xml:space="preserve">OP VaV </w:t>
      </w:r>
      <w:r w:rsidR="00131548" w:rsidRPr="0065398D">
        <w:rPr>
          <w:bCs/>
        </w:rPr>
        <w:t>a aktivitami/iniciatívami Európskeho výskumného priestoru</w:t>
      </w:r>
      <w:r>
        <w:rPr>
          <w:bCs/>
        </w:rPr>
        <w:t>,</w:t>
      </w:r>
    </w:p>
    <w:p w:rsidR="00131548" w:rsidRPr="0069503B" w:rsidRDefault="0065398D" w:rsidP="00791A72">
      <w:pPr>
        <w:numPr>
          <w:ilvl w:val="0"/>
          <w:numId w:val="31"/>
        </w:numPr>
        <w:spacing w:after="0"/>
        <w:ind w:left="357" w:hanging="357"/>
        <w:rPr>
          <w:bCs/>
        </w:rPr>
      </w:pPr>
      <w:r>
        <w:rPr>
          <w:bCs/>
        </w:rPr>
        <w:t>n</w:t>
      </w:r>
      <w:r w:rsidR="00131548" w:rsidRPr="0069503B">
        <w:rPr>
          <w:bCs/>
        </w:rPr>
        <w:t>eúmerné administratívne zaťaženie žiadateľov</w:t>
      </w:r>
      <w:r w:rsidR="00EF6D22" w:rsidRPr="0069503B">
        <w:rPr>
          <w:bCs/>
        </w:rPr>
        <w:t xml:space="preserve"> </w:t>
      </w:r>
      <w:r w:rsidR="00621A5B" w:rsidRPr="0069503B">
        <w:rPr>
          <w:bCs/>
        </w:rPr>
        <w:t>o</w:t>
      </w:r>
      <w:r>
        <w:rPr>
          <w:bCs/>
        </w:rPr>
        <w:t> </w:t>
      </w:r>
      <w:r w:rsidR="00621A5B" w:rsidRPr="0069503B">
        <w:rPr>
          <w:bCs/>
        </w:rPr>
        <w:t>NFP</w:t>
      </w:r>
      <w:r>
        <w:rPr>
          <w:bCs/>
        </w:rPr>
        <w:t>,</w:t>
      </w:r>
    </w:p>
    <w:p w:rsidR="00131548" w:rsidRPr="0069503B" w:rsidRDefault="0065398D" w:rsidP="00791A72">
      <w:pPr>
        <w:numPr>
          <w:ilvl w:val="0"/>
          <w:numId w:val="31"/>
        </w:numPr>
        <w:spacing w:after="0"/>
        <w:ind w:left="357" w:hanging="357"/>
        <w:rPr>
          <w:bCs/>
        </w:rPr>
      </w:pPr>
      <w:r>
        <w:rPr>
          <w:bCs/>
        </w:rPr>
        <w:t>n</w:t>
      </w:r>
      <w:r w:rsidR="00131548" w:rsidRPr="0069503B">
        <w:rPr>
          <w:bCs/>
        </w:rPr>
        <w:t>evhodne nastavený systém indikátorov</w:t>
      </w:r>
      <w:r>
        <w:rPr>
          <w:bCs/>
        </w:rPr>
        <w:t>,</w:t>
      </w:r>
    </w:p>
    <w:p w:rsidR="00131548" w:rsidRPr="0069503B" w:rsidRDefault="0065398D" w:rsidP="00791A72">
      <w:pPr>
        <w:numPr>
          <w:ilvl w:val="0"/>
          <w:numId w:val="31"/>
        </w:numPr>
        <w:spacing w:after="0"/>
        <w:ind w:left="357" w:hanging="357"/>
        <w:rPr>
          <w:bCs/>
        </w:rPr>
      </w:pPr>
      <w:r>
        <w:rPr>
          <w:bCs/>
        </w:rPr>
        <w:t>e</w:t>
      </w:r>
      <w:r w:rsidR="00131548" w:rsidRPr="0069503B">
        <w:rPr>
          <w:bCs/>
        </w:rPr>
        <w:t xml:space="preserve">xistujúce bariéry medzi jednotlivými projektmi, </w:t>
      </w:r>
      <w:r w:rsidR="00C55937" w:rsidRPr="0069503B">
        <w:rPr>
          <w:bCs/>
        </w:rPr>
        <w:t>hlavne</w:t>
      </w:r>
      <w:r w:rsidR="00131548" w:rsidRPr="0069503B">
        <w:rPr>
          <w:bCs/>
        </w:rPr>
        <w:t xml:space="preserve"> zákaz využívania infraštruktúry obstaranej v rámci jedného projektu v ostatných výskumných aktivitách žiadateľa, vrátane ich využívania v medzinárodných projektoch</w:t>
      </w:r>
      <w:r>
        <w:rPr>
          <w:bCs/>
        </w:rPr>
        <w:t>,</w:t>
      </w:r>
    </w:p>
    <w:p w:rsidR="00131548" w:rsidRPr="00654B73" w:rsidRDefault="0065398D" w:rsidP="00791A72">
      <w:pPr>
        <w:numPr>
          <w:ilvl w:val="0"/>
          <w:numId w:val="31"/>
        </w:numPr>
        <w:spacing w:after="0"/>
        <w:ind w:left="357" w:hanging="357"/>
        <w:rPr>
          <w:bCs/>
        </w:rPr>
      </w:pPr>
      <w:r>
        <w:rPr>
          <w:bCs/>
        </w:rPr>
        <w:t>z</w:t>
      </w:r>
      <w:r w:rsidR="00C55937" w:rsidRPr="0069503B">
        <w:rPr>
          <w:bCs/>
        </w:rPr>
        <w:t xml:space="preserve">le nastavené pravidlá štátnej pomoci, </w:t>
      </w:r>
      <w:r w:rsidR="002B7939" w:rsidRPr="0069503B">
        <w:rPr>
          <w:bCs/>
        </w:rPr>
        <w:t>neumožňujúcej využitie infraš</w:t>
      </w:r>
      <w:r w:rsidR="00131548" w:rsidRPr="0069503B">
        <w:rPr>
          <w:bCs/>
        </w:rPr>
        <w:t>truktúry</w:t>
      </w:r>
      <w:r w:rsidR="002B7939" w:rsidRPr="0069503B">
        <w:rPr>
          <w:bCs/>
        </w:rPr>
        <w:t xml:space="preserve"> budovanej z verejných zdrojov </w:t>
      </w:r>
      <w:r w:rsidR="003E1477" w:rsidRPr="0069503B">
        <w:rPr>
          <w:bCs/>
        </w:rPr>
        <w:t>pre potreby priemyslu a praxe, obdobne platí aj pre pravidlá využitia tejto infraštruktúry verejnými prevádzkovateľmi</w:t>
      </w:r>
      <w:r w:rsidR="00E13039">
        <w:rPr>
          <w:bCs/>
        </w:rPr>
        <w:t xml:space="preserve"> </w:t>
      </w:r>
      <w:r w:rsidR="003E1477" w:rsidRPr="0069503B">
        <w:rPr>
          <w:bCs/>
        </w:rPr>
        <w:t>form</w:t>
      </w:r>
      <w:r w:rsidR="00047C67" w:rsidRPr="0069503B">
        <w:rPr>
          <w:bCs/>
        </w:rPr>
        <w:t>ou</w:t>
      </w:r>
      <w:r w:rsidR="00E13039">
        <w:rPr>
          <w:bCs/>
        </w:rPr>
        <w:t xml:space="preserve"> </w:t>
      </w:r>
      <w:r w:rsidR="003E1477" w:rsidRPr="0069503B">
        <w:rPr>
          <w:bCs/>
        </w:rPr>
        <w:t>jej používania</w:t>
      </w:r>
      <w:r w:rsidR="00E13039">
        <w:rPr>
          <w:bCs/>
        </w:rPr>
        <w:t xml:space="preserve"> </w:t>
      </w:r>
      <w:r w:rsidR="003E1477" w:rsidRPr="0069503B">
        <w:rPr>
          <w:bCs/>
        </w:rPr>
        <w:t>za úhradu</w:t>
      </w:r>
      <w:r>
        <w:rPr>
          <w:bCs/>
        </w:rPr>
        <w:t>.</w:t>
      </w:r>
      <w:r w:rsidR="00E13039">
        <w:rPr>
          <w:bCs/>
        </w:rPr>
        <w:t xml:space="preserve"> </w:t>
      </w:r>
    </w:p>
    <w:p w:rsidR="00131548" w:rsidRPr="0069503B" w:rsidRDefault="00131548" w:rsidP="00131548">
      <w:pPr>
        <w:spacing w:before="120"/>
        <w:rPr>
          <w:b/>
        </w:rPr>
      </w:pPr>
      <w:r w:rsidRPr="0069503B">
        <w:rPr>
          <w:b/>
        </w:rPr>
        <w:t xml:space="preserve">Pozitívne efekty projektov financovaných prostredníctvom OP </w:t>
      </w:r>
      <w:r w:rsidR="0065398D">
        <w:rPr>
          <w:b/>
        </w:rPr>
        <w:t>VaV:</w:t>
      </w:r>
    </w:p>
    <w:p w:rsidR="00131548" w:rsidRPr="0069503B" w:rsidRDefault="007F7877" w:rsidP="00791A72">
      <w:pPr>
        <w:numPr>
          <w:ilvl w:val="0"/>
          <w:numId w:val="31"/>
        </w:numPr>
        <w:spacing w:after="0"/>
        <w:ind w:left="357" w:hanging="357"/>
        <w:rPr>
          <w:bCs/>
        </w:rPr>
      </w:pPr>
      <w:r w:rsidRPr="0069503B">
        <w:rPr>
          <w:bCs/>
        </w:rPr>
        <w:t>v</w:t>
      </w:r>
      <w:r w:rsidR="0018069F" w:rsidRPr="0069503B">
        <w:rPr>
          <w:bCs/>
        </w:rPr>
        <w:t>ybudovan</w:t>
      </w:r>
      <w:r w:rsidRPr="0069503B">
        <w:rPr>
          <w:bCs/>
        </w:rPr>
        <w:t>ie</w:t>
      </w:r>
      <w:r w:rsidR="00E13039">
        <w:rPr>
          <w:bCs/>
        </w:rPr>
        <w:t xml:space="preserve"> </w:t>
      </w:r>
      <w:r w:rsidR="0018069F" w:rsidRPr="0069503B">
        <w:rPr>
          <w:bCs/>
        </w:rPr>
        <w:t>základnej verejnej</w:t>
      </w:r>
      <w:r w:rsidR="00E13039">
        <w:rPr>
          <w:bCs/>
        </w:rPr>
        <w:t xml:space="preserve"> </w:t>
      </w:r>
      <w:r w:rsidR="0018069F" w:rsidRPr="0069503B">
        <w:rPr>
          <w:bCs/>
        </w:rPr>
        <w:t>infraštruktúry a</w:t>
      </w:r>
      <w:r w:rsidRPr="0069503B">
        <w:rPr>
          <w:bCs/>
        </w:rPr>
        <w:t> zníženie dlhodobého modernizačného dlhu</w:t>
      </w:r>
      <w:r w:rsidR="0065398D">
        <w:rPr>
          <w:bCs/>
        </w:rPr>
        <w:t>,</w:t>
      </w:r>
      <w:r w:rsidR="00E13039">
        <w:rPr>
          <w:bCs/>
        </w:rPr>
        <w:t xml:space="preserve"> </w:t>
      </w:r>
    </w:p>
    <w:p w:rsidR="0018069F" w:rsidRPr="0069503B" w:rsidRDefault="00131548" w:rsidP="00791A72">
      <w:pPr>
        <w:numPr>
          <w:ilvl w:val="0"/>
          <w:numId w:val="31"/>
        </w:numPr>
        <w:spacing w:after="0"/>
        <w:ind w:left="357" w:hanging="357"/>
        <w:rPr>
          <w:bCs/>
        </w:rPr>
      </w:pPr>
      <w:r w:rsidRPr="0069503B">
        <w:rPr>
          <w:bCs/>
        </w:rPr>
        <w:t>zvýš</w:t>
      </w:r>
      <w:r w:rsidR="007F7877" w:rsidRPr="0069503B">
        <w:rPr>
          <w:bCs/>
        </w:rPr>
        <w:t>enie</w:t>
      </w:r>
      <w:r w:rsidRPr="0069503B">
        <w:rPr>
          <w:bCs/>
        </w:rPr>
        <w:t xml:space="preserve"> potenciál</w:t>
      </w:r>
      <w:r w:rsidR="007F7877" w:rsidRPr="0069503B">
        <w:rPr>
          <w:bCs/>
        </w:rPr>
        <w:t>u</w:t>
      </w:r>
      <w:r w:rsidR="00E13039">
        <w:rPr>
          <w:bCs/>
        </w:rPr>
        <w:t xml:space="preserve"> </w:t>
      </w:r>
      <w:r w:rsidR="007F7877" w:rsidRPr="0069503B">
        <w:rPr>
          <w:bCs/>
        </w:rPr>
        <w:t>pre</w:t>
      </w:r>
      <w:r w:rsidR="00E13039">
        <w:rPr>
          <w:bCs/>
        </w:rPr>
        <w:t xml:space="preserve"> </w:t>
      </w:r>
      <w:r w:rsidRPr="0069503B">
        <w:rPr>
          <w:bCs/>
        </w:rPr>
        <w:t>vstup do medzinárodných projektov výskumu a</w:t>
      </w:r>
      <w:r w:rsidR="0065398D">
        <w:rPr>
          <w:bCs/>
        </w:rPr>
        <w:t> </w:t>
      </w:r>
      <w:r w:rsidRPr="0069503B">
        <w:rPr>
          <w:bCs/>
        </w:rPr>
        <w:t>vývoja</w:t>
      </w:r>
      <w:r w:rsidR="0065398D">
        <w:rPr>
          <w:bCs/>
        </w:rPr>
        <w:t>,</w:t>
      </w:r>
      <w:r w:rsidRPr="0069503B">
        <w:rPr>
          <w:bCs/>
        </w:rPr>
        <w:t xml:space="preserve"> </w:t>
      </w:r>
    </w:p>
    <w:p w:rsidR="00131548" w:rsidRPr="0069503B" w:rsidRDefault="00131548" w:rsidP="00791A72">
      <w:pPr>
        <w:numPr>
          <w:ilvl w:val="0"/>
          <w:numId w:val="31"/>
        </w:numPr>
        <w:spacing w:after="0"/>
        <w:ind w:left="357" w:hanging="357"/>
        <w:rPr>
          <w:bCs/>
        </w:rPr>
      </w:pPr>
      <w:r w:rsidRPr="0069503B">
        <w:rPr>
          <w:bCs/>
        </w:rPr>
        <w:t xml:space="preserve">systémom zdola nahor </w:t>
      </w:r>
      <w:r w:rsidR="0018069F" w:rsidRPr="0069503B">
        <w:rPr>
          <w:bCs/>
        </w:rPr>
        <w:t>zača</w:t>
      </w:r>
      <w:r w:rsidR="007F7877" w:rsidRPr="0069503B">
        <w:rPr>
          <w:bCs/>
        </w:rPr>
        <w:t>l</w:t>
      </w:r>
      <w:r w:rsidR="0018069F" w:rsidRPr="0069503B">
        <w:rPr>
          <w:bCs/>
        </w:rPr>
        <w:t xml:space="preserve"> proces </w:t>
      </w:r>
      <w:r w:rsidRPr="0069503B">
        <w:rPr>
          <w:bCs/>
        </w:rPr>
        <w:t>identifik</w:t>
      </w:r>
      <w:r w:rsidR="0018069F" w:rsidRPr="0069503B">
        <w:rPr>
          <w:bCs/>
        </w:rPr>
        <w:t>ácie</w:t>
      </w:r>
      <w:r w:rsidR="00E13039">
        <w:rPr>
          <w:bCs/>
        </w:rPr>
        <w:t xml:space="preserve"> </w:t>
      </w:r>
      <w:r w:rsidRPr="0069503B">
        <w:rPr>
          <w:bCs/>
        </w:rPr>
        <w:t>siln</w:t>
      </w:r>
      <w:r w:rsidR="0018069F" w:rsidRPr="0069503B">
        <w:rPr>
          <w:bCs/>
        </w:rPr>
        <w:t>ých</w:t>
      </w:r>
      <w:r w:rsidRPr="0069503B">
        <w:rPr>
          <w:bCs/>
        </w:rPr>
        <w:t xml:space="preserve"> tematick</w:t>
      </w:r>
      <w:r w:rsidR="0018069F" w:rsidRPr="0069503B">
        <w:rPr>
          <w:bCs/>
        </w:rPr>
        <w:t>ých</w:t>
      </w:r>
      <w:r w:rsidRPr="0069503B">
        <w:rPr>
          <w:bCs/>
        </w:rPr>
        <w:t xml:space="preserve"> smer</w:t>
      </w:r>
      <w:r w:rsidR="0018069F" w:rsidRPr="0069503B">
        <w:rPr>
          <w:bCs/>
        </w:rPr>
        <w:t>ov</w:t>
      </w:r>
      <w:r w:rsidRPr="0069503B">
        <w:rPr>
          <w:bCs/>
        </w:rPr>
        <w:t xml:space="preserve"> slovenskej vedy a techniky</w:t>
      </w:r>
      <w:r w:rsidR="00976ACA" w:rsidRPr="0069503B">
        <w:rPr>
          <w:bCs/>
        </w:rPr>
        <w:t>, o ktoré má záujem priemysel</w:t>
      </w:r>
      <w:r w:rsidR="0065398D">
        <w:rPr>
          <w:bCs/>
        </w:rPr>
        <w:t>,</w:t>
      </w:r>
    </w:p>
    <w:p w:rsidR="00131548" w:rsidRPr="0069503B" w:rsidRDefault="00131548" w:rsidP="00791A72">
      <w:pPr>
        <w:numPr>
          <w:ilvl w:val="0"/>
          <w:numId w:val="31"/>
        </w:numPr>
        <w:ind w:left="357" w:hanging="357"/>
      </w:pPr>
      <w:r w:rsidRPr="0069503B">
        <w:rPr>
          <w:bCs/>
        </w:rPr>
        <w:lastRenderedPageBreak/>
        <w:t>kryštaliz</w:t>
      </w:r>
      <w:r w:rsidR="00FD63D6" w:rsidRPr="0069503B">
        <w:rPr>
          <w:bCs/>
        </w:rPr>
        <w:t>áci</w:t>
      </w:r>
      <w:r w:rsidR="009547A1" w:rsidRPr="0069503B">
        <w:rPr>
          <w:bCs/>
        </w:rPr>
        <w:t xml:space="preserve">a </w:t>
      </w:r>
      <w:r w:rsidRPr="0069503B">
        <w:rPr>
          <w:bCs/>
        </w:rPr>
        <w:t>priorít a</w:t>
      </w:r>
      <w:r w:rsidR="009547A1" w:rsidRPr="0069503B">
        <w:rPr>
          <w:bCs/>
        </w:rPr>
        <w:t> </w:t>
      </w:r>
      <w:r w:rsidR="00FD63D6" w:rsidRPr="0069503B">
        <w:rPr>
          <w:bCs/>
        </w:rPr>
        <w:t>spájan</w:t>
      </w:r>
      <w:r w:rsidR="009547A1" w:rsidRPr="0069503B">
        <w:rPr>
          <w:bCs/>
        </w:rPr>
        <w:t>ie</w:t>
      </w:r>
      <w:r w:rsidR="00E13039">
        <w:rPr>
          <w:bCs/>
        </w:rPr>
        <w:t xml:space="preserve"> </w:t>
      </w:r>
      <w:r w:rsidRPr="0069503B">
        <w:rPr>
          <w:bCs/>
        </w:rPr>
        <w:t>vedeckých tímov umožnili univerzitám a Slovenskej akadémii vied začať proces budovania vedeckých parkov a výskumných centier národného významu</w:t>
      </w:r>
      <w:r w:rsidR="00083E17">
        <w:rPr>
          <w:bCs/>
        </w:rPr>
        <w:t>.</w:t>
      </w:r>
      <w:r w:rsidR="00E13039">
        <w:rPr>
          <w:bCs/>
        </w:rPr>
        <w:t xml:space="preserve"> </w:t>
      </w:r>
    </w:p>
    <w:p w:rsidR="00DA7E4E" w:rsidRPr="005332A3" w:rsidRDefault="009B4A3B" w:rsidP="00D00787">
      <w:pPr>
        <w:ind w:firstLine="284"/>
        <w:rPr>
          <w:u w:val="single"/>
        </w:rPr>
      </w:pPr>
      <w:r w:rsidRPr="005332A3">
        <w:rPr>
          <w:spacing w:val="5"/>
          <w:sz w:val="24"/>
          <w:szCs w:val="24"/>
          <w:u w:val="single"/>
          <w:lang w:eastAsia="sk-SK"/>
        </w:rPr>
        <w:t>Operačný program Vzdelávanie</w:t>
      </w:r>
      <w:r w:rsidRPr="005332A3">
        <w:rPr>
          <w:u w:val="single"/>
        </w:rPr>
        <w:t xml:space="preserve"> </w:t>
      </w:r>
    </w:p>
    <w:p w:rsidR="009B4A3B" w:rsidRDefault="0065398D" w:rsidP="00D00787">
      <w:pPr>
        <w:ind w:firstLine="340"/>
      </w:pPr>
      <w:r>
        <w:t xml:space="preserve">Operačný program Vzdelávanie </w:t>
      </w:r>
      <w:r w:rsidR="009B4A3B" w:rsidRPr="00D2715B">
        <w:t>(ďalej len „OP V“) plní úlohu zabezpečenia dlhodobej konkurencieschopnosti SR prostredníctvom prispôsobenia vzdelávacieho systému potrebám vedomostnej spoločnosti. OP V príspevk</w:t>
      </w:r>
      <w:r>
        <w:t>ami</w:t>
      </w:r>
      <w:r w:rsidR="009B4A3B" w:rsidRPr="00D2715B">
        <w:t xml:space="preserve"> zo zdrojov Európskeho sociálneho fondu financuje formovanie a podporu ľudského kapitálu smerom k nadobudnutiu základných zručností a kľúčových kompetencií potrebných vo vedomostnej ekonomike a pre pracovný trh. Dopytovo orientované projekty </w:t>
      </w:r>
      <w:r>
        <w:t xml:space="preserve">implementované </w:t>
      </w:r>
      <w:r w:rsidR="009B4A3B" w:rsidRPr="00D2715B">
        <w:t xml:space="preserve">ASFEU nepresahujú výšku 2 mil. </w:t>
      </w:r>
      <w:r w:rsidR="00134F8E">
        <w:t>EUR</w:t>
      </w:r>
      <w:r w:rsidR="009B4A3B" w:rsidRPr="00D2715B">
        <w:t xml:space="preserve">. K 31.05.2013 bolo nakontrahovaných </w:t>
      </w:r>
      <w:r w:rsidR="00246A48">
        <w:t xml:space="preserve">viac ako </w:t>
      </w:r>
      <w:r w:rsidR="009B4A3B" w:rsidRPr="00D2715B">
        <w:t>565 345 </w:t>
      </w:r>
      <w:r w:rsidR="00A16C18">
        <w:t>tis.</w:t>
      </w:r>
      <w:r w:rsidR="009B4A3B" w:rsidRPr="00D2715B">
        <w:t>, čo predstavuje 101,60 % vo vzťahu k celkovej alokácii. Celkový počet projektov je 832.</w:t>
      </w:r>
      <w:r w:rsidR="00246A48">
        <w:t xml:space="preserve"> Slabé stránky implementácie: </w:t>
      </w:r>
    </w:p>
    <w:p w:rsidR="0058122E" w:rsidRDefault="00246A48" w:rsidP="00791A72">
      <w:pPr>
        <w:pStyle w:val="Odsekzoznamu1"/>
        <w:numPr>
          <w:ilvl w:val="0"/>
          <w:numId w:val="32"/>
        </w:numPr>
        <w:contextualSpacing/>
      </w:pPr>
      <w:r>
        <w:t>n</w:t>
      </w:r>
      <w:r w:rsidR="0058122E">
        <w:t>edostatočná p</w:t>
      </w:r>
      <w:r w:rsidR="0058122E" w:rsidRPr="008C744D">
        <w:t>odpor</w:t>
      </w:r>
      <w:r w:rsidR="0058122E">
        <w:t>a</w:t>
      </w:r>
      <w:r w:rsidR="0058122E" w:rsidRPr="008C744D">
        <w:t xml:space="preserve"> odborného vzdelávania, prírodných vied, praktických zručností </w:t>
      </w:r>
      <w:r w:rsidR="0058122E">
        <w:t xml:space="preserve">( obrat </w:t>
      </w:r>
      <w:r w:rsidR="0058122E" w:rsidRPr="008C744D">
        <w:t>nastal až v roku 2012, čo nie je dostatočné vzhľadom na potreby zosúladenia vzdelávania s potrebami trhu práce</w:t>
      </w:r>
      <w:r w:rsidR="0058122E">
        <w:t>)</w:t>
      </w:r>
      <w:r>
        <w:t>,</w:t>
      </w:r>
    </w:p>
    <w:p w:rsidR="00FD63D6" w:rsidRPr="008C744D" w:rsidRDefault="00246A48" w:rsidP="00791A72">
      <w:pPr>
        <w:pStyle w:val="Odsekzoznamu1"/>
        <w:numPr>
          <w:ilvl w:val="0"/>
          <w:numId w:val="32"/>
        </w:numPr>
        <w:contextualSpacing/>
      </w:pPr>
      <w:r>
        <w:t>n</w:t>
      </w:r>
      <w:r w:rsidR="00FD63D6" w:rsidRPr="008C744D">
        <w:t>edostatočne bola podporená oblasť celoživotného vzdelávania ako nástroja zvyšovania kompetencií a oblasť vzdelávania osôb s osobitými vzdelávacími potrebami (rôzne formy znevýhodnenia).</w:t>
      </w:r>
    </w:p>
    <w:p w:rsidR="00ED4E02" w:rsidRPr="00D00787" w:rsidRDefault="00ED4E02" w:rsidP="00D00787">
      <w:pPr>
        <w:ind w:firstLine="340"/>
        <w:rPr>
          <w:sz w:val="24"/>
          <w:szCs w:val="24"/>
          <w:u w:val="single"/>
        </w:rPr>
      </w:pPr>
      <w:bookmarkStart w:id="65" w:name="_Toc365831788"/>
      <w:bookmarkStart w:id="66" w:name="_Toc365831980"/>
      <w:r w:rsidRPr="00D00787">
        <w:rPr>
          <w:sz w:val="24"/>
          <w:szCs w:val="24"/>
          <w:u w:val="single"/>
        </w:rPr>
        <w:t>Operačný program Konkurencieschopnosť a hospodársky rast</w:t>
      </w:r>
      <w:bookmarkEnd w:id="65"/>
      <w:bookmarkEnd w:id="66"/>
    </w:p>
    <w:p w:rsidR="00085FA0" w:rsidRDefault="00246A48" w:rsidP="00085FA0">
      <w:pPr>
        <w:ind w:firstLine="340"/>
      </w:pPr>
      <w:r>
        <w:t>Vo vzťahu k VaI je z</w:t>
      </w:r>
      <w:r w:rsidR="00ED4E02" w:rsidRPr="000E1A05">
        <w:t xml:space="preserve">ákladom </w:t>
      </w:r>
      <w:r>
        <w:t>Operačného programu Konkurencieschopnosť a hospodársky rast (ďalej len „</w:t>
      </w:r>
      <w:r w:rsidR="00ED4E02" w:rsidRPr="000E1A05">
        <w:t>OP KaHR</w:t>
      </w:r>
      <w:r>
        <w:t>“)</w:t>
      </w:r>
      <w:r w:rsidR="00ED4E02" w:rsidRPr="000E1A05">
        <w:t xml:space="preserve">, ktorého riadiacim orgánom </w:t>
      </w:r>
      <w:r>
        <w:t xml:space="preserve">je </w:t>
      </w:r>
      <w:r w:rsidR="00ED4E02" w:rsidRPr="000E1A05">
        <w:t>Ministerstvo hospodárstva SR</w:t>
      </w:r>
      <w:r w:rsidR="00A74408">
        <w:t>,</w:t>
      </w:r>
      <w:r w:rsidR="00ED4E02" w:rsidRPr="000E1A05">
        <w:t xml:space="preserve"> prioritná os č.1 „Inovácie a rast konkurencieschopnosti“</w:t>
      </w:r>
      <w:r>
        <w:t xml:space="preserve">. </w:t>
      </w:r>
      <w:r w:rsidR="00ED4E02" w:rsidRPr="000E1A05">
        <w:t xml:space="preserve"> </w:t>
      </w:r>
      <w:r>
        <w:t>V</w:t>
      </w:r>
      <w:r w:rsidR="00ED4E02" w:rsidRPr="000E1A05">
        <w:t xml:space="preserve"> rámci </w:t>
      </w:r>
      <w:r>
        <w:t>nej</w:t>
      </w:r>
      <w:r w:rsidR="00ED4E02" w:rsidRPr="000E1A05">
        <w:t xml:space="preserve"> bolo doposiaľ podporených celkovo 456 projektov s</w:t>
      </w:r>
      <w:r>
        <w:t>o</w:t>
      </w:r>
      <w:r w:rsidR="00ED4E02" w:rsidRPr="000E1A05">
        <w:t xml:space="preserve"> zmluvne viazaným NFP </w:t>
      </w:r>
      <w:r w:rsidR="00553FED">
        <w:t>cca</w:t>
      </w:r>
      <w:r w:rsidR="00ED4E02" w:rsidRPr="000E1A05">
        <w:t xml:space="preserve"> 395 mil. EUR</w:t>
      </w:r>
      <w:r w:rsidR="00A74408">
        <w:t>, v čom je aj</w:t>
      </w:r>
      <w:r w:rsidR="00ED4E02" w:rsidRPr="000E1A05">
        <w:t xml:space="preserve"> </w:t>
      </w:r>
      <w:r w:rsidR="00085FA0" w:rsidRPr="000E1A05">
        <w:t xml:space="preserve"> 83 nových podnikov na území celého Slovenska.</w:t>
      </w:r>
    </w:p>
    <w:p w:rsidR="00ED4E02" w:rsidRPr="000E1A05" w:rsidRDefault="00ED4E02" w:rsidP="00ED4E02">
      <w:pPr>
        <w:spacing w:before="240"/>
        <w:ind w:firstLine="340"/>
      </w:pPr>
      <w:r w:rsidRPr="000E1A05">
        <w:t>Výsledkami projektov bolo zvýšenie počtu inovácií technológií a výrobkov v podnikoch a službách, prototypov a skúšok, inovácie systémov riadenia a pod.</w:t>
      </w:r>
      <w:r w:rsidR="00134F8E">
        <w:t xml:space="preserve"> </w:t>
      </w:r>
      <w:r w:rsidRPr="000E1A05">
        <w:t>Vzniklo</w:t>
      </w:r>
      <w:r w:rsidR="00134F8E">
        <w:t xml:space="preserve"> </w:t>
      </w:r>
      <w:r w:rsidRPr="000E1A05">
        <w:t>takmer 2</w:t>
      </w:r>
      <w:r w:rsidR="00246A48">
        <w:t xml:space="preserve"> </w:t>
      </w:r>
      <w:r w:rsidRPr="000E1A05">
        <w:t>000 nových</w:t>
      </w:r>
      <w:r w:rsidR="00134F8E">
        <w:t xml:space="preserve"> </w:t>
      </w:r>
      <w:r w:rsidRPr="000E1A05">
        <w:t>pracovných</w:t>
      </w:r>
      <w:r w:rsidR="00134F8E">
        <w:t xml:space="preserve"> </w:t>
      </w:r>
      <w:r w:rsidRPr="000E1A05">
        <w:t>miest.</w:t>
      </w:r>
      <w:r w:rsidR="00134F8E">
        <w:t xml:space="preserve"> </w:t>
      </w:r>
      <w:r w:rsidRPr="000E1A05">
        <w:t>Keďže</w:t>
      </w:r>
      <w:r w:rsidR="00134F8E">
        <w:t xml:space="preserve"> </w:t>
      </w:r>
      <w:r w:rsidRPr="000E1A05">
        <w:t>riešenie</w:t>
      </w:r>
      <w:r w:rsidR="00134F8E">
        <w:t xml:space="preserve"> </w:t>
      </w:r>
      <w:r w:rsidRPr="000E1A05">
        <w:t>projektov</w:t>
      </w:r>
      <w:r w:rsidR="00134F8E">
        <w:t xml:space="preserve"> </w:t>
      </w:r>
      <w:r w:rsidRPr="000E1A05">
        <w:t>stále</w:t>
      </w:r>
      <w:r w:rsidR="00134F8E">
        <w:t xml:space="preserve"> </w:t>
      </w:r>
      <w:r w:rsidRPr="000E1A05">
        <w:t>pokračuje,</w:t>
      </w:r>
      <w:r w:rsidR="00134F8E">
        <w:t xml:space="preserve"> </w:t>
      </w:r>
      <w:r w:rsidRPr="000E1A05">
        <w:t>je</w:t>
      </w:r>
      <w:r w:rsidR="00134F8E">
        <w:t xml:space="preserve"> </w:t>
      </w:r>
      <w:r w:rsidRPr="000E1A05">
        <w:t>možné v budúcnosti očakávať vytvorenie ďalších 2</w:t>
      </w:r>
      <w:r w:rsidR="00246A48">
        <w:t xml:space="preserve"> </w:t>
      </w:r>
      <w:r w:rsidRPr="000E1A05">
        <w:t>000 pracovných miest.</w:t>
      </w:r>
    </w:p>
    <w:p w:rsidR="00ED4E02" w:rsidRPr="000E1A05" w:rsidRDefault="00ED4E02" w:rsidP="00ED4E02">
      <w:pPr>
        <w:ind w:firstLine="340"/>
      </w:pPr>
      <w:r w:rsidRPr="000E1A05">
        <w:t>V rámci opatrenia „Inovácie a technologické</w:t>
      </w:r>
      <w:r w:rsidR="00134F8E">
        <w:t xml:space="preserve"> </w:t>
      </w:r>
      <w:r w:rsidRPr="000E1A05">
        <w:t>transfery“ orientovaného na inovácie a transfer technológií bolo podporených celkovo 403 projektov, z toho 376 projektov</w:t>
      </w:r>
      <w:r w:rsidR="00CC2E6A">
        <w:t xml:space="preserve"> </w:t>
      </w:r>
      <w:r w:rsidR="00246A48">
        <w:t xml:space="preserve">MSP, ktoré </w:t>
      </w:r>
      <w:r w:rsidRPr="000E1A05">
        <w:t>mali záujem najmä o nákup a obnovu technologického parku. Opatrenie je veľmi populárne a podnikateľskými</w:t>
      </w:r>
      <w:r w:rsidR="00134F8E">
        <w:t xml:space="preserve"> </w:t>
      </w:r>
      <w:r w:rsidRPr="000E1A05">
        <w:t>subjektmi využívané</w:t>
      </w:r>
      <w:r w:rsidR="00246A48">
        <w:t xml:space="preserve">. </w:t>
      </w:r>
      <w:r w:rsidRPr="000E1A05">
        <w:t xml:space="preserve"> </w:t>
      </w:r>
      <w:r w:rsidR="00F104BD">
        <w:t>Aj keď z</w:t>
      </w:r>
      <w:r w:rsidRPr="000E1A05">
        <w:t>droje neboli využité len na nákup high-tech technológií</w:t>
      </w:r>
      <w:r w:rsidR="00246A48">
        <w:t>,</w:t>
      </w:r>
      <w:r w:rsidR="00F104BD">
        <w:t xml:space="preserve"> opatrenie je hodnotené pozitívne, </w:t>
      </w:r>
      <w:r w:rsidR="00246A48">
        <w:t xml:space="preserve"> </w:t>
      </w:r>
      <w:r w:rsidR="00F104BD">
        <w:t xml:space="preserve"> keďže postup žiadateľov je spôsobený najmä súčasnou technologickou úrovňou podnikov na Slovensku. </w:t>
      </w:r>
      <w:r w:rsidRPr="000E1A05">
        <w:t xml:space="preserve"> </w:t>
      </w:r>
    </w:p>
    <w:p w:rsidR="00ED4E02" w:rsidRPr="000E1A05" w:rsidRDefault="00ED4E02" w:rsidP="00ED4E02">
      <w:pPr>
        <w:ind w:firstLine="340"/>
      </w:pPr>
      <w:r w:rsidRPr="000E1A05">
        <w:t xml:space="preserve">V rámci opatrenia „Podpora inovačných aktivít v podnikoch“ bolo podporených 42 projektov VaI, z toho 37 v prostredí </w:t>
      </w:r>
      <w:r w:rsidR="00246A48">
        <w:t xml:space="preserve">MSP </w:t>
      </w:r>
      <w:r w:rsidRPr="000E1A05">
        <w:t>a 4 projekty veľkých firiem.</w:t>
      </w:r>
    </w:p>
    <w:p w:rsidR="00ED4E02" w:rsidRPr="000E1A05" w:rsidRDefault="00ED4E02" w:rsidP="00ED4E02">
      <w:pPr>
        <w:ind w:firstLine="340"/>
      </w:pPr>
      <w:r w:rsidRPr="000E1A05">
        <w:t>Z prostriedkov OP KaHR boli podporované aj „Spoločné služby podnikateľom“ zamerané na podporu verejného sektora pri budovaní infraštruktúry pre rozvoj podnikania v oblasti priemyslu a služieb, najmä sektora mikro</w:t>
      </w:r>
      <w:r w:rsidR="002E276A">
        <w:t>podnikov a MSP.</w:t>
      </w:r>
      <w:r w:rsidRPr="000E1A05">
        <w:t xml:space="preserve"> Celkovo bolo podporených 11 projektov, výsledky ktorých by mali vytvoriť viac ako 3</w:t>
      </w:r>
      <w:r w:rsidR="00246A48">
        <w:t xml:space="preserve"> </w:t>
      </w:r>
      <w:r w:rsidRPr="000E1A05">
        <w:t>200 nových pracovných miest, najmä v priemyselných parkoch na Slovensku. Hlavným nedostatkom opatrenia bola nedostatočná synergia a komplementarita s ostatnými OP, prameniaca napr. v nedobudovanej cestnej infraštruktúre a iné.</w:t>
      </w:r>
    </w:p>
    <w:p w:rsidR="00ED4E02" w:rsidRPr="000E1A05" w:rsidRDefault="00246A48" w:rsidP="00ED4E02">
      <w:pPr>
        <w:ind w:firstLine="340"/>
      </w:pPr>
      <w:r>
        <w:t>S</w:t>
      </w:r>
      <w:r w:rsidRPr="000E1A05">
        <w:t xml:space="preserve"> cieľom zlepšiť financovanie podnikateľských aktivít </w:t>
      </w:r>
      <w:r w:rsidR="00ED4E02" w:rsidRPr="000E1A05">
        <w:t xml:space="preserve">OP KaHR </w:t>
      </w:r>
      <w:r>
        <w:t xml:space="preserve">plánuje </w:t>
      </w:r>
      <w:r w:rsidR="000A2B93">
        <w:t xml:space="preserve">aj </w:t>
      </w:r>
      <w:r>
        <w:t xml:space="preserve">využitie nástroja finančného inžinierstva  </w:t>
      </w:r>
      <w:r w:rsidR="00ED4E02" w:rsidRPr="000E1A05">
        <w:t>JEREMIE</w:t>
      </w:r>
      <w:r w:rsidR="002E276A">
        <w:t>, na ktorý je alokovaných</w:t>
      </w:r>
      <w:r>
        <w:t xml:space="preserve"> </w:t>
      </w:r>
      <w:r w:rsidR="00ED4E02" w:rsidRPr="000E1A05">
        <w:t xml:space="preserve">60 mil. EUR. </w:t>
      </w:r>
      <w:r w:rsidR="00983404">
        <w:t xml:space="preserve"> Z </w:t>
      </w:r>
      <w:r w:rsidR="001E5575">
        <w:t xml:space="preserve">procesu implementácie </w:t>
      </w:r>
      <w:r w:rsidR="00983404">
        <w:t xml:space="preserve"> vyplynuli </w:t>
      </w:r>
      <w:r w:rsidR="00ED4E02" w:rsidRPr="000E1A05">
        <w:t xml:space="preserve"> </w:t>
      </w:r>
      <w:r w:rsidR="00983404">
        <w:t xml:space="preserve">nasledovné </w:t>
      </w:r>
      <w:r w:rsidR="00ED4E02" w:rsidRPr="000E1A05">
        <w:t>slabé stránky:</w:t>
      </w:r>
    </w:p>
    <w:p w:rsidR="00ED4E02" w:rsidRPr="000E1A05" w:rsidRDefault="00ED4E02" w:rsidP="00791A72">
      <w:pPr>
        <w:pStyle w:val="Odsekzoznamu1"/>
        <w:numPr>
          <w:ilvl w:val="0"/>
          <w:numId w:val="11"/>
        </w:numPr>
        <w:spacing w:after="0"/>
        <w:ind w:left="1054" w:hanging="357"/>
      </w:pPr>
      <w:r w:rsidRPr="000E1A05">
        <w:t>nezvládnutý riadiaci proces v rámci iniciatívy JEREMIE z dôvodu nedostatočnej koordinácie (MF SR, MH SR, EIF, riadiace orgány jednotlivých operačných programov),</w:t>
      </w:r>
    </w:p>
    <w:p w:rsidR="00ED4E02" w:rsidRDefault="00ED4E02" w:rsidP="00791A72">
      <w:pPr>
        <w:pStyle w:val="Odsekzoznamu1"/>
        <w:numPr>
          <w:ilvl w:val="0"/>
          <w:numId w:val="10"/>
        </w:numPr>
        <w:spacing w:after="0"/>
        <w:ind w:left="1054" w:hanging="357"/>
      </w:pPr>
      <w:r w:rsidRPr="000E1A05">
        <w:lastRenderedPageBreak/>
        <w:t>zložitá byrokracia – administratívne zaťaženie ako na strane poskytovateľa</w:t>
      </w:r>
      <w:r w:rsidR="00983404">
        <w:t>,</w:t>
      </w:r>
      <w:r w:rsidRPr="000E1A05">
        <w:t xml:space="preserve"> tak </w:t>
      </w:r>
      <w:r w:rsidR="00983404">
        <w:t xml:space="preserve">aj </w:t>
      </w:r>
      <w:r w:rsidRPr="000E1A05">
        <w:t>na strane prijímateľa,</w:t>
      </w:r>
    </w:p>
    <w:p w:rsidR="001E5575" w:rsidRPr="000E1A05" w:rsidRDefault="001E5575" w:rsidP="00791A72">
      <w:pPr>
        <w:pStyle w:val="Odsekzoznamu1"/>
        <w:numPr>
          <w:ilvl w:val="0"/>
          <w:numId w:val="10"/>
        </w:numPr>
        <w:spacing w:after="0"/>
        <w:ind w:left="1054" w:hanging="357"/>
      </w:pPr>
      <w:r>
        <w:t>jednostranné zameranie na sektor MSP a nevyužitie potenciálu veľkých firiem</w:t>
      </w:r>
      <w:r w:rsidR="00983404">
        <w:t>,</w:t>
      </w:r>
    </w:p>
    <w:p w:rsidR="00ED4E02" w:rsidRPr="000E1A05" w:rsidRDefault="00ED4E02" w:rsidP="00791A72">
      <w:pPr>
        <w:pStyle w:val="Odsekzoznamu1"/>
        <w:numPr>
          <w:ilvl w:val="0"/>
          <w:numId w:val="10"/>
        </w:numPr>
        <w:spacing w:after="0"/>
        <w:ind w:left="1054" w:hanging="357"/>
      </w:pPr>
      <w:r w:rsidRPr="000E1A05">
        <w:t>nevhodný systém financovania</w:t>
      </w:r>
      <w:r w:rsidR="00983404">
        <w:t xml:space="preserve"> </w:t>
      </w:r>
      <w:r w:rsidRPr="000E1A05">
        <w:t>(refundácia oprávnených nákladov),</w:t>
      </w:r>
    </w:p>
    <w:p w:rsidR="002E276A" w:rsidRDefault="00ED4E02" w:rsidP="002E276A">
      <w:pPr>
        <w:pStyle w:val="Odsekzoznamu1"/>
        <w:numPr>
          <w:ilvl w:val="0"/>
          <w:numId w:val="10"/>
        </w:numPr>
        <w:spacing w:after="0"/>
        <w:ind w:left="1054" w:hanging="357"/>
      </w:pPr>
      <w:r w:rsidRPr="000E1A05">
        <w:t>nevhodne</w:t>
      </w:r>
      <w:r w:rsidR="00983404">
        <w:t xml:space="preserve"> </w:t>
      </w:r>
      <w:r w:rsidRPr="000E1A05">
        <w:t>(nejednoznačne) nastaven</w:t>
      </w:r>
      <w:r w:rsidR="002E276A">
        <w:t>ý systém verejného obstarávania,</w:t>
      </w:r>
    </w:p>
    <w:p w:rsidR="002E276A" w:rsidRDefault="00ED4E02" w:rsidP="002E276A">
      <w:pPr>
        <w:pStyle w:val="Odsekzoznamu1"/>
        <w:numPr>
          <w:ilvl w:val="0"/>
          <w:numId w:val="10"/>
        </w:numPr>
        <w:ind w:left="1054" w:hanging="357"/>
      </w:pPr>
      <w:r w:rsidRPr="000E1A05">
        <w:t>systém hodnoteni</w:t>
      </w:r>
      <w:r>
        <w:t xml:space="preserve">a programu zameraný viac na kvantitatívnu </w:t>
      </w:r>
      <w:r w:rsidRPr="000E1A05">
        <w:t>strá</w:t>
      </w:r>
      <w:r>
        <w:t xml:space="preserve">nku </w:t>
      </w:r>
      <w:r w:rsidRPr="000E1A05">
        <w:t>než na hodnotenie kvality</w:t>
      </w:r>
      <w:r w:rsidR="002E276A">
        <w:t>.</w:t>
      </w:r>
    </w:p>
    <w:p w:rsidR="00983404" w:rsidRPr="000E1A05" w:rsidRDefault="00ED4E02" w:rsidP="002E276A">
      <w:pPr>
        <w:pStyle w:val="Odsekzoznamu1"/>
        <w:ind w:left="0" w:firstLine="340"/>
      </w:pPr>
      <w:r w:rsidRPr="000E1A05">
        <w:t xml:space="preserve">Napriek </w:t>
      </w:r>
      <w:r w:rsidR="00983404">
        <w:t xml:space="preserve">tomu sa </w:t>
      </w:r>
      <w:r w:rsidRPr="000E1A05">
        <w:t>OP KaHR v rámci zabezpečovania rastu, konkurencieschopnosti a podpor</w:t>
      </w:r>
      <w:r w:rsidR="00983404">
        <w:t>y</w:t>
      </w:r>
      <w:r w:rsidRPr="000E1A05">
        <w:t xml:space="preserve"> tvorby pra</w:t>
      </w:r>
      <w:r>
        <w:t xml:space="preserve">covných miest </w:t>
      </w:r>
      <w:r w:rsidR="00983404">
        <w:t xml:space="preserve">principiálne </w:t>
      </w:r>
      <w:r>
        <w:t xml:space="preserve">darí napĺňať </w:t>
      </w:r>
      <w:r w:rsidR="002E276A">
        <w:t>svoje zámery a ciele.</w:t>
      </w:r>
      <w:r w:rsidR="00983404">
        <w:t xml:space="preserve"> </w:t>
      </w:r>
      <w:r w:rsidRPr="000E1A05">
        <w:t xml:space="preserve">OP KaHR </w:t>
      </w:r>
      <w:r w:rsidR="000A2B93">
        <w:t xml:space="preserve">vytvára </w:t>
      </w:r>
      <w:r w:rsidRPr="000E1A05">
        <w:t>pracovn</w:t>
      </w:r>
      <w:r w:rsidR="000A2B93">
        <w:t>é</w:t>
      </w:r>
      <w:r w:rsidRPr="000E1A05">
        <w:t xml:space="preserve"> miest</w:t>
      </w:r>
      <w:r w:rsidR="000A2B93">
        <w:t>a aj</w:t>
      </w:r>
      <w:r w:rsidRPr="000E1A05">
        <w:t xml:space="preserve"> pre znevýhodnené skupiny – mlad</w:t>
      </w:r>
      <w:r w:rsidR="00983404">
        <w:t>ých</w:t>
      </w:r>
      <w:r w:rsidRPr="000E1A05">
        <w:t xml:space="preserve"> nezamestnan</w:t>
      </w:r>
      <w:r w:rsidR="00983404">
        <w:t>ých</w:t>
      </w:r>
      <w:r w:rsidRPr="000E1A05">
        <w:t xml:space="preserve"> do </w:t>
      </w:r>
      <w:r w:rsidR="00983404">
        <w:t xml:space="preserve">veku </w:t>
      </w:r>
      <w:r w:rsidRPr="000E1A05">
        <w:t>29 rok</w:t>
      </w:r>
      <w:r w:rsidR="00983404">
        <w:t>ov</w:t>
      </w:r>
      <w:r w:rsidRPr="000E1A05">
        <w:t>.</w:t>
      </w:r>
      <w:r w:rsidR="00983404">
        <w:t xml:space="preserve"> </w:t>
      </w:r>
      <w:r w:rsidR="00983404" w:rsidRPr="000E1A05">
        <w:t xml:space="preserve">Na základe v súčasnosti prijatých žiadostí </w:t>
      </w:r>
      <w:r w:rsidR="00983404">
        <w:t xml:space="preserve">o NFP </w:t>
      </w:r>
      <w:r w:rsidR="00983404" w:rsidRPr="000E1A05">
        <w:t>je možné očakávať, že v rámci podpory inovácií a technologických transferov vznikne približne 1</w:t>
      </w:r>
      <w:r w:rsidR="00983404">
        <w:t xml:space="preserve"> </w:t>
      </w:r>
      <w:r w:rsidR="00983404" w:rsidRPr="000E1A05">
        <w:t>600 nových pracovných miest a v rámci podpory poskyto</w:t>
      </w:r>
      <w:r w:rsidR="002E276A">
        <w:t>vaných služieb cestovného ruchu</w:t>
      </w:r>
      <w:r w:rsidR="00983404">
        <w:t xml:space="preserve"> </w:t>
      </w:r>
      <w:r w:rsidR="00983404" w:rsidRPr="000E1A05">
        <w:t xml:space="preserve">320 nových pracovných miest </w:t>
      </w:r>
      <w:r w:rsidR="00983404">
        <w:t xml:space="preserve">práve pre </w:t>
      </w:r>
      <w:r w:rsidR="00983404" w:rsidRPr="000E1A05">
        <w:t>mladý</w:t>
      </w:r>
      <w:r w:rsidR="00983404">
        <w:t>ch</w:t>
      </w:r>
      <w:r w:rsidR="00983404" w:rsidRPr="000E1A05">
        <w:t xml:space="preserve"> ľu</w:t>
      </w:r>
      <w:r w:rsidR="00983404">
        <w:t>dí</w:t>
      </w:r>
      <w:r w:rsidR="00983404" w:rsidRPr="000E1A05">
        <w:t xml:space="preserve"> do </w:t>
      </w:r>
      <w:r w:rsidR="00983404">
        <w:t xml:space="preserve">veku </w:t>
      </w:r>
      <w:r w:rsidR="00983404" w:rsidRPr="000E1A05">
        <w:t>29 rokov.</w:t>
      </w:r>
    </w:p>
    <w:p w:rsidR="00ED4E02" w:rsidRPr="000E1A05" w:rsidRDefault="00ED4E02" w:rsidP="00ED4E02">
      <w:pPr>
        <w:ind w:firstLine="340"/>
      </w:pPr>
      <w:r w:rsidRPr="000E1A05">
        <w:t>Podpor</w:t>
      </w:r>
      <w:r w:rsidR="00983404">
        <w:t>a</w:t>
      </w:r>
      <w:r w:rsidRPr="000E1A05">
        <w:t xml:space="preserve"> projektov orientovaných na inovácie a rast konkurencieschopnosti so sebou prináša aj nárast pridanej hodnoty, nárast tržieb podporených podnikateľov či nárast súkromných investícií. V uvedených oblastiach je možné konštatovať fyzický pokrok, nakoľko podniky doposiaľ preinvestovali viac ako 188 mil. EUR z vlastných zdrojov, ich pridaná hodnota</w:t>
      </w:r>
      <w:r w:rsidR="00134F8E">
        <w:t xml:space="preserve"> </w:t>
      </w:r>
      <w:r w:rsidRPr="000E1A05">
        <w:t>v priemere</w:t>
      </w:r>
      <w:r w:rsidR="00134F8E">
        <w:t xml:space="preserve"> </w:t>
      </w:r>
      <w:r w:rsidRPr="000E1A05">
        <w:t>medziročne</w:t>
      </w:r>
      <w:r w:rsidR="00134F8E">
        <w:t xml:space="preserve"> </w:t>
      </w:r>
      <w:r w:rsidRPr="000E1A05">
        <w:t>vzrástla</w:t>
      </w:r>
      <w:r w:rsidR="00134F8E">
        <w:t xml:space="preserve"> </w:t>
      </w:r>
      <w:r w:rsidRPr="000E1A05">
        <w:t>o takmer</w:t>
      </w:r>
      <w:r w:rsidR="00134F8E">
        <w:t xml:space="preserve"> </w:t>
      </w:r>
      <w:r w:rsidRPr="000E1A05">
        <w:t>70</w:t>
      </w:r>
      <w:r w:rsidR="00134F8E">
        <w:t xml:space="preserve"> </w:t>
      </w:r>
      <w:r w:rsidRPr="000E1A05">
        <w:t>%</w:t>
      </w:r>
      <w:r w:rsidR="00134F8E">
        <w:t xml:space="preserve"> </w:t>
      </w:r>
      <w:r w:rsidR="00983404">
        <w:t xml:space="preserve">a </w:t>
      </w:r>
      <w:r w:rsidRPr="000E1A05">
        <w:t>tržby</w:t>
      </w:r>
      <w:r w:rsidR="00134F8E">
        <w:t xml:space="preserve"> </w:t>
      </w:r>
      <w:r w:rsidRPr="000E1A05">
        <w:t>vzrástli</w:t>
      </w:r>
      <w:r w:rsidR="00134F8E">
        <w:t xml:space="preserve"> </w:t>
      </w:r>
      <w:r w:rsidRPr="000E1A05">
        <w:t>medziročne o viac ako 110 %.</w:t>
      </w:r>
    </w:p>
    <w:p w:rsidR="009B4A3B" w:rsidRPr="00D019F9" w:rsidRDefault="009B4A3B" w:rsidP="002E276A">
      <w:pPr>
        <w:pStyle w:val="Nadpis3"/>
        <w:spacing w:after="240"/>
      </w:pPr>
      <w:bookmarkStart w:id="67" w:name="_Toc360576003"/>
      <w:bookmarkStart w:id="68" w:name="_Toc365831789"/>
      <w:bookmarkStart w:id="69" w:name="_Toc365831981"/>
      <w:bookmarkStart w:id="70" w:name="_Toc366744151"/>
      <w:r w:rsidRPr="00D019F9">
        <w:t>Riadenie inovačného procesu do roku 2013</w:t>
      </w:r>
      <w:bookmarkEnd w:id="67"/>
      <w:bookmarkEnd w:id="68"/>
      <w:bookmarkEnd w:id="69"/>
      <w:bookmarkEnd w:id="70"/>
    </w:p>
    <w:p w:rsidR="009B4A3B" w:rsidRPr="000E1A05" w:rsidRDefault="009B4A3B" w:rsidP="004661F6">
      <w:pPr>
        <w:ind w:firstLine="340"/>
      </w:pPr>
      <w:r w:rsidRPr="000E1A05">
        <w:t xml:space="preserve">Do roku 2006 neexistoval žiadny centrálny orgán, ktorý by problematiku inovácií zastrešoval. O konkrétnych opatreniach rozhodovali a implementovali ich rôzne orgány štátnej správy, najmä Ministerstvo školstva SR a Ministerstvo hospodárstva SR a nimi riadené agentúry. Takáto fragmentácia kompetencií spôsobovala nízku efektívnosť inovačného systému, ktorého charakteristickým znakom boli nedostatočne rozvinuté koordinačné a konzultačné mechanizmy zodpovedných inštitúcií. </w:t>
      </w:r>
      <w:r w:rsidR="00F035F6">
        <w:t>P</w:t>
      </w:r>
      <w:r w:rsidRPr="000E1A05">
        <w:t>roblém mala pomôcť riešiť Rada vlády SR pre vedu a techniku (zriadená uznesením vlády SR č. 277 zo dňa 29. marca 2006)</w:t>
      </w:r>
      <w:r w:rsidR="00D63446">
        <w:t>,</w:t>
      </w:r>
      <w:r w:rsidRPr="000E1A05">
        <w:t xml:space="preserve"> v ktorej boli zastúpené všetky zainteresované strany</w:t>
      </w:r>
      <w:r w:rsidR="00F035F6">
        <w:t>.</w:t>
      </w:r>
      <w:r w:rsidRPr="000E1A05">
        <w:t xml:space="preserve"> </w:t>
      </w:r>
      <w:r w:rsidR="00F035F6">
        <w:t>P</w:t>
      </w:r>
      <w:r w:rsidRPr="000E1A05">
        <w:t>ri</w:t>
      </w:r>
      <w:r w:rsidR="00F035F6">
        <w:t>t</w:t>
      </w:r>
      <w:r w:rsidRPr="000E1A05">
        <w:t xml:space="preserve">om je potrebné upozorniť na fakt, že výskumná obec </w:t>
      </w:r>
      <w:r w:rsidR="00F035F6">
        <w:t xml:space="preserve">aj </w:t>
      </w:r>
      <w:r w:rsidRPr="000E1A05">
        <w:t>priemyselné asociácie sa podieľali skôr na formulovaní štátnej vednej a technickej politiky než n</w:t>
      </w:r>
      <w:r w:rsidR="00D63446">
        <w:t xml:space="preserve">a príprave konkrétnych opatrení </w:t>
      </w:r>
      <w:r w:rsidRPr="000E1A05">
        <w:t>inovačnej politiky. Výsledkom bolo slabé prepojenie základného a aplikovaného výskumu a podnikateľského sektora. Rovnako nef</w:t>
      </w:r>
      <w:r w:rsidR="00D63446">
        <w:t>ungovala vertikálna koordinácia</w:t>
      </w:r>
      <w:r w:rsidRPr="000E1A05">
        <w:t xml:space="preserve"> medzi národným a regionálnym inovačným systémom. Pre zefektívnenie vyššie uvedených činností bola dňa 2. februára 2011</w:t>
      </w:r>
      <w:r w:rsidR="00134F8E">
        <w:t xml:space="preserve"> </w:t>
      </w:r>
      <w:r w:rsidRPr="000E1A05">
        <w:t xml:space="preserve">zriadená vládna entita pre koordináciu vzdelanostnej ekonomiky v podobe </w:t>
      </w:r>
      <w:r w:rsidR="00F035F6">
        <w:t>s</w:t>
      </w:r>
      <w:r w:rsidRPr="000E1A05">
        <w:t>plnomocnenca vlády SR pre vedomostnú ekonomiku.</w:t>
      </w:r>
    </w:p>
    <w:p w:rsidR="009B4A3B" w:rsidRPr="000E1A05" w:rsidRDefault="009B4A3B" w:rsidP="005332A3">
      <w:pPr>
        <w:ind w:firstLine="340"/>
      </w:pPr>
      <w:r w:rsidRPr="000E1A05">
        <w:t>Vláda SR v snahe rozvinúť systém inovačnej vládnej politiky schválila v marci 2007 Inovačnú stratégiu SR na roky 2007 až 2013 (ďalej len „IS SR“)</w:t>
      </w:r>
      <w:r w:rsidR="00F035F6">
        <w:t>,</w:t>
      </w:r>
      <w:r w:rsidRPr="000E1A05">
        <w:t xml:space="preserve">  vo februári 2008 Inovačnú politiku SR na roky 2008 až 2010 </w:t>
      </w:r>
      <w:r w:rsidRPr="00F104BD">
        <w:t>a</w:t>
      </w:r>
      <w:r w:rsidR="00F035F6" w:rsidRPr="00F104BD">
        <w:t> následne</w:t>
      </w:r>
      <w:r w:rsidR="00F035F6">
        <w:t xml:space="preserve"> </w:t>
      </w:r>
      <w:r w:rsidRPr="000E1A05">
        <w:t>Inovačnú politik</w:t>
      </w:r>
      <w:r w:rsidR="00F035F6">
        <w:t>u</w:t>
      </w:r>
      <w:r w:rsidR="00D63446">
        <w:t xml:space="preserve"> na roky 2011 – </w:t>
      </w:r>
      <w:r w:rsidRPr="000E1A05">
        <w:t>2013 (ďalej len „IP SR“), ktoré celoštátne zastrešujú problematiku inovácií ako jeden zo strategických nástrojov budovania znalostnej ekonomiky a zabezpečovania hospodárskeho rastu</w:t>
      </w:r>
      <w:r w:rsidR="00F104BD">
        <w:t xml:space="preserve"> </w:t>
      </w:r>
      <w:r w:rsidR="00F035F6">
        <w:t>SR</w:t>
      </w:r>
      <w:r w:rsidRPr="000E1A05">
        <w:t>. Inovačná stratégia a inovačné politiky vytvorili komplexný rámec podpory inovácií.</w:t>
      </w:r>
    </w:p>
    <w:p w:rsidR="009B4A3B" w:rsidRPr="000E1A05" w:rsidRDefault="009B4A3B" w:rsidP="005332A3">
      <w:pPr>
        <w:ind w:firstLine="340"/>
      </w:pPr>
      <w:r w:rsidRPr="000E1A05">
        <w:t xml:space="preserve">Vláda v sledovanom období vzhľadom na finančnú a hospodársku krízu použila finančné zdroje štátneho rozpočtu najmä na opatrenia zamerané na subvencovanie pracovných miest a celkový prístup k zachovaniu zamestnanosti. </w:t>
      </w:r>
      <w:r w:rsidR="00F035F6">
        <w:t>F</w:t>
      </w:r>
      <w:r w:rsidRPr="000E1A05">
        <w:t>inančné</w:t>
      </w:r>
      <w:r w:rsidR="00134F8E">
        <w:t xml:space="preserve"> </w:t>
      </w:r>
      <w:r w:rsidRPr="000E1A05">
        <w:t>zdroje</w:t>
      </w:r>
      <w:r w:rsidR="00F035F6">
        <w:t xml:space="preserve"> však neboli dostatočné</w:t>
      </w:r>
      <w:r w:rsidRPr="000E1A05">
        <w:t xml:space="preserve">, </w:t>
      </w:r>
      <w:r w:rsidR="00F035F6">
        <w:t xml:space="preserve">preto ani </w:t>
      </w:r>
      <w:r w:rsidRPr="000E1A05">
        <w:t xml:space="preserve"> podpora </w:t>
      </w:r>
      <w:r w:rsidR="00F035F6">
        <w:t xml:space="preserve">nebola </w:t>
      </w:r>
      <w:r w:rsidR="00BB0098">
        <w:t xml:space="preserve">poskytnutá </w:t>
      </w:r>
      <w:r w:rsidRPr="000E1A05">
        <w:t>v pôvodne uvažova</w:t>
      </w:r>
      <w:r w:rsidR="00BB0098">
        <w:t xml:space="preserve">nej miere </w:t>
      </w:r>
      <w:r w:rsidRPr="000E1A05">
        <w:t>a neboli realizované mnohé</w:t>
      </w:r>
      <w:r w:rsidR="00BB0098">
        <w:t xml:space="preserve">, </w:t>
      </w:r>
      <w:r w:rsidRPr="000E1A05">
        <w:t xml:space="preserve"> aj nízkonákladové opatrenia financované zo zdrojov štátneho rozpočtu</w:t>
      </w:r>
      <w:r w:rsidR="00F035F6">
        <w:t>,</w:t>
      </w:r>
      <w:r w:rsidR="00BB0098">
        <w:t xml:space="preserve"> </w:t>
      </w:r>
      <w:r w:rsidRPr="000E1A05">
        <w:t xml:space="preserve"> pri ktorých bol predpoklad záujmu podnikateľov (napr. </w:t>
      </w:r>
      <w:r w:rsidR="00BB0098">
        <w:t>i</w:t>
      </w:r>
      <w:r w:rsidRPr="000E1A05">
        <w:t xml:space="preserve">novačné vouchre). </w:t>
      </w:r>
      <w:r w:rsidR="00BB0098">
        <w:t>Implementovali sa h</w:t>
      </w:r>
      <w:r w:rsidRPr="000E1A05">
        <w:t xml:space="preserve">lavné opatrenia </w:t>
      </w:r>
      <w:r w:rsidR="00BB0098">
        <w:t xml:space="preserve"> </w:t>
      </w:r>
      <w:r w:rsidRPr="000E1A05">
        <w:t>zo zdrojov</w:t>
      </w:r>
      <w:r w:rsidR="00BB0098">
        <w:t xml:space="preserve"> OP NSRR</w:t>
      </w:r>
      <w:r w:rsidRPr="000E1A05">
        <w:t xml:space="preserve">. </w:t>
      </w:r>
    </w:p>
    <w:p w:rsidR="009B4A3B" w:rsidRPr="000E1A05" w:rsidRDefault="009B4A3B" w:rsidP="005332A3">
      <w:pPr>
        <w:ind w:firstLine="340"/>
      </w:pPr>
      <w:r w:rsidRPr="000E1A05">
        <w:t xml:space="preserve">Okrem toho bol </w:t>
      </w:r>
      <w:r w:rsidR="00134F8E">
        <w:t>výskum a vývoj</w:t>
      </w:r>
      <w:r w:rsidRPr="000E1A05">
        <w:t xml:space="preserve"> podporovaný realizáci</w:t>
      </w:r>
      <w:r w:rsidR="00BB0098">
        <w:t>ou</w:t>
      </w:r>
      <w:r w:rsidRPr="000E1A05">
        <w:t xml:space="preserve"> štátnej vednej a technickej politiky, </w:t>
      </w:r>
      <w:r w:rsidR="00BB0098">
        <w:t xml:space="preserve"> </w:t>
      </w:r>
      <w:r w:rsidRPr="000E1A05">
        <w:t>pričom sa prioritne podporoval základný výskum</w:t>
      </w:r>
      <w:r w:rsidRPr="00195E85">
        <w:t>.</w:t>
      </w:r>
      <w:r w:rsidR="00497D9B">
        <w:t xml:space="preserve"> </w:t>
      </w:r>
      <w:r w:rsidRPr="00195E85">
        <w:t>V roku 2006 bola</w:t>
      </w:r>
      <w:r w:rsidRPr="000E1A05">
        <w:t xml:space="preserve"> schválená Štátna vedná a technická politika do roku </w:t>
      </w:r>
      <w:r w:rsidRPr="000E1A05">
        <w:lastRenderedPageBreak/>
        <w:t>2015, v</w:t>
      </w:r>
      <w:r w:rsidR="00497D9B">
        <w:t xml:space="preserve"> </w:t>
      </w:r>
      <w:r w:rsidRPr="000E1A05">
        <w:t>ktorej boli u</w:t>
      </w:r>
      <w:r w:rsidR="00191DF8">
        <w:t>r</w:t>
      </w:r>
      <w:r w:rsidRPr="000E1A05">
        <w:t xml:space="preserve">čené priority </w:t>
      </w:r>
      <w:r w:rsidR="00134F8E">
        <w:t>výskumu a vývoja</w:t>
      </w:r>
      <w:r w:rsidRPr="000E1A05">
        <w:t xml:space="preserve">. Hlavným nedostatkom bolo určenie veľkého množstva priorít (12) </w:t>
      </w:r>
      <w:r w:rsidR="00BB0098">
        <w:t xml:space="preserve">a </w:t>
      </w:r>
      <w:r w:rsidRPr="000E1A05">
        <w:t>orientácia prioritne na základný výskum bez napojenia na inovačnú stratégiu.</w:t>
      </w:r>
    </w:p>
    <w:p w:rsidR="00F75A62" w:rsidRDefault="009B4A3B" w:rsidP="005332A3">
      <w:pPr>
        <w:ind w:firstLine="340"/>
      </w:pPr>
      <w:r w:rsidRPr="000E1A05">
        <w:t>Hlavným zdrojom financovania inovačných aktivít a výskumu a</w:t>
      </w:r>
      <w:r w:rsidR="00231DE0">
        <w:t> </w:t>
      </w:r>
      <w:r w:rsidRPr="000E1A05">
        <w:t>vývoja</w:t>
      </w:r>
      <w:r w:rsidR="00231DE0">
        <w:t xml:space="preserve"> </w:t>
      </w:r>
      <w:r w:rsidRPr="00195E85">
        <w:t>zostali</w:t>
      </w:r>
      <w:r w:rsidR="00231DE0">
        <w:t xml:space="preserve"> </w:t>
      </w:r>
      <w:r w:rsidRPr="000E1A05">
        <w:t xml:space="preserve">štrukturálne fondy cez prioritné osi </w:t>
      </w:r>
      <w:r w:rsidR="00BB0098">
        <w:t xml:space="preserve"> </w:t>
      </w:r>
      <w:r w:rsidRPr="000E1A05">
        <w:t xml:space="preserve">OP KaHR (MH SR) a </w:t>
      </w:r>
      <w:r w:rsidR="00BB0098">
        <w:t xml:space="preserve">OP VaV </w:t>
      </w:r>
      <w:r w:rsidR="00191DF8">
        <w:t xml:space="preserve">(MŠVVaŠ SR), </w:t>
      </w:r>
      <w:r w:rsidRPr="000E1A05">
        <w:t>implementované prostredníctvom niekoľkých implementačných agentúr</w:t>
      </w:r>
      <w:r w:rsidR="00BB0098">
        <w:t>:</w:t>
      </w:r>
      <w:r w:rsidRPr="000E1A05">
        <w:t xml:space="preserve"> OP KaHR prostredníctvom SIEA, NADSME, SARIO a SACR. Tento roztrieštený systém vykazoval implementačné nedostatky</w:t>
      </w:r>
      <w:r w:rsidR="00BB0098">
        <w:t xml:space="preserve">, preto </w:t>
      </w:r>
      <w:r w:rsidRPr="000E1A05">
        <w:t>v roku 2012 doš</w:t>
      </w:r>
      <w:r w:rsidR="00191DF8">
        <w:t>lo k prechodu práv a povinností</w:t>
      </w:r>
      <w:r w:rsidR="00BB0098">
        <w:t xml:space="preserve">: </w:t>
      </w:r>
      <w:r w:rsidRPr="000E1A05">
        <w:t xml:space="preserve"> jedinou implementačnou agentúrou pre oblasť inovácií a energetiky sa stala SIEA a pre oblasť cestovného ruchu SACR. Došlo tak k výraznému zefektívneniu systému a sprehľadneniu informačných tokov. V prípade OP </w:t>
      </w:r>
      <w:r w:rsidR="00134F8E">
        <w:t xml:space="preserve">VaV </w:t>
      </w:r>
      <w:r w:rsidRPr="000E1A05">
        <w:t>je implementačnou agentúrou ASFEU, pre národné projekty Sekcia štrukturálnych fondov MŠVVaŠ SR.</w:t>
      </w:r>
      <w:r w:rsidR="00F75A62">
        <w:t xml:space="preserve"> </w:t>
      </w:r>
    </w:p>
    <w:p w:rsidR="00F75A62" w:rsidRDefault="00F75A62" w:rsidP="005332A3">
      <w:pPr>
        <w:ind w:firstLine="340"/>
      </w:pPr>
      <w:r>
        <w:t xml:space="preserve">Obidve ministerstvá a taktiež ich agentúry </w:t>
      </w:r>
      <w:r w:rsidR="00191DF8">
        <w:t>–</w:t>
      </w:r>
      <w:r w:rsidR="00277AEF">
        <w:t xml:space="preserve"> na základe rigidného výkladu kompetenčného zákona </w:t>
      </w:r>
      <w:r w:rsidR="00191DF8">
        <w:t>–</w:t>
      </w:r>
      <w:r w:rsidR="00277AEF">
        <w:t xml:space="preserve"> </w:t>
      </w:r>
      <w:r>
        <w:t>málo kooperujú, čím</w:t>
      </w:r>
      <w:r w:rsidR="00E13039">
        <w:t xml:space="preserve"> </w:t>
      </w:r>
      <w:r>
        <w:t xml:space="preserve">vzniká fragmentácia podpory </w:t>
      </w:r>
      <w:r w:rsidRPr="00F104BD">
        <w:t>a duplicity.</w:t>
      </w:r>
      <w:r>
        <w:t xml:space="preserve"> </w:t>
      </w:r>
    </w:p>
    <w:p w:rsidR="009B4A3B" w:rsidRPr="000E1A05" w:rsidRDefault="009B4A3B" w:rsidP="005332A3">
      <w:pPr>
        <w:ind w:firstLine="340"/>
      </w:pPr>
      <w:r w:rsidRPr="000E1A05">
        <w:t>V regiónoch SR nemajú vyššie územné celky (VÚC) inštitucionálne vybudované inovačné štruktúry, neexistuje systém riadenia a usmerňovania štátnej inovačnej politiky a regionálnych inovačných stratégií, ako aj inštitucionálny rámec pre účinnejšie prepojenie rozvoja priemyslu a vybraných služieb s výsledkami výskumu, vývoja a inováci</w:t>
      </w:r>
      <w:r w:rsidR="00277AEF">
        <w:t>í</w:t>
      </w:r>
      <w:r w:rsidRPr="000E1A05">
        <w:t xml:space="preserve"> v praxi.</w:t>
      </w:r>
    </w:p>
    <w:p w:rsidR="00191DF8" w:rsidRPr="000E1A05" w:rsidRDefault="009B4A3B" w:rsidP="00F7206E">
      <w:pPr>
        <w:ind w:firstLine="340"/>
      </w:pPr>
      <w:r w:rsidRPr="000E1A05">
        <w:t xml:space="preserve">Preto </w:t>
      </w:r>
      <w:r w:rsidR="00277AEF">
        <w:t xml:space="preserve">MH SR </w:t>
      </w:r>
      <w:r w:rsidRPr="000E1A05">
        <w:t xml:space="preserve">s </w:t>
      </w:r>
      <w:r w:rsidR="00277AEF">
        <w:t xml:space="preserve">MŠVVŠ </w:t>
      </w:r>
      <w:r w:rsidRPr="000E1A05">
        <w:t>SR a Ministerstvo práce, sociálnych vecí a rodiny SR spolupracovalo na projekte vytvorenia a vybudovania regionálnych inovačných centier</w:t>
      </w:r>
      <w:r w:rsidR="00277AEF">
        <w:t xml:space="preserve"> </w:t>
      </w:r>
      <w:r w:rsidRPr="000E1A05">
        <w:t xml:space="preserve"> (RIC) v rámci OP KaHR, OP VaV a </w:t>
      </w:r>
      <w:r w:rsidR="00277AEF">
        <w:t xml:space="preserve">OP </w:t>
      </w:r>
      <w:r w:rsidRPr="000E1A05">
        <w:t>Zamestnanosť a sociálna inklúzia (OP</w:t>
      </w:r>
      <w:r w:rsidR="00277AEF">
        <w:t xml:space="preserve"> </w:t>
      </w:r>
      <w:r w:rsidRPr="000E1A05">
        <w:t>ZaSI).</w:t>
      </w:r>
      <w:r w:rsidR="00277AEF">
        <w:t xml:space="preserve"> </w:t>
      </w:r>
      <w:r w:rsidR="00277AEF" w:rsidRPr="000E1A05">
        <w:t>Zámerom bolo zabezpečiť implementáciu regionálnej a štátnej inovačnej politiky v regiónoch, s cieľom zabezpečiť zvýšenie konkurencieschopnosti, znižovanie regionálnych rozdielov a zvyšovanie regionálnej miery zamestnanosti prostredníctvom rozvoja inovačných nástrojov na regionálnej úrovni.</w:t>
      </w:r>
      <w:r w:rsidR="00277AEF">
        <w:t xml:space="preserve"> </w:t>
      </w:r>
      <w:r w:rsidRPr="000E1A05">
        <w:t>Vláda SR uznesením č. 256 z 20. apríla 2011 k Národnému programu reforiem SR 2011 až 201</w:t>
      </w:r>
      <w:r w:rsidR="00277AEF">
        <w:t>4</w:t>
      </w:r>
      <w:r w:rsidRPr="000E1A05">
        <w:t>, bod D.1., budovanie RIC zastavila. Hlavným dôvodom bola nedostatočná preukázateľnosť trvalej udržateľnosti projektu v závislosti od podmienok financovania z ERDF, ako aj nedoriešené otázky vyplývajúce z nariadenia Rady (ES) č. 1083/2006, napr. otázka riešenia finančných vzťahov vyplývajúcich z problematiky projektu generujúceho príjem a nadväzne na to vznik rizika neoprávneného poskytovania štátnej pomoci pre komerčnú</w:t>
      </w:r>
      <w:r w:rsidR="00134F8E">
        <w:t xml:space="preserve"> </w:t>
      </w:r>
      <w:r w:rsidR="00191DF8">
        <w:t>sféru. Ako kritická</w:t>
      </w:r>
      <w:r w:rsidRPr="000E1A05">
        <w:t xml:space="preserve"> sa javila pomalá implementácia a nedostatočná koordinácia a konsenzus medzi relevantnými ministerstvami. </w:t>
      </w:r>
    </w:p>
    <w:p w:rsidR="009B4A3B" w:rsidRPr="00D019F9" w:rsidRDefault="009B4A3B" w:rsidP="00952814">
      <w:pPr>
        <w:pStyle w:val="Nadpis2"/>
      </w:pPr>
      <w:bookmarkStart w:id="71" w:name="_Toc360576005"/>
      <w:bookmarkStart w:id="72" w:name="_TOC_250016"/>
      <w:bookmarkStart w:id="73" w:name="_Toc365831790"/>
      <w:bookmarkStart w:id="74" w:name="_Toc365831982"/>
      <w:bookmarkStart w:id="75" w:name="_Toc366744152"/>
      <w:r w:rsidRPr="00D019F9">
        <w:t>Podnikateľský sektor a inováci</w:t>
      </w:r>
      <w:r w:rsidR="00952814">
        <w:t>e</w:t>
      </w:r>
      <w:bookmarkEnd w:id="71"/>
      <w:bookmarkEnd w:id="72"/>
      <w:bookmarkEnd w:id="73"/>
      <w:bookmarkEnd w:id="74"/>
      <w:bookmarkEnd w:id="75"/>
    </w:p>
    <w:p w:rsidR="00952814" w:rsidRDefault="00952814" w:rsidP="00952814">
      <w:pPr>
        <w:pStyle w:val="Nadpis3"/>
      </w:pPr>
      <w:bookmarkStart w:id="76" w:name="_Toc365831791"/>
      <w:bookmarkStart w:id="77" w:name="_Toc365831983"/>
      <w:bookmarkStart w:id="78" w:name="_Toc366744153"/>
      <w:r>
        <w:t>Malé a stredné podniky</w:t>
      </w:r>
      <w:bookmarkEnd w:id="76"/>
      <w:bookmarkEnd w:id="77"/>
      <w:bookmarkEnd w:id="78"/>
    </w:p>
    <w:p w:rsidR="001112F4" w:rsidRDefault="001112F4" w:rsidP="005332A3">
      <w:pPr>
        <w:spacing w:before="100" w:beforeAutospacing="1" w:after="100" w:afterAutospacing="1"/>
        <w:ind w:firstLine="426"/>
      </w:pPr>
      <w:bookmarkStart w:id="79" w:name="_Toc360576006"/>
      <w:r>
        <w:t>Významným parametrom inovačnej výkonnosti krajiny je aj kondícia</w:t>
      </w:r>
      <w:r w:rsidR="00191DF8">
        <w:t xml:space="preserve"> </w:t>
      </w:r>
      <w:r w:rsidR="00277AEF">
        <w:t>MSP</w:t>
      </w:r>
      <w:r>
        <w:t xml:space="preserve">, </w:t>
      </w:r>
      <w:r w:rsidR="00277AEF">
        <w:t xml:space="preserve">keďže </w:t>
      </w:r>
      <w:r>
        <w:t xml:space="preserve">slovenská ekonomika je charakterizovaná práve </w:t>
      </w:r>
      <w:r w:rsidR="00277AEF">
        <w:t>dominanciou</w:t>
      </w:r>
      <w:r w:rsidR="00277AEF" w:rsidDel="00277AEF">
        <w:t xml:space="preserve"> </w:t>
      </w:r>
      <w:r>
        <w:t>MSP</w:t>
      </w:r>
      <w:bookmarkStart w:id="80" w:name="_ftnref1"/>
      <w:r w:rsidR="00340117">
        <w:fldChar w:fldCharType="begin"/>
      </w:r>
      <w:r>
        <w:instrText xml:space="preserve"> HYPERLINK "javascript:parent.onLocalLink('_ftn1',window.frameElement)" \o "" </w:instrText>
      </w:r>
      <w:r w:rsidR="00340117">
        <w:fldChar w:fldCharType="separate"/>
      </w:r>
      <w:r w:rsidRPr="001112F4">
        <w:rPr>
          <w:rStyle w:val="Hypertextovprepojenie"/>
          <w:sz w:val="22"/>
          <w:szCs w:val="22"/>
          <w:vertAlign w:val="superscript"/>
        </w:rPr>
        <w:t>[1]</w:t>
      </w:r>
      <w:r w:rsidR="00340117">
        <w:fldChar w:fldCharType="end"/>
      </w:r>
      <w:bookmarkEnd w:id="80"/>
      <w:r>
        <w:t xml:space="preserve">. </w:t>
      </w:r>
      <w:r w:rsidR="00277AEF">
        <w:t xml:space="preserve">Tie </w:t>
      </w:r>
      <w:r>
        <w:t>tvoria 99,9</w:t>
      </w:r>
      <w:r w:rsidR="00277AEF">
        <w:t xml:space="preserve"> </w:t>
      </w:r>
      <w:r>
        <w:t>% podnikov SR, pričom vytvára</w:t>
      </w:r>
      <w:r w:rsidR="00277AEF">
        <w:t>jú</w:t>
      </w:r>
      <w:r>
        <w:t xml:space="preserve"> 77,2 % pracovných miest v súkromnom sektore</w:t>
      </w:r>
      <w:bookmarkStart w:id="81" w:name="_ftnref2"/>
      <w:r w:rsidR="00340117">
        <w:fldChar w:fldCharType="begin"/>
      </w:r>
      <w:r>
        <w:instrText xml:space="preserve"> HYPERLINK "javascript:parent.onLocalLink('_ftn2',window.frameElement)" \o "" </w:instrText>
      </w:r>
      <w:r w:rsidR="00340117">
        <w:fldChar w:fldCharType="separate"/>
      </w:r>
      <w:r w:rsidRPr="001112F4">
        <w:rPr>
          <w:rStyle w:val="Hypertextovprepojenie"/>
          <w:sz w:val="22"/>
          <w:szCs w:val="22"/>
          <w:vertAlign w:val="superscript"/>
        </w:rPr>
        <w:t>[2]</w:t>
      </w:r>
      <w:r w:rsidR="00340117">
        <w:fldChar w:fldCharType="end"/>
      </w:r>
      <w:bookmarkEnd w:id="81"/>
      <w:r>
        <w:t xml:space="preserve">. Metodika Štatistického úradu SR nezohľadňuje triedenie v zmysle odporúčania Komisie2003/361/ES zo 6. mája 2003 o definícii </w:t>
      </w:r>
      <w:r w:rsidR="00277AEF">
        <w:t xml:space="preserve">MSP </w:t>
      </w:r>
      <w:r>
        <w:t>(Ú.v.</w:t>
      </w:r>
      <w:r w:rsidR="00191DF8">
        <w:t xml:space="preserve"> </w:t>
      </w:r>
      <w:r>
        <w:t>ESL124,</w:t>
      </w:r>
      <w:r w:rsidR="00191DF8">
        <w:t xml:space="preserve"> </w:t>
      </w:r>
      <w:r>
        <w:t>20.5.2003,</w:t>
      </w:r>
      <w:r w:rsidR="00191DF8">
        <w:t xml:space="preserve"> </w:t>
      </w:r>
      <w:r>
        <w:t>s.36), ale triedi podniky len s ohľadom na počet zamestnancov, nie na základe vlastníckej štruktúry. Pri zohľadnení odporúčania by sa časť MSP vzhľadom na ich vlastnícku štruktúru preklasifikovala na veľké podniky. Vzhľadom</w:t>
      </w:r>
      <w:r w:rsidR="00191DF8">
        <w:t xml:space="preserve"> </w:t>
      </w:r>
      <w:r w:rsidR="00277AEF">
        <w:t>na</w:t>
      </w:r>
      <w:r>
        <w:t> uveden</w:t>
      </w:r>
      <w:r w:rsidR="00277AEF">
        <w:t>ú skutočnosť</w:t>
      </w:r>
      <w:r>
        <w:t xml:space="preserve"> je v analytickej časti </w:t>
      </w:r>
      <w:r w:rsidR="00277AEF">
        <w:t xml:space="preserve">možné </w:t>
      </w:r>
      <w:r>
        <w:t>uvádzať len triedenie s ohľadom na kritérium počtu zamestnancov, čím dochádza k čiastočnému skresleniu výsledných analýz.</w:t>
      </w:r>
    </w:p>
    <w:p w:rsidR="00CB2F10" w:rsidRDefault="001112F4" w:rsidP="00191DF8">
      <w:pPr>
        <w:spacing w:before="100" w:beforeAutospacing="1" w:after="100" w:afterAutospacing="1"/>
        <w:ind w:firstLine="426"/>
      </w:pPr>
      <w:r>
        <w:t xml:space="preserve">Z tohto pohľadu bolo z celkového počtu 552 223 podnikateľských subjektov evidovaných ku koncu r. 2012, </w:t>
      </w:r>
      <w:r w:rsidR="00277AEF">
        <w:t xml:space="preserve">celkom </w:t>
      </w:r>
      <w:r>
        <w:t xml:space="preserve">615 veľkých podnikov, resp. </w:t>
      </w:r>
      <w:r w:rsidR="00277AEF">
        <w:t>pri uplatnení kritéria obratu</w:t>
      </w:r>
      <w:hyperlink r:id="rId12" w:history="1">
        <w:r w:rsidR="00277AEF">
          <w:rPr>
            <w:rStyle w:val="Hypertextovprepojenie"/>
            <w:sz w:val="22"/>
            <w:szCs w:val="22"/>
            <w:vertAlign w:val="superscript"/>
          </w:rPr>
          <w:t>[3]</w:t>
        </w:r>
      </w:hyperlink>
      <w:r w:rsidR="00191DF8">
        <w:t xml:space="preserve"> 438 veľkých podnikov</w:t>
      </w:r>
      <w:r>
        <w:t>. Prevládajúcou právnou formou MSP sú podnikatelia – fyzické osoby, ktorí tvoria 70</w:t>
      </w:r>
      <w:r w:rsidR="00277AEF">
        <w:t xml:space="preserve"> </w:t>
      </w:r>
      <w:r>
        <w:t>% MSP. Táto kategória sa skladá zo živnostníkov, podnikateľov v oblasti slobodných povolaní a samostatne hospodáriacich roľníkov. Hlavný rast počtu podnikateľov – fyzických osôb nastal osobitne po roku 2003 po zavedení tzv. rovnej dane a z nej rezultujúcich preferenčných daňovo-odvodových sadzieb pre tento segment ekonomiky. Istá korekcia</w:t>
      </w:r>
      <w:r w:rsidR="00277AEF">
        <w:t xml:space="preserve"> -</w:t>
      </w:r>
      <w:r>
        <w:t xml:space="preserve"> </w:t>
      </w:r>
      <w:r>
        <w:lastRenderedPageBreak/>
        <w:t>zreálnenie počtu podnikateľských subjektov nastáva až v roku 2013 schválenou zmenou výšky odvodových sadzieb.</w:t>
      </w:r>
      <w:r w:rsidR="00CB2F10">
        <w:t xml:space="preserve"> V </w:t>
      </w:r>
      <w:r w:rsidR="00CB2F10" w:rsidRPr="00933AC0">
        <w:t>poslednom období (od r. 2008) sa posilňuje trend zvyšovania počtu mikropodnikov</w:t>
      </w:r>
      <w:r w:rsidR="00CB2F10">
        <w:t xml:space="preserve"> (do 10 zamestnancov)</w:t>
      </w:r>
      <w:r w:rsidR="00CB2F10" w:rsidRPr="00933AC0">
        <w:t xml:space="preserve"> presunom podnikov z vyšších veľkostných kategórií MSP</w:t>
      </w:r>
      <w:r w:rsidR="00784BD4">
        <w:t>, ktorý je spojený s útlmom podnikateľských aktivít, znižovaním konkurencieschopnosti a ohrozením ekonomickej udržateľnosti podnikov</w:t>
      </w:r>
      <w:r w:rsidR="00CB2F10" w:rsidRPr="00933AC0">
        <w:t xml:space="preserve">. S ohľadom na dosiahnutie cieľov RIS3 SK existuje potenciál hlavne v kategóriách </w:t>
      </w:r>
      <w:r w:rsidR="00BF1FEA">
        <w:t xml:space="preserve">MSP </w:t>
      </w:r>
      <w:r w:rsidR="00CB2F10" w:rsidRPr="00933AC0">
        <w:t>(nad 10 zamestnancov)</w:t>
      </w:r>
      <w:r w:rsidR="00784BD4">
        <w:t>, čo však nevylučuje podporu inovačných aktivít aj v kategórii mikropodnikov.</w:t>
      </w:r>
      <w:r w:rsidR="00D77F74">
        <w:t xml:space="preserve"> V nadväznosti na uvedený trend zvyšovania počtu mikropodnikov klesá potenciál a schopnosti veľkej časti MSP realizovať podnikateľské inovácie a zaradiť sa do vyšších úrovní dodávateľských štruktúr v rámci </w:t>
      </w:r>
      <w:r w:rsidR="005F3259">
        <w:t xml:space="preserve">MNS. </w:t>
      </w:r>
    </w:p>
    <w:bookmarkEnd w:id="79"/>
    <w:p w:rsidR="00952814" w:rsidRPr="00D00787" w:rsidRDefault="00952814" w:rsidP="00952814">
      <w:pPr>
        <w:rPr>
          <w:i/>
        </w:rPr>
      </w:pPr>
      <w:r w:rsidRPr="00D00787">
        <w:rPr>
          <w:b/>
          <w:i/>
        </w:rPr>
        <w:t xml:space="preserve">Graf </w:t>
      </w:r>
      <w:r w:rsidR="00D00787" w:rsidRPr="00D00787">
        <w:rPr>
          <w:b/>
          <w:i/>
        </w:rPr>
        <w:t>4</w:t>
      </w:r>
      <w:r w:rsidR="00F7206E">
        <w:rPr>
          <w:i/>
        </w:rPr>
        <w:t xml:space="preserve"> Vývoj počtu MSP v r. 2002 –</w:t>
      </w:r>
      <w:r w:rsidRPr="00D00787">
        <w:rPr>
          <w:i/>
        </w:rPr>
        <w:t xml:space="preserve"> 2012</w:t>
      </w:r>
    </w:p>
    <w:p w:rsidR="00952814" w:rsidRPr="007B160A" w:rsidRDefault="00C0216D" w:rsidP="00952814">
      <w:r>
        <w:rPr>
          <w:noProof/>
          <w:lang w:eastAsia="sk-SK"/>
        </w:rPr>
        <w:drawing>
          <wp:inline distT="0" distB="0" distL="0" distR="0" wp14:anchorId="6D5A9EC2" wp14:editId="48896EF0">
            <wp:extent cx="5486400" cy="2787650"/>
            <wp:effectExtent l="0" t="0" r="0" b="0"/>
            <wp:docPr id="4" name="Obrázok 5" descr="cid:image001.png@01CEA408.5D3A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1.png@01CEA408.5D3A799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486400" cy="2787650"/>
                    </a:xfrm>
                    <a:prstGeom prst="rect">
                      <a:avLst/>
                    </a:prstGeom>
                    <a:noFill/>
                    <a:ln>
                      <a:noFill/>
                    </a:ln>
                  </pic:spPr>
                </pic:pic>
              </a:graphicData>
            </a:graphic>
          </wp:inline>
        </w:drawing>
      </w:r>
    </w:p>
    <w:p w:rsidR="00952814" w:rsidRPr="00D00787" w:rsidRDefault="00654B73" w:rsidP="00952814">
      <w:pPr>
        <w:rPr>
          <w:i/>
          <w:iCs/>
        </w:rPr>
      </w:pPr>
      <w:r w:rsidRPr="00D00787">
        <w:rPr>
          <w:b/>
          <w:i/>
          <w:iCs/>
        </w:rPr>
        <w:t>Zdroj</w:t>
      </w:r>
      <w:r w:rsidR="00952814" w:rsidRPr="00D00787">
        <w:rPr>
          <w:i/>
          <w:iCs/>
        </w:rPr>
        <w:t xml:space="preserve"> Štatistický úrad SR, spracované NARMSP</w:t>
      </w:r>
    </w:p>
    <w:p w:rsidR="00952814" w:rsidRPr="007B160A" w:rsidRDefault="00BF1FEA" w:rsidP="005332A3">
      <w:pPr>
        <w:ind w:firstLine="426"/>
      </w:pPr>
      <w:r>
        <w:t xml:space="preserve">MSP </w:t>
      </w:r>
      <w:r w:rsidR="00952814" w:rsidRPr="007B160A">
        <w:t xml:space="preserve">sú charakterizované dominantným zastúpením mikropodnikov (podnikatelia a firmy zamestnávajúci menej ako 10 zamestnancov a s obratom &lt; 2 mil. </w:t>
      </w:r>
      <w:r>
        <w:t xml:space="preserve">EUR </w:t>
      </w:r>
      <w:r w:rsidR="00952814" w:rsidRPr="007B160A">
        <w:t>/ rok). Mikropodniky predstavujú 96</w:t>
      </w:r>
      <w:r>
        <w:t xml:space="preserve"> </w:t>
      </w:r>
      <w:r w:rsidR="00952814" w:rsidRPr="007B160A">
        <w:t xml:space="preserve">% všetkých podnikov SR. Na Slovensku teda pôsobí iba 14 339 podnikov s viac ako 10 zamestnancami a vyšším ročným obratom ako 2 mil. </w:t>
      </w:r>
      <w:r>
        <w:t>EUR</w:t>
      </w:r>
      <w:r w:rsidR="00952814" w:rsidRPr="007B160A">
        <w:t>.</w:t>
      </w:r>
      <w:r>
        <w:t xml:space="preserve"> </w:t>
      </w:r>
      <w:r w:rsidR="00952814" w:rsidRPr="007B160A">
        <w:t>MSP na Slovensku sa koncentrujú do sektoru služieb, v ktorom ku koncu r.</w:t>
      </w:r>
      <w:r w:rsidR="00191DF8">
        <w:t xml:space="preserve"> </w:t>
      </w:r>
      <w:r w:rsidR="00952814" w:rsidRPr="007B160A">
        <w:t xml:space="preserve">2012 </w:t>
      </w:r>
      <w:r w:rsidRPr="007B160A">
        <w:t xml:space="preserve">pôsobilo </w:t>
      </w:r>
      <w:r w:rsidR="00952814" w:rsidRPr="007B160A">
        <w:t>49,6</w:t>
      </w:r>
      <w:r>
        <w:t xml:space="preserve"> </w:t>
      </w:r>
      <w:r w:rsidR="00952814" w:rsidRPr="007B160A">
        <w:t>% podnikov a 31,2</w:t>
      </w:r>
      <w:r>
        <w:t xml:space="preserve"> </w:t>
      </w:r>
      <w:r w:rsidR="00952814" w:rsidRPr="007B160A">
        <w:t>% podnikateľov – fyzických osôb. V priemysle bolo registrovaných 9,1</w:t>
      </w:r>
      <w:r>
        <w:t xml:space="preserve"> </w:t>
      </w:r>
      <w:r w:rsidR="00952814" w:rsidRPr="007B160A">
        <w:t>% podnikov a 16,1</w:t>
      </w:r>
      <w:r>
        <w:t xml:space="preserve"> </w:t>
      </w:r>
      <w:r w:rsidR="00952814" w:rsidRPr="007B160A">
        <w:t>% podnikateľov – fyzických osôb. V rámci tržieb v roku 2011 mal najvyššie zastúpenie sektor</w:t>
      </w:r>
      <w:r w:rsidR="00E13039">
        <w:t xml:space="preserve"> </w:t>
      </w:r>
      <w:r w:rsidR="00952814" w:rsidRPr="007B160A">
        <w:t>obchodu (44,2</w:t>
      </w:r>
      <w:r>
        <w:t xml:space="preserve"> </w:t>
      </w:r>
      <w:r w:rsidR="00952814" w:rsidRPr="007B160A">
        <w:t>%), podiel priemyselnej výroby predstavoval približne 1/3, služby dosiahli 12,2</w:t>
      </w:r>
      <w:r>
        <w:t xml:space="preserve"> </w:t>
      </w:r>
      <w:r w:rsidR="00952814" w:rsidRPr="007B160A">
        <w:t>%. V období posledných 10 rokov klesá podiel podnikateľskej činnosti v oblastiach obchodu a priemyslu, zatiaľ čo podiel v sektore služieb vzrástol za rovnaké obdobie z 1/3 až na 1/2. Z uvedeného vyplýva</w:t>
      </w:r>
      <w:r w:rsidR="00E13039">
        <w:t xml:space="preserve"> </w:t>
      </w:r>
      <w:r w:rsidR="00952814" w:rsidRPr="007B160A">
        <w:t>potreba implement</w:t>
      </w:r>
      <w:r>
        <w:t>ovať</w:t>
      </w:r>
      <w:r w:rsidR="00952814" w:rsidRPr="007B160A">
        <w:t xml:space="preserve"> aj opatren</w:t>
      </w:r>
      <w:r>
        <w:t>ia</w:t>
      </w:r>
      <w:r w:rsidR="00952814" w:rsidRPr="007B160A">
        <w:t xml:space="preserve"> vhodn</w:t>
      </w:r>
      <w:r>
        <w:t>é</w:t>
      </w:r>
      <w:r w:rsidR="00952814" w:rsidRPr="007B160A">
        <w:t xml:space="preserve"> pre sektor služieb realizujúci najmä netechnologické inovácie</w:t>
      </w:r>
      <w:r>
        <w:t>.</w:t>
      </w:r>
    </w:p>
    <w:p w:rsidR="00952814" w:rsidRPr="007B160A" w:rsidRDefault="00952814" w:rsidP="005332A3">
      <w:pPr>
        <w:ind w:firstLine="426"/>
      </w:pPr>
      <w:r w:rsidRPr="007B160A">
        <w:t xml:space="preserve">Zastúpenie odvetví znalostnej ekonomiky je nízke, v sektoroch s vysokou technologickou úrovňou </w:t>
      </w:r>
      <w:r w:rsidR="00BF1FEA">
        <w:t xml:space="preserve">sú </w:t>
      </w:r>
      <w:r w:rsidRPr="007B160A">
        <w:t>zastúpen</w:t>
      </w:r>
      <w:r w:rsidR="00BF1FEA">
        <w:t>é</w:t>
      </w:r>
      <w:r w:rsidRPr="007B160A">
        <w:t xml:space="preserve"> len 3</w:t>
      </w:r>
      <w:r w:rsidR="00BF1FEA">
        <w:t xml:space="preserve"> </w:t>
      </w:r>
      <w:r w:rsidRPr="007B160A">
        <w:t>% podnikov registrovaných v odvetví priemyselnej výroby, v poznatkovo intenzívnych službách pôsobilo 35,4</w:t>
      </w:r>
      <w:r w:rsidR="00BF1FEA">
        <w:t xml:space="preserve"> </w:t>
      </w:r>
      <w:r w:rsidRPr="007B160A">
        <w:t>% podnikov registrovaných v sektore služieb.</w:t>
      </w:r>
    </w:p>
    <w:p w:rsidR="00952814" w:rsidRPr="007B160A" w:rsidRDefault="00952814" w:rsidP="005332A3">
      <w:pPr>
        <w:ind w:firstLine="426"/>
      </w:pPr>
      <w:r w:rsidRPr="007B160A">
        <w:t xml:space="preserve">MSP majú významné zastúpenie v ekonomike. Rozhodujúcu úlohu zohrávajú </w:t>
      </w:r>
      <w:r w:rsidR="00BF1FEA">
        <w:t xml:space="preserve">MSP </w:t>
      </w:r>
      <w:r w:rsidRPr="007B160A">
        <w:t>v oblasti pracovných miest</w:t>
      </w:r>
      <w:r w:rsidR="00BF1FEA">
        <w:t>,</w:t>
      </w:r>
      <w:r w:rsidRPr="007B160A">
        <w:t xml:space="preserve"> kde ich podiel dlhodobo dosahuje úroveň nad 70</w:t>
      </w:r>
      <w:r w:rsidR="00BF1FEA">
        <w:t xml:space="preserve"> </w:t>
      </w:r>
      <w:r w:rsidRPr="007B160A">
        <w:t>% v súkromnom sektore a takmer 60</w:t>
      </w:r>
      <w:r w:rsidR="00BF1FEA">
        <w:t xml:space="preserve"> </w:t>
      </w:r>
      <w:r w:rsidRPr="007B160A">
        <w:t>% v celom národnom hospodárstve. MSP dosahujú viac ako 50</w:t>
      </w:r>
      <w:r w:rsidR="00BF1FEA">
        <w:t xml:space="preserve"> </w:t>
      </w:r>
      <w:r w:rsidRPr="007B160A">
        <w:t>%</w:t>
      </w:r>
      <w:r w:rsidR="00BF1FEA">
        <w:t xml:space="preserve"> </w:t>
      </w:r>
      <w:r w:rsidRPr="007B160A">
        <w:t>podiel na tvorbe pridanej hodnoty, tržbách a vo vytváranom zisku dosahuj</w:t>
      </w:r>
      <w:r w:rsidR="00BF1FEA">
        <w:t>ú</w:t>
      </w:r>
      <w:r w:rsidRPr="007B160A">
        <w:t xml:space="preserve"> úroveň nad 50</w:t>
      </w:r>
      <w:r w:rsidR="00BF1FEA">
        <w:t xml:space="preserve"> </w:t>
      </w:r>
      <w:r w:rsidRPr="007B160A">
        <w:t>%. Nižšie zastúpenie dosahujú v kategórii hrubá výroba, kde je ich podiel len 40</w:t>
      </w:r>
      <w:r w:rsidR="00BF1FEA">
        <w:t xml:space="preserve"> </w:t>
      </w:r>
      <w:r w:rsidRPr="007B160A">
        <w:t>%, a nižšia konkurenčná schopnosť sa prejavuje nízkou internacionalizáciou podnikania, keď podiel MSP v zahraničnom obchode dosahuje len 30</w:t>
      </w:r>
      <w:r w:rsidR="00BF1FEA">
        <w:t xml:space="preserve"> </w:t>
      </w:r>
      <w:r w:rsidRPr="007B160A">
        <w:t>% (</w:t>
      </w:r>
      <w:r w:rsidR="00BF1FEA">
        <w:t xml:space="preserve">rok </w:t>
      </w:r>
      <w:r w:rsidRPr="007B160A">
        <w:t>2011).</w:t>
      </w:r>
    </w:p>
    <w:p w:rsidR="00952814" w:rsidRPr="007B160A" w:rsidRDefault="00952814" w:rsidP="005332A3">
      <w:pPr>
        <w:ind w:firstLine="426"/>
      </w:pPr>
      <w:r w:rsidRPr="007B160A">
        <w:lastRenderedPageBreak/>
        <w:t>V dôsledku vonkajších ekonomických vplyvov a nízkej konkurenčnej schopnosti dochádza k zhoršovaniu ekonomických parametrov MSP. Len polovica (56</w:t>
      </w:r>
      <w:r w:rsidR="00BF1FEA">
        <w:t xml:space="preserve"> </w:t>
      </w:r>
      <w:r w:rsidRPr="007B160A">
        <w:t>%) MSP dosiahla v roku 2011 kladný hospodársky výsledok. V sektore MSP existuje medzera vo financovaní, keď bankové úvery čerpá len 16,4</w:t>
      </w:r>
      <w:r w:rsidR="00BF1FEA">
        <w:t xml:space="preserve"> </w:t>
      </w:r>
      <w:r w:rsidRPr="007B160A">
        <w:t>% MSP (</w:t>
      </w:r>
      <w:r w:rsidR="00BF1FEA">
        <w:t xml:space="preserve">rok </w:t>
      </w:r>
      <w:r w:rsidRPr="007B160A">
        <w:t>2011). Vyt</w:t>
      </w:r>
      <w:r w:rsidR="00BF1FEA">
        <w:t>v</w:t>
      </w:r>
      <w:r w:rsidRPr="007B160A">
        <w:t>ára sa priestor pre aplikáciu nástrojov finančného inžinierstva.</w:t>
      </w:r>
    </w:p>
    <w:p w:rsidR="00952814" w:rsidRPr="007B160A" w:rsidRDefault="00952814" w:rsidP="005332A3">
      <w:pPr>
        <w:ind w:firstLine="426"/>
      </w:pPr>
      <w:r w:rsidRPr="007B160A">
        <w:t xml:space="preserve">Podľa prieskumu GEM 2012 bol na Slovensku zaznamenaný pokles podnikateľskej aktivity </w:t>
      </w:r>
      <w:r w:rsidR="000A0B4C" w:rsidRPr="00F104BD">
        <w:t>(</w:t>
      </w:r>
      <w:r w:rsidR="00A105D0" w:rsidRPr="00A105D0">
        <w:t>z 3. na 14 miesto v rámci Európy</w:t>
      </w:r>
      <w:r w:rsidR="000A0B4C" w:rsidRPr="00F104BD">
        <w:t xml:space="preserve">)  </w:t>
      </w:r>
      <w:r w:rsidRPr="00F104BD">
        <w:t>tak v kategórii začínajúcich podnikateľov (medziročný pokles z 9,2</w:t>
      </w:r>
      <w:r w:rsidR="00BF1FEA" w:rsidRPr="00F104BD">
        <w:t xml:space="preserve"> </w:t>
      </w:r>
      <w:r w:rsidRPr="00F104BD">
        <w:t>% na 6,65</w:t>
      </w:r>
      <w:r w:rsidR="00BF1FEA" w:rsidRPr="00F104BD">
        <w:t xml:space="preserve"> </w:t>
      </w:r>
      <w:r w:rsidRPr="00F104BD">
        <w:t>%), nových podnikateľov (z 5,3</w:t>
      </w:r>
      <w:r w:rsidR="00BF1FEA" w:rsidRPr="00F104BD">
        <w:t xml:space="preserve"> </w:t>
      </w:r>
      <w:r w:rsidRPr="00F104BD">
        <w:t>% na 3,91</w:t>
      </w:r>
      <w:r w:rsidR="00BF1FEA" w:rsidRPr="00F104BD">
        <w:t xml:space="preserve"> </w:t>
      </w:r>
      <w:r w:rsidRPr="00F104BD">
        <w:t>%) ako aj u etablovaných podnikateľov (z 9,6</w:t>
      </w:r>
      <w:r w:rsidR="00BF1FEA" w:rsidRPr="00F104BD">
        <w:t xml:space="preserve"> </w:t>
      </w:r>
      <w:r w:rsidRPr="00F104BD">
        <w:t>% na 6,38</w:t>
      </w:r>
      <w:r w:rsidR="00BF1FEA" w:rsidRPr="00F104BD">
        <w:t xml:space="preserve"> </w:t>
      </w:r>
      <w:r w:rsidRPr="00F104BD">
        <w:t>%</w:t>
      </w:r>
      <w:r w:rsidR="00BF1FEA" w:rsidRPr="00F104BD">
        <w:t>)</w:t>
      </w:r>
      <w:r w:rsidRPr="00F104BD">
        <w:t>. Podľa</w:t>
      </w:r>
      <w:r w:rsidRPr="007B160A">
        <w:t xml:space="preserve"> prieskumu FlashEurobarometer z r.</w:t>
      </w:r>
      <w:r w:rsidR="004C5E33">
        <w:t xml:space="preserve"> </w:t>
      </w:r>
      <w:r w:rsidRPr="007B160A">
        <w:t>2012 predstavuje na Slovensku podnikanie preferenčnú kariérnu voľbu pre 33</w:t>
      </w:r>
      <w:r w:rsidR="00BF1FEA">
        <w:t xml:space="preserve"> </w:t>
      </w:r>
      <w:r w:rsidRPr="007B160A">
        <w:t xml:space="preserve">% obyvateľov, čo je pod úrovňou priemeru EÚ. Je potrebné prijať opatrenia podporujúce zvyšovanie motivácie pre podnikanie a vznik a rozvoj inovatívnych </w:t>
      </w:r>
      <w:r w:rsidR="00BF1FEA">
        <w:t>s</w:t>
      </w:r>
      <w:r w:rsidRPr="007B160A">
        <w:t>tart-up firiem.</w:t>
      </w:r>
    </w:p>
    <w:p w:rsidR="00952814" w:rsidRPr="00C45BD3" w:rsidRDefault="00952814" w:rsidP="005332A3">
      <w:pPr>
        <w:ind w:firstLine="426"/>
      </w:pPr>
      <w:r w:rsidRPr="00C45BD3">
        <w:t xml:space="preserve">V rámci cieľa OP KaHR inovácie a rast konkurencieschopnosti bolo podporených 83 nových podnikov na území celého Slovenska. </w:t>
      </w:r>
      <w:r w:rsidR="00BF1FEA">
        <w:t xml:space="preserve"> </w:t>
      </w:r>
      <w:r w:rsidRPr="00C45BD3">
        <w:t>Ako vidno z nasledujúceho grafu</w:t>
      </w:r>
      <w:r w:rsidR="00BF1FEA">
        <w:t>,</w:t>
      </w:r>
      <w:r w:rsidRPr="00C45BD3">
        <w:t xml:space="preserve"> zastúpenie jednot</w:t>
      </w:r>
      <w:r w:rsidR="002B58BC">
        <w:t>l</w:t>
      </w:r>
      <w:r w:rsidRPr="00C45BD3">
        <w:t>ivých kategórií podnikov v čerpaní pomoci bolo značne nevyvážené.</w:t>
      </w:r>
    </w:p>
    <w:p w:rsidR="00952814" w:rsidRDefault="00952814" w:rsidP="004C5E33">
      <w:pPr>
        <w:jc w:val="left"/>
        <w:rPr>
          <w:i/>
        </w:rPr>
      </w:pPr>
      <w:r w:rsidRPr="007C7B0E">
        <w:rPr>
          <w:b/>
          <w:i/>
        </w:rPr>
        <w:t xml:space="preserve">Graf </w:t>
      </w:r>
      <w:r w:rsidR="00D00787" w:rsidRPr="007C7B0E">
        <w:rPr>
          <w:b/>
          <w:i/>
        </w:rPr>
        <w:t>5</w:t>
      </w:r>
      <w:r w:rsidRPr="007C7B0E">
        <w:rPr>
          <w:i/>
        </w:rPr>
        <w:t xml:space="preserve"> Zastúpenie jednot</w:t>
      </w:r>
      <w:r w:rsidR="002B58BC" w:rsidRPr="007C7B0E">
        <w:rPr>
          <w:i/>
        </w:rPr>
        <w:t>l</w:t>
      </w:r>
      <w:r w:rsidRPr="007C7B0E">
        <w:rPr>
          <w:i/>
        </w:rPr>
        <w:t>ivých</w:t>
      </w:r>
      <w:r w:rsidRPr="00D00787">
        <w:rPr>
          <w:i/>
        </w:rPr>
        <w:t xml:space="preserve"> kategórií podnikov pri čerpaní zdrojov OP </w:t>
      </w:r>
      <w:r w:rsidR="00BF1FEA">
        <w:rPr>
          <w:i/>
        </w:rPr>
        <w:t xml:space="preserve">KaHR </w:t>
      </w:r>
    </w:p>
    <w:p w:rsidR="00C0216D" w:rsidRPr="00C45BD3" w:rsidRDefault="00C0216D" w:rsidP="004C5E33">
      <w:pPr>
        <w:jc w:val="left"/>
      </w:pPr>
      <w:r>
        <w:rPr>
          <w:noProof/>
          <w:lang w:eastAsia="sk-SK"/>
        </w:rPr>
        <w:drawing>
          <wp:inline distT="0" distB="0" distL="0" distR="0" wp14:anchorId="5B71CDC5" wp14:editId="37EFDD94">
            <wp:extent cx="5543550" cy="2673350"/>
            <wp:effectExtent l="0" t="0" r="0" b="0"/>
            <wp:docPr id="5" name="Obrázok 3" descr="cid:image001.png@01CEA408.9EB0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id:image001.png@01CEA408.9EB0BEC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543550" cy="2673350"/>
                    </a:xfrm>
                    <a:prstGeom prst="rect">
                      <a:avLst/>
                    </a:prstGeom>
                    <a:noFill/>
                    <a:ln>
                      <a:noFill/>
                    </a:ln>
                  </pic:spPr>
                </pic:pic>
              </a:graphicData>
            </a:graphic>
          </wp:inline>
        </w:drawing>
      </w:r>
    </w:p>
    <w:p w:rsidR="00952814" w:rsidRPr="00D00787" w:rsidRDefault="00654B73" w:rsidP="00952814">
      <w:pPr>
        <w:rPr>
          <w:i/>
        </w:rPr>
      </w:pPr>
      <w:r w:rsidRPr="00D00787">
        <w:rPr>
          <w:b/>
          <w:i/>
        </w:rPr>
        <w:t>Zdroj</w:t>
      </w:r>
      <w:r w:rsidR="00952814" w:rsidRPr="00D00787">
        <w:rPr>
          <w:i/>
        </w:rPr>
        <w:t xml:space="preserve"> MH SR, spracované NARMSP</w:t>
      </w:r>
    </w:p>
    <w:p w:rsidR="009B4A3B" w:rsidRPr="007C7B0E" w:rsidRDefault="00E66854" w:rsidP="004C5E33">
      <w:pPr>
        <w:pStyle w:val="Nadpis3"/>
        <w:spacing w:after="240"/>
      </w:pPr>
      <w:bookmarkStart w:id="82" w:name="_Toc365831792"/>
      <w:bookmarkStart w:id="83" w:name="_Toc365831984"/>
      <w:bookmarkStart w:id="84" w:name="_Toc366744154"/>
      <w:r w:rsidRPr="007C7B0E">
        <w:t>Prostredie veľkých podnikov a MSP</w:t>
      </w:r>
      <w:bookmarkEnd w:id="82"/>
      <w:bookmarkEnd w:id="83"/>
      <w:bookmarkEnd w:id="84"/>
    </w:p>
    <w:p w:rsidR="005332A3" w:rsidRDefault="00E54BBE" w:rsidP="005332A3">
      <w:pPr>
        <w:ind w:firstLine="340"/>
        <w:rPr>
          <w:color w:val="000000"/>
        </w:rPr>
      </w:pPr>
      <w:r w:rsidRPr="00E54BBE">
        <w:rPr>
          <w:color w:val="000000"/>
        </w:rPr>
        <w:t xml:space="preserve">Slovenská ekonomika prešla v procese svojej transformácie od roku 1991 za dve desaťročia absolútne bezprecedentným vývojom. </w:t>
      </w:r>
      <w:r w:rsidR="00BF1FEA">
        <w:rPr>
          <w:color w:val="000000"/>
        </w:rPr>
        <w:t>V</w:t>
      </w:r>
      <w:r w:rsidRPr="00E54BBE">
        <w:rPr>
          <w:color w:val="000000"/>
        </w:rPr>
        <w:t xml:space="preserve"> roku 1995</w:t>
      </w:r>
      <w:r w:rsidR="00BF1FEA">
        <w:rPr>
          <w:color w:val="000000"/>
        </w:rPr>
        <w:t xml:space="preserve"> tvorilo </w:t>
      </w:r>
      <w:r w:rsidRPr="00E54BBE">
        <w:rPr>
          <w:color w:val="000000"/>
        </w:rPr>
        <w:t>66 % celkovej produkcie, 70 % vývozu, 51 % zamestnanosti a 63 % aktív spracovateľského priemyslu ako dlhodobo rozhodujúceho odvetvia hospodárstva 135 podnikov</w:t>
      </w:r>
      <w:r w:rsidR="00BF1FEA">
        <w:rPr>
          <w:color w:val="000000"/>
        </w:rPr>
        <w:t>, z ktorých</w:t>
      </w:r>
      <w:r w:rsidRPr="00E54BBE">
        <w:rPr>
          <w:color w:val="000000"/>
        </w:rPr>
        <w:t xml:space="preserve">  90 % bolo v štátnom, resp. domácom s</w:t>
      </w:r>
      <w:r w:rsidR="004C5E33">
        <w:rPr>
          <w:color w:val="000000"/>
        </w:rPr>
        <w:t>úkromnom/zmiešanom vlastníctve.</w:t>
      </w:r>
      <w:r w:rsidR="00BF1FEA">
        <w:rPr>
          <w:color w:val="000000"/>
        </w:rPr>
        <w:t xml:space="preserve"> </w:t>
      </w:r>
      <w:r w:rsidRPr="00E54BBE">
        <w:rPr>
          <w:color w:val="000000"/>
        </w:rPr>
        <w:t>Najefektívnejšia časť týchto podnikov predstavovala horizontálne i vertikálne integrované podniky s vysokou mierou koncentrácie a úspor z rozsahu a sortimentu. V roku 2010 tvorilo prakticky identické podiely na slovenskej ekonomike už cca 215 spoločností s 85 % zahraničným vlastníctvom a s poklesom zamestnanosti od roku 1995 o takmer 50 %.</w:t>
      </w:r>
    </w:p>
    <w:p w:rsidR="005332A3" w:rsidRDefault="00E54BBE" w:rsidP="005332A3">
      <w:pPr>
        <w:ind w:firstLine="340"/>
        <w:rPr>
          <w:color w:val="000000"/>
        </w:rPr>
      </w:pPr>
      <w:r w:rsidRPr="00E54BBE">
        <w:rPr>
          <w:color w:val="000000"/>
        </w:rPr>
        <w:t>Podiel exportu v tomto kľúčovom segmente sa zvýšil v</w:t>
      </w:r>
      <w:r w:rsidR="005332A3">
        <w:rPr>
          <w:color w:val="000000"/>
        </w:rPr>
        <w:t> </w:t>
      </w:r>
      <w:r w:rsidRPr="00E54BBE">
        <w:rPr>
          <w:color w:val="000000"/>
        </w:rPr>
        <w:t>období</w:t>
      </w:r>
      <w:r w:rsidR="005332A3">
        <w:rPr>
          <w:color w:val="000000"/>
        </w:rPr>
        <w:t xml:space="preserve"> </w:t>
      </w:r>
      <w:r w:rsidRPr="00E54BBE">
        <w:rPr>
          <w:color w:val="000000"/>
        </w:rPr>
        <w:t xml:space="preserve">1995–2010 o viac než 30 % HDP na úroveň viac ako 80 % HDP, miera vnútroodvetvového zahraničného obchodu stúpla zo 40 % na 75 %. Týmto sa Slovensko stalo najviac zapojenou ekonomikou EÚ a OECD do tzv. „global supply chains“ (hodnotových reťazcov) s 85 % mierou synchronizácie hospodárskeho cyklu s konjunktúrou „starej“ EÚ-15. Časť segmentu </w:t>
      </w:r>
      <w:r w:rsidRPr="00E54BBE">
        <w:rPr>
          <w:color w:val="000000"/>
        </w:rPr>
        <w:lastRenderedPageBreak/>
        <w:t>MSP vznikala po dokončení procesu privatizácie dislokáciou, resp. outsorcing</w:t>
      </w:r>
      <w:r w:rsidR="004C5E33">
        <w:rPr>
          <w:color w:val="000000"/>
        </w:rPr>
        <w:t>-</w:t>
      </w:r>
      <w:r w:rsidRPr="00E54BBE">
        <w:rPr>
          <w:color w:val="000000"/>
        </w:rPr>
        <w:t>om niektorých činností po privatizácii bývalých štátnych podnikov.</w:t>
      </w:r>
    </w:p>
    <w:p w:rsidR="005332A3" w:rsidRDefault="00E54BBE" w:rsidP="005332A3">
      <w:pPr>
        <w:ind w:firstLine="340"/>
        <w:rPr>
          <w:color w:val="000000"/>
        </w:rPr>
      </w:pPr>
      <w:r w:rsidRPr="00E54BBE">
        <w:rPr>
          <w:color w:val="000000"/>
        </w:rPr>
        <w:t>Vyššie</w:t>
      </w:r>
      <w:r w:rsidR="00BF1FEA">
        <w:rPr>
          <w:color w:val="000000"/>
        </w:rPr>
        <w:t xml:space="preserve"> </w:t>
      </w:r>
      <w:r w:rsidRPr="00E54BBE">
        <w:rPr>
          <w:color w:val="000000"/>
        </w:rPr>
        <w:t xml:space="preserve">uvedené sa prejavilo aj v štruktúre slovenského priemyslu a veľmi významnej vzájomnej previazanosti  veľkých podnikov a </w:t>
      </w:r>
      <w:r w:rsidR="00BF1FEA">
        <w:rPr>
          <w:color w:val="000000"/>
        </w:rPr>
        <w:t>MSP</w:t>
      </w:r>
      <w:r w:rsidRPr="00E54BBE">
        <w:rPr>
          <w:color w:val="000000"/>
        </w:rPr>
        <w:t xml:space="preserve">. Podľa prieskumu vykonaného v roku 2013 je na jeden veľký podnik so slovenským vlastníctvom (nie </w:t>
      </w:r>
      <w:r w:rsidR="003B35FF">
        <w:rPr>
          <w:color w:val="000000"/>
        </w:rPr>
        <w:t>MNS</w:t>
      </w:r>
      <w:r w:rsidRPr="00E54BBE">
        <w:rPr>
          <w:color w:val="000000"/>
        </w:rPr>
        <w:t>) priamo napojených 600 až 1</w:t>
      </w:r>
      <w:r w:rsidR="00BF1FEA">
        <w:rPr>
          <w:color w:val="000000"/>
        </w:rPr>
        <w:t xml:space="preserve"> </w:t>
      </w:r>
      <w:r w:rsidRPr="00E54BBE">
        <w:rPr>
          <w:color w:val="000000"/>
        </w:rPr>
        <w:t xml:space="preserve">200 </w:t>
      </w:r>
      <w:r w:rsidR="00BF1FEA">
        <w:rPr>
          <w:color w:val="000000"/>
        </w:rPr>
        <w:t xml:space="preserve">MSP </w:t>
      </w:r>
      <w:r w:rsidRPr="00E54BBE">
        <w:rPr>
          <w:color w:val="000000"/>
        </w:rPr>
        <w:t>(mimo živnostníkov), kt</w:t>
      </w:r>
      <w:r w:rsidR="004C5E33">
        <w:rPr>
          <w:color w:val="000000"/>
        </w:rPr>
        <w:t xml:space="preserve">orí sú v pozícii subdodávateľa. </w:t>
      </w:r>
      <w:r w:rsidRPr="00E54BBE">
        <w:rPr>
          <w:color w:val="000000"/>
        </w:rPr>
        <w:t>Prepojenie sektorov je významnejšie v odvetví stavebníctva, ktoré je charakteristické sezónnosťou a dominantnou spoluprácou so sektorom MSP a živnostníkmi.</w:t>
      </w:r>
    </w:p>
    <w:p w:rsidR="005332A3" w:rsidRDefault="00E54BBE" w:rsidP="005332A3">
      <w:pPr>
        <w:ind w:firstLine="340"/>
        <w:rPr>
          <w:color w:val="000000"/>
        </w:rPr>
      </w:pPr>
      <w:r w:rsidRPr="00E54BBE">
        <w:rPr>
          <w:color w:val="000000"/>
        </w:rPr>
        <w:t>Slovenská republika bola v roku 2012 štvrtou najotvorenejšou ekonomikou E</w:t>
      </w:r>
      <w:r w:rsidR="00BF1FEA">
        <w:rPr>
          <w:color w:val="000000"/>
        </w:rPr>
        <w:t>Ú</w:t>
      </w:r>
      <w:r w:rsidRPr="00E54BBE">
        <w:rPr>
          <w:color w:val="000000"/>
        </w:rPr>
        <w:t xml:space="preserve"> a 14. najotvorenejšou ekonomikou sveta, pričom hodnota tovarov a služieb, ktoré sa zo Slovenska v roku 2012 vyviezli</w:t>
      </w:r>
      <w:r w:rsidR="00BF1FEA">
        <w:rPr>
          <w:color w:val="000000"/>
        </w:rPr>
        <w:t>,</w:t>
      </w:r>
      <w:r w:rsidRPr="00E54BBE">
        <w:rPr>
          <w:color w:val="000000"/>
        </w:rPr>
        <w:t xml:space="preserve"> predstavovala takmer 96-percentný podiel na HDP. Vzhľadom na veľmi obmedzený vnútorný trh ekonomika Slovenska je a zostane extrémne otvorenou. To si vyžaduje mimoriadne úsilie na zachovanie exportnej schopnosti a vnútornej konkurencieschopnosti. Bez podpory a zapojenia všetkých účastníkov však nie</w:t>
      </w:r>
      <w:r w:rsidR="00E13039">
        <w:rPr>
          <w:color w:val="000000"/>
        </w:rPr>
        <w:t xml:space="preserve"> </w:t>
      </w:r>
      <w:r w:rsidRPr="00E54BBE">
        <w:rPr>
          <w:color w:val="000000"/>
        </w:rPr>
        <w:t xml:space="preserve">je možné zabezpečiť jej udržateľnosť. </w:t>
      </w:r>
      <w:r w:rsidR="00BB490C">
        <w:rPr>
          <w:color w:val="000000"/>
        </w:rPr>
        <w:t xml:space="preserve"> </w:t>
      </w:r>
      <w:r w:rsidRPr="00E54BBE">
        <w:rPr>
          <w:color w:val="000000"/>
        </w:rPr>
        <w:t xml:space="preserve">Je preto nevyhnutné sústrediť sa na podporu spolupráce segmentu veľkých podnikov a </w:t>
      </w:r>
      <w:r w:rsidR="00BB490C">
        <w:rPr>
          <w:color w:val="000000"/>
        </w:rPr>
        <w:t xml:space="preserve">MSP </w:t>
      </w:r>
      <w:r w:rsidRPr="00E54BBE">
        <w:rPr>
          <w:color w:val="000000"/>
        </w:rPr>
        <w:t xml:space="preserve">navzájom, ako aj ich spoluprácu </w:t>
      </w:r>
      <w:r w:rsidR="00116670">
        <w:rPr>
          <w:color w:val="000000"/>
        </w:rPr>
        <w:t xml:space="preserve">v oblasti inovácií so </w:t>
      </w:r>
      <w:r w:rsidRPr="00F104BD">
        <w:rPr>
          <w:color w:val="000000"/>
        </w:rPr>
        <w:t>sektorom</w:t>
      </w:r>
      <w:r w:rsidR="00E13039" w:rsidRPr="00F104BD">
        <w:rPr>
          <w:color w:val="000000"/>
        </w:rPr>
        <w:t xml:space="preserve"> </w:t>
      </w:r>
      <w:r w:rsidRPr="00F104BD">
        <w:rPr>
          <w:color w:val="000000"/>
        </w:rPr>
        <w:t>výskumu a</w:t>
      </w:r>
      <w:r w:rsidR="00A105D0" w:rsidRPr="00A105D0">
        <w:rPr>
          <w:color w:val="000000"/>
        </w:rPr>
        <w:t> </w:t>
      </w:r>
      <w:r w:rsidRPr="00F104BD">
        <w:rPr>
          <w:color w:val="000000"/>
        </w:rPr>
        <w:t>vývoja</w:t>
      </w:r>
      <w:r w:rsidR="00A105D0" w:rsidRPr="00A105D0">
        <w:rPr>
          <w:color w:val="000000"/>
        </w:rPr>
        <w:t>.</w:t>
      </w:r>
      <w:r w:rsidR="004C5E33">
        <w:rPr>
          <w:color w:val="000000"/>
        </w:rPr>
        <w:t xml:space="preserve"> </w:t>
      </w:r>
      <w:r w:rsidRPr="00F104BD">
        <w:rPr>
          <w:color w:val="000000"/>
        </w:rPr>
        <w:t>Regulácia na základe veľkosti žiadateľa by bola v to</w:t>
      </w:r>
      <w:r w:rsidRPr="00E54BBE">
        <w:rPr>
          <w:color w:val="000000"/>
        </w:rPr>
        <w:t>mto smere viac ako neefektívna.</w:t>
      </w:r>
    </w:p>
    <w:p w:rsidR="005332A3" w:rsidRDefault="00E54BBE" w:rsidP="005332A3">
      <w:pPr>
        <w:ind w:firstLine="340"/>
        <w:rPr>
          <w:color w:val="000000"/>
        </w:rPr>
      </w:pPr>
      <w:r w:rsidRPr="00E54BBE">
        <w:rPr>
          <w:color w:val="000000"/>
        </w:rPr>
        <w:t>Z porovnania rozdelenia podnikových výdavkov na VaI z hľadiska veľkostnej štruktúry podnikov (veľké podniky vs. malé a stredné) a geografického hľadiska (zahraničné pobočky vs. domáce podniky) vyplýva, že Slovensko patrí medzi ekonomiky v oboch hľadiskách medzi krajiny z najväčšou dynamikou zmeny medzi rokmi 2005 a 2010.</w:t>
      </w:r>
    </w:p>
    <w:p w:rsidR="005332A3" w:rsidRPr="000E1A05" w:rsidRDefault="004C5E33" w:rsidP="005332A3">
      <w:pPr>
        <w:ind w:firstLine="340"/>
      </w:pPr>
      <w:r>
        <w:rPr>
          <w:color w:val="000000"/>
        </w:rPr>
        <w:t>Vzhľadom k tomu, že s</w:t>
      </w:r>
      <w:r w:rsidR="00E54BBE" w:rsidRPr="00E54BBE">
        <w:rPr>
          <w:color w:val="000000"/>
        </w:rPr>
        <w:t>lovenská ekonomika patrí v rámci vyspelých krajín OECD medzi štáty, v ktorých podniky majú relatívne nízke zastúpenie financovania VaI</w:t>
      </w:r>
      <w:r w:rsidR="00BB490C">
        <w:rPr>
          <w:color w:val="000000"/>
        </w:rPr>
        <w:t xml:space="preserve">, </w:t>
      </w:r>
      <w:r w:rsidR="00E54BBE" w:rsidRPr="00E54BBE">
        <w:rPr>
          <w:color w:val="000000"/>
        </w:rPr>
        <w:t xml:space="preserve"> je priestor pre podporu vytvorením</w:t>
      </w:r>
      <w:r w:rsidR="00E13039">
        <w:rPr>
          <w:color w:val="000000"/>
        </w:rPr>
        <w:t xml:space="preserve"> </w:t>
      </w:r>
      <w:r w:rsidR="00E54BBE" w:rsidRPr="00E54BBE">
        <w:rPr>
          <w:color w:val="000000"/>
        </w:rPr>
        <w:t xml:space="preserve">mechanizmov stimulujúcich jednak </w:t>
      </w:r>
      <w:r w:rsidR="003B35FF">
        <w:rPr>
          <w:color w:val="000000"/>
        </w:rPr>
        <w:t>MNS</w:t>
      </w:r>
      <w:r w:rsidR="00E54BBE" w:rsidRPr="00E54BBE">
        <w:rPr>
          <w:color w:val="000000"/>
        </w:rPr>
        <w:t xml:space="preserve"> pôsobiace na Slovensku k presunom VaI kapacít na Slovensko, ako aj pre podporu vzniku VaI centier veľkých firiem</w:t>
      </w:r>
      <w:r w:rsidR="00BB490C">
        <w:rPr>
          <w:color w:val="000000"/>
        </w:rPr>
        <w:t>,</w:t>
      </w:r>
      <w:r w:rsidR="00E54BBE" w:rsidRPr="00E54BBE">
        <w:rPr>
          <w:color w:val="000000"/>
        </w:rPr>
        <w:t xml:space="preserve"> ale aj v sektore MSP. Uvedeným sa prispeje k ukotvenosti rozhodujúcich exportných odvetví do domácej ekonomiky. Špecifiká potrieb veľkých firiem a MSP je potrebné zohľadniť </w:t>
      </w:r>
      <w:r w:rsidR="00BB490C">
        <w:rPr>
          <w:color w:val="000000"/>
        </w:rPr>
        <w:t xml:space="preserve">v </w:t>
      </w:r>
      <w:r w:rsidR="00E54BBE" w:rsidRPr="00E54BBE">
        <w:rPr>
          <w:color w:val="000000"/>
        </w:rPr>
        <w:t>implementovaných podporných nástrojoch.</w:t>
      </w:r>
    </w:p>
    <w:p w:rsidR="009B4A3B" w:rsidRPr="00D019F9" w:rsidRDefault="009B4A3B" w:rsidP="004C5E33">
      <w:pPr>
        <w:pStyle w:val="Nadpis3"/>
        <w:spacing w:after="240"/>
      </w:pPr>
      <w:bookmarkStart w:id="85" w:name="_TOC_250015"/>
      <w:bookmarkStart w:id="86" w:name="_Toc360576008"/>
      <w:bookmarkStart w:id="87" w:name="_Toc365831793"/>
      <w:bookmarkStart w:id="88" w:name="_Toc365831985"/>
      <w:bookmarkStart w:id="89" w:name="_Toc366744155"/>
      <w:r w:rsidRPr="00D019F9">
        <w:t>Stav klastrovania na Slovensku</w:t>
      </w:r>
      <w:bookmarkEnd w:id="85"/>
      <w:bookmarkEnd w:id="86"/>
      <w:bookmarkEnd w:id="87"/>
      <w:bookmarkEnd w:id="88"/>
      <w:bookmarkEnd w:id="89"/>
    </w:p>
    <w:p w:rsidR="009B4A3B" w:rsidRPr="000E1A05" w:rsidRDefault="009B4A3B" w:rsidP="00837B0A">
      <w:pPr>
        <w:ind w:firstLine="340"/>
      </w:pPr>
      <w:r w:rsidRPr="000E1A05">
        <w:t>V dnešnej dobe sa determinantom rastu firiem, najmä MSP</w:t>
      </w:r>
      <w:r w:rsidR="00025781">
        <w:t xml:space="preserve">, </w:t>
      </w:r>
      <w:r w:rsidRPr="000E1A05">
        <w:t xml:space="preserve"> stáva tvorba sietí a klastrov. Firmy v takomto usporiadaní profitujú zo vzájomnej spolupráce a blízkosti s inými firmami z dôvodu tzv. ekonomiky aglomerácií, pričom celkový počet firiem v regióne determinuje dosiahnuté ekonomické prínosy. Okrem toho geografická koncentrácia firiem v rovnakom a/alebo príbuznom odvetví vytvára trh práce pre kvalifikovanú pracovnú silu.</w:t>
      </w:r>
    </w:p>
    <w:p w:rsidR="009B4A3B" w:rsidRPr="000E1A05" w:rsidRDefault="003B35FF" w:rsidP="00837B0A">
      <w:pPr>
        <w:ind w:firstLine="340"/>
      </w:pPr>
      <w:r>
        <w:t>MNS</w:t>
      </w:r>
      <w:r w:rsidR="009B4A3B" w:rsidRPr="000E1A05">
        <w:t xml:space="preserve"> pôsobiace na Slovensku pritiahli množstvo dodávateľských firiem ako súčasť ich hodnotového reťazca (po úroveň TIER 4), pričom vzrastá úloha týchto firiem v rámci dodávateľsko-odberateľských vzťahov</w:t>
      </w:r>
      <w:r w:rsidR="00025781">
        <w:t>,</w:t>
      </w:r>
      <w:r w:rsidR="009B4A3B" w:rsidRPr="000E1A05">
        <w:t xml:space="preserve"> čoho dôkazom je rastúca ukotvenosť odvetví v ekonomike. Len niekoľko domácich firiem dosiahlo úroveň TIER 1 v rámci globálnych hodnotových reťazcov vďaka vysokej pridanej hodnote (napr. CEIT, Matador).</w:t>
      </w:r>
    </w:p>
    <w:p w:rsidR="009B4A3B" w:rsidRPr="000E1A05" w:rsidRDefault="009B4A3B" w:rsidP="00837B0A">
      <w:pPr>
        <w:ind w:firstLine="340"/>
      </w:pPr>
      <w:r w:rsidRPr="000E1A05">
        <w:t>Evolučný vývoj ekonomiky spôsobuje vznik nových prirodzených klastrov v regiónoch. V regióne stredného Slovenska – V</w:t>
      </w:r>
      <w:r w:rsidR="00025781">
        <w:t>Ú</w:t>
      </w:r>
      <w:r w:rsidRPr="000E1A05">
        <w:t xml:space="preserve">C Banská Bystrica (Žiar nad Hronom) prirodzene vznikol a rozvíja sa klaster orientovaný na spracovanie hliníka, ktorý zatiaľ nezaložil formalizovanú klastrovú organizáciu. Klaster vznikol okolo výrobcu hliníka spoločnosti ZSNP v Žiari nad Hronom. </w:t>
      </w:r>
      <w:r w:rsidR="00025781">
        <w:t xml:space="preserve">Ide </w:t>
      </w:r>
      <w:r w:rsidRPr="000E1A05">
        <w:t>o inovatívny klaster, pri ktorom SAV (Ústav materiálov mechaniky strojov) založila v roku 2011 Kompetenčné Va</w:t>
      </w:r>
      <w:r w:rsidR="00156094">
        <w:t>I</w:t>
      </w:r>
      <w:r w:rsidRPr="000E1A05">
        <w:t xml:space="preserve"> centrum INOVAL s cieľom spoločne s firmami spolupracovať na Va</w:t>
      </w:r>
      <w:r w:rsidR="00156094">
        <w:t>I</w:t>
      </w:r>
      <w:r w:rsidR="00E13039">
        <w:t xml:space="preserve"> </w:t>
      </w:r>
      <w:r w:rsidRPr="000E1A05">
        <w:t>projektoch a komercionalizácii inovatívnych riešení. V klastri pôsobia inovatívne exportne orientované spoločnosti</w:t>
      </w:r>
      <w:r w:rsidR="00025781">
        <w:t xml:space="preserve">, </w:t>
      </w:r>
      <w:r w:rsidRPr="000E1A05">
        <w:t>ako sú napr. Fagor</w:t>
      </w:r>
      <w:r w:rsidR="004323FF">
        <w:t xml:space="preserve"> </w:t>
      </w:r>
      <w:r w:rsidRPr="000E1A05">
        <w:t xml:space="preserve">Ederlan Slovensko, a.s., Sapa Profily, a.s. alebo Thermosolar, s.r.o. </w:t>
      </w:r>
      <w:r w:rsidR="00025781">
        <w:t xml:space="preserve"> </w:t>
      </w:r>
      <w:r w:rsidRPr="000E1A05">
        <w:t>V</w:t>
      </w:r>
      <w:r w:rsidR="00025781">
        <w:t xml:space="preserve"> rámci </w:t>
      </w:r>
      <w:r w:rsidRPr="000E1A05">
        <w:t xml:space="preserve"> V</w:t>
      </w:r>
      <w:r w:rsidR="00025781">
        <w:t>Ú</w:t>
      </w:r>
      <w:r w:rsidRPr="000E1A05">
        <w:t>C B</w:t>
      </w:r>
      <w:r w:rsidR="00025781">
        <w:t xml:space="preserve">anská Bystrica </w:t>
      </w:r>
      <w:r w:rsidRPr="000E1A05">
        <w:t xml:space="preserve"> </w:t>
      </w:r>
      <w:r w:rsidR="00025781">
        <w:t xml:space="preserve">ide </w:t>
      </w:r>
      <w:r w:rsidRPr="000E1A05">
        <w:t>o druhý významný klaster</w:t>
      </w:r>
      <w:r w:rsidR="004323FF">
        <w:t xml:space="preserve"> </w:t>
      </w:r>
      <w:r w:rsidRPr="000E1A05">
        <w:t>pôsobiaci v oblasti výroby a spracovania kovov. Z výrobných odvetví pôsobiacich vo V</w:t>
      </w:r>
      <w:r w:rsidR="00025781">
        <w:t>Ú</w:t>
      </w:r>
      <w:r w:rsidRPr="000E1A05">
        <w:t>C</w:t>
      </w:r>
      <w:r w:rsidR="00025781">
        <w:t xml:space="preserve"> </w:t>
      </w:r>
      <w:r w:rsidRPr="000E1A05">
        <w:t>BB je tak dominantnou priemyselná</w:t>
      </w:r>
      <w:r w:rsidR="00134F8E">
        <w:t xml:space="preserve"> </w:t>
      </w:r>
      <w:r w:rsidRPr="000E1A05">
        <w:t xml:space="preserve">výroba so stredne nízkou </w:t>
      </w:r>
      <w:r w:rsidRPr="000E1A05">
        <w:lastRenderedPageBreak/>
        <w:t>technológiou. Platí to najmä pre odvetvie výroby a spracovania kovov, kde je podiel na regionálnej zamestnanosti 2,64</w:t>
      </w:r>
      <w:r w:rsidR="00025781">
        <w:t>-</w:t>
      </w:r>
      <w:r w:rsidRPr="000E1A05">
        <w:t xml:space="preserve">krát vyšší ako priemer SR. Podobne aj v Košickom kraji </w:t>
      </w:r>
      <w:r w:rsidR="00025781">
        <w:t>sú</w:t>
      </w:r>
      <w:r w:rsidRPr="000E1A05">
        <w:t xml:space="preserve"> výroba a spracovanie kovov vysoko koncentrovan</w:t>
      </w:r>
      <w:r w:rsidR="00025781">
        <w:t>é</w:t>
      </w:r>
      <w:r w:rsidRPr="000E1A05">
        <w:t>, pričom</w:t>
      </w:r>
      <w:r w:rsidR="00134F8E">
        <w:t xml:space="preserve"> </w:t>
      </w:r>
      <w:r w:rsidRPr="000E1A05">
        <w:t>LQ (lokalizačný kvocient) je až 4,29 z dôvodu prítomnosti U</w:t>
      </w:r>
      <w:r w:rsidR="004C5E33">
        <w:t>.</w:t>
      </w:r>
      <w:r w:rsidRPr="000E1A05">
        <w:t>S</w:t>
      </w:r>
      <w:r w:rsidR="004C5E33">
        <w:t>.</w:t>
      </w:r>
      <w:r w:rsidRPr="000E1A05">
        <w:t xml:space="preserve"> Steel Košice.</w:t>
      </w:r>
    </w:p>
    <w:p w:rsidR="009B4A3B" w:rsidRPr="000E1A05" w:rsidRDefault="009B4A3B" w:rsidP="00837B0A">
      <w:pPr>
        <w:ind w:firstLine="340"/>
      </w:pPr>
      <w:r w:rsidRPr="000E1A05">
        <w:t>Okrem tradičných odvetví sa na Slovensku rozvíjajú aj kultúrne a kreatívne odvetvia. Firmy v kreatívnych odvetviach sa významne koncentrujú v priestore a vytvárajú klastre.</w:t>
      </w:r>
      <w:r w:rsidR="00025781">
        <w:t xml:space="preserve"> </w:t>
      </w:r>
      <w:r w:rsidRPr="000E1A05">
        <w:t>Bratislavský región je jedným z popredných regiónov E</w:t>
      </w:r>
      <w:r w:rsidR="00025781">
        <w:t>Ú</w:t>
      </w:r>
      <w:r w:rsidRPr="000E1A05">
        <w:t xml:space="preserve"> z pohľadu koncentrácie zamestnanosti v kreatívnom priemysle, keďže v regióne je približne 5,01</w:t>
      </w:r>
      <w:r w:rsidR="00025781">
        <w:t xml:space="preserve"> </w:t>
      </w:r>
      <w:r w:rsidRPr="000E1A05">
        <w:t>% pracovníkov zamestnaných v týchto odvetviach, čo poukazuje na významnú špecializáciu. Okrem toho približne 46 % všetkých firiem v kreatívnych odvetviach má sídlo v Bratislavskom kraji, z toho 91 % priamo v meste Bratislava. Za najperspektívnejšie smery kreatívneho priemyslu na Slovensku možno považovať dizajn a počítačové programovanie.</w:t>
      </w:r>
    </w:p>
    <w:p w:rsidR="009B4A3B" w:rsidRPr="000E1A05" w:rsidRDefault="00025781" w:rsidP="00837B0A">
      <w:pPr>
        <w:ind w:firstLine="340"/>
      </w:pPr>
      <w:r>
        <w:t>N</w:t>
      </w:r>
      <w:r w:rsidR="009B4A3B" w:rsidRPr="000E1A05">
        <w:t>apriek uvedeným skutočnostiam je úloha klastrov v ekonomickom rozvoji Slovenska dlhodobo nedoceňovaná</w:t>
      </w:r>
      <w:r w:rsidR="00F34BB2">
        <w:t>.</w:t>
      </w:r>
      <w:r w:rsidR="009B4A3B" w:rsidRPr="000E1A05">
        <w:t xml:space="preserve"> Aj </w:t>
      </w:r>
      <w:r>
        <w:t xml:space="preserve">bez </w:t>
      </w:r>
      <w:r w:rsidR="00F34BB2">
        <w:t>systémovej podpory</w:t>
      </w:r>
      <w:r w:rsidR="00134F8E">
        <w:t xml:space="preserve"> </w:t>
      </w:r>
      <w:r w:rsidR="009B4A3B" w:rsidRPr="000E1A05">
        <w:t>vzniklo množstvo klastrových</w:t>
      </w:r>
      <w:r w:rsidR="004323FF">
        <w:t xml:space="preserve"> </w:t>
      </w:r>
      <w:r w:rsidR="009B4A3B" w:rsidRPr="000E1A05">
        <w:t xml:space="preserve">organizácií aktivitou „bottom-up“, v mnohých prípadoch aj vďaka snahám regionálnych samospráv. V podstate vznikli dva typy klastrových organizácií pôsobiacich v cestovnom ruchu a technologické klastrové organizácie. </w:t>
      </w:r>
      <w:r>
        <w:t>P</w:t>
      </w:r>
      <w:r w:rsidR="009B4A3B" w:rsidRPr="000E1A05">
        <w:t>očas posledných rokov došlo k nárastu počtu</w:t>
      </w:r>
      <w:r>
        <w:t xml:space="preserve"> klastrov</w:t>
      </w:r>
      <w:r w:rsidR="009B4A3B" w:rsidRPr="000E1A05">
        <w:t>. Životaschopnosť</w:t>
      </w:r>
      <w:r w:rsidR="00134F8E">
        <w:t xml:space="preserve"> </w:t>
      </w:r>
      <w:r w:rsidR="009B4A3B" w:rsidRPr="000E1A05">
        <w:t>existujúcich</w:t>
      </w:r>
      <w:r w:rsidR="00134F8E">
        <w:t xml:space="preserve"> </w:t>
      </w:r>
      <w:r w:rsidR="009B4A3B" w:rsidRPr="000E1A05">
        <w:t>technologických</w:t>
      </w:r>
      <w:r w:rsidR="00134F8E">
        <w:t xml:space="preserve"> </w:t>
      </w:r>
      <w:r w:rsidR="009B4A3B" w:rsidRPr="000E1A05">
        <w:t>klastrových</w:t>
      </w:r>
      <w:r w:rsidR="00134F8E">
        <w:t xml:space="preserve"> </w:t>
      </w:r>
      <w:r w:rsidR="009B4A3B" w:rsidRPr="000E1A05">
        <w:t>organizácií</w:t>
      </w:r>
      <w:r w:rsidR="00134F8E">
        <w:t xml:space="preserve"> </w:t>
      </w:r>
      <w:r w:rsidR="009B4A3B" w:rsidRPr="000E1A05">
        <w:t>je</w:t>
      </w:r>
      <w:r w:rsidR="00134F8E">
        <w:t xml:space="preserve"> </w:t>
      </w:r>
      <w:r w:rsidR="009B4A3B" w:rsidRPr="000E1A05">
        <w:t>rôzna</w:t>
      </w:r>
      <w:r w:rsidR="00134F8E">
        <w:t xml:space="preserve"> </w:t>
      </w:r>
      <w:r w:rsidR="009B4A3B" w:rsidRPr="000E1A05">
        <w:t>a závisí</w:t>
      </w:r>
      <w:r w:rsidR="00134F8E">
        <w:t xml:space="preserve"> </w:t>
      </w:r>
      <w:r w:rsidR="009B4A3B" w:rsidRPr="000E1A05">
        <w:t>od mnohých faktorov</w:t>
      </w:r>
      <w:r>
        <w:t xml:space="preserve">. Potešiteľná je skutočnosť, že </w:t>
      </w:r>
      <w:r w:rsidR="009B4A3B" w:rsidRPr="000E1A05">
        <w:t>šesť z nich získalo v roku 2013 Bronze Label</w:t>
      </w:r>
      <w:r w:rsidR="004323FF">
        <w:t xml:space="preserve"> </w:t>
      </w:r>
      <w:r w:rsidR="009B4A3B" w:rsidRPr="000E1A05">
        <w:t>of</w:t>
      </w:r>
      <w:r w:rsidR="004323FF">
        <w:t xml:space="preserve"> </w:t>
      </w:r>
      <w:r w:rsidR="009B4A3B" w:rsidRPr="000E1A05">
        <w:t>the</w:t>
      </w:r>
      <w:r w:rsidR="004323FF">
        <w:t xml:space="preserve"> </w:t>
      </w:r>
      <w:r w:rsidR="009B4A3B" w:rsidRPr="000E1A05">
        <w:t>European</w:t>
      </w:r>
      <w:r w:rsidR="004323FF">
        <w:t xml:space="preserve"> </w:t>
      </w:r>
      <w:r w:rsidR="009B4A3B" w:rsidRPr="000E1A05">
        <w:t>Cluster Excellence Initiative (ECEI) vydávaných European</w:t>
      </w:r>
      <w:r w:rsidR="004323FF">
        <w:t xml:space="preserve"> </w:t>
      </w:r>
      <w:r w:rsidR="009B4A3B" w:rsidRPr="000E1A05">
        <w:t>Secretariat</w:t>
      </w:r>
      <w:r w:rsidR="004323FF">
        <w:t xml:space="preserve"> </w:t>
      </w:r>
      <w:r w:rsidR="009B4A3B" w:rsidRPr="000E1A05">
        <w:t>for</w:t>
      </w:r>
      <w:r w:rsidR="004323FF">
        <w:t xml:space="preserve"> </w:t>
      </w:r>
      <w:r w:rsidR="009B4A3B" w:rsidRPr="000E1A05">
        <w:t>cluster</w:t>
      </w:r>
      <w:r w:rsidR="004323FF">
        <w:t xml:space="preserve"> </w:t>
      </w:r>
      <w:r w:rsidR="009B4A3B" w:rsidRPr="000E1A05">
        <w:t>Analysis. Jedná sa o nasledovné klastrové organizácie: Automobilový klaster – západné Slovensko, Slovenský plastikársky klaster, 1. slovenský strojársky klaster, Košice IT Valley</w:t>
      </w:r>
      <w:r w:rsidR="004323FF">
        <w:t xml:space="preserve"> </w:t>
      </w:r>
      <w:r w:rsidR="004C5E33">
        <w:t>z.p.o., Cluster AT+R, NEK.</w:t>
      </w:r>
      <w:r w:rsidR="002E5042">
        <w:t xml:space="preserve"> </w:t>
      </w:r>
      <w:r w:rsidR="009B4A3B" w:rsidRPr="000E1A05">
        <w:t>Európsky Bronze Label získali aj dva klastre cestovného ruchu</w:t>
      </w:r>
      <w:r w:rsidR="002E5042">
        <w:t>, a to</w:t>
      </w:r>
      <w:r w:rsidR="009B4A3B" w:rsidRPr="000E1A05">
        <w:t xml:space="preserve"> Klaster LIPTOV - Združenie cestovného ruchu</w:t>
      </w:r>
      <w:r w:rsidR="002E5042">
        <w:t xml:space="preserve"> a </w:t>
      </w:r>
      <w:r w:rsidR="009B4A3B" w:rsidRPr="000E1A05">
        <w:t xml:space="preserve"> Klaster ORAVA. Okrem toho svoje aktivity dynamizoval najmä Elektrotechnický klaster - západné Slovensko, ktorého členo</w:t>
      </w:r>
      <w:r w:rsidR="002E5042">
        <w:t>m</w:t>
      </w:r>
      <w:r w:rsidR="009B4A3B" w:rsidRPr="000E1A05">
        <w:t xml:space="preserve"> je</w:t>
      </w:r>
      <w:r w:rsidR="002E5042">
        <w:t xml:space="preserve"> aj</w:t>
      </w:r>
      <w:r w:rsidR="009B4A3B" w:rsidRPr="000E1A05">
        <w:t xml:space="preserve"> </w:t>
      </w:r>
      <w:r w:rsidR="003B35FF">
        <w:t>MNS</w:t>
      </w:r>
      <w:r w:rsidR="004C5E33">
        <w:t xml:space="preserve"> spoločnosť Samsung. </w:t>
      </w:r>
      <w:r w:rsidR="009B4A3B" w:rsidRPr="000E1A05">
        <w:t xml:space="preserve">Klastrové organizácie sú však </w:t>
      </w:r>
      <w:r w:rsidR="004323FF" w:rsidRPr="000E1A05">
        <w:t>všeobecne</w:t>
      </w:r>
      <w:r w:rsidR="009B4A3B" w:rsidRPr="000E1A05">
        <w:t xml:space="preserve"> nedostatočne prepojené s finálnymi producentmi. Prvú </w:t>
      </w:r>
      <w:r w:rsidR="004C5E33">
        <w:t>jednora</w:t>
      </w:r>
      <w:r w:rsidR="004323FF" w:rsidRPr="000E1A05">
        <w:t>zovú</w:t>
      </w:r>
      <w:r w:rsidR="009B4A3B" w:rsidRPr="000E1A05">
        <w:t xml:space="preserve"> podpornú aktivitu technologických klastrových</w:t>
      </w:r>
      <w:r w:rsidR="00134F8E">
        <w:t xml:space="preserve"> </w:t>
      </w:r>
      <w:r w:rsidR="009B4A3B" w:rsidRPr="000E1A05">
        <w:t>organizácií realizovalo v roku 2012 MŠVVaŠ SR, ktoré vyhlásilo výzvu na podporu vedecko-technických služieb. Podporených bolo päť najlepších projektov technolog</w:t>
      </w:r>
      <w:r w:rsidR="004C5E33">
        <w:t>ických klastrových organizácií.</w:t>
      </w:r>
      <w:r w:rsidR="002E5042">
        <w:t xml:space="preserve"> S cieľom </w:t>
      </w:r>
      <w:r w:rsidR="009B4A3B" w:rsidRPr="000E1A05">
        <w:t>zefektívneni</w:t>
      </w:r>
      <w:r w:rsidR="002E5042">
        <w:t>a</w:t>
      </w:r>
      <w:r w:rsidR="009B4A3B" w:rsidRPr="000E1A05">
        <w:t xml:space="preserve"> činnosti založili už v roku 2010 klastrové organizácie Úniu Klastrov Slovenska (</w:t>
      </w:r>
      <w:r w:rsidR="002E5042">
        <w:t>Ú</w:t>
      </w:r>
      <w:r w:rsidR="009B4A3B" w:rsidRPr="000E1A05">
        <w:t>KS)</w:t>
      </w:r>
      <w:r w:rsidR="002E5042">
        <w:t>, ktorej c</w:t>
      </w:r>
      <w:r w:rsidR="009B4A3B" w:rsidRPr="000E1A05">
        <w:t>ieľom je podpora hospodárskeho rozvoja a konkurencieschopnosti všetkých jeho regiónov prostredníctvom klastrovania.</w:t>
      </w:r>
    </w:p>
    <w:p w:rsidR="009B4A3B" w:rsidRPr="000E1A05" w:rsidRDefault="009B4A3B" w:rsidP="00837B0A">
      <w:pPr>
        <w:ind w:firstLine="340"/>
      </w:pPr>
      <w:r w:rsidRPr="000E1A05">
        <w:t>Pre dosahovanie synergií v inovačných a ekonomických aktivitách s pozitívnymi dôsledkami na hospodársky rast a zvyšovanie zamestnanosti bude potrebné vytvoriť mechanizmy podpory spolupráce v rámci klastrov a klastrových organizácií a hlbšie zapojenie Va</w:t>
      </w:r>
      <w:r w:rsidR="00F34BB2">
        <w:t>I</w:t>
      </w:r>
      <w:r w:rsidRPr="000E1A05">
        <w:t xml:space="preserve"> organizácií do ich činnosti.</w:t>
      </w:r>
    </w:p>
    <w:p w:rsidR="009B4A3B" w:rsidRPr="00D019F9" w:rsidRDefault="009B4A3B" w:rsidP="004C5E33">
      <w:pPr>
        <w:pStyle w:val="Nadpis3"/>
        <w:spacing w:after="240"/>
      </w:pPr>
      <w:bookmarkStart w:id="90" w:name="_TOC_250014"/>
      <w:bookmarkStart w:id="91" w:name="_Toc360576009"/>
      <w:bookmarkStart w:id="92" w:name="_Toc365831794"/>
      <w:bookmarkStart w:id="93" w:name="_Toc365831986"/>
      <w:bookmarkStart w:id="94" w:name="_Toc366744156"/>
      <w:r w:rsidRPr="00D019F9">
        <w:t>Bariéry inovačných aktivít v inovujúcich podnikoch</w:t>
      </w:r>
      <w:bookmarkEnd w:id="90"/>
      <w:bookmarkEnd w:id="91"/>
      <w:bookmarkEnd w:id="92"/>
      <w:bookmarkEnd w:id="93"/>
      <w:bookmarkEnd w:id="94"/>
    </w:p>
    <w:p w:rsidR="009B4A3B" w:rsidRPr="000E1A05" w:rsidRDefault="009B4A3B" w:rsidP="00837B0A">
      <w:pPr>
        <w:ind w:firstLine="340"/>
      </w:pPr>
      <w:r w:rsidRPr="000E1A05">
        <w:t>Firmy sú vystavené množstvu bariér obmedzujúcich optimáln</w:t>
      </w:r>
      <w:r w:rsidR="002E5042">
        <w:t>u</w:t>
      </w:r>
      <w:r w:rsidRPr="000E1A05">
        <w:t xml:space="preserve"> realiz</w:t>
      </w:r>
      <w:r w:rsidR="002E5042">
        <w:t>áciu</w:t>
      </w:r>
      <w:r w:rsidRPr="000E1A05">
        <w:t xml:space="preserve"> inovačn</w:t>
      </w:r>
      <w:r w:rsidR="002E5042">
        <w:t>ých</w:t>
      </w:r>
      <w:r w:rsidRPr="000E1A05">
        <w:t xml:space="preserve"> aktiv</w:t>
      </w:r>
      <w:r w:rsidR="002E5042">
        <w:t>ít.</w:t>
      </w:r>
      <w:r w:rsidRPr="000E1A05">
        <w:t xml:space="preserve"> </w:t>
      </w:r>
      <w:r w:rsidR="002E5042">
        <w:t>E</w:t>
      </w:r>
      <w:r w:rsidRPr="000E1A05">
        <w:t>xistuje niekoľko typov možných prekážok inovovania podnikov</w:t>
      </w:r>
      <w:r w:rsidR="001D59F9">
        <w:t xml:space="preserve"> </w:t>
      </w:r>
      <w:r w:rsidRPr="000E1A05">
        <w:t>– nákladové faktory podniku, deficit potrebných informácií, trhové faktory alebo nedostatočný dopyt.</w:t>
      </w:r>
    </w:p>
    <w:p w:rsidR="002E5042" w:rsidRDefault="009B4A3B" w:rsidP="002E5042">
      <w:pPr>
        <w:ind w:firstLine="340"/>
      </w:pPr>
      <w:r w:rsidRPr="000E1A05">
        <w:t>Hlavným vysoko dôležitým faktorom, ktorý limituje možnosti ďalšieho inovovania slovenských inovujúcich podnikov</w:t>
      </w:r>
      <w:r w:rsidR="002E5042">
        <w:t>,</w:t>
      </w:r>
      <w:r w:rsidR="004C5E33">
        <w:t xml:space="preserve"> sú nákladové faktory –</w:t>
      </w:r>
      <w:r w:rsidRPr="000E1A05">
        <w:t xml:space="preserve"> nedostatok zdrojov v rámci podniku (27 %) alebo príliš veľké náklady na inovácie (23 %).</w:t>
      </w:r>
      <w:r w:rsidR="002E5042">
        <w:t xml:space="preserve">  Tu evidujeme </w:t>
      </w:r>
      <w:r w:rsidR="002E5042" w:rsidRPr="000E1A05">
        <w:t xml:space="preserve">značný rozdiel medzi Slovenskom a inovačne vyspelými krajinami. </w:t>
      </w:r>
    </w:p>
    <w:p w:rsidR="002E5042" w:rsidRDefault="002E5042" w:rsidP="002E5042">
      <w:pPr>
        <w:ind w:firstLine="340"/>
      </w:pPr>
      <w:r w:rsidRPr="000E1A05">
        <w:t>Inovujúce podniky na Slovensku sú taktiež limitované trhovými faktormi ako aj skutočnosťou, že na trhu už existujú zavedené podniky (15 %) a dopyt po inovovaných tovaroch a</w:t>
      </w:r>
      <w:r>
        <w:t> </w:t>
      </w:r>
      <w:r w:rsidRPr="000E1A05">
        <w:t>službách</w:t>
      </w:r>
      <w:r>
        <w:t xml:space="preserve"> je neistý</w:t>
      </w:r>
      <w:r w:rsidRPr="000E1A05">
        <w:t xml:space="preserve"> (13 %). Nedostatok kvalifikovaných pracovníkov môže byť do istej miery prekážkou inovovania, ale s rovnakým problémom sa stretávajú aj inovatívne firmy v inovačne vyspelých krajinách alebo susedných ekonomikách. </w:t>
      </w:r>
    </w:p>
    <w:p w:rsidR="002E5042" w:rsidRPr="000E1A05" w:rsidRDefault="002E5042" w:rsidP="002E5042">
      <w:pPr>
        <w:ind w:firstLine="340"/>
      </w:pPr>
      <w:r w:rsidRPr="000E1A05">
        <w:t>Deficit informácií na Slovensku (o trho</w:t>
      </w:r>
      <w:r>
        <w:t>ch</w:t>
      </w:r>
      <w:r w:rsidRPr="000E1A05">
        <w:t xml:space="preserve"> alebo technológiách) je prekážkou len v malej miere a je porovnateľný s referenčnými krajinami.</w:t>
      </w:r>
      <w:r w:rsidRPr="002E5042">
        <w:t xml:space="preserve"> </w:t>
      </w:r>
      <w:r w:rsidRPr="000E1A05">
        <w:t xml:space="preserve">Podniky pri inovovaní využívajú mnoho externých informačných </w:t>
      </w:r>
      <w:r w:rsidRPr="000E1A05">
        <w:lastRenderedPageBreak/>
        <w:t>zdrojov (t.j. ostatných aktérov inovačného systému). Podľa toho, akú jednotlivým informačným zdrojom pripisujú dôležitosť, môžeme zhodnotiť charakter inovačného prostredia na Slovensku a nepriamo aj intenzitu vzťahov medzi inovujúcimi podnikmi a ostatnými aktérmi inovačného systému.</w:t>
      </w:r>
      <w:r>
        <w:t xml:space="preserve"> </w:t>
      </w:r>
      <w:r w:rsidRPr="000E1A05">
        <w:t>Slovenské</w:t>
      </w:r>
      <w:r>
        <w:t xml:space="preserve"> </w:t>
      </w:r>
      <w:r w:rsidRPr="000E1A05">
        <w:t>inovujúce</w:t>
      </w:r>
      <w:r>
        <w:t xml:space="preserve"> </w:t>
      </w:r>
      <w:r w:rsidRPr="000E1A05">
        <w:t>podniky</w:t>
      </w:r>
      <w:r>
        <w:t xml:space="preserve"> </w:t>
      </w:r>
      <w:r w:rsidRPr="000E1A05">
        <w:t>využívajú</w:t>
      </w:r>
      <w:r>
        <w:t xml:space="preserve"> </w:t>
      </w:r>
      <w:r w:rsidRPr="000E1A05">
        <w:t>ako</w:t>
      </w:r>
      <w:r>
        <w:t xml:space="preserve"> </w:t>
      </w:r>
      <w:r w:rsidRPr="000E1A05">
        <w:t>zdroje</w:t>
      </w:r>
      <w:r>
        <w:t xml:space="preserve"> </w:t>
      </w:r>
      <w:r w:rsidRPr="000E1A05">
        <w:t>informácií</w:t>
      </w:r>
      <w:r>
        <w:t xml:space="preserve"> </w:t>
      </w:r>
      <w:r w:rsidRPr="000E1A05">
        <w:t>pre</w:t>
      </w:r>
      <w:r>
        <w:t xml:space="preserve"> </w:t>
      </w:r>
      <w:r w:rsidRPr="000E1A05">
        <w:t>inovácie</w:t>
      </w:r>
      <w:r>
        <w:t xml:space="preserve"> </w:t>
      </w:r>
      <w:r w:rsidRPr="000E1A05">
        <w:t>predovšetkým zákazníkov (43,1 %) a vedecké časopisy, resp. obchodné alebo technické publikácie (11,3 %).</w:t>
      </w:r>
    </w:p>
    <w:p w:rsidR="009B4A3B" w:rsidRPr="000E1A05" w:rsidRDefault="009B4A3B" w:rsidP="00837B0A">
      <w:pPr>
        <w:ind w:firstLine="340"/>
      </w:pPr>
      <w:r w:rsidRPr="000E1A05">
        <w:t>Len malý podiel slovenských malých podnikov</w:t>
      </w:r>
      <w:r w:rsidR="007773BE">
        <w:t xml:space="preserve"> –</w:t>
      </w:r>
      <w:r w:rsidRPr="000E1A05">
        <w:t xml:space="preserve"> v porovnaní napríklad s Fínskom alebo priemerom V3 </w:t>
      </w:r>
      <w:r w:rsidR="007773BE">
        <w:t>–</w:t>
      </w:r>
      <w:r w:rsidRPr="000E1A05">
        <w:t>pokladá za dôležité informácie od univerzít, verejných vedecko-výskumných inštitúcií a zariadení. V prípade stredne veľkých podnikov na Slovensku je situácia podobná, dôležitým zdrojom sú zákazníci a prostredie podniku alebo podnikovej skupiny. Vo využívaní informácií od univerzít, verejných vedecko</w:t>
      </w:r>
      <w:r w:rsidR="002E5042">
        <w:t>-</w:t>
      </w:r>
      <w:r w:rsidRPr="000E1A05">
        <w:t>výskumných inštitúcií a zariadení stredne veľké podniky na Slovensku zaostávajú za svojimi susedmi. V prípade veľkých podnikov na Slovensku je evidentné, že v porovnaní s referenčnými krajinami prikladajú menšiu dôležitosť informáciám od univerzít, verejných vedecko</w:t>
      </w:r>
      <w:r w:rsidR="002E5042">
        <w:t>-</w:t>
      </w:r>
      <w:r w:rsidRPr="000E1A05">
        <w:t>výskumných inštitúcií a</w:t>
      </w:r>
      <w:r w:rsidR="00134F8E">
        <w:t xml:space="preserve"> </w:t>
      </w:r>
      <w:r w:rsidRPr="000E1A05">
        <w:t>zariadení</w:t>
      </w:r>
      <w:r w:rsidR="00134F8E">
        <w:t xml:space="preserve"> </w:t>
      </w:r>
      <w:r w:rsidRPr="000E1A05">
        <w:t xml:space="preserve">a konzultantom, komerčným laboratóriám alebo súkromnému </w:t>
      </w:r>
      <w:r w:rsidR="00EA1EAA">
        <w:t>výskumu a vývoja</w:t>
      </w:r>
      <w:r w:rsidRPr="000E1A05">
        <w:t xml:space="preserve"> a vyššiu </w:t>
      </w:r>
      <w:r w:rsidR="002E5042">
        <w:t xml:space="preserve">dôležitosť </w:t>
      </w:r>
      <w:r w:rsidRPr="000E1A05">
        <w:t>dodávateľom zariadení, materiálu, komponentov alebo softvéru. Uvedený stav je spôsobený najmä nevyhovujúcou kvalitou a štruktúrou ponúkaných služieb</w:t>
      </w:r>
      <w:r w:rsidR="00090507">
        <w:t xml:space="preserve"> zo strany </w:t>
      </w:r>
      <w:r w:rsidR="002E5042">
        <w:t>u</w:t>
      </w:r>
      <w:r w:rsidR="00090507">
        <w:t>niverzít a verejných</w:t>
      </w:r>
      <w:r w:rsidR="00134F8E">
        <w:t xml:space="preserve"> </w:t>
      </w:r>
      <w:r w:rsidR="005C020E">
        <w:t>vedecko-</w:t>
      </w:r>
      <w:r w:rsidR="00090507">
        <w:t>výskumných inštitúcií</w:t>
      </w:r>
      <w:r w:rsidRPr="000E1A05">
        <w:t>.</w:t>
      </w:r>
    </w:p>
    <w:p w:rsidR="009B4A3B" w:rsidRPr="000E1A05" w:rsidRDefault="009B4A3B" w:rsidP="00837B0A">
      <w:pPr>
        <w:ind w:firstLine="340"/>
      </w:pPr>
      <w:r w:rsidRPr="000E1A05">
        <w:t xml:space="preserve">Vlastný </w:t>
      </w:r>
      <w:r w:rsidR="00EA1EAA">
        <w:t>výskum a vývoj</w:t>
      </w:r>
      <w:r w:rsidRPr="000E1A05">
        <w:t xml:space="preserve"> nie je jediným zdrojom podnikových inovácií. Podniky môžu inovovať aj formou nakupovania strojov, prístrojov a softwaru, externých znalostí alebo externého </w:t>
      </w:r>
      <w:r w:rsidR="00EA1EAA">
        <w:t>výskumu a vývoja</w:t>
      </w:r>
      <w:r w:rsidRPr="000E1A05">
        <w:t>. Slovensko ako technologicky konvergujúca ekonomika uprednostňuje predovšetkým nákup hotovej technológie/znalostí formou obstarávania strojov, prístrojov a</w:t>
      </w:r>
      <w:r w:rsidR="002E5042">
        <w:t> </w:t>
      </w:r>
      <w:r w:rsidRPr="000E1A05">
        <w:t>software</w:t>
      </w:r>
      <w:r w:rsidR="00B32D0D">
        <w:t xml:space="preserve"> –</w:t>
      </w:r>
      <w:r w:rsidR="002E5042">
        <w:t xml:space="preserve"> </w:t>
      </w:r>
      <w:r w:rsidRPr="000E1A05">
        <w:t xml:space="preserve">v roku 2010 </w:t>
      </w:r>
      <w:r w:rsidR="002E5042">
        <w:t xml:space="preserve">túto formu využilo </w:t>
      </w:r>
      <w:r w:rsidRPr="000E1A05">
        <w:t>viac ako 70 % inovujúcich podnikov.</w:t>
      </w:r>
    </w:p>
    <w:p w:rsidR="009B4A3B" w:rsidRPr="000E1A05" w:rsidRDefault="009B4A3B" w:rsidP="00837B0A">
      <w:pPr>
        <w:ind w:firstLine="340"/>
      </w:pPr>
      <w:r w:rsidRPr="000E1A05">
        <w:t xml:space="preserve">Ostatné formy inovovania, ako </w:t>
      </w:r>
      <w:r w:rsidR="002E5042">
        <w:t xml:space="preserve">sú napr. </w:t>
      </w:r>
      <w:r w:rsidRPr="000E1A05">
        <w:t xml:space="preserve">nákup výsledkov externého </w:t>
      </w:r>
      <w:r w:rsidR="00EA1EAA">
        <w:t>výskumu a vývoja</w:t>
      </w:r>
      <w:r w:rsidRPr="000E1A05">
        <w:t xml:space="preserve"> alebo obstaranie externých znalostí (napríklad od domácich alebo zahraničných Va</w:t>
      </w:r>
      <w:r w:rsidR="00913A8F">
        <w:t>I</w:t>
      </w:r>
      <w:r w:rsidRPr="000E1A05">
        <w:t xml:space="preserve"> inštitúcií)</w:t>
      </w:r>
      <w:r w:rsidR="002E5042">
        <w:t xml:space="preserve">, </w:t>
      </w:r>
      <w:r w:rsidRPr="000E1A05">
        <w:t>využilo len 7 % inovujúcich podnikov. Aj tieto nízke hodnoty indikujú slabú prepojenosť inovujúcich podnikov na externé prostredie (t.j. „producentov vedeckých znalostí“ využiteľných v priemysle –</w:t>
      </w:r>
      <w:r w:rsidR="00134F8E">
        <w:t xml:space="preserve"> </w:t>
      </w:r>
      <w:r w:rsidRPr="000E1A05">
        <w:t>univerzity alebo ústavy</w:t>
      </w:r>
      <w:r w:rsidR="00134F8E">
        <w:t xml:space="preserve"> </w:t>
      </w:r>
      <w:r w:rsidRPr="000E1A05">
        <w:t>SAV).</w:t>
      </w:r>
      <w:r w:rsidR="00134F8E">
        <w:t xml:space="preserve"> </w:t>
      </w:r>
      <w:r w:rsidRPr="000E1A05">
        <w:t>Vlastný</w:t>
      </w:r>
      <w:r w:rsidR="00134F8E">
        <w:t xml:space="preserve"> </w:t>
      </w:r>
      <w:r w:rsidR="00EA1EAA">
        <w:t>výskum a vývoj</w:t>
      </w:r>
      <w:r w:rsidRPr="000E1A05">
        <w:t xml:space="preserve"> využíva</w:t>
      </w:r>
      <w:r w:rsidR="00134F8E">
        <w:t xml:space="preserve"> </w:t>
      </w:r>
      <w:r w:rsidRPr="000E1A05">
        <w:t xml:space="preserve">len 17 % inovujúcich podnikov. Pritom spôsob inovovania v inovačne vyspelých ekonomikách (Švédsko, Fínsko, Dánsko) je opačný. Dominujú výdavky na vlastný </w:t>
      </w:r>
      <w:r w:rsidR="00EA1EAA">
        <w:t>výskum a vývoj</w:t>
      </w:r>
      <w:r w:rsidRPr="000E1A05">
        <w:t xml:space="preserve"> a nákup externého </w:t>
      </w:r>
      <w:r w:rsidR="00EA1EAA">
        <w:t>výskum</w:t>
      </w:r>
      <w:r w:rsidR="00BC72CA">
        <w:t>u</w:t>
      </w:r>
      <w:r w:rsidR="00EA1EAA">
        <w:t xml:space="preserve"> a</w:t>
      </w:r>
      <w:r w:rsidR="00BC72CA">
        <w:t> </w:t>
      </w:r>
      <w:r w:rsidR="00EA1EAA">
        <w:t>vývoj</w:t>
      </w:r>
      <w:r w:rsidR="00BC72CA">
        <w:t>a, n</w:t>
      </w:r>
      <w:r w:rsidRPr="000E1A05">
        <w:t>ákup hotovej technológie inovujúcimi podnikmi je v týchto krajinách menšinovou záležitosťou. Okrem toho je bariérou a</w:t>
      </w:r>
      <w:r w:rsidR="00B32D0D">
        <w:t>j</w:t>
      </w:r>
      <w:r w:rsidRPr="000E1A05">
        <w:t xml:space="preserve"> verejné obstarávanie</w:t>
      </w:r>
      <w:r w:rsidR="00BC72CA">
        <w:t>,</w:t>
      </w:r>
      <w:r w:rsidRPr="000E1A05">
        <w:t xml:space="preserve"> ktoré neprispieva k zvyšovaniu inovačnej výkonnosti ekonomiky.</w:t>
      </w:r>
    </w:p>
    <w:p w:rsidR="009B4A3B" w:rsidRPr="000E1A05" w:rsidRDefault="009B4A3B" w:rsidP="00837B0A">
      <w:pPr>
        <w:ind w:firstLine="340"/>
      </w:pPr>
      <w:r w:rsidRPr="000E1A05">
        <w:t>Z uvedeného vyplýva, že je potrebné realizovať opatrenia:</w:t>
      </w:r>
    </w:p>
    <w:p w:rsidR="00B26529" w:rsidRDefault="00BC72CA">
      <w:pPr>
        <w:pStyle w:val="Odsekzoznamu1"/>
        <w:numPr>
          <w:ilvl w:val="0"/>
          <w:numId w:val="7"/>
        </w:numPr>
        <w:spacing w:after="0"/>
        <w:ind w:left="709"/>
      </w:pPr>
      <w:r>
        <w:t>p</w:t>
      </w:r>
      <w:r w:rsidR="009B4A3B" w:rsidRPr="000E1A05">
        <w:t>repájajúce inovačných aktérov,</w:t>
      </w:r>
    </w:p>
    <w:p w:rsidR="00B26529" w:rsidRDefault="00BC72CA">
      <w:pPr>
        <w:pStyle w:val="Odsekzoznamu1"/>
        <w:numPr>
          <w:ilvl w:val="0"/>
          <w:numId w:val="7"/>
        </w:numPr>
        <w:spacing w:after="0"/>
        <w:ind w:left="709"/>
      </w:pPr>
      <w:r>
        <w:t>z</w:t>
      </w:r>
      <w:r w:rsidR="009B4A3B" w:rsidRPr="000E1A05">
        <w:t>vyšujúce technologickú úroveň firiem,</w:t>
      </w:r>
    </w:p>
    <w:p w:rsidR="00B26529" w:rsidRDefault="00BC72CA">
      <w:pPr>
        <w:pStyle w:val="Odsekzoznamu1"/>
        <w:numPr>
          <w:ilvl w:val="0"/>
          <w:numId w:val="7"/>
        </w:numPr>
        <w:spacing w:after="0"/>
        <w:ind w:left="709"/>
      </w:pPr>
      <w:r>
        <w:t>z</w:t>
      </w:r>
      <w:r w:rsidR="009B4A3B" w:rsidRPr="000E1A05">
        <w:t>vyšujúce kvalitu a dostupnosť ľudských zdrojov,</w:t>
      </w:r>
    </w:p>
    <w:p w:rsidR="00B26529" w:rsidRDefault="00BC72CA">
      <w:pPr>
        <w:pStyle w:val="Odsekzoznamu1"/>
        <w:numPr>
          <w:ilvl w:val="0"/>
          <w:numId w:val="7"/>
        </w:numPr>
        <w:spacing w:after="0"/>
        <w:ind w:left="709"/>
      </w:pPr>
      <w:r>
        <w:t>u</w:t>
      </w:r>
      <w:r w:rsidR="009B4A3B" w:rsidRPr="000E1A05">
        <w:t>možňujúce financovať rozvojové aktivity,</w:t>
      </w:r>
    </w:p>
    <w:p w:rsidR="00B26529" w:rsidRDefault="00BC72CA">
      <w:pPr>
        <w:pStyle w:val="Odsekzoznamu1"/>
        <w:numPr>
          <w:ilvl w:val="0"/>
          <w:numId w:val="7"/>
        </w:numPr>
        <w:spacing w:after="0"/>
        <w:ind w:left="709"/>
      </w:pPr>
      <w:r>
        <w:t>v</w:t>
      </w:r>
      <w:r w:rsidR="009B4A3B" w:rsidRPr="000E1A05">
        <w:t>yužívajúce</w:t>
      </w:r>
      <w:r w:rsidR="001D59F9">
        <w:t xml:space="preserve"> </w:t>
      </w:r>
      <w:r w:rsidR="009B4A3B" w:rsidRPr="000E1A05">
        <w:t>verejné</w:t>
      </w:r>
      <w:r w:rsidR="001D59F9">
        <w:t xml:space="preserve"> </w:t>
      </w:r>
      <w:r w:rsidR="009B4A3B" w:rsidRPr="000E1A05">
        <w:t>obstarávanie</w:t>
      </w:r>
      <w:r w:rsidR="001D59F9">
        <w:t xml:space="preserve"> </w:t>
      </w:r>
      <w:r w:rsidR="009B4A3B" w:rsidRPr="000E1A05">
        <w:t>ako</w:t>
      </w:r>
      <w:r w:rsidR="001D59F9">
        <w:t xml:space="preserve"> </w:t>
      </w:r>
      <w:r w:rsidR="009B4A3B" w:rsidRPr="000E1A05">
        <w:t>nástroj</w:t>
      </w:r>
      <w:r w:rsidR="001D59F9">
        <w:t xml:space="preserve"> </w:t>
      </w:r>
      <w:r w:rsidR="009B4A3B" w:rsidRPr="000E1A05">
        <w:t>podporujúci</w:t>
      </w:r>
      <w:r w:rsidR="001D59F9">
        <w:t xml:space="preserve"> </w:t>
      </w:r>
      <w:r w:rsidR="009B4A3B" w:rsidRPr="000E1A05">
        <w:t>inovácie v ekonomike.</w:t>
      </w:r>
    </w:p>
    <w:p w:rsidR="009B4A3B" w:rsidRPr="00D019F9" w:rsidRDefault="009B4A3B" w:rsidP="00B32D0D">
      <w:pPr>
        <w:pStyle w:val="Nadpis3"/>
        <w:spacing w:after="240"/>
      </w:pPr>
      <w:bookmarkStart w:id="95" w:name="_Toc360576010"/>
      <w:bookmarkStart w:id="96" w:name="_Toc365831795"/>
      <w:bookmarkStart w:id="97" w:name="_Toc365831987"/>
      <w:bookmarkStart w:id="98" w:name="_Toc366744157"/>
      <w:r w:rsidRPr="00D019F9">
        <w:t>Rizikový kapitál</w:t>
      </w:r>
      <w:bookmarkEnd w:id="95"/>
      <w:bookmarkEnd w:id="96"/>
      <w:bookmarkEnd w:id="97"/>
      <w:bookmarkEnd w:id="98"/>
    </w:p>
    <w:p w:rsidR="009B4A3B" w:rsidRPr="000E1A05" w:rsidRDefault="009B4A3B" w:rsidP="006C3D9D">
      <w:pPr>
        <w:ind w:firstLine="340"/>
      </w:pPr>
      <w:r w:rsidRPr="000E1A05">
        <w:t>Významným faktorom rozvoja inovačných aktivít na Slovensku je dobrá finančná kondícia firiem. Preto boli už od počiatku transformácie ekonomického prostredia SR rozvíjané nástroje alternatívneho financovania, medzi ktoré patrí aj investovanie formou rizikového kapitálu (investovanie do majetku a kapitálových fondov).</w:t>
      </w:r>
    </w:p>
    <w:p w:rsidR="009B4A3B" w:rsidRPr="000E1A05" w:rsidRDefault="009C13C9" w:rsidP="006C3D9D">
      <w:pPr>
        <w:ind w:firstLine="340"/>
      </w:pPr>
      <w:r>
        <w:t>P</w:t>
      </w:r>
      <w:r w:rsidR="009B4A3B" w:rsidRPr="000E1A05">
        <w:t>rv</w:t>
      </w:r>
      <w:r>
        <w:t>ou</w:t>
      </w:r>
      <w:r w:rsidR="009B4A3B" w:rsidRPr="000E1A05">
        <w:t xml:space="preserve"> inštitúci</w:t>
      </w:r>
      <w:r>
        <w:t>ou</w:t>
      </w:r>
      <w:r w:rsidR="009B4A3B" w:rsidRPr="000E1A05">
        <w:t xml:space="preserve"> rizikového kapitálu s financovaním z verejných zdrojov bol </w:t>
      </w:r>
      <w:r w:rsidRPr="000E1A05">
        <w:t xml:space="preserve">Fond štartovacieho kapitálu </w:t>
      </w:r>
      <w:r w:rsidR="009B4A3B" w:rsidRPr="000E1A05">
        <w:t>vytvorený už v r.1994</w:t>
      </w:r>
      <w:r>
        <w:t>.</w:t>
      </w:r>
      <w:r w:rsidR="009B4A3B" w:rsidRPr="000E1A05">
        <w:t xml:space="preserve"> Zdroje fondu pochádzali z predvstupového programu EÚ Phare. Následne vznikol Fond rizikového kapitálu - Slovenský </w:t>
      </w:r>
      <w:r w:rsidR="001D59F9" w:rsidRPr="000E1A05">
        <w:t>post privatizačný</w:t>
      </w:r>
      <w:r w:rsidR="009B4A3B" w:rsidRPr="000E1A05">
        <w:t xml:space="preserve"> fond, v roku 2002 Regionálny fond štartovacieho kapitálu na podporu MSP, následne v r. 2005 Fond SISME zameraný na inovatívne projekty z oblasti priemyselnej výroby, </w:t>
      </w:r>
      <w:r w:rsidR="009B4A3B" w:rsidRPr="000E1A05">
        <w:lastRenderedPageBreak/>
        <w:t xml:space="preserve">výrobných a obchodných služieb. V roku 2006 </w:t>
      </w:r>
      <w:r>
        <w:t xml:space="preserve">začal </w:t>
      </w:r>
      <w:r w:rsidR="009B4A3B" w:rsidRPr="000E1A05">
        <w:t xml:space="preserve">Program rizikového kapitálu, ktorý vytvoril portfólio investičných fondov zameraných na podporu podnikov v rôznych štádiách ich životného cyklu. Do konca roka 2012 bolo v rámci fondov rizikového kapitálu schválených 191 investičných návrhov, z ktorých </w:t>
      </w:r>
      <w:r w:rsidRPr="000E1A05">
        <w:t>160</w:t>
      </w:r>
      <w:r>
        <w:t xml:space="preserve"> </w:t>
      </w:r>
      <w:r w:rsidR="009B4A3B" w:rsidRPr="000E1A05">
        <w:t xml:space="preserve">bolo realizovaných. Celkovo bolo podporených viac ako 115 podnikov. Podľa analýzy </w:t>
      </w:r>
      <w:r>
        <w:t xml:space="preserve">MF </w:t>
      </w:r>
      <w:r w:rsidR="009B4A3B" w:rsidRPr="000E1A05">
        <w:t>SR z roku 2009 neboli podporené žiadne inovatívne projekty.</w:t>
      </w:r>
    </w:p>
    <w:p w:rsidR="009B4A3B" w:rsidRPr="000E1A05" w:rsidRDefault="009B4A3B" w:rsidP="006C3D9D">
      <w:pPr>
        <w:ind w:firstLine="340"/>
      </w:pPr>
      <w:r w:rsidRPr="000E1A05">
        <w:t xml:space="preserve">Ako nový komplexný nástroj </w:t>
      </w:r>
      <w:r w:rsidR="009C13C9">
        <w:t xml:space="preserve"> vznikol </w:t>
      </w:r>
      <w:r w:rsidRPr="000E1A05">
        <w:t>projekt JEREMIE,</w:t>
      </w:r>
      <w:r w:rsidR="00134F8E">
        <w:t xml:space="preserve"> </w:t>
      </w:r>
      <w:r w:rsidRPr="000E1A05">
        <w:t xml:space="preserve">ktorý </w:t>
      </w:r>
      <w:r w:rsidR="009C13C9">
        <w:t xml:space="preserve">však </w:t>
      </w:r>
      <w:r w:rsidRPr="000E1A05">
        <w:t xml:space="preserve">nebol doteraz implementovaný. Holdingový fond JEREMIE je </w:t>
      </w:r>
      <w:r w:rsidR="009C13C9" w:rsidRPr="000E1A05">
        <w:t xml:space="preserve">na Slovensku </w:t>
      </w:r>
      <w:r w:rsidRPr="000E1A05">
        <w:t>financovaný zo štrukturálnych fondov EÚ na obdobie rok</w:t>
      </w:r>
      <w:r w:rsidR="00B32D0D">
        <w:t xml:space="preserve">ov 2007 – </w:t>
      </w:r>
      <w:r w:rsidRPr="000E1A05">
        <w:t xml:space="preserve">2013 </w:t>
      </w:r>
      <w:r w:rsidR="009C13C9">
        <w:t xml:space="preserve">v rámci </w:t>
      </w:r>
      <w:r w:rsidRPr="000E1A05">
        <w:t xml:space="preserve"> troch operačných programov (OP KaHR, OP Va</w:t>
      </w:r>
      <w:r w:rsidR="00F93359">
        <w:t>V</w:t>
      </w:r>
      <w:r w:rsidRPr="000E1A05">
        <w:t xml:space="preserve">, </w:t>
      </w:r>
      <w:r w:rsidR="009C13C9">
        <w:t>OP</w:t>
      </w:r>
      <w:r w:rsidRPr="000E1A05">
        <w:t xml:space="preserve"> Bratislavský kraj (OP BK) ). Napriek skutočnosti, že už v roku 2009 boli podpísané Zmluvy o financovaní medzi riadiacimi orgánmi a EIF a bol založený aj holdingový fond SZRF</w:t>
      </w:r>
      <w:r w:rsidR="009C13C9">
        <w:t xml:space="preserve">, </w:t>
      </w:r>
      <w:r w:rsidRPr="000E1A05">
        <w:t xml:space="preserve"> doposiaľ </w:t>
      </w:r>
      <w:r w:rsidR="009C13C9">
        <w:t xml:space="preserve">sa </w:t>
      </w:r>
      <w:r w:rsidRPr="000E1A05">
        <w:t>nepodarilo prostredníctvom iniciatívy JEREMIE podporiť žiadny MSP.</w:t>
      </w:r>
    </w:p>
    <w:p w:rsidR="009B4A3B" w:rsidRPr="000E1A05" w:rsidRDefault="009B4A3B" w:rsidP="006C3D9D">
      <w:pPr>
        <w:ind w:firstLine="340"/>
      </w:pPr>
      <w:r w:rsidRPr="000E1A05">
        <w:t xml:space="preserve">Za hlavné prekážky zlyhania implementácie iniciatívy JEREMIE v SR možno označiť: </w:t>
      </w:r>
    </w:p>
    <w:p w:rsidR="009B4A3B" w:rsidRPr="000E1A05" w:rsidRDefault="009B4A3B" w:rsidP="00791A72">
      <w:pPr>
        <w:pStyle w:val="Odsekzoznamu1"/>
        <w:numPr>
          <w:ilvl w:val="0"/>
          <w:numId w:val="12"/>
        </w:numPr>
        <w:ind w:left="709"/>
      </w:pPr>
      <w:r w:rsidRPr="000E1A05">
        <w:t xml:space="preserve">komplikovaná štruktúra vzťahov </w:t>
      </w:r>
      <w:r w:rsidR="009C13C9">
        <w:t xml:space="preserve">zvolená </w:t>
      </w:r>
      <w:r w:rsidRPr="000E1A05">
        <w:t>na implementáciu JEREMIE</w:t>
      </w:r>
      <w:r w:rsidR="009C13C9">
        <w:t>,</w:t>
      </w:r>
      <w:r w:rsidRPr="000E1A05">
        <w:t xml:space="preserve"> napr.</w:t>
      </w:r>
      <w:r w:rsidR="009C13C9" w:rsidRPr="009C13C9">
        <w:t xml:space="preserve"> </w:t>
      </w:r>
      <w:r w:rsidR="009C13C9" w:rsidRPr="000E1A05">
        <w:t>SZRF a ostatné zmluvné vzťahy</w:t>
      </w:r>
      <w:r w:rsidR="009C13C9">
        <w:t>,</w:t>
      </w:r>
    </w:p>
    <w:p w:rsidR="009B4A3B" w:rsidRPr="000E1A05" w:rsidRDefault="009B4A3B" w:rsidP="00791A72">
      <w:pPr>
        <w:pStyle w:val="Odsekzoznamu1"/>
        <w:numPr>
          <w:ilvl w:val="0"/>
          <w:numId w:val="12"/>
        </w:numPr>
        <w:ind w:left="709"/>
      </w:pPr>
      <w:r w:rsidRPr="000E1A05">
        <w:t>zložité financovanie z troch operačných programov (OP KaHR, OP VaV, OP BK),</w:t>
      </w:r>
    </w:p>
    <w:p w:rsidR="009B4A3B" w:rsidRPr="000E1A05" w:rsidRDefault="009B4A3B" w:rsidP="00791A72">
      <w:pPr>
        <w:pStyle w:val="Odsekzoznamu1"/>
        <w:numPr>
          <w:ilvl w:val="0"/>
          <w:numId w:val="12"/>
        </w:numPr>
        <w:ind w:left="709"/>
      </w:pPr>
      <w:r w:rsidRPr="000E1A05">
        <w:t>pravidlá jednotlivých OP vo vzťahu k dodržiavaniu pravidiel ŠF EÚ boli nadstavené primárne pre nenávratnú pomoc,</w:t>
      </w:r>
      <w:r w:rsidR="00134F8E">
        <w:t xml:space="preserve"> </w:t>
      </w:r>
      <w:r w:rsidRPr="000E1A05">
        <w:t>čo</w:t>
      </w:r>
      <w:r w:rsidR="00134F8E">
        <w:t xml:space="preserve"> </w:t>
      </w:r>
      <w:r w:rsidRPr="000E1A05">
        <w:t>spôsobilo</w:t>
      </w:r>
      <w:r w:rsidR="00134F8E">
        <w:t xml:space="preserve"> </w:t>
      </w:r>
      <w:r w:rsidRPr="000E1A05">
        <w:t>veľké</w:t>
      </w:r>
      <w:r w:rsidR="00134F8E">
        <w:t xml:space="preserve"> </w:t>
      </w:r>
      <w:r w:rsidRPr="000E1A05">
        <w:t>obmedzenia</w:t>
      </w:r>
      <w:r w:rsidR="00134F8E">
        <w:t xml:space="preserve"> </w:t>
      </w:r>
      <w:r w:rsidRPr="000E1A05">
        <w:t>pre</w:t>
      </w:r>
      <w:r w:rsidR="00134F8E">
        <w:t xml:space="preserve"> </w:t>
      </w:r>
      <w:r w:rsidRPr="000E1A05">
        <w:t>návratnú pomoc.</w:t>
      </w:r>
    </w:p>
    <w:p w:rsidR="009B4A3B" w:rsidRPr="000E1A05" w:rsidRDefault="009C13C9" w:rsidP="006C3D9D">
      <w:pPr>
        <w:ind w:firstLine="340"/>
      </w:pPr>
      <w:r>
        <w:t xml:space="preserve">Nedostatkami </w:t>
      </w:r>
      <w:r w:rsidR="009B4A3B" w:rsidRPr="000E1A05">
        <w:t xml:space="preserve">sú </w:t>
      </w:r>
      <w:r>
        <w:t xml:space="preserve">absencia </w:t>
      </w:r>
      <w:r w:rsidR="009B4A3B" w:rsidRPr="000E1A05">
        <w:t xml:space="preserve">motivačných stimulov pre súkromných investorov, </w:t>
      </w:r>
      <w:r>
        <w:t xml:space="preserve">absencia </w:t>
      </w:r>
      <w:r w:rsidR="009B4A3B" w:rsidRPr="000E1A05">
        <w:t xml:space="preserve">kapitálového trhu a najmä nezáujem podnikateľov o tento spôsob financovania rozvojových vysoko perspektívnych projektov, ako aj nedostatočný </w:t>
      </w:r>
      <w:r w:rsidR="009B4A3B" w:rsidRPr="004D5451">
        <w:rPr>
          <w:i/>
        </w:rPr>
        <w:t>deal</w:t>
      </w:r>
      <w:r w:rsidR="001D59F9" w:rsidRPr="004D5451">
        <w:rPr>
          <w:i/>
        </w:rPr>
        <w:t xml:space="preserve"> </w:t>
      </w:r>
      <w:r w:rsidR="009B4A3B" w:rsidRPr="004D5451">
        <w:rPr>
          <w:i/>
        </w:rPr>
        <w:t>flow</w:t>
      </w:r>
      <w:r w:rsidR="00925CF2">
        <w:t>, t.j.</w:t>
      </w:r>
      <w:r>
        <w:t xml:space="preserve"> nedostatok </w:t>
      </w:r>
      <w:r w:rsidR="00925CF2">
        <w:t xml:space="preserve"> atraktívnych, vhodných rizikových investícií</w:t>
      </w:r>
      <w:r w:rsidR="009B4A3B" w:rsidRPr="000E1A05">
        <w:t xml:space="preserve">. Istým limitom je aj konzervatívne správanie fondov, ktoré investujú prevažne do menej rizikových projektov. </w:t>
      </w:r>
      <w:r>
        <w:t xml:space="preserve"> </w:t>
      </w:r>
      <w:r w:rsidR="009B4A3B" w:rsidRPr="000E1A05">
        <w:t>Pre zlepšenie stavu bude potr</w:t>
      </w:r>
      <w:r w:rsidR="009B4A3B">
        <w:t xml:space="preserve">ebné podporovať </w:t>
      </w:r>
      <w:r>
        <w:t xml:space="preserve"> </w:t>
      </w:r>
      <w:r w:rsidR="009B4A3B">
        <w:t>Va</w:t>
      </w:r>
      <w:r w:rsidR="00143CD7">
        <w:t>I</w:t>
      </w:r>
      <w:r w:rsidR="009B4A3B">
        <w:t xml:space="preserve"> projekty </w:t>
      </w:r>
      <w:r w:rsidR="009B4A3B" w:rsidRPr="000E1A05">
        <w:t xml:space="preserve">s trhovým </w:t>
      </w:r>
      <w:r w:rsidR="009B4A3B">
        <w:t>potenciálom</w:t>
      </w:r>
      <w:r>
        <w:t xml:space="preserve"> a</w:t>
      </w:r>
      <w:r w:rsidR="009B4A3B">
        <w:t xml:space="preserve"> zvýšiť </w:t>
      </w:r>
      <w:r w:rsidR="009B4A3B" w:rsidRPr="000E1A05">
        <w:t>pov</w:t>
      </w:r>
      <w:r w:rsidR="009B4A3B">
        <w:t xml:space="preserve">edomie </w:t>
      </w:r>
      <w:r w:rsidR="009B4A3B" w:rsidRPr="000E1A05">
        <w:t>podnikateľov o výhodách využívania nástrojov finančného inžinierstva.</w:t>
      </w:r>
    </w:p>
    <w:p w:rsidR="00C52ACC" w:rsidRDefault="00134F8E" w:rsidP="00C52ACC">
      <w:pPr>
        <w:pStyle w:val="Nadpis3"/>
      </w:pPr>
      <w:bookmarkStart w:id="99" w:name="_Toc360576011"/>
      <w:r>
        <w:rPr>
          <w:sz w:val="14"/>
          <w:szCs w:val="14"/>
        </w:rPr>
        <w:t xml:space="preserve"> </w:t>
      </w:r>
      <w:bookmarkStart w:id="100" w:name="_Toc365831796"/>
      <w:bookmarkStart w:id="101" w:name="_Toc365831988"/>
      <w:bookmarkStart w:id="102" w:name="_Toc366744158"/>
      <w:r w:rsidR="00C52ACC">
        <w:t>Inkubátory</w:t>
      </w:r>
      <w:bookmarkEnd w:id="100"/>
      <w:bookmarkEnd w:id="101"/>
      <w:bookmarkEnd w:id="102"/>
    </w:p>
    <w:p w:rsidR="00C52ACC" w:rsidRDefault="00C52ACC" w:rsidP="00C52ACC">
      <w:pPr>
        <w:spacing w:before="100" w:beforeAutospacing="1" w:after="100" w:afterAutospacing="1"/>
        <w:ind w:firstLine="340"/>
      </w:pPr>
      <w:r>
        <w:t>Doteraz bolo s podporou štátneho rozpočtu, predvstupového programu Phare, programu cezhraničnej spolupráce CBC, štrukturálnych fondov a prostriedkov iných donorov (napr. flámsky fond, obce) celkovo vybudovaných 16 podnikateľských a technologických inkubátorov a 1 výukový inkubátor (tzv. virtuálny), ktoré vytvorili základnú sieť inkubátorov Slovenska.</w:t>
      </w:r>
      <w:r w:rsidR="00134F8E">
        <w:t xml:space="preserve"> </w:t>
      </w:r>
    </w:p>
    <w:p w:rsidR="00C52ACC" w:rsidRDefault="00C52ACC" w:rsidP="00C52ACC">
      <w:pPr>
        <w:spacing w:before="100" w:beforeAutospacing="1" w:after="120"/>
      </w:pPr>
      <w:r w:rsidRPr="005332A3">
        <w:rPr>
          <w:b/>
          <w:i/>
          <w:iCs/>
        </w:rPr>
        <w:t>Tab</w:t>
      </w:r>
      <w:r w:rsidR="002B611D">
        <w:rPr>
          <w:b/>
          <w:i/>
          <w:iCs/>
        </w:rPr>
        <w:t>uľka</w:t>
      </w:r>
      <w:r w:rsidR="00654B73" w:rsidRPr="005332A3">
        <w:rPr>
          <w:b/>
          <w:i/>
          <w:iCs/>
        </w:rPr>
        <w:t xml:space="preserve"> 1</w:t>
      </w:r>
      <w:r>
        <w:rPr>
          <w:i/>
          <w:iCs/>
        </w:rPr>
        <w:t xml:space="preserve"> Výsledky technolo</w:t>
      </w:r>
      <w:r w:rsidR="002F1203">
        <w:rPr>
          <w:i/>
          <w:iCs/>
        </w:rPr>
        <w:t>g</w:t>
      </w:r>
      <w:r>
        <w:rPr>
          <w:i/>
          <w:iCs/>
        </w:rPr>
        <w:t>ických a podnikateľských in</w:t>
      </w:r>
      <w:r w:rsidR="002F1203">
        <w:rPr>
          <w:i/>
          <w:iCs/>
        </w:rPr>
        <w:t>k</w:t>
      </w:r>
      <w:r>
        <w:rPr>
          <w:i/>
          <w:iCs/>
        </w:rPr>
        <w:t>ubátorov zapojených do programu Podpora malých a stredných podnikov prostredníctvom siete inkubátorov a implementácia metódy Research-based spin-off</w:t>
      </w:r>
    </w:p>
    <w:tbl>
      <w:tblPr>
        <w:tblW w:w="9015" w:type="dxa"/>
        <w:tblInd w:w="55" w:type="dxa"/>
        <w:tblCellMar>
          <w:left w:w="0" w:type="dxa"/>
          <w:right w:w="0" w:type="dxa"/>
        </w:tblCellMar>
        <w:tblLook w:val="0000" w:firstRow="0" w:lastRow="0" w:firstColumn="0" w:lastColumn="0" w:noHBand="0" w:noVBand="0"/>
      </w:tblPr>
      <w:tblGrid>
        <w:gridCol w:w="915"/>
        <w:gridCol w:w="1080"/>
        <w:gridCol w:w="1177"/>
        <w:gridCol w:w="1177"/>
        <w:gridCol w:w="1351"/>
        <w:gridCol w:w="1260"/>
        <w:gridCol w:w="1151"/>
        <w:gridCol w:w="1041"/>
      </w:tblGrid>
      <w:tr w:rsidR="00C52ACC">
        <w:trPr>
          <w:trHeight w:val="1680"/>
        </w:trPr>
        <w:tc>
          <w:tcPr>
            <w:tcW w:w="915" w:type="dxa"/>
            <w:tcBorders>
              <w:top w:val="single" w:sz="12" w:space="0" w:color="auto"/>
              <w:left w:val="single" w:sz="12" w:space="0" w:color="auto"/>
              <w:bottom w:val="single" w:sz="8" w:space="0" w:color="000000"/>
              <w:right w:val="single" w:sz="8"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b/>
                <w:bCs/>
                <w:sz w:val="18"/>
                <w:szCs w:val="18"/>
              </w:rPr>
              <w:t>Rok</w:t>
            </w:r>
          </w:p>
        </w:tc>
        <w:tc>
          <w:tcPr>
            <w:tcW w:w="1080" w:type="dxa"/>
            <w:tcBorders>
              <w:top w:val="single" w:sz="12"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b/>
                <w:bCs/>
                <w:sz w:val="18"/>
                <w:szCs w:val="18"/>
              </w:rPr>
              <w:t>Celková plocha na prenájom</w:t>
            </w:r>
          </w:p>
        </w:tc>
        <w:tc>
          <w:tcPr>
            <w:tcW w:w="1080" w:type="dxa"/>
            <w:tcBorders>
              <w:top w:val="single" w:sz="12"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b/>
                <w:bCs/>
                <w:sz w:val="18"/>
                <w:szCs w:val="18"/>
              </w:rPr>
              <w:t xml:space="preserve">Celková obsadenosť </w:t>
            </w:r>
          </w:p>
        </w:tc>
        <w:tc>
          <w:tcPr>
            <w:tcW w:w="1080" w:type="dxa"/>
            <w:tcBorders>
              <w:top w:val="single" w:sz="12"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b/>
                <w:bCs/>
                <w:sz w:val="18"/>
                <w:szCs w:val="18"/>
              </w:rPr>
              <w:t xml:space="preserve">Celková obsadenosť </w:t>
            </w:r>
          </w:p>
        </w:tc>
        <w:tc>
          <w:tcPr>
            <w:tcW w:w="1260" w:type="dxa"/>
            <w:tcBorders>
              <w:top w:val="single" w:sz="12"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pPr>
            <w:r>
              <w:rPr>
                <w:rFonts w:ascii="Arial" w:hAnsi="Arial" w:cs="Arial"/>
                <w:b/>
                <w:bCs/>
                <w:sz w:val="18"/>
                <w:szCs w:val="18"/>
              </w:rPr>
              <w:t>Počet inkubovaných firiem</w:t>
            </w:r>
          </w:p>
          <w:p w:rsidR="00C52ACC" w:rsidRDefault="00C52ACC">
            <w:pPr>
              <w:spacing w:before="100" w:beforeAutospacing="1"/>
              <w:jc w:val="center"/>
              <w:rPr>
                <w:sz w:val="24"/>
                <w:szCs w:val="24"/>
              </w:rPr>
            </w:pPr>
            <w:r>
              <w:rPr>
                <w:rFonts w:ascii="Arial" w:hAnsi="Arial" w:cs="Arial"/>
                <w:b/>
                <w:bCs/>
                <w:sz w:val="18"/>
                <w:szCs w:val="18"/>
              </w:rPr>
              <w:t>(IbF)</w:t>
            </w:r>
          </w:p>
        </w:tc>
        <w:tc>
          <w:tcPr>
            <w:tcW w:w="1260" w:type="dxa"/>
            <w:tcBorders>
              <w:top w:val="single" w:sz="12"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b/>
                <w:bCs/>
                <w:sz w:val="18"/>
                <w:szCs w:val="18"/>
              </w:rPr>
              <w:t>Počet pracovných miest v IbF</w:t>
            </w:r>
          </w:p>
        </w:tc>
        <w:tc>
          <w:tcPr>
            <w:tcW w:w="1080" w:type="dxa"/>
            <w:tcBorders>
              <w:top w:val="single" w:sz="12"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b/>
                <w:bCs/>
                <w:sz w:val="18"/>
                <w:szCs w:val="18"/>
              </w:rPr>
              <w:t>Počet pracovných miest v riadení a prevádzke inkubátora</w:t>
            </w:r>
          </w:p>
        </w:tc>
        <w:tc>
          <w:tcPr>
            <w:tcW w:w="1260" w:type="dxa"/>
            <w:tcBorders>
              <w:top w:val="single" w:sz="12" w:space="0" w:color="auto"/>
              <w:left w:val="nil"/>
              <w:bottom w:val="single" w:sz="8" w:space="0" w:color="auto"/>
              <w:right w:val="single" w:sz="12" w:space="0" w:color="auto"/>
            </w:tcBorders>
            <w:shd w:val="clear" w:color="auto" w:fill="C0C0C0"/>
            <w:tcMar>
              <w:top w:w="0" w:type="dxa"/>
              <w:left w:w="70" w:type="dxa"/>
              <w:bottom w:w="0" w:type="dxa"/>
              <w:right w:w="70" w:type="dxa"/>
            </w:tcMar>
            <w:vAlign w:val="center"/>
          </w:tcPr>
          <w:p w:rsidR="00C52ACC" w:rsidRDefault="00C52ACC">
            <w:pPr>
              <w:spacing w:before="100" w:beforeAutospacing="1"/>
              <w:jc w:val="center"/>
            </w:pPr>
            <w:r>
              <w:rPr>
                <w:rFonts w:ascii="Arial" w:hAnsi="Arial" w:cs="Arial"/>
                <w:b/>
                <w:bCs/>
                <w:sz w:val="18"/>
                <w:szCs w:val="18"/>
              </w:rPr>
              <w:t>Rozpočet</w:t>
            </w:r>
          </w:p>
          <w:p w:rsidR="00C52ACC" w:rsidRDefault="00C52ACC">
            <w:pPr>
              <w:spacing w:before="100" w:beforeAutospacing="1"/>
              <w:jc w:val="center"/>
              <w:rPr>
                <w:sz w:val="24"/>
                <w:szCs w:val="24"/>
              </w:rPr>
            </w:pPr>
            <w:r>
              <w:rPr>
                <w:rFonts w:ascii="Arial" w:hAnsi="Arial" w:cs="Arial"/>
                <w:b/>
                <w:bCs/>
                <w:sz w:val="18"/>
                <w:szCs w:val="18"/>
              </w:rPr>
              <w:t> </w:t>
            </w:r>
          </w:p>
        </w:tc>
      </w:tr>
      <w:tr w:rsidR="00C52ACC">
        <w:trPr>
          <w:trHeight w:val="151"/>
        </w:trPr>
        <w:tc>
          <w:tcPr>
            <w:tcW w:w="915" w:type="dxa"/>
            <w:tcBorders>
              <w:top w:val="nil"/>
              <w:left w:val="single" w:sz="12" w:space="0" w:color="auto"/>
              <w:bottom w:val="single" w:sz="12" w:space="0" w:color="auto"/>
              <w:right w:val="single" w:sz="8" w:space="0" w:color="auto"/>
            </w:tcBorders>
            <w:shd w:val="clear" w:color="auto" w:fill="E6E6E6"/>
            <w:noWrap/>
            <w:tcMar>
              <w:top w:w="0" w:type="dxa"/>
              <w:left w:w="70" w:type="dxa"/>
              <w:bottom w:w="0" w:type="dxa"/>
              <w:right w:w="70" w:type="dxa"/>
            </w:tcMar>
            <w:vAlign w:val="bottom"/>
          </w:tcPr>
          <w:p w:rsidR="00C52ACC" w:rsidRDefault="00C52ACC">
            <w:pPr>
              <w:spacing w:before="100" w:beforeAutospacing="1" w:line="151" w:lineRule="atLeast"/>
              <w:rPr>
                <w:sz w:val="24"/>
                <w:szCs w:val="24"/>
              </w:rPr>
            </w:pPr>
            <w:r>
              <w:rPr>
                <w:rFonts w:ascii="Arial" w:hAnsi="Arial" w:cs="Arial"/>
                <w:sz w:val="18"/>
                <w:szCs w:val="18"/>
              </w:rPr>
              <w:t> </w:t>
            </w:r>
          </w:p>
        </w:tc>
        <w:tc>
          <w:tcPr>
            <w:tcW w:w="108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bottom"/>
          </w:tcPr>
          <w:p w:rsidR="00C52ACC" w:rsidRDefault="00C52ACC">
            <w:pPr>
              <w:spacing w:before="100" w:beforeAutospacing="1" w:line="151" w:lineRule="atLeast"/>
              <w:jc w:val="center"/>
              <w:rPr>
                <w:sz w:val="24"/>
                <w:szCs w:val="24"/>
              </w:rPr>
            </w:pPr>
            <w:r>
              <w:rPr>
                <w:rFonts w:ascii="Arial" w:hAnsi="Arial" w:cs="Arial"/>
                <w:sz w:val="18"/>
                <w:szCs w:val="18"/>
              </w:rPr>
              <w:t>m</w:t>
            </w:r>
            <w:r>
              <w:rPr>
                <w:rFonts w:ascii="Arial" w:hAnsi="Arial" w:cs="Arial"/>
                <w:sz w:val="18"/>
                <w:szCs w:val="18"/>
                <w:vertAlign w:val="superscript"/>
              </w:rPr>
              <w:t>2</w:t>
            </w:r>
          </w:p>
        </w:tc>
        <w:tc>
          <w:tcPr>
            <w:tcW w:w="108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bottom"/>
          </w:tcPr>
          <w:p w:rsidR="00C52ACC" w:rsidRDefault="00C52ACC">
            <w:pPr>
              <w:spacing w:before="100" w:beforeAutospacing="1" w:line="151" w:lineRule="atLeast"/>
              <w:jc w:val="right"/>
              <w:rPr>
                <w:sz w:val="24"/>
                <w:szCs w:val="24"/>
              </w:rPr>
            </w:pPr>
            <w:r>
              <w:rPr>
                <w:rFonts w:ascii="Arial" w:hAnsi="Arial" w:cs="Arial"/>
                <w:sz w:val="18"/>
                <w:szCs w:val="18"/>
              </w:rPr>
              <w:t>m</w:t>
            </w:r>
            <w:r>
              <w:rPr>
                <w:rFonts w:ascii="Arial" w:hAnsi="Arial" w:cs="Arial"/>
                <w:sz w:val="18"/>
                <w:szCs w:val="18"/>
                <w:vertAlign w:val="superscript"/>
              </w:rPr>
              <w:t>2</w:t>
            </w:r>
          </w:p>
        </w:tc>
        <w:tc>
          <w:tcPr>
            <w:tcW w:w="108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bottom"/>
          </w:tcPr>
          <w:p w:rsidR="00C52ACC" w:rsidRDefault="00C52ACC">
            <w:pPr>
              <w:spacing w:before="100" w:beforeAutospacing="1" w:line="151" w:lineRule="atLeast"/>
              <w:jc w:val="center"/>
              <w:rPr>
                <w:sz w:val="24"/>
                <w:szCs w:val="24"/>
              </w:rPr>
            </w:pPr>
            <w:r>
              <w:rPr>
                <w:rFonts w:ascii="Arial" w:hAnsi="Arial" w:cs="Arial"/>
                <w:sz w:val="18"/>
                <w:szCs w:val="18"/>
              </w:rPr>
              <w:t>%</w:t>
            </w:r>
          </w:p>
        </w:tc>
        <w:tc>
          <w:tcPr>
            <w:tcW w:w="126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bottom"/>
          </w:tcPr>
          <w:p w:rsidR="00C52ACC" w:rsidRDefault="00C52ACC">
            <w:pPr>
              <w:spacing w:before="100" w:beforeAutospacing="1" w:line="151" w:lineRule="atLeast"/>
              <w:jc w:val="center"/>
              <w:rPr>
                <w:sz w:val="24"/>
                <w:szCs w:val="24"/>
              </w:rPr>
            </w:pPr>
            <w:r>
              <w:rPr>
                <w:rFonts w:ascii="Arial" w:hAnsi="Arial" w:cs="Arial"/>
                <w:sz w:val="18"/>
                <w:szCs w:val="18"/>
              </w:rPr>
              <w:t> </w:t>
            </w:r>
          </w:p>
        </w:tc>
        <w:tc>
          <w:tcPr>
            <w:tcW w:w="126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bottom"/>
          </w:tcPr>
          <w:p w:rsidR="00C52ACC" w:rsidRDefault="00C52ACC">
            <w:pPr>
              <w:spacing w:before="100" w:beforeAutospacing="1" w:line="151" w:lineRule="atLeast"/>
              <w:jc w:val="center"/>
              <w:rPr>
                <w:sz w:val="24"/>
                <w:szCs w:val="24"/>
              </w:rPr>
            </w:pPr>
            <w:r>
              <w:rPr>
                <w:rFonts w:ascii="Arial" w:hAnsi="Arial" w:cs="Arial"/>
                <w:sz w:val="18"/>
                <w:szCs w:val="18"/>
              </w:rPr>
              <w:t> </w:t>
            </w:r>
          </w:p>
        </w:tc>
        <w:tc>
          <w:tcPr>
            <w:tcW w:w="1080" w:type="dxa"/>
            <w:tcBorders>
              <w:top w:val="nil"/>
              <w:left w:val="nil"/>
              <w:bottom w:val="single" w:sz="12" w:space="0" w:color="auto"/>
              <w:right w:val="single" w:sz="8" w:space="0" w:color="auto"/>
            </w:tcBorders>
            <w:shd w:val="clear" w:color="auto" w:fill="E0E0E0"/>
            <w:noWrap/>
            <w:tcMar>
              <w:top w:w="0" w:type="dxa"/>
              <w:left w:w="70" w:type="dxa"/>
              <w:bottom w:w="0" w:type="dxa"/>
              <w:right w:w="70" w:type="dxa"/>
            </w:tcMar>
            <w:vAlign w:val="bottom"/>
          </w:tcPr>
          <w:p w:rsidR="00C52ACC" w:rsidRDefault="00C52ACC">
            <w:pPr>
              <w:spacing w:before="100" w:beforeAutospacing="1" w:line="151" w:lineRule="atLeast"/>
              <w:jc w:val="center"/>
              <w:rPr>
                <w:sz w:val="24"/>
                <w:szCs w:val="24"/>
              </w:rPr>
            </w:pPr>
            <w:r>
              <w:rPr>
                <w:rFonts w:ascii="Arial" w:hAnsi="Arial" w:cs="Arial"/>
                <w:sz w:val="18"/>
                <w:szCs w:val="18"/>
              </w:rPr>
              <w:t> </w:t>
            </w:r>
          </w:p>
        </w:tc>
        <w:tc>
          <w:tcPr>
            <w:tcW w:w="1260" w:type="dxa"/>
            <w:tcBorders>
              <w:top w:val="nil"/>
              <w:left w:val="nil"/>
              <w:bottom w:val="single" w:sz="12" w:space="0" w:color="auto"/>
              <w:right w:val="single" w:sz="12" w:space="0" w:color="auto"/>
            </w:tcBorders>
            <w:shd w:val="clear" w:color="auto" w:fill="E0E0E0"/>
            <w:tcMar>
              <w:top w:w="0" w:type="dxa"/>
              <w:left w:w="70" w:type="dxa"/>
              <w:bottom w:w="0" w:type="dxa"/>
              <w:right w:w="70" w:type="dxa"/>
            </w:tcMar>
          </w:tcPr>
          <w:p w:rsidR="00C52ACC" w:rsidRDefault="00134F8E">
            <w:pPr>
              <w:spacing w:before="100" w:beforeAutospacing="1" w:line="151" w:lineRule="atLeast"/>
              <w:jc w:val="center"/>
              <w:rPr>
                <w:sz w:val="24"/>
                <w:szCs w:val="24"/>
              </w:rPr>
            </w:pPr>
            <w:r>
              <w:rPr>
                <w:rFonts w:ascii="Arial" w:hAnsi="Arial" w:cs="Arial"/>
                <w:sz w:val="18"/>
                <w:szCs w:val="18"/>
              </w:rPr>
              <w:t>EUR</w:t>
            </w:r>
          </w:p>
        </w:tc>
      </w:tr>
      <w:tr w:rsidR="00C52ACC">
        <w:trPr>
          <w:trHeight w:val="132"/>
        </w:trPr>
        <w:tc>
          <w:tcPr>
            <w:tcW w:w="915"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bottom"/>
          </w:tcPr>
          <w:p w:rsidR="00C52ACC" w:rsidRDefault="00C52ACC">
            <w:pPr>
              <w:spacing w:before="100" w:beforeAutospacing="1" w:line="132" w:lineRule="atLeast"/>
              <w:jc w:val="center"/>
              <w:rPr>
                <w:sz w:val="24"/>
                <w:szCs w:val="24"/>
              </w:rPr>
            </w:pPr>
            <w:r>
              <w:rPr>
                <w:rFonts w:ascii="Arial" w:hAnsi="Arial" w:cs="Arial"/>
                <w:sz w:val="18"/>
                <w:szCs w:val="18"/>
              </w:rPr>
              <w:t>2007</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line="132" w:lineRule="atLeast"/>
              <w:jc w:val="right"/>
              <w:rPr>
                <w:sz w:val="24"/>
                <w:szCs w:val="24"/>
              </w:rPr>
            </w:pPr>
            <w:r>
              <w:rPr>
                <w:rFonts w:ascii="Arial" w:hAnsi="Arial" w:cs="Arial"/>
                <w:sz w:val="18"/>
                <w:szCs w:val="18"/>
              </w:rPr>
              <w:t>17 416,78</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line="132" w:lineRule="atLeast"/>
              <w:jc w:val="right"/>
              <w:rPr>
                <w:sz w:val="24"/>
                <w:szCs w:val="24"/>
              </w:rPr>
            </w:pPr>
            <w:r>
              <w:rPr>
                <w:rFonts w:ascii="Arial" w:hAnsi="Arial" w:cs="Arial"/>
                <w:sz w:val="18"/>
                <w:szCs w:val="18"/>
              </w:rPr>
              <w:t>15 038,01</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line="132" w:lineRule="atLeast"/>
              <w:jc w:val="center"/>
              <w:rPr>
                <w:sz w:val="24"/>
                <w:szCs w:val="24"/>
              </w:rPr>
            </w:pPr>
            <w:r>
              <w:rPr>
                <w:rFonts w:ascii="Arial" w:hAnsi="Arial" w:cs="Arial"/>
                <w:sz w:val="18"/>
                <w:szCs w:val="18"/>
              </w:rPr>
              <w:t>86</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line="132" w:lineRule="atLeast"/>
              <w:jc w:val="center"/>
              <w:rPr>
                <w:sz w:val="24"/>
                <w:szCs w:val="24"/>
              </w:rPr>
            </w:pPr>
            <w:r>
              <w:rPr>
                <w:rFonts w:ascii="Arial" w:hAnsi="Arial" w:cs="Arial"/>
                <w:sz w:val="18"/>
                <w:szCs w:val="18"/>
              </w:rPr>
              <w:t>269</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line="132" w:lineRule="atLeast"/>
              <w:jc w:val="center"/>
              <w:rPr>
                <w:sz w:val="24"/>
                <w:szCs w:val="24"/>
              </w:rPr>
            </w:pPr>
            <w:r>
              <w:rPr>
                <w:rFonts w:ascii="Arial" w:hAnsi="Arial" w:cs="Arial"/>
                <w:sz w:val="18"/>
                <w:szCs w:val="18"/>
              </w:rPr>
              <w:t>1 159</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line="132" w:lineRule="atLeast"/>
              <w:jc w:val="center"/>
              <w:rPr>
                <w:sz w:val="24"/>
                <w:szCs w:val="24"/>
              </w:rPr>
            </w:pPr>
            <w:r>
              <w:rPr>
                <w:rFonts w:ascii="Arial" w:hAnsi="Arial" w:cs="Arial"/>
                <w:sz w:val="18"/>
                <w:szCs w:val="18"/>
              </w:rPr>
              <w:t>71</w:t>
            </w:r>
          </w:p>
        </w:tc>
        <w:tc>
          <w:tcPr>
            <w:tcW w:w="1260" w:type="dxa"/>
            <w:tcBorders>
              <w:top w:val="nil"/>
              <w:left w:val="nil"/>
              <w:bottom w:val="single" w:sz="8" w:space="0" w:color="auto"/>
              <w:right w:val="single" w:sz="12" w:space="0" w:color="auto"/>
            </w:tcBorders>
            <w:tcMar>
              <w:top w:w="0" w:type="dxa"/>
              <w:left w:w="70" w:type="dxa"/>
              <w:bottom w:w="0" w:type="dxa"/>
              <w:right w:w="70" w:type="dxa"/>
            </w:tcMar>
            <w:vAlign w:val="center"/>
          </w:tcPr>
          <w:p w:rsidR="00C52ACC" w:rsidRDefault="00C52ACC">
            <w:pPr>
              <w:spacing w:before="100" w:beforeAutospacing="1" w:line="132" w:lineRule="atLeast"/>
              <w:jc w:val="center"/>
              <w:rPr>
                <w:sz w:val="24"/>
                <w:szCs w:val="24"/>
              </w:rPr>
            </w:pPr>
            <w:r>
              <w:rPr>
                <w:rFonts w:ascii="Arial" w:hAnsi="Arial" w:cs="Arial"/>
                <w:sz w:val="18"/>
                <w:szCs w:val="18"/>
              </w:rPr>
              <w:t>144 208,90</w:t>
            </w:r>
          </w:p>
        </w:tc>
      </w:tr>
      <w:tr w:rsidR="00C52ACC" w:rsidTr="00766F82">
        <w:trPr>
          <w:trHeight w:val="255"/>
        </w:trPr>
        <w:tc>
          <w:tcPr>
            <w:tcW w:w="915" w:type="dxa"/>
            <w:tcBorders>
              <w:top w:val="nil"/>
              <w:left w:val="single" w:sz="12" w:space="0" w:color="auto"/>
              <w:bottom w:val="single" w:sz="4" w:space="0" w:color="auto"/>
              <w:right w:val="single" w:sz="8" w:space="0" w:color="auto"/>
            </w:tcBorders>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2008</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20 694,03</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18 210,81</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80,82</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274</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1 182</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37</w:t>
            </w:r>
          </w:p>
        </w:tc>
        <w:tc>
          <w:tcPr>
            <w:tcW w:w="1260" w:type="dxa"/>
            <w:tcBorders>
              <w:top w:val="nil"/>
              <w:left w:val="nil"/>
              <w:bottom w:val="single" w:sz="4" w:space="0" w:color="auto"/>
              <w:right w:val="single" w:sz="12" w:space="0" w:color="auto"/>
            </w:tcBorders>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sz w:val="18"/>
                <w:szCs w:val="18"/>
              </w:rPr>
              <w:t>70 950,79</w:t>
            </w:r>
          </w:p>
        </w:tc>
      </w:tr>
      <w:tr w:rsidR="00C52ACC" w:rsidTr="00766F82">
        <w:trPr>
          <w:trHeight w:val="255"/>
        </w:trPr>
        <w:tc>
          <w:tcPr>
            <w:tcW w:w="915" w:type="dxa"/>
            <w:tcBorders>
              <w:top w:val="single" w:sz="4" w:space="0" w:color="auto"/>
              <w:left w:val="single" w:sz="12" w:space="0" w:color="auto"/>
              <w:bottom w:val="single" w:sz="8" w:space="0" w:color="auto"/>
              <w:right w:val="single" w:sz="8" w:space="0" w:color="auto"/>
            </w:tcBorders>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lastRenderedPageBreak/>
              <w:t>2009</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17 577,00</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13 852,00</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79,00</w:t>
            </w: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177</w:t>
            </w: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688</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39</w:t>
            </w:r>
          </w:p>
        </w:tc>
        <w:tc>
          <w:tcPr>
            <w:tcW w:w="1260" w:type="dxa"/>
            <w:tcBorders>
              <w:top w:val="single" w:sz="4" w:space="0" w:color="auto"/>
              <w:left w:val="nil"/>
              <w:bottom w:val="single" w:sz="8" w:space="0" w:color="auto"/>
              <w:right w:val="single" w:sz="12" w:space="0" w:color="auto"/>
            </w:tcBorders>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sz w:val="18"/>
                <w:szCs w:val="18"/>
              </w:rPr>
              <w:t>53 598,04</w:t>
            </w:r>
          </w:p>
        </w:tc>
      </w:tr>
      <w:tr w:rsidR="00C52ACC" w:rsidTr="00C0216D">
        <w:trPr>
          <w:trHeight w:val="255"/>
        </w:trPr>
        <w:tc>
          <w:tcPr>
            <w:tcW w:w="915" w:type="dxa"/>
            <w:tcBorders>
              <w:top w:val="nil"/>
              <w:left w:val="single" w:sz="12" w:space="0" w:color="auto"/>
              <w:bottom w:val="single" w:sz="4" w:space="0" w:color="auto"/>
              <w:right w:val="single" w:sz="8" w:space="0" w:color="auto"/>
            </w:tcBorders>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2010</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16 156,84</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13 979,89</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87,00</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146</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778</w:t>
            </w:r>
          </w:p>
        </w:tc>
        <w:tc>
          <w:tcPr>
            <w:tcW w:w="108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48</w:t>
            </w:r>
          </w:p>
        </w:tc>
        <w:tc>
          <w:tcPr>
            <w:tcW w:w="1260" w:type="dxa"/>
            <w:tcBorders>
              <w:top w:val="nil"/>
              <w:left w:val="nil"/>
              <w:bottom w:val="single" w:sz="4" w:space="0" w:color="auto"/>
              <w:right w:val="single" w:sz="12" w:space="0" w:color="auto"/>
            </w:tcBorders>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sz w:val="18"/>
                <w:szCs w:val="18"/>
              </w:rPr>
              <w:t>29 877,80</w:t>
            </w:r>
          </w:p>
        </w:tc>
      </w:tr>
      <w:tr w:rsidR="00C52ACC" w:rsidTr="00C0216D">
        <w:trPr>
          <w:trHeight w:val="255"/>
        </w:trPr>
        <w:tc>
          <w:tcPr>
            <w:tcW w:w="915" w:type="dxa"/>
            <w:tcBorders>
              <w:top w:val="single" w:sz="4" w:space="0" w:color="auto"/>
              <w:left w:val="single" w:sz="12" w:space="0" w:color="auto"/>
              <w:bottom w:val="single" w:sz="8" w:space="0" w:color="auto"/>
              <w:right w:val="single" w:sz="8" w:space="0" w:color="auto"/>
            </w:tcBorders>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2011</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14 009,22</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right"/>
              <w:rPr>
                <w:sz w:val="24"/>
                <w:szCs w:val="24"/>
              </w:rPr>
            </w:pPr>
            <w:r>
              <w:rPr>
                <w:rFonts w:ascii="Arial" w:hAnsi="Arial" w:cs="Arial"/>
                <w:sz w:val="18"/>
                <w:szCs w:val="18"/>
              </w:rPr>
              <w:t>12 469,31</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89,00</w:t>
            </w: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88</w:t>
            </w: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602</w:t>
            </w:r>
          </w:p>
        </w:tc>
        <w:tc>
          <w:tcPr>
            <w:tcW w:w="1080"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C52ACC" w:rsidRDefault="00C52ACC">
            <w:pPr>
              <w:spacing w:before="100" w:beforeAutospacing="1"/>
              <w:jc w:val="center"/>
              <w:rPr>
                <w:sz w:val="24"/>
                <w:szCs w:val="24"/>
              </w:rPr>
            </w:pPr>
            <w:r>
              <w:rPr>
                <w:rFonts w:ascii="Arial" w:hAnsi="Arial" w:cs="Arial"/>
                <w:sz w:val="18"/>
                <w:szCs w:val="18"/>
              </w:rPr>
              <w:t>37</w:t>
            </w:r>
          </w:p>
        </w:tc>
        <w:tc>
          <w:tcPr>
            <w:tcW w:w="1260" w:type="dxa"/>
            <w:tcBorders>
              <w:top w:val="single" w:sz="4" w:space="0" w:color="auto"/>
              <w:left w:val="nil"/>
              <w:bottom w:val="single" w:sz="8" w:space="0" w:color="auto"/>
              <w:right w:val="single" w:sz="12" w:space="0" w:color="auto"/>
            </w:tcBorders>
            <w:tcMar>
              <w:top w:w="0" w:type="dxa"/>
              <w:left w:w="70" w:type="dxa"/>
              <w:bottom w:w="0" w:type="dxa"/>
              <w:right w:w="70" w:type="dxa"/>
            </w:tcMar>
            <w:vAlign w:val="center"/>
          </w:tcPr>
          <w:p w:rsidR="00C52ACC" w:rsidRDefault="00C52ACC">
            <w:pPr>
              <w:spacing w:before="100" w:beforeAutospacing="1"/>
              <w:jc w:val="center"/>
              <w:rPr>
                <w:sz w:val="24"/>
                <w:szCs w:val="24"/>
              </w:rPr>
            </w:pPr>
            <w:r>
              <w:rPr>
                <w:rFonts w:ascii="Arial" w:hAnsi="Arial" w:cs="Arial"/>
                <w:sz w:val="18"/>
                <w:szCs w:val="18"/>
              </w:rPr>
              <w:t>14 771,83</w:t>
            </w:r>
          </w:p>
        </w:tc>
      </w:tr>
      <w:tr w:rsidR="00C52ACC">
        <w:trPr>
          <w:trHeight w:val="70"/>
        </w:trPr>
        <w:tc>
          <w:tcPr>
            <w:tcW w:w="915" w:type="dxa"/>
            <w:tcBorders>
              <w:top w:val="nil"/>
              <w:left w:val="single" w:sz="12" w:space="0" w:color="auto"/>
              <w:bottom w:val="single" w:sz="12" w:space="0" w:color="auto"/>
              <w:right w:val="single" w:sz="8" w:space="0" w:color="auto"/>
            </w:tcBorders>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2012</w:t>
            </w:r>
          </w:p>
        </w:tc>
        <w:tc>
          <w:tcPr>
            <w:tcW w:w="1080"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w:t>
            </w:r>
          </w:p>
        </w:tc>
        <w:tc>
          <w:tcPr>
            <w:tcW w:w="1080"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w:t>
            </w:r>
          </w:p>
        </w:tc>
        <w:tc>
          <w:tcPr>
            <w:tcW w:w="1080"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w:t>
            </w:r>
          </w:p>
        </w:tc>
        <w:tc>
          <w:tcPr>
            <w:tcW w:w="1260"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w:t>
            </w:r>
          </w:p>
        </w:tc>
        <w:tc>
          <w:tcPr>
            <w:tcW w:w="1260"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w:t>
            </w:r>
          </w:p>
        </w:tc>
        <w:tc>
          <w:tcPr>
            <w:tcW w:w="1080" w:type="dxa"/>
            <w:tcBorders>
              <w:top w:val="nil"/>
              <w:left w:val="nil"/>
              <w:bottom w:val="single" w:sz="12" w:space="0" w:color="auto"/>
              <w:right w:val="single" w:sz="8" w:space="0" w:color="auto"/>
            </w:tcBorders>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w:t>
            </w:r>
          </w:p>
        </w:tc>
        <w:tc>
          <w:tcPr>
            <w:tcW w:w="1260" w:type="dxa"/>
            <w:tcBorders>
              <w:top w:val="nil"/>
              <w:left w:val="nil"/>
              <w:bottom w:val="single" w:sz="12" w:space="0" w:color="auto"/>
              <w:right w:val="single" w:sz="12" w:space="0" w:color="auto"/>
            </w:tcBorders>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sz w:val="18"/>
                <w:szCs w:val="18"/>
              </w:rPr>
              <w:t>9 000,00</w:t>
            </w:r>
          </w:p>
        </w:tc>
      </w:tr>
      <w:tr w:rsidR="00C52ACC">
        <w:trPr>
          <w:trHeight w:val="70"/>
        </w:trPr>
        <w:tc>
          <w:tcPr>
            <w:tcW w:w="915" w:type="dxa"/>
            <w:tcBorders>
              <w:top w:val="nil"/>
              <w:left w:val="single" w:sz="12" w:space="0" w:color="auto"/>
              <w:bottom w:val="single" w:sz="12" w:space="0" w:color="auto"/>
              <w:right w:val="single" w:sz="8" w:space="0" w:color="auto"/>
            </w:tcBorders>
            <w:shd w:val="clear" w:color="auto" w:fill="E6E6E6"/>
            <w:noWrap/>
            <w:tcMar>
              <w:top w:w="0" w:type="dxa"/>
              <w:left w:w="70" w:type="dxa"/>
              <w:bottom w:w="0" w:type="dxa"/>
              <w:right w:w="70" w:type="dxa"/>
            </w:tcMar>
            <w:vAlign w:val="center"/>
          </w:tcPr>
          <w:p w:rsidR="00C52ACC" w:rsidRDefault="00C52ACC">
            <w:pPr>
              <w:spacing w:before="100" w:beforeAutospacing="1" w:line="70" w:lineRule="atLeast"/>
              <w:rPr>
                <w:sz w:val="24"/>
                <w:szCs w:val="24"/>
              </w:rPr>
            </w:pPr>
            <w:r>
              <w:rPr>
                <w:rFonts w:ascii="Arial" w:hAnsi="Arial" w:cs="Arial"/>
                <w:b/>
                <w:bCs/>
                <w:sz w:val="18"/>
                <w:szCs w:val="18"/>
              </w:rPr>
              <w:t>Priemer</w:t>
            </w:r>
          </w:p>
        </w:tc>
        <w:tc>
          <w:tcPr>
            <w:tcW w:w="108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center"/>
          </w:tcPr>
          <w:p w:rsidR="00C52ACC" w:rsidRDefault="00C52ACC">
            <w:pPr>
              <w:spacing w:before="100" w:beforeAutospacing="1" w:line="70" w:lineRule="atLeast"/>
              <w:jc w:val="right"/>
              <w:rPr>
                <w:sz w:val="24"/>
                <w:szCs w:val="24"/>
              </w:rPr>
            </w:pPr>
            <w:r>
              <w:rPr>
                <w:rFonts w:ascii="Arial" w:hAnsi="Arial" w:cs="Arial"/>
                <w:b/>
                <w:bCs/>
                <w:sz w:val="18"/>
                <w:szCs w:val="18"/>
              </w:rPr>
              <w:t>17 170,77</w:t>
            </w:r>
          </w:p>
        </w:tc>
        <w:tc>
          <w:tcPr>
            <w:tcW w:w="108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center"/>
          </w:tcPr>
          <w:p w:rsidR="00C52ACC" w:rsidRDefault="00C52ACC">
            <w:pPr>
              <w:spacing w:before="100" w:beforeAutospacing="1" w:line="70" w:lineRule="atLeast"/>
              <w:jc w:val="right"/>
              <w:rPr>
                <w:sz w:val="24"/>
                <w:szCs w:val="24"/>
              </w:rPr>
            </w:pPr>
            <w:r>
              <w:rPr>
                <w:rFonts w:ascii="Arial" w:hAnsi="Arial" w:cs="Arial"/>
                <w:b/>
                <w:bCs/>
                <w:sz w:val="18"/>
                <w:szCs w:val="18"/>
              </w:rPr>
              <w:t>14 710,00</w:t>
            </w:r>
          </w:p>
        </w:tc>
        <w:tc>
          <w:tcPr>
            <w:tcW w:w="108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b/>
                <w:bCs/>
                <w:sz w:val="18"/>
                <w:szCs w:val="18"/>
              </w:rPr>
              <w:t>84</w:t>
            </w:r>
          </w:p>
        </w:tc>
        <w:tc>
          <w:tcPr>
            <w:tcW w:w="126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b/>
                <w:bCs/>
                <w:sz w:val="18"/>
                <w:szCs w:val="18"/>
              </w:rPr>
              <w:t>190,8</w:t>
            </w:r>
          </w:p>
        </w:tc>
        <w:tc>
          <w:tcPr>
            <w:tcW w:w="126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b/>
                <w:bCs/>
                <w:sz w:val="18"/>
                <w:szCs w:val="18"/>
              </w:rPr>
              <w:t>881,8</w:t>
            </w:r>
          </w:p>
        </w:tc>
        <w:tc>
          <w:tcPr>
            <w:tcW w:w="1080" w:type="dxa"/>
            <w:tcBorders>
              <w:top w:val="nil"/>
              <w:left w:val="nil"/>
              <w:bottom w:val="single" w:sz="12" w:space="0" w:color="auto"/>
              <w:right w:val="single" w:sz="8" w:space="0" w:color="auto"/>
            </w:tcBorders>
            <w:shd w:val="clear" w:color="auto" w:fill="E6E6E6"/>
            <w:noWrap/>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b/>
                <w:bCs/>
                <w:sz w:val="18"/>
                <w:szCs w:val="18"/>
              </w:rPr>
              <w:t>46,4</w:t>
            </w:r>
          </w:p>
        </w:tc>
        <w:tc>
          <w:tcPr>
            <w:tcW w:w="1260" w:type="dxa"/>
            <w:tcBorders>
              <w:top w:val="nil"/>
              <w:left w:val="nil"/>
              <w:bottom w:val="single" w:sz="12" w:space="0" w:color="auto"/>
              <w:right w:val="single" w:sz="12" w:space="0" w:color="auto"/>
            </w:tcBorders>
            <w:shd w:val="clear" w:color="auto" w:fill="E6E6E6"/>
            <w:tcMar>
              <w:top w:w="0" w:type="dxa"/>
              <w:left w:w="70" w:type="dxa"/>
              <w:bottom w:w="0" w:type="dxa"/>
              <w:right w:w="70" w:type="dxa"/>
            </w:tcMar>
            <w:vAlign w:val="center"/>
          </w:tcPr>
          <w:p w:rsidR="00C52ACC" w:rsidRDefault="00C52ACC">
            <w:pPr>
              <w:spacing w:before="100" w:beforeAutospacing="1" w:line="70" w:lineRule="atLeast"/>
              <w:jc w:val="center"/>
              <w:rPr>
                <w:sz w:val="24"/>
                <w:szCs w:val="24"/>
              </w:rPr>
            </w:pPr>
            <w:r>
              <w:rPr>
                <w:rFonts w:ascii="Arial" w:hAnsi="Arial" w:cs="Arial"/>
                <w:b/>
                <w:bCs/>
                <w:sz w:val="18"/>
                <w:szCs w:val="18"/>
              </w:rPr>
              <w:t>51 475,54</w:t>
            </w:r>
          </w:p>
        </w:tc>
      </w:tr>
    </w:tbl>
    <w:p w:rsidR="00454149" w:rsidRPr="00454149" w:rsidRDefault="00454149" w:rsidP="00454149">
      <w:pPr>
        <w:spacing w:before="100" w:beforeAutospacing="1" w:after="100" w:afterAutospacing="1"/>
        <w:rPr>
          <w:i/>
        </w:rPr>
      </w:pPr>
      <w:r w:rsidRPr="00454149">
        <w:rPr>
          <w:b/>
          <w:i/>
        </w:rPr>
        <w:t>Zdroj:</w:t>
      </w:r>
      <w:r w:rsidRPr="00454149">
        <w:rPr>
          <w:i/>
        </w:rPr>
        <w:t xml:space="preserve"> SIEA</w:t>
      </w:r>
    </w:p>
    <w:p w:rsidR="000A7E8B" w:rsidRPr="002F1203" w:rsidRDefault="00C52ACC" w:rsidP="00454149">
      <w:pPr>
        <w:spacing w:before="100" w:beforeAutospacing="1" w:after="100" w:afterAutospacing="1"/>
        <w:ind w:firstLine="426"/>
      </w:pPr>
      <w:r w:rsidRPr="002F1203">
        <w:t xml:space="preserve">Z analýzy inkubátorov vyplýva, že v období rokov 2007 – 2012 bola podpora rozvoja inkubátorov nesystémová, čo neumožňuje ich plnohodnotné fungovanie. Z dôvodu podfinancovania systému prevádzky inkubátorov </w:t>
      </w:r>
      <w:r w:rsidR="00A30EF7">
        <w:t xml:space="preserve">väčšina </w:t>
      </w:r>
      <w:r w:rsidRPr="002F1203">
        <w:t>z nich nedokáže zabezpečiť dostatočné personálne kapacity a neposkytuje komplexné služby potrebné pre rozvoj inkubovaných firiem. Koncepcia absentovala aj pri zavádzaní finančných, organizačných a technických podporných nástrojov, čo vyústilo do problematickej udržateľnosti niektorých inkubátorov.</w:t>
      </w:r>
      <w:r w:rsidR="00134F8E">
        <w:t xml:space="preserve"> </w:t>
      </w:r>
      <w:r w:rsidRPr="002F1203">
        <w:t>Podpora inkubátorov by sa mala uplatňovať</w:t>
      </w:r>
      <w:r w:rsidR="00134F8E">
        <w:t xml:space="preserve"> </w:t>
      </w:r>
      <w:r w:rsidRPr="002F1203">
        <w:t>selektívne na základe regionálneho potenciálu.</w:t>
      </w:r>
    </w:p>
    <w:p w:rsidR="009B4A3B" w:rsidRPr="00B450ED" w:rsidRDefault="00C52ACC" w:rsidP="00D00787">
      <w:pPr>
        <w:pStyle w:val="Nadpis2"/>
      </w:pPr>
      <w:r>
        <w:rPr>
          <w:sz w:val="22"/>
          <w:szCs w:val="22"/>
        </w:rPr>
        <w:t> </w:t>
      </w:r>
      <w:bookmarkStart w:id="103" w:name="_TOC_250013"/>
      <w:bookmarkStart w:id="104" w:name="_Toc360576013"/>
      <w:bookmarkStart w:id="105" w:name="_Toc365831797"/>
      <w:bookmarkStart w:id="106" w:name="_Toc365831989"/>
      <w:bookmarkStart w:id="107" w:name="_Toc366744159"/>
      <w:bookmarkEnd w:id="99"/>
      <w:r w:rsidR="009B4A3B" w:rsidRPr="00B450ED">
        <w:t>Výskumno-vývojový potenciál Slovenskej republiky</w:t>
      </w:r>
      <w:bookmarkEnd w:id="103"/>
      <w:bookmarkEnd w:id="104"/>
      <w:bookmarkEnd w:id="105"/>
      <w:bookmarkEnd w:id="106"/>
      <w:bookmarkEnd w:id="107"/>
    </w:p>
    <w:p w:rsidR="009B4A3B" w:rsidRPr="000E1A05" w:rsidRDefault="009B4A3B" w:rsidP="00837B0A">
      <w:pPr>
        <w:ind w:firstLine="340"/>
      </w:pPr>
      <w:r w:rsidRPr="000E1A05">
        <w:t>Výskum a vývoj patria k základným predpokladom konkurencieschopnosti a trvalo udržateľného rozvoja spoločnosti a</w:t>
      </w:r>
      <w:r w:rsidR="00F11843">
        <w:t> </w:t>
      </w:r>
      <w:r w:rsidRPr="000E1A05">
        <w:t>sú</w:t>
      </w:r>
      <w:r w:rsidR="00F11843">
        <w:t xml:space="preserve"> </w:t>
      </w:r>
      <w:r w:rsidRPr="000E1A05">
        <w:t>podmienkou dlhodobého rastu životnej úrovne na Slovensku. Slovenský výskum a vývoj má dlhodobú tradíciu a v niektorých oblastiach dosahuje výsledky na špičkovej svetovej úrovni.</w:t>
      </w:r>
      <w:r w:rsidR="00F11843">
        <w:t xml:space="preserve"> </w:t>
      </w:r>
      <w:r w:rsidRPr="000E1A05">
        <w:t xml:space="preserve">Výskumno-vývojový potenciál je na Slovensku koncentrovaný vo verejnom sektore (2/3 výdavkov na </w:t>
      </w:r>
      <w:r w:rsidR="00400B45">
        <w:t>výskum a vývoj</w:t>
      </w:r>
      <w:r w:rsidRPr="000E1A05">
        <w:t xml:space="preserve"> sa realizuje vo verejnom sektore). Vo svete je výskum a vývoj financovaný z verejných zdrojov tradične uskutočňovaný univerzitami alebo ostatnými výskumnými organizáciami verejného sektora.</w:t>
      </w:r>
    </w:p>
    <w:p w:rsidR="009B4A3B" w:rsidRPr="000E1A05" w:rsidRDefault="009B4A3B" w:rsidP="00837B0A">
      <w:pPr>
        <w:ind w:firstLine="340"/>
      </w:pPr>
      <w:r w:rsidRPr="000E1A05">
        <w:t>Slovensko patrí medzi krajiny OECD, ktoré vykazujú pomerne nízke zastúpenie</w:t>
      </w:r>
      <w:r w:rsidR="002867E0">
        <w:t xml:space="preserve"> </w:t>
      </w:r>
      <w:r w:rsidRPr="000E1A05">
        <w:t xml:space="preserve">univerzít na verejnom </w:t>
      </w:r>
      <w:r w:rsidR="00400B45">
        <w:t>výskume a vývoja</w:t>
      </w:r>
      <w:r w:rsidRPr="000E1A05">
        <w:t xml:space="preserve"> (48 %-ný podiel). Podobne ako v ostatných stredoeurópskych ekonomikách zohrávajú podstatnú úlohu národné akadémie vied a v menšej miere rezortné výskumné ústavy.</w:t>
      </w:r>
    </w:p>
    <w:p w:rsidR="009B4A3B" w:rsidRPr="000E1A05" w:rsidRDefault="009B4A3B" w:rsidP="000A7E8B">
      <w:pPr>
        <w:ind w:firstLine="340"/>
      </w:pPr>
      <w:r w:rsidRPr="000E1A05">
        <w:t xml:space="preserve">Hlavným meradlom výskumno-vývojového potenciálu krajiny je celkový počet pracovníkov </w:t>
      </w:r>
      <w:r w:rsidR="00400B45">
        <w:t>výskumu a vývoja</w:t>
      </w:r>
      <w:r w:rsidRPr="000E1A05">
        <w:t>, ktorý</w:t>
      </w:r>
      <w:r w:rsidR="000A7E8B">
        <w:t>mi disponuje národná ekonomika.</w:t>
      </w:r>
      <w:r w:rsidR="00BB6774">
        <w:t xml:space="preserve"> </w:t>
      </w:r>
      <w:r w:rsidRPr="000E1A05">
        <w:t xml:space="preserve">Podiel pracovníkov </w:t>
      </w:r>
      <w:r w:rsidR="00400B45">
        <w:t>výskumu a vývoja</w:t>
      </w:r>
      <w:r w:rsidRPr="000E1A05">
        <w:t xml:space="preserve"> na celkovej zamestnanosti v roku 2011 bol na Slovensku len 0,77 %</w:t>
      </w:r>
      <w:r w:rsidR="00BB6774">
        <w:t>,</w:t>
      </w:r>
      <w:r w:rsidRPr="000E1A05">
        <w:t xml:space="preserve"> čo bolo pod úrovňou priemeru EÚ aj inovačne vyspelých ekonomík a susedných krajín. Z hľadiska štruktúry pracovníkov </w:t>
      </w:r>
      <w:r w:rsidR="00400B45">
        <w:t>výskumu a vývoja</w:t>
      </w:r>
      <w:r w:rsidRPr="000E1A05">
        <w:t xml:space="preserve"> je ich rozdelenie do jednotlivých sektorov nasledovné: podnikový sektor 16</w:t>
      </w:r>
      <w:r w:rsidR="00BB6774">
        <w:t xml:space="preserve"> </w:t>
      </w:r>
      <w:r w:rsidRPr="000E1A05">
        <w:t>%; vysokoškolský sektor 67</w:t>
      </w:r>
      <w:r w:rsidR="00BB6774">
        <w:t xml:space="preserve"> </w:t>
      </w:r>
      <w:r w:rsidRPr="000E1A05">
        <w:t>%</w:t>
      </w:r>
      <w:r w:rsidR="00BB6774">
        <w:t xml:space="preserve"> </w:t>
      </w:r>
      <w:r w:rsidR="00E66CA2">
        <w:t>(spolu vysokoškolskí učitelia a výskumní pracovníci)</w:t>
      </w:r>
      <w:r w:rsidRPr="000E1A05">
        <w:t xml:space="preserve"> a vládny sektor (SAV a rezortné ústavy) 17</w:t>
      </w:r>
      <w:r w:rsidR="00BB6774">
        <w:t xml:space="preserve"> </w:t>
      </w:r>
      <w:r w:rsidRPr="000E1A05">
        <w:t>%.</w:t>
      </w:r>
    </w:p>
    <w:p w:rsidR="009B4A3B" w:rsidRDefault="009B4A3B" w:rsidP="00837B0A">
      <w:pPr>
        <w:ind w:firstLine="340"/>
      </w:pPr>
      <w:r w:rsidRPr="000E1A05">
        <w:t>V roku 2011 bol priemerný evidenčný prepočítaný počet zamestnancov verejných vysokých škôl 21 538. V tom vysokoškolskí učitelia</w:t>
      </w:r>
      <w:r w:rsidR="005256F7">
        <w:t xml:space="preserve"> </w:t>
      </w:r>
      <w:r w:rsidR="00A41F98">
        <w:t xml:space="preserve">a/alebo </w:t>
      </w:r>
      <w:r w:rsidR="005256F7">
        <w:t>výskumní pracovníci</w:t>
      </w:r>
      <w:r w:rsidR="00E13039">
        <w:t xml:space="preserve"> </w:t>
      </w:r>
      <w:r w:rsidRPr="000E1A05">
        <w:t xml:space="preserve">tvoria </w:t>
      </w:r>
      <w:r w:rsidR="005256F7">
        <w:t>5</w:t>
      </w:r>
      <w:r w:rsidRPr="000E1A05">
        <w:t>3</w:t>
      </w:r>
      <w:r w:rsidR="005256F7">
        <w:t>,5</w:t>
      </w:r>
      <w:r w:rsidRPr="000E1A05">
        <w:t xml:space="preserve"> % a ostatní zamestnanci (administratíva, prevádzka a pod.) tvoria 46,5 % zamestnancov. </w:t>
      </w:r>
      <w:r w:rsidRPr="0097698F">
        <w:t>Na Slovensku teda pôsobilo v</w:t>
      </w:r>
      <w:r w:rsidR="00BB6774">
        <w:t>o</w:t>
      </w:r>
      <w:r w:rsidRPr="0097698F">
        <w:t xml:space="preserve"> verejných vysokých školách 11 522 vysokoškolských uč</w:t>
      </w:r>
      <w:r w:rsidR="000A7E8B">
        <w:t>iteľov a vedeckých pracovníkov.</w:t>
      </w:r>
      <w:r w:rsidR="00BB6774">
        <w:t xml:space="preserve"> </w:t>
      </w:r>
      <w:r w:rsidRPr="0097698F">
        <w:t>V uvedenom roku v SAV pôsobilo 1 813 vedeckých pracovníkov</w:t>
      </w:r>
      <w:r w:rsidR="00556E3F" w:rsidRPr="0097698F">
        <w:t xml:space="preserve"> a v pôdohospodárskych výskumných ústavoch 350 vedeckých pracovníkov</w:t>
      </w:r>
      <w:r w:rsidRPr="000E1A05">
        <w:t>.</w:t>
      </w:r>
      <w:r w:rsidR="00DF5E14">
        <w:t xml:space="preserve"> </w:t>
      </w:r>
      <w:r w:rsidR="00DF5E14" w:rsidRPr="00DF5E14">
        <w:t>Vo výskumných</w:t>
      </w:r>
      <w:r w:rsidR="00E13039">
        <w:t xml:space="preserve"> </w:t>
      </w:r>
      <w:r w:rsidR="00DF5E14" w:rsidRPr="00DF5E14">
        <w:t>organizáciách podnikateľského</w:t>
      </w:r>
      <w:r w:rsidR="00E13039">
        <w:t xml:space="preserve"> </w:t>
      </w:r>
      <w:r w:rsidR="00DF5E14" w:rsidRPr="00DF5E14">
        <w:t xml:space="preserve">sektora pracuje </w:t>
      </w:r>
      <w:r w:rsidR="00347084">
        <w:t xml:space="preserve">cca </w:t>
      </w:r>
      <w:r w:rsidR="00DF5E14" w:rsidRPr="00DF5E14">
        <w:t>2</w:t>
      </w:r>
      <w:r w:rsidR="00BB6774">
        <w:t xml:space="preserve"> </w:t>
      </w:r>
      <w:r w:rsidR="00DF5E14" w:rsidRPr="00DF5E14">
        <w:t>700 výskumných pracovníkov</w:t>
      </w:r>
      <w:r w:rsidR="00BB6774">
        <w:t>,</w:t>
      </w:r>
      <w:r w:rsidR="00DF5E14" w:rsidRPr="00DF5E14">
        <w:t xml:space="preserve"> </w:t>
      </w:r>
      <w:r w:rsidR="00347084">
        <w:t xml:space="preserve">čo v </w:t>
      </w:r>
      <w:r w:rsidR="00DF5E14" w:rsidRPr="00DF5E14">
        <w:t xml:space="preserve">súhrnnom vyjadrení k celkovému počtu pracovníkov výskumu a vývoja v SR predstavuje </w:t>
      </w:r>
      <w:r w:rsidR="00347084">
        <w:t>takmer 16</w:t>
      </w:r>
      <w:r w:rsidR="00BB6774">
        <w:t xml:space="preserve"> </w:t>
      </w:r>
      <w:r w:rsidR="00347084">
        <w:t>%.</w:t>
      </w:r>
    </w:p>
    <w:p w:rsidR="00776930" w:rsidRPr="000E1A05" w:rsidRDefault="009B4A3B" w:rsidP="00776930">
      <w:pPr>
        <w:ind w:firstLine="340"/>
      </w:pPr>
      <w:r w:rsidRPr="000E1A05">
        <w:t xml:space="preserve">Slovensko vykazuje veľmi vysoký podiel základného výskumu, až 77 % výdavkov verejného sektora na </w:t>
      </w:r>
      <w:r w:rsidR="00400B45">
        <w:t>výskum a vývoj</w:t>
      </w:r>
      <w:r w:rsidRPr="000E1A05">
        <w:t xml:space="preserve"> smeruje do tejto oblasti; </w:t>
      </w:r>
      <w:r w:rsidR="00BB6774">
        <w:t>t</w:t>
      </w:r>
      <w:r w:rsidRPr="000E1A05">
        <w:t>o je z hodnotených európskych krajín OECD najvyššia hodnota.</w:t>
      </w:r>
      <w:r w:rsidR="00F11843">
        <w:t xml:space="preserve"> </w:t>
      </w:r>
      <w:r w:rsidRPr="000E1A05">
        <w:t xml:space="preserve">Vysoký podiel základného výskumu pri nedostatočnej podpore aplikovaného výskumu a chýbajúcich inštitúciách transferu vedeckých poznatkov do praxe môže byť prekážkou inovačného napredovania slovenskej </w:t>
      </w:r>
      <w:r w:rsidRPr="000E1A05">
        <w:lastRenderedPageBreak/>
        <w:t>ekonomiky.</w:t>
      </w:r>
      <w:r w:rsidR="00776930">
        <w:t xml:space="preserve"> Výnimkou je </w:t>
      </w:r>
      <w:r w:rsidR="002217E0">
        <w:t>výskum a vývoj</w:t>
      </w:r>
      <w:r w:rsidR="00776930">
        <w:t xml:space="preserve"> v rezortných výskumných ústavoch a centrách, kde dominuje aplikovaný výskum a nadväzujúci vývoj a transfer poznatkov do praxe.</w:t>
      </w:r>
    </w:p>
    <w:p w:rsidR="009B4A3B" w:rsidRPr="00B450ED" w:rsidRDefault="009B4A3B" w:rsidP="000A7E8B">
      <w:pPr>
        <w:pStyle w:val="Nadpis3"/>
        <w:spacing w:after="240"/>
      </w:pPr>
      <w:bookmarkStart w:id="108" w:name="_Toc360576014"/>
      <w:bookmarkStart w:id="109" w:name="_Toc365831798"/>
      <w:bookmarkStart w:id="110" w:name="_Toc365831990"/>
      <w:bookmarkStart w:id="111" w:name="_Toc366744160"/>
      <w:r w:rsidRPr="00B450ED">
        <w:t>Slovenská akadémia vied</w:t>
      </w:r>
      <w:bookmarkEnd w:id="108"/>
      <w:bookmarkEnd w:id="109"/>
      <w:bookmarkEnd w:id="110"/>
      <w:bookmarkEnd w:id="111"/>
    </w:p>
    <w:p w:rsidR="009B4A3B" w:rsidRPr="000E1A05" w:rsidRDefault="009B4A3B" w:rsidP="00557743">
      <w:pPr>
        <w:ind w:firstLine="340"/>
      </w:pPr>
      <w:r w:rsidRPr="000E1A05">
        <w:t>Do verejného sektora výskumu a vývoja patrí predovšetkým Slovenská akadémia vied, samosprávna štátna vedecká inštitúcia Slovenskej republiky zriadená zákonom č. 133/2002 Z. z. o Slovenskej akadémii vied (SAV). Hlavným poslaním SAV je realizovať základný a aplikovaný výskum v technických, prírodných, humanitných a spoločenských vedách prostredníctvom výskumných organizácií a s podporou servisných a špecializovaných organizácií.</w:t>
      </w:r>
    </w:p>
    <w:p w:rsidR="009B4A3B" w:rsidRPr="000E1A05" w:rsidRDefault="009B4A3B" w:rsidP="00837B0A">
      <w:pPr>
        <w:ind w:firstLine="340"/>
      </w:pPr>
      <w:r w:rsidRPr="000E1A05">
        <w:t xml:space="preserve">SAV hospodári s financiami zo štátneho rozpočtu na úrovni takmer 60 mil. </w:t>
      </w:r>
      <w:r w:rsidR="00134F8E">
        <w:t>EUR</w:t>
      </w:r>
      <w:r w:rsidRPr="000E1A05">
        <w:t xml:space="preserve"> ročne (</w:t>
      </w:r>
      <w:r w:rsidR="00BB6774">
        <w:t xml:space="preserve">rok </w:t>
      </w:r>
      <w:r w:rsidRPr="000E1A05">
        <w:t xml:space="preserve">2011), čo sa v priebehu roka upravuje až na úroveň 75 mil. </w:t>
      </w:r>
      <w:r w:rsidR="00134F8E">
        <w:t>EUR</w:t>
      </w:r>
      <w:r w:rsidRPr="000E1A05">
        <w:t xml:space="preserve">. SAV zamestnáva </w:t>
      </w:r>
      <w:r w:rsidR="00BB6774">
        <w:t xml:space="preserve">viac ako </w:t>
      </w:r>
      <w:r w:rsidRPr="000E1A05">
        <w:t>1</w:t>
      </w:r>
      <w:r w:rsidR="00BB6774">
        <w:t xml:space="preserve"> </w:t>
      </w:r>
      <w:r w:rsidRPr="000E1A05">
        <w:t xml:space="preserve">800 vedeckých pracovníkov a takmer 500 doktorandov. Organizácie akadémie sú externými vzdelávacími inštitúciami pre doktorandské štúdium. SAV rozvíja rozsiahlu medzinárodnú spoluprácu, čím začleňuje slovenskú vedu do </w:t>
      </w:r>
      <w:r w:rsidR="003A288D">
        <w:t>medzinárodného</w:t>
      </w:r>
      <w:r w:rsidRPr="000E1A05">
        <w:t xml:space="preserve"> kontextu.</w:t>
      </w:r>
    </w:p>
    <w:p w:rsidR="009B4A3B" w:rsidRDefault="009B4A3B" w:rsidP="00837B0A">
      <w:pPr>
        <w:ind w:firstLine="340"/>
      </w:pPr>
      <w:r w:rsidRPr="000E1A05">
        <w:t>Vedecké ústavy SAV (spolu 57) sú samostatné právnické osoby. Sú rozpočtovými alebo príspevkovými štátnymi organizáciami priamo napojenými na štátny rozpočet. Predsedníctvo SAV vykonáva funkciu správcu kapitoly štátneho rozpočtu. Pravidlá hospodárenia pre rozpočtov</w:t>
      </w:r>
      <w:r w:rsidR="00BB6774">
        <w:t>é</w:t>
      </w:r>
      <w:r w:rsidRPr="000E1A05">
        <w:t xml:space="preserve"> a príspevkové organizácie sťažujú komercializačné aktivity a znemožňuj</w:t>
      </w:r>
      <w:r w:rsidR="00BB6774">
        <w:t>ú</w:t>
      </w:r>
      <w:r w:rsidRPr="000E1A05">
        <w:t xml:space="preserve"> efektívnu kapitalizáciu duševného vlastníctva ústavov SAV. Preto sa v</w:t>
      </w:r>
      <w:r w:rsidR="00BB6774">
        <w:t> </w:t>
      </w:r>
      <w:r w:rsidRPr="000E1A05">
        <w:t xml:space="preserve">roku 2012 v SAV schválil zámer transformácie výskumných organizácií SAV na verejno-výskumné inštitúcie s verejnoprávnou formou hospodárenia, so zachovaním rozpočtovej kapitoly SAV a dvojstupňovým modelom riadenia. Po realizácii transformácie sa SAV stane modernou inštitúciou realizujúcou primárne nielen excelentný, </w:t>
      </w:r>
      <w:r w:rsidR="00BB6774">
        <w:t xml:space="preserve"> </w:t>
      </w:r>
      <w:r w:rsidRPr="000E1A05">
        <w:t xml:space="preserve">ale aj aplikovaný výskum v spolupráci s ekonomikou, </w:t>
      </w:r>
      <w:r w:rsidR="00A105D0" w:rsidRPr="00A105D0">
        <w:t xml:space="preserve"> zabezpečujúci </w:t>
      </w:r>
      <w:r w:rsidRPr="00F104BD">
        <w:t>komercionaliz</w:t>
      </w:r>
      <w:r w:rsidR="00A105D0" w:rsidRPr="00A105D0">
        <w:t>áciu</w:t>
      </w:r>
      <w:r w:rsidRPr="00F104BD">
        <w:t xml:space="preserve"> výsledk</w:t>
      </w:r>
      <w:r w:rsidR="00A105D0" w:rsidRPr="00A105D0">
        <w:t>ov</w:t>
      </w:r>
      <w:r w:rsidRPr="00F104BD">
        <w:t xml:space="preserve"> </w:t>
      </w:r>
      <w:r w:rsidR="00913A8F" w:rsidRPr="00F104BD">
        <w:t>vedeckých a výskumných</w:t>
      </w:r>
      <w:r w:rsidR="00E13039" w:rsidRPr="00F104BD">
        <w:t xml:space="preserve"> </w:t>
      </w:r>
      <w:r w:rsidRPr="00F104BD">
        <w:t>aktivít.</w:t>
      </w:r>
    </w:p>
    <w:p w:rsidR="009B4A3B" w:rsidRPr="00B450ED" w:rsidRDefault="009B4A3B" w:rsidP="000A7E8B">
      <w:pPr>
        <w:pStyle w:val="Nadpis3"/>
        <w:spacing w:after="240"/>
      </w:pPr>
      <w:bookmarkStart w:id="112" w:name="_Toc360576015"/>
      <w:bookmarkStart w:id="113" w:name="_Toc365831799"/>
      <w:bookmarkStart w:id="114" w:name="_Toc365831991"/>
      <w:bookmarkStart w:id="115" w:name="_Toc366744161"/>
      <w:r w:rsidRPr="00B450ED">
        <w:t>Vysoké školy</w:t>
      </w:r>
      <w:bookmarkEnd w:id="112"/>
      <w:bookmarkEnd w:id="113"/>
      <w:bookmarkEnd w:id="114"/>
      <w:bookmarkEnd w:id="115"/>
    </w:p>
    <w:p w:rsidR="009B4A3B" w:rsidRPr="000E1A05" w:rsidRDefault="007E62A1" w:rsidP="00837B0A">
      <w:pPr>
        <w:ind w:firstLine="340"/>
      </w:pPr>
      <w:r w:rsidRPr="000E1A05">
        <w:t xml:space="preserve">Legislatívne sú pravidlá pre vysoké školy </w:t>
      </w:r>
      <w:r w:rsidR="00B15DB4">
        <w:t xml:space="preserve">(ďalej aj „VŠ“) </w:t>
      </w:r>
      <w:r w:rsidRPr="000E1A05">
        <w:t xml:space="preserve">upravené zákonom č. 131/2002 Z. z. o vysokých školách v znení dodatkov. Ten člení vysoké školy na štátne (3), verejné (20) a súkromné (13). Štátne a verejné </w:t>
      </w:r>
      <w:r w:rsidR="00B15DB4">
        <w:t xml:space="preserve">VŠ </w:t>
      </w:r>
      <w:r w:rsidRPr="000E1A05">
        <w:t xml:space="preserve">sú zriadené zákonom, súkromným </w:t>
      </w:r>
      <w:r w:rsidR="00B15DB4">
        <w:t xml:space="preserve">VŠ </w:t>
      </w:r>
      <w:r w:rsidRPr="000E1A05">
        <w:t xml:space="preserve">dáva súhlas s činnosťou vláda SR. </w:t>
      </w:r>
      <w:r w:rsidR="009B4A3B" w:rsidRPr="000E1A05">
        <w:t xml:space="preserve">Vďaka veľkému počtu došlo k výraznej </w:t>
      </w:r>
      <w:r w:rsidR="00F11843" w:rsidRPr="000E1A05">
        <w:t>devalvácii</w:t>
      </w:r>
      <w:r w:rsidR="009B4A3B" w:rsidRPr="000E1A05">
        <w:t xml:space="preserve"> vzdelávacieho procesu na vysokých školách</w:t>
      </w:r>
      <w:r w:rsidR="00B15DB4">
        <w:t xml:space="preserve"> v SR</w:t>
      </w:r>
      <w:r w:rsidR="009B4A3B" w:rsidRPr="000E1A05">
        <w:t>, pričom kvalitu a reputáciu si dlhodobo udržujú najmä etablované školy s tradíciou. Výsledkom týchto trendov</w:t>
      </w:r>
      <w:r w:rsidR="008B77A2">
        <w:t xml:space="preserve"> a fragmentácie zdrojov</w:t>
      </w:r>
      <w:r w:rsidR="00134F8E">
        <w:t xml:space="preserve"> </w:t>
      </w:r>
      <w:r w:rsidR="009B4A3B" w:rsidRPr="000E1A05">
        <w:t xml:space="preserve">je nedôstojné umiestnenie slovenských </w:t>
      </w:r>
      <w:r w:rsidR="00B15DB4">
        <w:t xml:space="preserve">VŠ </w:t>
      </w:r>
      <w:r w:rsidR="009B4A3B" w:rsidRPr="000E1A05">
        <w:t xml:space="preserve">v rámci medzinárodných </w:t>
      </w:r>
      <w:r w:rsidR="00E1035A">
        <w:t>hodnotení</w:t>
      </w:r>
      <w:r w:rsidR="009B4A3B" w:rsidRPr="000E1A05">
        <w:t xml:space="preserve"> porovnávajúcich ich kvalitu.</w:t>
      </w:r>
    </w:p>
    <w:p w:rsidR="009B4A3B" w:rsidRPr="000E1A05" w:rsidRDefault="009B4A3B" w:rsidP="00837B0A">
      <w:pPr>
        <w:ind w:firstLine="340"/>
      </w:pPr>
      <w:r w:rsidRPr="000E1A05">
        <w:t>Vysoké školy prešli transformáciou na verejné inštitúcie zákonom v roku 2002</w:t>
      </w:r>
      <w:r w:rsidR="00B15DB4">
        <w:t>,</w:t>
      </w:r>
      <w:r w:rsidRPr="000E1A05">
        <w:t xml:space="preserve"> čo umožnilo rozvinúť viaczdrojové financovanie. Základom je dotácia zo štátneho rozpočtu</w:t>
      </w:r>
      <w:r w:rsidR="00B15DB4">
        <w:t>,</w:t>
      </w:r>
      <w:r w:rsidRPr="000E1A05">
        <w:t xml:space="preserve"> ku ktorej sa dopĺňajú iné zdroje štandardnou zmluvnou formou. Zo zákona sú definované verejné </w:t>
      </w:r>
      <w:r w:rsidR="00B15DB4">
        <w:t xml:space="preserve">VŠ </w:t>
      </w:r>
      <w:r w:rsidRPr="000E1A05">
        <w:t>aj ako podnikateľské subjekty, takže dokážu v určitej miere zhodnocovať svoje duševné vlastníctvo. Najúspešnejšie dokážu získať k</w:t>
      </w:r>
      <w:r w:rsidR="00B15DB4">
        <w:t> </w:t>
      </w:r>
      <w:r w:rsidRPr="000E1A05">
        <w:t>základnej dotáci</w:t>
      </w:r>
      <w:r w:rsidR="00B15DB4">
        <w:t>i</w:t>
      </w:r>
      <w:r w:rsidRPr="000E1A05">
        <w:t xml:space="preserve"> zo štátneho rozpočtu približne 40 % ďalších zdrojov formou grantov či zmlúv o dielo. Vo výskume a vývoji je aktívnych len niekoľko verejných vysokých škôl a jedna štátna.</w:t>
      </w:r>
    </w:p>
    <w:p w:rsidR="009B4A3B" w:rsidRPr="000E1A05" w:rsidRDefault="009B4A3B" w:rsidP="00837B0A">
      <w:pPr>
        <w:ind w:firstLine="340"/>
      </w:pPr>
      <w:r w:rsidRPr="000E1A05">
        <w:t xml:space="preserve">Verejné </w:t>
      </w:r>
      <w:r w:rsidR="00B15DB4">
        <w:t xml:space="preserve">VŠ </w:t>
      </w:r>
      <w:r w:rsidRPr="000E1A05">
        <w:t xml:space="preserve">sú financované zo štátneho rozpočtu formou dotácie, ktorá sa odvíja od výkonov konkrétnej školy v predchádzajúcom období. Verejné </w:t>
      </w:r>
      <w:r w:rsidR="00B15DB4">
        <w:t xml:space="preserve">VŠ </w:t>
      </w:r>
      <w:r w:rsidRPr="000E1A05">
        <w:t xml:space="preserve">boli financované zo štátneho rozpočtu približne vo výške takmer 440 mil. </w:t>
      </w:r>
      <w:r w:rsidR="00134F8E">
        <w:t>EUR</w:t>
      </w:r>
      <w:r w:rsidRPr="000E1A05">
        <w:t xml:space="preserve"> (</w:t>
      </w:r>
      <w:r w:rsidR="00B15DB4">
        <w:t xml:space="preserve">rok </w:t>
      </w:r>
      <w:r w:rsidRPr="00F104BD">
        <w:t>2013)</w:t>
      </w:r>
      <w:r w:rsidRPr="000E1A05">
        <w:t xml:space="preserve">. V tejto sume sú zahrnuté výdavky na pokrytie nákladov na vzdelávanie, tak aj na potreby zabezpečenia výskumu (inštitucionálne financovanie výskumu), na sociálne štipendiá, príspevky na ubytovanie študentov a podporu športovej či kultúrnej činnosti. Verejné </w:t>
      </w:r>
      <w:r w:rsidR="00B15DB4">
        <w:t xml:space="preserve">VŠ </w:t>
      </w:r>
      <w:r w:rsidRPr="000E1A05">
        <w:t xml:space="preserve">sú samosprávne organizácie zo zákona členené na fakulty. </w:t>
      </w:r>
      <w:r w:rsidR="00B15DB4">
        <w:t>F</w:t>
      </w:r>
      <w:r w:rsidRPr="000E1A05">
        <w:t>akulta nadobúda silné práva v oblasti určovania obsahu vzdelávania, podmienok prijímania študentov na štúdium, ale aj práva v ekonomick</w:t>
      </w:r>
      <w:r w:rsidR="00B15DB4">
        <w:t>ej</w:t>
      </w:r>
      <w:r w:rsidRPr="000E1A05">
        <w:t xml:space="preserve"> či personálnej oblasti. To sťažuje riadenie celej </w:t>
      </w:r>
      <w:r w:rsidRPr="000E1A05">
        <w:lastRenderedPageBreak/>
        <w:t>organizácie, nakoľko na zásadnejšie rozhodnutia je potrebný súhlas väčšiny zástupcov v akademickom senáte školy.</w:t>
      </w:r>
    </w:p>
    <w:p w:rsidR="009B4A3B" w:rsidRPr="000E1A05" w:rsidRDefault="009B4A3B" w:rsidP="00837B0A">
      <w:pPr>
        <w:ind w:firstLine="340"/>
      </w:pPr>
      <w:r w:rsidRPr="000E1A05">
        <w:t xml:space="preserve">Činnosť verejných </w:t>
      </w:r>
      <w:r w:rsidR="00B15DB4">
        <w:t xml:space="preserve">VŠ </w:t>
      </w:r>
      <w:r w:rsidRPr="000E1A05">
        <w:t>je pravidelne každoročne podrobne kvantitatívne vyhodnocovaná. Tieto údaje sa používajú pre výpočet výšky dotácie podľa kalkulačného vzorca počítaného na základe „metodiky delenia dotácie verejným vysokým školám“. Približne 1/3 výkonovej časti dotácie sa rozdeľuje podľa počtu študentov, 1/6 podľa počtu absolventov. Ostatné financie sa určujú podľa hodnotenia v komplexnej akreditácii (eval</w:t>
      </w:r>
      <w:r w:rsidR="00E1035A">
        <w:t>u</w:t>
      </w:r>
      <w:r w:rsidRPr="000E1A05">
        <w:t>ácia sa realizuje raz za 6 rokov), počtu publikácií, úspešnos</w:t>
      </w:r>
      <w:r w:rsidR="00B15DB4">
        <w:t>ti</w:t>
      </w:r>
      <w:r w:rsidRPr="000E1A05">
        <w:t xml:space="preserve"> vo výskumných domácich a zahraničných grantoch. V minulosti bola závislosť na počte študentov dramaticky vyššia</w:t>
      </w:r>
      <w:r w:rsidR="00B15DB4">
        <w:t>,</w:t>
      </w:r>
      <w:r w:rsidRPr="000E1A05">
        <w:t xml:space="preserve"> ale v priebehu </w:t>
      </w:r>
      <w:r w:rsidR="00B15DB4">
        <w:t xml:space="preserve">ostatných </w:t>
      </w:r>
      <w:r w:rsidRPr="000E1A05">
        <w:t>rokov sa t</w:t>
      </w:r>
      <w:r w:rsidR="00B15DB4">
        <w:t>á</w:t>
      </w:r>
      <w:r w:rsidRPr="000E1A05">
        <w:t>to váha zmenšila. V roku 2011 došlo k zmene metodiky v</w:t>
      </w:r>
      <w:r w:rsidR="00E1035A">
        <w:t> </w:t>
      </w:r>
      <w:r w:rsidRPr="000E1A05">
        <w:t>prospech</w:t>
      </w:r>
      <w:r w:rsidR="00E1035A">
        <w:t xml:space="preserve"> </w:t>
      </w:r>
      <w:r w:rsidRPr="000E1A05">
        <w:t>knižných publikácií na úkor projektovej úspešnosti, čo znevýhodnilo prírodovedné a technické disciplíny.</w:t>
      </w:r>
    </w:p>
    <w:p w:rsidR="009B4A3B" w:rsidRPr="000E1A05" w:rsidRDefault="009B4A3B" w:rsidP="00837B0A">
      <w:pPr>
        <w:ind w:firstLine="340"/>
      </w:pPr>
      <w:r w:rsidRPr="000E1A05">
        <w:t>Taktiež došlo k zmene metodiky prideľovania štipendií pre doktorandov v dennej forme – prideľovanie účelových financií na konkrétne miesto doktoranda bolo nahradené pridelením alikvotnej finančnej čiastky do blokového grantu</w:t>
      </w:r>
      <w:r w:rsidR="000A7E8B">
        <w:t>; j</w:t>
      </w:r>
      <w:r w:rsidRPr="000E1A05">
        <w:t>e na rozhodnutí</w:t>
      </w:r>
      <w:r w:rsidR="000A7E8B">
        <w:t xml:space="preserve"> </w:t>
      </w:r>
      <w:r w:rsidR="00B15DB4">
        <w:t>VŠ</w:t>
      </w:r>
      <w:r w:rsidRPr="000E1A05">
        <w:t>, či tieto prostriedky použije na štipendiá doktorandov alebo in</w:t>
      </w:r>
      <w:r w:rsidR="00B15DB4">
        <w:t>ak</w:t>
      </w:r>
      <w:r w:rsidRPr="000E1A05">
        <w:t>. Aj keď je skoro hodnotiť dopad tohto opatrenia, prvé informácie naznačujú pokles po</w:t>
      </w:r>
      <w:r w:rsidR="00B15DB4">
        <w:t>č</w:t>
      </w:r>
      <w:r w:rsidRPr="000E1A05">
        <w:t xml:space="preserve">tu doktorandov na niektorých školách. V zásade päť najväčších škôl zabezpečuje </w:t>
      </w:r>
      <w:r w:rsidR="00B15DB4">
        <w:t xml:space="preserve">prevažnú </w:t>
      </w:r>
      <w:r w:rsidRPr="000E1A05">
        <w:t>väčšinu výskumných výkonov a väčšinu vzdelávacích výkonov.</w:t>
      </w:r>
    </w:p>
    <w:p w:rsidR="009B4A3B" w:rsidRDefault="009B4A3B" w:rsidP="00557743">
      <w:pPr>
        <w:ind w:firstLine="340"/>
      </w:pPr>
      <w:r w:rsidRPr="000E1A05">
        <w:t xml:space="preserve">Súčasný stav podpory </w:t>
      </w:r>
      <w:r w:rsidR="00B15DB4">
        <w:t xml:space="preserve">VŠ </w:t>
      </w:r>
      <w:r w:rsidRPr="000E1A05">
        <w:t>vykazuje systémové deformácie</w:t>
      </w:r>
      <w:r w:rsidR="00B15DB4">
        <w:t>,</w:t>
      </w:r>
      <w:r w:rsidRPr="000E1A05">
        <w:t xml:space="preserve"> ktoré sa odrážajú v znižovaní kvality vysokoškolského vzdelávania, ale aj znižovaní ich vedeckej úrovne. V rokoch 2006 a 2007 sa uskutočnil audit Európskej asociácie univerzít, ktorý podstúpili všetky verejné </w:t>
      </w:r>
      <w:r w:rsidR="00B15DB4">
        <w:t xml:space="preserve">VŠ </w:t>
      </w:r>
      <w:r w:rsidRPr="000E1A05">
        <w:t xml:space="preserve">a systém ako celok. Záverečné odporúčania neboli doteraz realizované. V súčasnosti je na diskusiu predložená správa o vysokom školstve, ktorá má byť základom pre zmeny a úpravy v nasledujúcom období. </w:t>
      </w:r>
    </w:p>
    <w:p w:rsidR="009B4A3B" w:rsidRPr="000E1A05" w:rsidRDefault="00B15DB4" w:rsidP="00557743">
      <w:pPr>
        <w:ind w:firstLine="340"/>
      </w:pPr>
      <w:r>
        <w:t>Z uvedeného vyplýva, že j</w:t>
      </w:r>
      <w:r w:rsidR="00E1035A">
        <w:t>e potrebné re</w:t>
      </w:r>
      <w:r w:rsidR="009B4A3B" w:rsidRPr="000E1A05">
        <w:t>dizajnovať podporný systém tak</w:t>
      </w:r>
      <w:r>
        <w:t xml:space="preserve">, </w:t>
      </w:r>
      <w:r w:rsidR="009B4A3B" w:rsidRPr="000E1A05">
        <w:t xml:space="preserve"> aby boli pri financovaní výrazne zvýhodnené kvalitné </w:t>
      </w:r>
      <w:r>
        <w:t>VŠ. Cieľom je</w:t>
      </w:r>
      <w:r w:rsidR="009B4A3B" w:rsidRPr="000E1A05">
        <w:t>:</w:t>
      </w:r>
    </w:p>
    <w:p w:rsidR="009B4A3B" w:rsidRPr="000E1A05" w:rsidRDefault="009B4A3B" w:rsidP="00791A72">
      <w:pPr>
        <w:pStyle w:val="Odsekzoznamu1"/>
        <w:numPr>
          <w:ilvl w:val="0"/>
          <w:numId w:val="8"/>
        </w:numPr>
        <w:spacing w:after="0"/>
        <w:ind w:left="709" w:hanging="357"/>
      </w:pPr>
      <w:r w:rsidRPr="000E1A05">
        <w:t>zvýšiť kvalitu vysokoškolského vzdelávania,</w:t>
      </w:r>
    </w:p>
    <w:p w:rsidR="009B4A3B" w:rsidRPr="000E1A05" w:rsidRDefault="009B4A3B" w:rsidP="00791A72">
      <w:pPr>
        <w:pStyle w:val="Odsekzoznamu1"/>
        <w:numPr>
          <w:ilvl w:val="0"/>
          <w:numId w:val="8"/>
        </w:numPr>
        <w:spacing w:after="0"/>
        <w:ind w:left="709" w:hanging="357"/>
      </w:pPr>
      <w:r w:rsidRPr="000E1A05">
        <w:t>zvýšiť kvalitu vysokoškolskej vedy a výskumu,</w:t>
      </w:r>
    </w:p>
    <w:p w:rsidR="009B4A3B" w:rsidRPr="000E1A05" w:rsidRDefault="009B4A3B" w:rsidP="00791A72">
      <w:pPr>
        <w:pStyle w:val="Odsekzoznamu1"/>
        <w:numPr>
          <w:ilvl w:val="0"/>
          <w:numId w:val="8"/>
        </w:numPr>
        <w:spacing w:after="0"/>
        <w:ind w:left="709" w:hanging="357"/>
      </w:pPr>
      <w:r w:rsidRPr="000E1A05">
        <w:t>vyselektovať elitné vysoké školy s celosvetovou reputáciou,</w:t>
      </w:r>
    </w:p>
    <w:p w:rsidR="009B4A3B" w:rsidRPr="000E1A05" w:rsidRDefault="009B4A3B" w:rsidP="00791A72">
      <w:pPr>
        <w:pStyle w:val="Odsekzoznamu1"/>
        <w:numPr>
          <w:ilvl w:val="0"/>
          <w:numId w:val="8"/>
        </w:numPr>
        <w:spacing w:after="0"/>
        <w:ind w:left="709" w:hanging="357"/>
      </w:pPr>
      <w:r w:rsidRPr="000E1A05">
        <w:t>podporovať spoluprácu s praxou,</w:t>
      </w:r>
    </w:p>
    <w:p w:rsidR="009B4A3B" w:rsidRDefault="009B4A3B" w:rsidP="00791A72">
      <w:pPr>
        <w:pStyle w:val="Odsekzoznamu1"/>
        <w:numPr>
          <w:ilvl w:val="0"/>
          <w:numId w:val="8"/>
        </w:numPr>
        <w:spacing w:after="0"/>
        <w:ind w:left="709" w:hanging="357"/>
      </w:pPr>
      <w:r w:rsidRPr="000E1A05">
        <w:t>komercionalizovať výsledky Va</w:t>
      </w:r>
      <w:r w:rsidR="008B77A2">
        <w:t>I</w:t>
      </w:r>
      <w:r w:rsidRPr="000E1A05">
        <w:t xml:space="preserve"> aktivít.</w:t>
      </w:r>
    </w:p>
    <w:p w:rsidR="00254C28" w:rsidRDefault="00254C28" w:rsidP="00B03159">
      <w:pPr>
        <w:pStyle w:val="Odsekzoznamu1"/>
      </w:pPr>
    </w:p>
    <w:p w:rsidR="00254C28" w:rsidRPr="002F1203" w:rsidRDefault="00254C28" w:rsidP="00254C28">
      <w:pPr>
        <w:pStyle w:val="Nadpis3"/>
        <w:tabs>
          <w:tab w:val="clear" w:pos="720"/>
        </w:tabs>
        <w:spacing w:before="0" w:after="200"/>
      </w:pPr>
      <w:bookmarkStart w:id="116" w:name="_Toc365831800"/>
      <w:bookmarkStart w:id="117" w:name="_Toc365831992"/>
      <w:bookmarkStart w:id="118" w:name="_Toc366744162"/>
      <w:r w:rsidRPr="002F1203">
        <w:t>Rezortné výskumné organizácie</w:t>
      </w:r>
      <w:bookmarkEnd w:id="116"/>
      <w:bookmarkEnd w:id="117"/>
      <w:bookmarkEnd w:id="118"/>
    </w:p>
    <w:p w:rsidR="00971659" w:rsidRPr="00B15DB4" w:rsidRDefault="00A105D0" w:rsidP="00971659">
      <w:pPr>
        <w:ind w:firstLine="340"/>
      </w:pPr>
      <w:r w:rsidRPr="00A105D0">
        <w:rPr>
          <w:b/>
        </w:rPr>
        <w:t>Ministerstvo pôdohospodárstva a rozvoja vidieka Slovenskej republiky</w:t>
      </w:r>
      <w:r w:rsidR="00254C28" w:rsidRPr="002F1203">
        <w:t xml:space="preserve"> (ďalej len </w:t>
      </w:r>
      <w:r w:rsidR="00B15DB4">
        <w:t>„</w:t>
      </w:r>
      <w:r w:rsidR="00254C28" w:rsidRPr="002F1203">
        <w:t>MPRV SR</w:t>
      </w:r>
      <w:r w:rsidR="00B15DB4">
        <w:t>“</w:t>
      </w:r>
      <w:r w:rsidR="00254C28" w:rsidRPr="002F1203">
        <w:t xml:space="preserve">) je zriaďovateľom 6 príspevkových organizácií (výskumných ústavov a centier výskumu), ktorých hlavnou činnosťou je vykonávanie aplikovaného a základného výskumu, nadväzujúceho vývoja a súvisiacich inovácií pre pôdohospodársku prax, </w:t>
      </w:r>
      <w:r w:rsidR="00B15DB4">
        <w:t xml:space="preserve">a to </w:t>
      </w:r>
      <w:r w:rsidR="00254C28" w:rsidRPr="002F1203">
        <w:t xml:space="preserve">na základe </w:t>
      </w:r>
      <w:r w:rsidRPr="00A105D0">
        <w:t>Stratégie výskumu, vývoja a inovácií v rezorte pôdohospodárstva do roku 2020</w:t>
      </w:r>
      <w:r w:rsidR="00254C28" w:rsidRPr="00B15DB4">
        <w:t xml:space="preserve"> kompatibilnej so stratégiou </w:t>
      </w:r>
      <w:r w:rsidRPr="00A105D0">
        <w:t>Európa 2020</w:t>
      </w:r>
      <w:r w:rsidR="00254C28" w:rsidRPr="00B15DB4">
        <w:t xml:space="preserve"> a rámcovým programom EÚ </w:t>
      </w:r>
      <w:r w:rsidRPr="00A105D0">
        <w:t>Horizon 2020</w:t>
      </w:r>
      <w:r w:rsidR="00254C28" w:rsidRPr="00B15DB4">
        <w:t>.</w:t>
      </w:r>
    </w:p>
    <w:p w:rsidR="00254C28" w:rsidRPr="002F1203" w:rsidRDefault="00254C28" w:rsidP="00971659">
      <w:pPr>
        <w:ind w:firstLine="340"/>
      </w:pPr>
      <w:r w:rsidRPr="002F1203">
        <w:t xml:space="preserve">Účelovú zložku </w:t>
      </w:r>
      <w:r w:rsidR="00FB0966">
        <w:t>jeho</w:t>
      </w:r>
      <w:r w:rsidRPr="002F1203">
        <w:t xml:space="preserve"> financovania tvoria projekty výskumu a vývoja a úlohy odbornej pomoci financované z kapitoly MPRV SR hodnotené odborníkmi z akademickej sféry, výrobnej praxe a odborných sekcií MPRV SR. </w:t>
      </w:r>
      <w:r w:rsidRPr="00111824">
        <w:t>Rieši aj výskumné projekty financované zo zdrojov mimo rezortu MPRV SR, predovšetkým prostredníctvom MŠVVŠ SR (OP VaV a APVV) a tiež zo zahraničných zdrojov. Rezortné inštitúcie sa nemôžu niektor</w:t>
      </w:r>
      <w:r w:rsidR="000A7E8B">
        <w:t>ých grantových schém zúčastniť.</w:t>
      </w:r>
      <w:r w:rsidR="00B15DB4">
        <w:t xml:space="preserve"> </w:t>
      </w:r>
      <w:r w:rsidR="00FB0966">
        <w:t>Organizácie ministerstva s</w:t>
      </w:r>
      <w:r w:rsidRPr="00111824">
        <w:t xml:space="preserve">ú tiež externými vzdelávacími inštitúciami pre doktorandské štúdium a rozvíjajú rozsiahlu medzinárodnú spoluprácu a integráciu slovenskej (najmä pôdohospodárskej) vedy do medzinárodného vedeckého priestoru. Poznatky získané výskumom do praxe </w:t>
      </w:r>
      <w:r w:rsidRPr="00111824">
        <w:lastRenderedPageBreak/>
        <w:t>transferujú rôznymi spôsobmi, v</w:t>
      </w:r>
      <w:r w:rsidR="00B15DB4">
        <w:t> </w:t>
      </w:r>
      <w:r w:rsidRPr="00111824">
        <w:t>zmysle uzatvorených zmlúv o realizácii s užívateľmi z praxe a výstupov pre rozhodovací a riadiaci proces v</w:t>
      </w:r>
      <w:r w:rsidR="00B15DB4">
        <w:t> </w:t>
      </w:r>
      <w:r w:rsidRPr="00111824">
        <w:t>sektore pôdohospodárstva</w:t>
      </w:r>
      <w:r w:rsidRPr="002F1203">
        <w:t xml:space="preserve">. </w:t>
      </w:r>
    </w:p>
    <w:p w:rsidR="000A7E8B" w:rsidRDefault="00254C28" w:rsidP="000A7E8B">
      <w:pPr>
        <w:ind w:firstLine="340"/>
      </w:pPr>
      <w:r w:rsidRPr="002F1203">
        <w:t>V roku 2012 pracovalo vo výskumných ústavoch a centrách MPRV SR spolu 810 zamestnancov, z toho 345 vedeckých a výskumno-vývojových</w:t>
      </w:r>
      <w:r w:rsidR="00B15DB4">
        <w:t xml:space="preserve"> pracovníkov</w:t>
      </w:r>
      <w:r w:rsidRPr="002F1203">
        <w:t>. Inštitúcie vlastnia špecializovanú technickú infraštruktúru, priestorové databázy, metaúdaj</w:t>
      </w:r>
      <w:r w:rsidR="00991BE4">
        <w:t>e</w:t>
      </w:r>
      <w:r w:rsidRPr="002F1203">
        <w:t xml:space="preserve"> a know-how pre špecifické laboratórne experimenty i experimentovanie s biologickým materiálom v jeho prirodzenom prostredí a tvoria tiež dostatočnú kritickú masu pre efektívne a úspešné vykonávanie vedy, výskumu, vývoja a inovácií v pôdohospodárstve (zahrňujúcom rastlinnú a živočíšnu výrobu, potravinárstvo, pôdne zdroje, lesníctvo), ktoré obhospodaruje viac ako 80 % plochy Slovenskej republiky. </w:t>
      </w:r>
      <w:r w:rsidR="003442E5">
        <w:t>T</w:t>
      </w:r>
      <w:r w:rsidR="00FE3527" w:rsidRPr="00FB0966">
        <w:t xml:space="preserve">emer polovica </w:t>
      </w:r>
      <w:r w:rsidR="00861D1F" w:rsidRPr="00FB0966">
        <w:t xml:space="preserve">(16) </w:t>
      </w:r>
      <w:r w:rsidR="00FE3527" w:rsidRPr="00FB0966">
        <w:t>organizácií v</w:t>
      </w:r>
      <w:r w:rsidR="00861D1F" w:rsidRPr="00FB0966">
        <w:t xml:space="preserve"> </w:t>
      </w:r>
      <w:r w:rsidR="00FE3527" w:rsidRPr="00FB0966">
        <w:t xml:space="preserve">pôsobnosti </w:t>
      </w:r>
      <w:r w:rsidR="003442E5">
        <w:rPr>
          <w:b/>
        </w:rPr>
        <w:t xml:space="preserve">Ministerstva kultúry Slovenskej republiky  </w:t>
      </w:r>
      <w:r w:rsidR="003442E5" w:rsidRPr="00FB0966">
        <w:rPr>
          <w:b/>
        </w:rPr>
        <w:t>(</w:t>
      </w:r>
      <w:r w:rsidR="003442E5">
        <w:rPr>
          <w:b/>
        </w:rPr>
        <w:t>ďalej len „</w:t>
      </w:r>
      <w:r w:rsidR="003442E5" w:rsidRPr="00FB0966">
        <w:rPr>
          <w:b/>
        </w:rPr>
        <w:t>MK SR</w:t>
      </w:r>
      <w:r w:rsidR="003442E5">
        <w:rPr>
          <w:b/>
        </w:rPr>
        <w:t>“</w:t>
      </w:r>
      <w:r w:rsidR="003442E5" w:rsidRPr="00FB0966">
        <w:rPr>
          <w:b/>
        </w:rPr>
        <w:t xml:space="preserve">) </w:t>
      </w:r>
      <w:r w:rsidR="00861D1F" w:rsidRPr="00FB0966">
        <w:t>má</w:t>
      </w:r>
      <w:r w:rsidR="00FE3527" w:rsidRPr="00FB0966">
        <w:t xml:space="preserve"> vo svojich zriaďovacích listinách uvedený aj výskum. V rezorte nepôsobí žiadna organizácia, ktorá je orientovaná iba na výskum a vývoj a má štatút výskumného ústavu</w:t>
      </w:r>
      <w:r w:rsidR="000A7E8B">
        <w:t xml:space="preserve"> -</w:t>
      </w:r>
      <w:r w:rsidR="00FB0966">
        <w:t xml:space="preserve"> v</w:t>
      </w:r>
      <w:r w:rsidR="00FE3527" w:rsidRPr="00FB0966">
        <w:t>edeckovýskumná činnosť je iba jednou z mnohých činností, ktoré organizácie vykonávajú.</w:t>
      </w:r>
      <w:r w:rsidR="00FE3527" w:rsidRPr="00FB0966">
        <w:rPr>
          <w:b/>
          <w:bCs/>
        </w:rPr>
        <w:t xml:space="preserve"> </w:t>
      </w:r>
      <w:r w:rsidR="00FE3527" w:rsidRPr="00FB0966">
        <w:t>Ťažiskom vedeckovýskumnej činnosti je riešenie úloh, ktoré vychádzajú zo špecifického zamerania jednotlivých organizácií a ktoré sú konkretizované v pláne hlavných úloh organizácií.</w:t>
      </w:r>
      <w:r w:rsidR="00861D1F" w:rsidRPr="00FB0966">
        <w:t xml:space="preserve"> Celkom 74 pracovníkov má kvalifikačný stupeň vedeckých pracovníkov rôzneho stupňa – 26 Slovenské národné múzeum, 15 Slovenská národná knižnica, 10 Slovenská národná galéria, po 5 Divadelný ústav a Univerzitná knižnica Bratislava, po 3 Národné osvetové centrum, Múzeum SNP v Banskej Bystrici a Slovenský filmový ústav, 2 Štátna vedecká knižnica Banská Bystrica a po 1 Štátna vedecká knižnica Prešov a S</w:t>
      </w:r>
      <w:r w:rsidR="00FB0966">
        <w:t>l</w:t>
      </w:r>
      <w:r w:rsidR="00861D1F" w:rsidRPr="00FB0966">
        <w:t xml:space="preserve">ovenská ústredná hvezdáreň Hurbanovo. </w:t>
      </w:r>
      <w:r w:rsidR="00861D1F" w:rsidRPr="00FB0966">
        <w:rPr>
          <w:bCs/>
        </w:rPr>
        <w:t>Financovanie</w:t>
      </w:r>
      <w:r w:rsidR="00861D1F" w:rsidRPr="00FB0966">
        <w:t xml:space="preserve"> vedeckovýskumnej činnosti je zabezpečené z prostriedkov pridelených jednotlivým organizáciám z rozpočtovej kapitoly </w:t>
      </w:r>
      <w:r w:rsidR="003962A6" w:rsidRPr="00FB0966">
        <w:t xml:space="preserve">MK </w:t>
      </w:r>
      <w:r w:rsidR="00861D1F" w:rsidRPr="00FB0966">
        <w:t>SR,  iba v ojedinelý</w:t>
      </w:r>
      <w:r w:rsidR="000A7E8B">
        <w:t xml:space="preserve">ch prípadoch aj z iných zdrojov </w:t>
      </w:r>
      <w:r w:rsidR="00861D1F" w:rsidRPr="00FB0966">
        <w:t>(partnerstvo pri riešení projektov s inými žiadateľmi prostredníctvom</w:t>
      </w:r>
      <w:r w:rsidR="00FB0966">
        <w:t xml:space="preserve"> APVV</w:t>
      </w:r>
      <w:r w:rsidR="00861D1F" w:rsidRPr="00FB0966">
        <w:t xml:space="preserve">). Hlavným prínosom vedeckovýskumnej činnosti organizácií v rámci pôsobnosti </w:t>
      </w:r>
      <w:r w:rsidR="003962A6" w:rsidRPr="00FB0966">
        <w:t xml:space="preserve">ministerstva </w:t>
      </w:r>
      <w:r w:rsidR="00861D1F" w:rsidRPr="00FB0966">
        <w:t xml:space="preserve">je skúmanie a dokumentovanie slovenského kultúrneho dedičstva, jeho uchovanie a prezentácia. </w:t>
      </w:r>
    </w:p>
    <w:p w:rsidR="006958A8" w:rsidRPr="000A7E8B" w:rsidRDefault="003442E5" w:rsidP="000A7E8B">
      <w:pPr>
        <w:spacing w:after="0"/>
        <w:ind w:firstLine="340"/>
        <w:rPr>
          <w:b/>
        </w:rPr>
      </w:pPr>
      <w:r w:rsidRPr="000A7E8B">
        <w:rPr>
          <w:b/>
        </w:rPr>
        <w:t>Ministerstv</w:t>
      </w:r>
      <w:r w:rsidR="00B84B06" w:rsidRPr="000A7E8B">
        <w:rPr>
          <w:b/>
        </w:rPr>
        <w:t>o</w:t>
      </w:r>
      <w:r w:rsidRPr="000A7E8B">
        <w:rPr>
          <w:b/>
        </w:rPr>
        <w:t xml:space="preserve"> zdravotníctva Slovenskej republiky </w:t>
      </w:r>
      <w:r w:rsidR="006958A8" w:rsidRPr="000A7E8B">
        <w:rPr>
          <w:b/>
        </w:rPr>
        <w:t>(</w:t>
      </w:r>
      <w:r w:rsidRPr="000A7E8B">
        <w:rPr>
          <w:b/>
        </w:rPr>
        <w:t>ďalej len „</w:t>
      </w:r>
      <w:r w:rsidR="006958A8" w:rsidRPr="000A7E8B">
        <w:rPr>
          <w:b/>
        </w:rPr>
        <w:t>MZ SR</w:t>
      </w:r>
      <w:r w:rsidRPr="000A7E8B">
        <w:rPr>
          <w:b/>
        </w:rPr>
        <w:t>“</w:t>
      </w:r>
      <w:r w:rsidR="006958A8" w:rsidRPr="000A7E8B">
        <w:rPr>
          <w:b/>
        </w:rPr>
        <w:t xml:space="preserve">) </w:t>
      </w:r>
      <w:r w:rsidR="00A105D0" w:rsidRPr="000A7E8B">
        <w:t>doposiaľ neorganizovalo</w:t>
      </w:r>
      <w:r w:rsidR="006958A8" w:rsidRPr="000A7E8B">
        <w:rPr>
          <w:b/>
        </w:rPr>
        <w:t xml:space="preserve"> </w:t>
      </w:r>
      <w:r w:rsidR="00A105D0" w:rsidRPr="000A7E8B">
        <w:t xml:space="preserve">cielený a organizovaný tematický výskum s výraznejšou finančnou podporou samotného rezortu. Realizovaných bolo iba niekoľko výziev MZ SR na vykonávanie výskumu v oblasti zdravotníctva a medicíny, ktoré boli financované priamo z  rozpočtu MZ SR. Tento výskum však nemal podstatnejší vplyv na vytvorenie personálne a prístrojovo kriticky významných a dlhodobo stabilných výskumných kolektívov. Táto situácia sa však v súčasnosti mení - ministerstvo organizuje vedeckú certifikáciu všetkých svojich významných koncových zariadení, ako sú univerzitné nemocnice a vysoko špecializované ústavy, čím docieli doposiaľ nebývalé rozšírenie svojej experimentálnej výskumnej a biomedicínskej výskumnej kapacity. Rozvoj medicínskeho výskumu bude v najbližších rokoch realizovaný: priamym organizovaním a podporou biomedicínskeho výskumu zo strany MZ SR na svojich rezortných inštitúciách, ktoré sú oprávnené vykonávať biomedicínsky výskum; cieleným organizovaním spolupráce univerzitných nemocníc a špecializovaných ústavov s univerzitami a ústavmi SAV s cieľom zabezpečiť multizdrojové financovanie výskumu a inovácií v medicíne z domácich a zahraničných schém podpory výskumu a inovácií; iniciovaním vytvorenia nových študijných smerov v rezorte školstva, ktoré by mali byť zamerané na pokrytie dnes chýbajúcich špecializácií ako napríklad: výskum v medicíne (medical science) a manažment biomedicínskeho výskumu, vývoja a inovácií s cieľom zvýšiť transfer výsledkov vedy do klinickej, diagnostickej praxe a výroby na Slovensku; vytvorením vedeckých personálnych a prístrojových kapacít v univerzitných nemocniciach a špecializovaných ústavoch sa priamym vykonávaním biomedicínskeho výskumu docieli okrem vedeckých a inovačných výstupov aj rozvoj kvality poskytovania zdravotnej starostlivosti v slovenských zdravotníckych zariadeniach. To umožní zapájať sa špičkovým zdravotníckym organizáciám do domácich a zahraničných vedeckých programov a zvýši sa tým aj počet kriticky dostatočne veľkých a profesionálne kvalitných vedeckých kolektívov, ktoré budú oprávnené a hlavne schopné uchádzať sa o európske fondy a granty určené pre výskum a inovácie. Posilní sa výskum a vývoj s možnými praktickými výstupmi, napríklad v oblasti diagnostiky a liečby s vysokou pridanou hodnotou a otvorí sa aj priestor pre investovanie zo strany domácich a zahraničných podnikateľských subjektov. Zväčší sa tiež priestor pre poskytovanie výskumných služieb (napr. outsourcing) v oblasti biomedicínskeho a farmaceutického výskumu </w:t>
      </w:r>
      <w:r w:rsidR="00A105D0" w:rsidRPr="000A7E8B">
        <w:lastRenderedPageBreak/>
        <w:t>a vývoja s adekvátnym metodickým, publikačným, vedomostným, kvalifikačným a ekonomickým benefitom pre slovenský inovačný potenciál v biomedicínskom priestore.</w:t>
      </w:r>
      <w:r w:rsidR="00A105D0" w:rsidRPr="000A7E8B">
        <w:rPr>
          <w:b/>
        </w:rPr>
        <w:t xml:space="preserve"> </w:t>
      </w:r>
    </w:p>
    <w:p w:rsidR="000A7E8B" w:rsidRPr="000A7E8B" w:rsidRDefault="000A7E8B" w:rsidP="00F104BD">
      <w:pPr>
        <w:spacing w:after="0"/>
        <w:rPr>
          <w:b/>
        </w:rPr>
      </w:pPr>
    </w:p>
    <w:p w:rsidR="00B26529" w:rsidRPr="000A7E8B" w:rsidRDefault="00A105D0" w:rsidP="000A7E8B">
      <w:pPr>
        <w:autoSpaceDE w:val="0"/>
        <w:autoSpaceDN w:val="0"/>
        <w:adjustRightInd w:val="0"/>
        <w:ind w:firstLine="708"/>
        <w:rPr>
          <w:rFonts w:cs="Times-Roman"/>
        </w:rPr>
      </w:pPr>
      <w:r w:rsidRPr="000A7E8B">
        <w:rPr>
          <w:b/>
        </w:rPr>
        <w:t xml:space="preserve">Univerzitné nemocnice (UN), </w:t>
      </w:r>
      <w:r w:rsidRPr="000A7E8B">
        <w:t xml:space="preserve">ktoré sú podľa zákona oprávnené vykonávať biomedicínsky výskum, prechádzajú v poslednej dobe významnou prestavbou s cieľom zvýšenia ich efektívnosti. Súčasťou procesu je aj získanie ich akreditácie MŠ VVaŠ SR ako vedecko – výskumných organizácií. UN majú esenciálne predpoklady pre vykonávanie aplikovaného výskumu a majú všetky možnosti aj pre transláciu výskumu do praxe. Vytváranie užšie previazaných vedeckých konzorcií UN s ostatnými organizáciami vedy a výskumu je jedinou cestou pre vyššiu efektivitu v oblasti biomedicínskeho výskumu na Slovensku. Doposiaľ sú ako vedecké inštitúcie certifikované tieto zariadenia MZ SR: </w:t>
      </w:r>
      <w:r w:rsidRPr="000A7E8B">
        <w:rPr>
          <w:rFonts w:cs="Times-Roman"/>
        </w:rPr>
        <w:t>Detská fakultná nemocnica s polik</w:t>
      </w:r>
      <w:r w:rsidR="000A7E8B">
        <w:rPr>
          <w:rFonts w:cs="Times-Roman"/>
        </w:rPr>
        <w:t xml:space="preserve">linikou Banská Bystrica, </w:t>
      </w:r>
      <w:r w:rsidRPr="000A7E8B">
        <w:rPr>
          <w:rFonts w:cs="Times-Roman"/>
        </w:rPr>
        <w:t xml:space="preserve">Detská fakultná nemocnica s poliklinikou Bratislava, Národný onkologický ústav, Národný ústav reumatických chorôb, Onkologický ústav sv. Alžbety, s. r. o., Regionálny úrad verejného zdravotníctva so sídlom v Banskej Bystrici,  Východoslovenský ústav srdcových a cievnych chorôb, a.s. </w:t>
      </w:r>
    </w:p>
    <w:p w:rsidR="00B26529" w:rsidRDefault="00A105D0" w:rsidP="000A7E8B">
      <w:pPr>
        <w:pStyle w:val="Odsekzoznamu10"/>
        <w:ind w:left="0" w:firstLine="708"/>
        <w:jc w:val="both"/>
      </w:pPr>
      <w:r w:rsidRPr="00A105D0">
        <w:rPr>
          <w:b/>
          <w:sz w:val="20"/>
          <w:szCs w:val="20"/>
        </w:rPr>
        <w:t>Ministerstvo dopravy, výstavby a regionálneho rozvoja Slovenskej republiky</w:t>
      </w:r>
      <w:r w:rsidR="006348B1" w:rsidRPr="00B10284">
        <w:rPr>
          <w:sz w:val="20"/>
          <w:szCs w:val="20"/>
        </w:rPr>
        <w:t xml:space="preserve"> (ďalej len „MDVRR SR“) nemá vo svojej pôsobnosti žiadne priamo riadené rozpočtové ani príspevkové organizácie Va</w:t>
      </w:r>
      <w:r w:rsidR="0062697C">
        <w:rPr>
          <w:sz w:val="20"/>
          <w:szCs w:val="20"/>
        </w:rPr>
        <w:t>V</w:t>
      </w:r>
      <w:r w:rsidR="006348B1" w:rsidRPr="00B10284">
        <w:rPr>
          <w:sz w:val="20"/>
          <w:szCs w:val="20"/>
        </w:rPr>
        <w:t xml:space="preserve">. MDVRR SR je zakladateľom 2 neziskových organizácií - ústavov, ktorých činnosť je zameraná aj na oblasť výskumu a vývoja:_Výskumný ústav spojov, n.o., a Technický a skúšobný ústav stavebný, n.o. Tieto organizácie nie </w:t>
      </w:r>
      <w:r w:rsidR="006348B1" w:rsidRPr="00F104BD">
        <w:rPr>
          <w:sz w:val="20"/>
          <w:szCs w:val="20"/>
        </w:rPr>
        <w:t>sú   napojené na rozpočet rezortu.</w:t>
      </w:r>
    </w:p>
    <w:p w:rsidR="00B26529" w:rsidRDefault="00B10284" w:rsidP="000A7E8B">
      <w:pPr>
        <w:pStyle w:val="Odsekzoznamu10"/>
        <w:ind w:left="0" w:firstLine="360"/>
        <w:jc w:val="both"/>
      </w:pPr>
      <w:r w:rsidRPr="00F104BD">
        <w:rPr>
          <w:b/>
          <w:sz w:val="20"/>
          <w:szCs w:val="20"/>
        </w:rPr>
        <w:t xml:space="preserve">Ministerstvo vnútra SR </w:t>
      </w:r>
      <w:r w:rsidR="00A105D0" w:rsidRPr="00A105D0">
        <w:rPr>
          <w:sz w:val="20"/>
          <w:szCs w:val="20"/>
        </w:rPr>
        <w:t>má vo svojej štruktúre odbor vedecko-technického rozvoja a v zriaďovateľskej pôsobnosti Kriminalistický a expertízny ústav PPZ</w:t>
      </w:r>
      <w:r w:rsidRPr="00F104BD">
        <w:rPr>
          <w:sz w:val="20"/>
          <w:szCs w:val="20"/>
        </w:rPr>
        <w:t xml:space="preserve">, Požiarno – technický a expertízny ústav MV SR, Slovenský národný archív a Akadémiu policajného zboru, ktoré vyvíjajú výskumnú činnosť.  </w:t>
      </w:r>
    </w:p>
    <w:p w:rsidR="00B26529" w:rsidRDefault="00B10284">
      <w:pPr>
        <w:ind w:firstLine="360"/>
        <w:rPr>
          <w:bCs/>
        </w:rPr>
      </w:pPr>
      <w:r w:rsidRPr="00F104BD">
        <w:rPr>
          <w:b/>
        </w:rPr>
        <w:t xml:space="preserve">Ministerstvo obrany SR </w:t>
      </w:r>
      <w:r w:rsidR="00A105D0" w:rsidRPr="00A105D0">
        <w:t>má vo svojej zriaďovateľskej pôsobnosti</w:t>
      </w:r>
      <w:r w:rsidRPr="00F104BD">
        <w:rPr>
          <w:b/>
        </w:rPr>
        <w:t xml:space="preserve"> </w:t>
      </w:r>
      <w:r w:rsidRPr="00F104BD">
        <w:t xml:space="preserve">Inštitút bezpečnostných a obranných štúdií, Akadémiu ozbrojených síl </w:t>
      </w:r>
      <w:r w:rsidR="000A7E8B">
        <w:t>Generála Milana Rastislava Štefá</w:t>
      </w:r>
      <w:r w:rsidRPr="00F104BD">
        <w:t xml:space="preserve">nika, Výcvikové analytické a zásobovacie centrum RCHBO Čereňany a </w:t>
      </w:r>
      <w:r w:rsidRPr="00F104BD">
        <w:rPr>
          <w:bCs/>
        </w:rPr>
        <w:t xml:space="preserve">Vojenský technický a skúšobný ústav Záhorie, ktoré vyvíjajú výskumnú činnosť. </w:t>
      </w:r>
    </w:p>
    <w:p w:rsidR="006348B1" w:rsidRPr="008A318C" w:rsidRDefault="00A105D0" w:rsidP="008A318C">
      <w:pPr>
        <w:ind w:firstLine="360"/>
        <w:rPr>
          <w:bCs/>
        </w:rPr>
      </w:pPr>
      <w:r w:rsidRPr="00A105D0">
        <w:rPr>
          <w:b/>
        </w:rPr>
        <w:t>Ministerstvo životného prostredia</w:t>
      </w:r>
      <w:r w:rsidR="000A7E8B">
        <w:t xml:space="preserve"> SR je zriaď</w:t>
      </w:r>
      <w:r w:rsidR="00B10284">
        <w:t>ovateľom výskumných inštitúcií Slovenský hydrometeorologický ústav, Výskumný ústav vodného hospodárstva a Štátny geologický ústav Dionýza Štúra.</w:t>
      </w:r>
    </w:p>
    <w:p w:rsidR="008A03E6" w:rsidRPr="00971659" w:rsidRDefault="008A03E6" w:rsidP="00076F0E">
      <w:pPr>
        <w:ind w:firstLine="340"/>
        <w:rPr>
          <w:b/>
        </w:rPr>
      </w:pPr>
      <w:r w:rsidRPr="00971659">
        <w:rPr>
          <w:b/>
        </w:rPr>
        <w:t>Podnikateľské VaI inštitúcie</w:t>
      </w:r>
    </w:p>
    <w:p w:rsidR="008A03E6" w:rsidRPr="008A03E6" w:rsidRDefault="008A03E6" w:rsidP="00971659">
      <w:pPr>
        <w:pStyle w:val="Odsekzoznamu1"/>
        <w:ind w:left="0" w:firstLine="340"/>
      </w:pPr>
      <w:r w:rsidRPr="008A03E6">
        <w:t>Po dlhodobej transformácii výskumných organizácií podnikateľského sektora (privatizácia) sa v súčasnom období počet subjektov aktívne pôsobiacich v oblasti výskumu a vývoja ustálil na úrovni 240 spoločností</w:t>
      </w:r>
      <w:r w:rsidR="00991BE4">
        <w:t>, ktoré</w:t>
      </w:r>
      <w:r w:rsidRPr="008A03E6">
        <w:t xml:space="preserve"> sú zriadené podľa Obchodného zákonníka a podnikajú</w:t>
      </w:r>
      <w:r w:rsidR="00E13039">
        <w:t xml:space="preserve"> </w:t>
      </w:r>
      <w:r w:rsidRPr="008A03E6">
        <w:t xml:space="preserve">v oblasti výskumu a vývoja v otvorenej súťaži trhovej ekonomiky. </w:t>
      </w:r>
    </w:p>
    <w:p w:rsidR="008A03E6" w:rsidRPr="008A03E6" w:rsidRDefault="008A03E6" w:rsidP="00971659">
      <w:pPr>
        <w:pStyle w:val="Odsekzoznamu1"/>
        <w:ind w:left="0" w:firstLine="340"/>
      </w:pPr>
      <w:r w:rsidRPr="008A03E6">
        <w:t>Vo výskumných</w:t>
      </w:r>
      <w:r w:rsidR="00E13039">
        <w:t xml:space="preserve"> </w:t>
      </w:r>
      <w:r w:rsidRPr="008A03E6">
        <w:t>organizáciách podnikateľského</w:t>
      </w:r>
      <w:r w:rsidR="00E13039">
        <w:t xml:space="preserve"> </w:t>
      </w:r>
      <w:r w:rsidRPr="008A03E6">
        <w:t xml:space="preserve">sektora pracuje </w:t>
      </w:r>
      <w:r w:rsidR="00991BE4">
        <w:t xml:space="preserve">viac ako </w:t>
      </w:r>
      <w:r w:rsidRPr="008A03E6">
        <w:t>4</w:t>
      </w:r>
      <w:r w:rsidR="00991BE4">
        <w:t xml:space="preserve"> </w:t>
      </w:r>
      <w:r w:rsidRPr="008A03E6">
        <w:t>500 zamestnancov. Z </w:t>
      </w:r>
      <w:r w:rsidR="00991BE4">
        <w:t xml:space="preserve">toho </w:t>
      </w:r>
      <w:r w:rsidRPr="008A03E6">
        <w:t xml:space="preserve"> je 2700 výskumných pracovníkov a zvyšok (1</w:t>
      </w:r>
      <w:r w:rsidR="00991BE4">
        <w:t xml:space="preserve"> </w:t>
      </w:r>
      <w:r w:rsidRPr="008A03E6">
        <w:t xml:space="preserve">800) predstavujú pracovníci technických a realizačných útvarov. V súhrnnom vyjadrení k celkovému počtu pracovníkov výskumu a vývoja v SR predstavuje podnikateľský sektor </w:t>
      </w:r>
      <w:r w:rsidR="00991BE4">
        <w:t xml:space="preserve">podiel </w:t>
      </w:r>
      <w:r w:rsidRPr="008A03E6">
        <w:t>16</w:t>
      </w:r>
      <w:r w:rsidR="00991BE4">
        <w:t xml:space="preserve"> </w:t>
      </w:r>
      <w:r w:rsidRPr="008A03E6">
        <w:t>%, čo možno hodnotiť ako minimálne východisko pre ďalšiu revitalizáciu potenciálu výskumu a vývoja v priemyselných sektoroch a pre rozvoj kreatívnych odvetví ekonomiky SR.</w:t>
      </w:r>
    </w:p>
    <w:p w:rsidR="008A03E6" w:rsidRDefault="008A03E6" w:rsidP="00971659">
      <w:pPr>
        <w:pStyle w:val="Odsekzoznamu1"/>
        <w:ind w:left="0" w:firstLine="340"/>
      </w:pPr>
      <w:r w:rsidRPr="008A03E6">
        <w:t>Výdavky na výskum a vývoj v podnikateľskom sektore predstavujú ročne 175 mil.</w:t>
      </w:r>
      <w:r w:rsidR="00991BE4">
        <w:t xml:space="preserve"> </w:t>
      </w:r>
      <w:r w:rsidRPr="008A03E6">
        <w:t>EUR</w:t>
      </w:r>
      <w:r w:rsidR="00991BE4">
        <w:t>,</w:t>
      </w:r>
      <w:r w:rsidRPr="008A03E6">
        <w:t xml:space="preserve"> z toho len 18 mil</w:t>
      </w:r>
      <w:r w:rsidR="00991BE4">
        <w:t>.</w:t>
      </w:r>
      <w:r w:rsidR="0070140E">
        <w:t xml:space="preserve"> EUR (</w:t>
      </w:r>
      <w:r w:rsidRPr="008A03E6">
        <w:t>10</w:t>
      </w:r>
      <w:r w:rsidR="00991BE4">
        <w:t xml:space="preserve"> </w:t>
      </w:r>
      <w:r w:rsidRPr="008A03E6">
        <w:t xml:space="preserve">%) predstavujú prostriedky získané zo zdrojov štátu. Výraznejšie zvýšenie podnikateľských zdrojov do výskumu a vývoja sa očakáva po zavedení vhodných motivačných nástrojov (daňové úľavy na investície do </w:t>
      </w:r>
      <w:r w:rsidRPr="00F104BD">
        <w:t>VaV</w:t>
      </w:r>
      <w:r w:rsidRPr="008A03E6">
        <w:t xml:space="preserve"> pre podnikateľov).</w:t>
      </w:r>
    </w:p>
    <w:p w:rsidR="00C820ED" w:rsidRDefault="00C820ED" w:rsidP="00971659">
      <w:pPr>
        <w:pStyle w:val="Odsekzoznamu1"/>
        <w:ind w:left="0" w:firstLine="340"/>
      </w:pPr>
    </w:p>
    <w:p w:rsidR="00C820ED" w:rsidRPr="008A03E6" w:rsidRDefault="00C820ED" w:rsidP="00971659">
      <w:pPr>
        <w:pStyle w:val="Odsekzoznamu1"/>
        <w:ind w:left="0" w:firstLine="340"/>
      </w:pPr>
    </w:p>
    <w:p w:rsidR="009B4A3B" w:rsidRPr="00D019F9" w:rsidRDefault="009B4A3B" w:rsidP="008A318C">
      <w:pPr>
        <w:pStyle w:val="Nadpis3"/>
        <w:spacing w:after="240"/>
      </w:pPr>
      <w:bookmarkStart w:id="119" w:name="_Toc360576016"/>
      <w:bookmarkStart w:id="120" w:name="_TOC_250012"/>
      <w:bookmarkStart w:id="121" w:name="_Toc365831801"/>
      <w:bookmarkStart w:id="122" w:name="_Toc365831993"/>
      <w:bookmarkStart w:id="123" w:name="_Toc366744163"/>
      <w:r w:rsidRPr="00D019F9">
        <w:lastRenderedPageBreak/>
        <w:t>Vedecká výkonnosť výskumných inštitúcií</w:t>
      </w:r>
      <w:bookmarkEnd w:id="119"/>
      <w:bookmarkEnd w:id="120"/>
      <w:bookmarkEnd w:id="121"/>
      <w:bookmarkEnd w:id="122"/>
      <w:bookmarkEnd w:id="123"/>
    </w:p>
    <w:p w:rsidR="009B4A3B" w:rsidRPr="000E1A05" w:rsidRDefault="009B4A3B" w:rsidP="00837B0A">
      <w:pPr>
        <w:ind w:firstLine="340"/>
      </w:pPr>
      <w:r w:rsidRPr="000E1A05">
        <w:t>Dôsledkom poddimenzovaných vstupov sú podpriemerné výsledky merané prostredníctvom bibliome</w:t>
      </w:r>
      <w:r w:rsidR="0070140E">
        <w:t>t</w:t>
      </w:r>
      <w:r w:rsidRPr="000E1A05">
        <w:t xml:space="preserve">rickej analýzy, o čom svedčia nízke hodnoty relatívneho počtu vedeckých odborných publikácií a citácií, ako aj podpriemerný citačný index. Vedeckú výkonnosť </w:t>
      </w:r>
      <w:r w:rsidR="00991BE4">
        <w:t xml:space="preserve">VŠ </w:t>
      </w:r>
      <w:r w:rsidRPr="000E1A05">
        <w:t xml:space="preserve">a SAV podľa publikačnej výkonnosti </w:t>
      </w:r>
      <w:r w:rsidR="00991BE4">
        <w:t>i</w:t>
      </w:r>
      <w:r w:rsidRPr="000E1A05">
        <w:t xml:space="preserve">nštitucionálneho </w:t>
      </w:r>
      <w:r w:rsidR="00E1035A">
        <w:t>hodnotenia</w:t>
      </w:r>
      <w:r w:rsidRPr="000E1A05">
        <w:t xml:space="preserve"> výskumných organizácií – SCIMAGO Institutions</w:t>
      </w:r>
      <w:r w:rsidR="00E1035A">
        <w:t xml:space="preserve"> </w:t>
      </w:r>
      <w:r w:rsidRPr="000E1A05">
        <w:t>Ranking</w:t>
      </w:r>
      <w:r w:rsidR="00E1035A">
        <w:t xml:space="preserve"> </w:t>
      </w:r>
      <w:r w:rsidRPr="000E1A05">
        <w:t xml:space="preserve">World Report 2012 možno považovať za neuspokojivú. </w:t>
      </w:r>
      <w:r w:rsidR="00E1035A">
        <w:t>Hodnotenie</w:t>
      </w:r>
      <w:r w:rsidRPr="000E1A05">
        <w:t xml:space="preserve"> porovnáva inštitúcie, ktoré publikovali aspoň 100 vedeckých dokumentov aké</w:t>
      </w:r>
      <w:r>
        <w:t>hokoľvek</w:t>
      </w:r>
      <w:r w:rsidR="00134F8E">
        <w:t xml:space="preserve"> </w:t>
      </w:r>
      <w:r>
        <w:t xml:space="preserve">typu v celosvetovej </w:t>
      </w:r>
      <w:r w:rsidRPr="000E1A05">
        <w:t xml:space="preserve">databáze </w:t>
      </w:r>
      <w:r>
        <w:t xml:space="preserve">Scopus od </w:t>
      </w:r>
      <w:r w:rsidRPr="000E1A05">
        <w:t xml:space="preserve">Elsevier. </w:t>
      </w:r>
    </w:p>
    <w:p w:rsidR="009B4A3B" w:rsidRPr="000E1A05" w:rsidRDefault="009B4A3B" w:rsidP="00837B0A">
      <w:pPr>
        <w:ind w:firstLine="340"/>
      </w:pPr>
      <w:r w:rsidRPr="000E1A05">
        <w:t>V celom hodnotení je uvedených len 6 inštitúcií zo Slovenska, z toho jedna je SAV ako celok a 5 univerzít: Univerzita Komenského v Bratislave, Slovenská technick</w:t>
      </w:r>
      <w:r>
        <w:t xml:space="preserve">á univerzita </w:t>
      </w:r>
      <w:r w:rsidRPr="000E1A05">
        <w:t xml:space="preserve">v Bratislave, Univerzita P. J. Šafárika v Košiciach, Technická univerzita </w:t>
      </w:r>
      <w:r w:rsidR="00991BE4">
        <w:t xml:space="preserve">v </w:t>
      </w:r>
      <w:r w:rsidRPr="000E1A05">
        <w:t xml:space="preserve">Košiciach a Žilinská univerzita v Žiline. To znamená, že žiadna ďalšia inštitúcia, univerzita, výskumný ústav či podnik nepublikovala ani len 100 prác v roku 2010 v medzinárodných vedeckých časopisoch uvádzaných v databázach SCOPUS. Prvé tri najvýkonnejšie inštitúcie sú z Bratislavy, aj keď nie všetky ich výkony pochádzajú z hlavného mesta. </w:t>
      </w:r>
      <w:r w:rsidR="00991BE4">
        <w:t xml:space="preserve">Cca </w:t>
      </w:r>
      <w:r w:rsidRPr="000E1A05">
        <w:t>75 %</w:t>
      </w:r>
      <w:r w:rsidR="00991BE4">
        <w:t xml:space="preserve"> publikácií pochádza z Bratislavského kraja</w:t>
      </w:r>
      <w:r w:rsidRPr="000E1A05">
        <w:t>, čo svedčí o výraznej asymetrii publikačných výkonov vedeckých inštitúcií SR. V Bratislave je v súčasnosti alokovaných viac ako 50</w:t>
      </w:r>
      <w:r w:rsidR="00991BE4">
        <w:t xml:space="preserve"> </w:t>
      </w:r>
      <w:r w:rsidRPr="000E1A05">
        <w:t xml:space="preserve">% personálnych aj technických kapacít výskumu. Na základe analýzy sa možno domnievať, že publikácie uvedených inštitúcií sú kvalitné, </w:t>
      </w:r>
      <w:r w:rsidR="00D96C46">
        <w:t>absentujú</w:t>
      </w:r>
      <w:r w:rsidRPr="000E1A05">
        <w:t xml:space="preserve"> však vlastnosť absolútnej svetovej špičky a výkonnosť systému </w:t>
      </w:r>
      <w:r w:rsidR="002217E0">
        <w:t>výskumu a vývoja</w:t>
      </w:r>
      <w:r w:rsidRPr="000E1A05">
        <w:t xml:space="preserve"> v oblasti základného výskumu je v medzinárodnom porovnaní nízka. </w:t>
      </w:r>
    </w:p>
    <w:p w:rsidR="009B4A3B" w:rsidRPr="000E1A05" w:rsidRDefault="009B4A3B" w:rsidP="00837B0A">
      <w:pPr>
        <w:ind w:firstLine="340"/>
      </w:pPr>
      <w:r w:rsidRPr="000E1A05">
        <w:t>Napriek tomu však možno konštatovať relatívne vysokú efektívnosť vynaložených prostriedkov z hľadiska priemerného objemu výdavkov a počtu publikácií v databáze karent</w:t>
      </w:r>
      <w:r w:rsidR="00591008">
        <w:t xml:space="preserve">ovaných časopisov v rokoch 2005 – </w:t>
      </w:r>
      <w:r w:rsidRPr="000E1A05">
        <w:t>2009. Publikácia v prírodných vedách stála na Slovensku necelú polovicu toho, čo v Dánsku a pätinu toho</w:t>
      </w:r>
      <w:r w:rsidR="00991BE4">
        <w:t>,</w:t>
      </w:r>
      <w:r w:rsidRPr="000E1A05">
        <w:t xml:space="preserve"> čo v Nemecku. Podobné pomery ceny a množstva boli zaznamenané aj v ostatných odboroch. Rovnako aj náklady na jednu citáciu sú nižšie</w:t>
      </w:r>
      <w:r w:rsidR="00991BE4">
        <w:t>,</w:t>
      </w:r>
      <w:r w:rsidRPr="000E1A05">
        <w:t xml:space="preserve"> ako je európsky priemer. Celková efektívnosť výstupov v porovnaní s objemom vstupov teda v slovenskej vede nie </w:t>
      </w:r>
      <w:r w:rsidR="00991BE4">
        <w:t xml:space="preserve">je </w:t>
      </w:r>
      <w:r w:rsidRPr="000E1A05">
        <w:t>zlá, skôr naopak. Cieľom by</w:t>
      </w:r>
      <w:r w:rsidR="00134F8E">
        <w:t xml:space="preserve"> </w:t>
      </w:r>
      <w:r w:rsidRPr="000E1A05">
        <w:t>malo byť dostať vybrané perspektívne odbory s nadkritickým množstvom vstupov medzi svetovú elitu</w:t>
      </w:r>
      <w:r w:rsidR="00E12B61">
        <w:t>.</w:t>
      </w:r>
    </w:p>
    <w:p w:rsidR="009B4A3B" w:rsidRDefault="009B4A3B" w:rsidP="00837B0A">
      <w:pPr>
        <w:ind w:firstLine="340"/>
      </w:pPr>
      <w:r w:rsidRPr="00F104BD">
        <w:t>V súčasnosti sú na Slovensku vysoko kvalitné tímy s medzinárodnou reputáciou. Kvalitné výsledky vedeckého výskumu sú nutným predpokladom pre vstup do medzinárodnej vedecko-technickej spolupráce</w:t>
      </w:r>
      <w:r w:rsidR="005F61A3" w:rsidRPr="00F104BD">
        <w:t>.</w:t>
      </w:r>
      <w:r w:rsidRPr="00F104BD">
        <w:t xml:space="preserve"> </w:t>
      </w:r>
      <w:r w:rsidR="00A105D0" w:rsidRPr="00A105D0">
        <w:t>K</w:t>
      </w:r>
      <w:r w:rsidRPr="00F104BD">
        <w:t>valita tak ovplyvnila nízke zapájanie slovenských subjektov do medzinárodnej spolupráce.</w:t>
      </w:r>
    </w:p>
    <w:p w:rsidR="00234C9F" w:rsidRDefault="00234C9F" w:rsidP="00234C9F">
      <w:pPr>
        <w:ind w:firstLine="340"/>
      </w:pPr>
      <w:r w:rsidRPr="00234C9F">
        <w:t>Pôsobenie v oblasti výskumu na Slovensku je žiaduce výraznejšie oceniť. Okrem pokračovania v obnove technickej infraštruktúry je nutné zlepšiť aj mzdové ohodnotenie najmä špičkových a mladých výskumných pracovníkov. Súčasný priemerný hodinový zárobok pre vedecké a technické činnosti na Slovensku (6,42 EUR) nevytvára primerané motivačné podmienky voči niektorým konkurenčným oblastiam (IKT služby, finančníctvo), ani voči podmienkam, ktoré poskytujú konkurenčné zahraničné spoločnosti pre špičkových odborníkov.</w:t>
      </w:r>
      <w:r>
        <w:t xml:space="preserve"> </w:t>
      </w:r>
      <w:r w:rsidRPr="00234C9F">
        <w:t>To si vyžaduje v systéme financovania výskumu na Slovensku upraviť príslušnú legislatívu a metodické usmernenia ta</w:t>
      </w:r>
      <w:r>
        <w:t xml:space="preserve">k, aby bola umožnená konkurencieschopná a nediskriminačná </w:t>
      </w:r>
      <w:r w:rsidRPr="00234C9F">
        <w:t xml:space="preserve"> tvorba hodinovej sadzby za činnosti výskumu a vývoja.</w:t>
      </w:r>
    </w:p>
    <w:p w:rsidR="008F746B" w:rsidRPr="00D019F9" w:rsidRDefault="008F746B" w:rsidP="00591008">
      <w:pPr>
        <w:pStyle w:val="Nadpis3"/>
        <w:spacing w:after="240"/>
      </w:pPr>
      <w:bookmarkStart w:id="124" w:name="_Toc365831802"/>
      <w:bookmarkStart w:id="125" w:name="_Toc365831994"/>
      <w:bookmarkStart w:id="126" w:name="_Toc366744164"/>
      <w:r w:rsidRPr="00D019F9">
        <w:t>Účasť SR v Európskom výskumnom priestore</w:t>
      </w:r>
      <w:bookmarkEnd w:id="124"/>
      <w:bookmarkEnd w:id="125"/>
      <w:bookmarkEnd w:id="126"/>
    </w:p>
    <w:p w:rsidR="008F746B" w:rsidRPr="000E1A05" w:rsidRDefault="00FF3DB7" w:rsidP="008F746B">
      <w:pPr>
        <w:ind w:firstLine="340"/>
      </w:pPr>
      <w:r>
        <w:t>Slovenská republika</w:t>
      </w:r>
      <w:r w:rsidR="00134F8E">
        <w:t xml:space="preserve"> </w:t>
      </w:r>
      <w:r w:rsidR="008F746B" w:rsidRPr="000E1A05">
        <w:t>v roku 2007 pri zapájaní sa do 7.RP</w:t>
      </w:r>
      <w:r w:rsidR="00134F8E">
        <w:t xml:space="preserve"> </w:t>
      </w:r>
      <w:r w:rsidR="008F746B" w:rsidRPr="000E1A05">
        <w:t>zaznamenala najvyšší počet účastí v projektových konzorciách (638)</w:t>
      </w:r>
      <w:r w:rsidR="00284182">
        <w:t xml:space="preserve"> a</w:t>
      </w:r>
      <w:r w:rsidR="008F746B" w:rsidRPr="000E1A05">
        <w:t xml:space="preserve"> </w:t>
      </w:r>
      <w:r w:rsidR="00284182">
        <w:t>z</w:t>
      </w:r>
      <w:r w:rsidR="008F746B" w:rsidRPr="000E1A05">
        <w:t xml:space="preserve">ároveň vo výzvach vyhlásených v uvedenom roku získala najvyšší príspevok EK (15,23 mil. </w:t>
      </w:r>
      <w:r w:rsidR="00134F8E">
        <w:t>EUR</w:t>
      </w:r>
      <w:r w:rsidR="008F746B" w:rsidRPr="000E1A05">
        <w:t>). V nasledujúcich rokoch záujem o projekty 7.RP klesol o viac ako polovicu a začal pozvoľné stúpať až v</w:t>
      </w:r>
      <w:r w:rsidR="00991BE4">
        <w:t> </w:t>
      </w:r>
      <w:r w:rsidR="008F746B" w:rsidRPr="000E1A05">
        <w:t xml:space="preserve"> roku 2010. </w:t>
      </w:r>
      <w:r w:rsidR="00F336BD">
        <w:t>Zníženie z</w:t>
      </w:r>
      <w:r w:rsidR="008F746B" w:rsidRPr="000E1A05">
        <w:t xml:space="preserve">áujmu o projekty 7.RP </w:t>
      </w:r>
      <w:r w:rsidR="00F336BD">
        <w:t>bolo</w:t>
      </w:r>
      <w:r w:rsidR="00134F8E">
        <w:t xml:space="preserve"> </w:t>
      </w:r>
      <w:r w:rsidR="00F336BD">
        <w:t>spôsobené dostupnejšími zdrojmi z</w:t>
      </w:r>
      <w:r w:rsidR="00591008">
        <w:t> </w:t>
      </w:r>
      <w:r w:rsidR="008F746B" w:rsidRPr="000E1A05">
        <w:t>OP</w:t>
      </w:r>
      <w:r w:rsidR="00591008">
        <w:t xml:space="preserve"> </w:t>
      </w:r>
      <w:r w:rsidR="00991BE4">
        <w:t>VaV</w:t>
      </w:r>
      <w:r w:rsidR="008F746B" w:rsidRPr="000E1A05">
        <w:t>, ktor</w:t>
      </w:r>
      <w:r w:rsidR="00F336BD">
        <w:t>ého</w:t>
      </w:r>
      <w:r w:rsidR="008F746B" w:rsidRPr="000E1A05">
        <w:t xml:space="preserve"> prvé </w:t>
      </w:r>
      <w:r w:rsidR="00F336BD">
        <w:t xml:space="preserve">výzvy </w:t>
      </w:r>
      <w:r w:rsidR="008F746B" w:rsidRPr="000E1A05">
        <w:t xml:space="preserve">boli vyhlásené vo februári 2008. </w:t>
      </w:r>
      <w:r w:rsidR="00F336BD">
        <w:t>Táto skutočnosť</w:t>
      </w:r>
      <w:r w:rsidR="00134F8E">
        <w:t xml:space="preserve"> </w:t>
      </w:r>
      <w:r w:rsidR="008F746B" w:rsidRPr="000E1A05">
        <w:t xml:space="preserve">odhalila nedostatočné </w:t>
      </w:r>
      <w:r w:rsidR="00263A3C">
        <w:t>odborné</w:t>
      </w:r>
      <w:r w:rsidR="00134F8E">
        <w:t xml:space="preserve"> </w:t>
      </w:r>
      <w:r w:rsidR="008F746B" w:rsidRPr="000E1A05">
        <w:t>kapacity</w:t>
      </w:r>
      <w:r w:rsidR="00263A3C">
        <w:t xml:space="preserve"> a znalosti</w:t>
      </w:r>
      <w:r w:rsidR="00134F8E">
        <w:t xml:space="preserve"> </w:t>
      </w:r>
      <w:r w:rsidR="008F746B" w:rsidRPr="000E1A05">
        <w:t xml:space="preserve">pre </w:t>
      </w:r>
      <w:r w:rsidR="00F336BD">
        <w:t xml:space="preserve">súčasné riešenie </w:t>
      </w:r>
      <w:r w:rsidR="008F746B" w:rsidRPr="000E1A05">
        <w:t>projekt</w:t>
      </w:r>
      <w:r w:rsidR="00F336BD">
        <w:t>ov</w:t>
      </w:r>
      <w:r w:rsidR="008F746B" w:rsidRPr="000E1A05">
        <w:t xml:space="preserve"> tohto typu.</w:t>
      </w:r>
    </w:p>
    <w:p w:rsidR="008F746B" w:rsidRPr="000E1A05" w:rsidRDefault="008F746B" w:rsidP="008F746B">
      <w:pPr>
        <w:ind w:firstLine="340"/>
      </w:pPr>
      <w:r w:rsidRPr="000E1A05">
        <w:lastRenderedPageBreak/>
        <w:t>Celkovo bol</w:t>
      </w:r>
      <w:r w:rsidR="00991BE4">
        <w:t>o</w:t>
      </w:r>
      <w:r w:rsidRPr="000E1A05">
        <w:t xml:space="preserve"> zaznamenan</w:t>
      </w:r>
      <w:r w:rsidR="00991BE4">
        <w:t>ých</w:t>
      </w:r>
      <w:r w:rsidRPr="000E1A05">
        <w:t xml:space="preserve"> 2 086 účastí v projektových žiadostiach, z čoho vznikla participácia v 362 riešených projektoch a kontrahovaný príspevok EK vo výške 49,92 mil. </w:t>
      </w:r>
      <w:r w:rsidR="00134F8E">
        <w:t>EUR</w:t>
      </w:r>
      <w:r w:rsidRPr="000E1A05">
        <w:t xml:space="preserve">. V prepočítaní na jedného obyvateľa nás to radí až na 25. miesto medzi krajinami EÚ. Mierne lepšie sme na tom vo vzťahu k výške HDP, keď sme skončili na 22. mieste. </w:t>
      </w:r>
      <w:r w:rsidR="00FF65CC">
        <w:t xml:space="preserve"> </w:t>
      </w:r>
      <w:r w:rsidRPr="000E1A05">
        <w:t xml:space="preserve">Výška príspevku EK na jeden projekt je na Slovensku pomerne malá, </w:t>
      </w:r>
      <w:r w:rsidR="00FF65CC">
        <w:t xml:space="preserve"> </w:t>
      </w:r>
      <w:r w:rsidRPr="000E1A05">
        <w:t>za čo môže nielen úloha slovenských organizácií v projektoch (koordinovali sme len 28 projektov a z toho len 4 výskumné), ale aj platy vedcov, ktoré tvoria značnú časť rozpočtov projektov. Dôležitý</w:t>
      </w:r>
      <w:r w:rsidR="00FF65CC">
        <w:t xml:space="preserve"> je tiež fakt, </w:t>
      </w:r>
      <w:r w:rsidRPr="000E1A05">
        <w:t>, že sa zúčastňujeme projektov, v ktorých je vyšší počet účastníkov. Zároveň veľký počet našich účastí tvoria projekty primárne zamerané nie na samotný výskum, ale na jeho podporu (CSA projekty).</w:t>
      </w:r>
    </w:p>
    <w:p w:rsidR="008F746B" w:rsidRPr="000E1A05" w:rsidRDefault="008F746B" w:rsidP="008F746B">
      <w:pPr>
        <w:ind w:firstLine="340"/>
      </w:pPr>
      <w:r w:rsidRPr="000E1A05">
        <w:t>Úspešnosť SR pri získavaní projektov sa pohybuje na úrovni 17,39</w:t>
      </w:r>
      <w:r w:rsidR="00FF65CC">
        <w:t xml:space="preserve"> </w:t>
      </w:r>
      <w:r w:rsidRPr="000E1A05">
        <w:t>% (19. miesto), avšak úspešnosť podľa objemu získaného príspevku EK klesá až na 10,63</w:t>
      </w:r>
      <w:r w:rsidR="00FF65CC">
        <w:t xml:space="preserve"> </w:t>
      </w:r>
      <w:r w:rsidRPr="000E1A05">
        <w:t>%.</w:t>
      </w:r>
    </w:p>
    <w:p w:rsidR="008F746B" w:rsidRPr="000E1A05" w:rsidRDefault="008F746B" w:rsidP="008F746B">
      <w:pPr>
        <w:ind w:firstLine="340"/>
      </w:pPr>
      <w:r w:rsidRPr="000E1A05">
        <w:t>Slovenská účasť v 7.RP z geografického hľadiska kopíruje ľudské a technické kapacity slovenského výskum</w:t>
      </w:r>
      <w:r w:rsidR="00FF65CC">
        <w:t>u</w:t>
      </w:r>
      <w:r w:rsidRPr="000E1A05">
        <w:t>. Až v</w:t>
      </w:r>
      <w:r w:rsidR="00FF65CC">
        <w:t> </w:t>
      </w:r>
      <w:r w:rsidRPr="000E1A05">
        <w:t>56</w:t>
      </w:r>
      <w:r w:rsidR="00FF65CC">
        <w:t xml:space="preserve"> </w:t>
      </w:r>
      <w:r w:rsidRPr="000E1A05">
        <w:t>% sa do výziev zapájali výskumné pracoviská z Bratislavského kraja a získali až 60</w:t>
      </w:r>
      <w:r w:rsidR="00FF65CC">
        <w:t xml:space="preserve"> </w:t>
      </w:r>
      <w:r w:rsidRPr="000E1A05">
        <w:t>% všetkých reálnych účastí a</w:t>
      </w:r>
      <w:r w:rsidR="00FF65CC">
        <w:t> </w:t>
      </w:r>
      <w:r w:rsidRPr="000E1A05">
        <w:t>63</w:t>
      </w:r>
      <w:r w:rsidR="00FF65CC">
        <w:t xml:space="preserve"> </w:t>
      </w:r>
      <w:r w:rsidRPr="000E1A05">
        <w:t>% z finančného príspev</w:t>
      </w:r>
      <w:r w:rsidR="00591008">
        <w:t>ku EK.</w:t>
      </w:r>
      <w:r w:rsidR="00FF65CC">
        <w:t xml:space="preserve"> </w:t>
      </w:r>
      <w:r w:rsidRPr="000E1A05">
        <w:t>Z ďalších krajov je úspešný najmä Košický a čiastočne Žilinský</w:t>
      </w:r>
      <w:r w:rsidR="00FF65CC">
        <w:t xml:space="preserve"> kraj</w:t>
      </w:r>
      <w:r w:rsidRPr="000E1A05">
        <w:t>.</w:t>
      </w:r>
    </w:p>
    <w:p w:rsidR="008F746B" w:rsidRPr="000E1A05" w:rsidRDefault="008F746B" w:rsidP="008F746B">
      <w:pPr>
        <w:ind w:firstLine="340"/>
      </w:pPr>
      <w:r w:rsidRPr="000E1A05">
        <w:t xml:space="preserve">Univerzitný sektor je najaktívnejší tak v počte účastí v žiadostiach (717), ako aj v získaných projektoch (114). Avšak vo výške finančného príspevku sú úspešnejšie firmy, ktoré získali pri 108 účastiach 17,36 mil. </w:t>
      </w:r>
      <w:r w:rsidR="00134F8E">
        <w:t>EUR</w:t>
      </w:r>
      <w:r w:rsidRPr="000E1A05">
        <w:t xml:space="preserve">. Výskumné organizácie (SAV a rezortné ústavy) participovali v 87 projektoch s celkovým príspevkom EK 12,73 mil. </w:t>
      </w:r>
      <w:r w:rsidR="00134F8E">
        <w:t>EUR</w:t>
      </w:r>
      <w:r w:rsidRPr="000E1A05">
        <w:t xml:space="preserve">. V počte účastí v celom 7.RP v oveľa väčšej miere ako u nás dominujú univerzity, a to práve na úkor podnikateľského sektora. Pozitívom u nás je však najmä pomerne vysoká účasť </w:t>
      </w:r>
      <w:r w:rsidR="00FF65CC">
        <w:t xml:space="preserve">MSP </w:t>
      </w:r>
      <w:r w:rsidRPr="000E1A05">
        <w:t>(participovali v 71 projektoch).</w:t>
      </w:r>
    </w:p>
    <w:p w:rsidR="008F746B" w:rsidRPr="000E1A05" w:rsidRDefault="008F746B" w:rsidP="008F746B">
      <w:pPr>
        <w:ind w:firstLine="340"/>
      </w:pPr>
      <w:r w:rsidRPr="000E1A05">
        <w:t>Celkovo sa aspoň do jedného projektu 7.</w:t>
      </w:r>
      <w:r w:rsidR="00EF2F4B">
        <w:t xml:space="preserve"> </w:t>
      </w:r>
      <w:r w:rsidRPr="000E1A05">
        <w:t xml:space="preserve">RP </w:t>
      </w:r>
      <w:r w:rsidR="00EF2F4B">
        <w:t xml:space="preserve">EÚ </w:t>
      </w:r>
      <w:r w:rsidRPr="000E1A05">
        <w:t>zapojilo 14 univerzít, 37 ústav</w:t>
      </w:r>
      <w:r w:rsidR="00FF65CC">
        <w:t>ov</w:t>
      </w:r>
      <w:r w:rsidRPr="000E1A05">
        <w:t xml:space="preserve"> SAV a ostatných rezortných ústavov, 70 firiem, 19 organizácií vernej a štátnej správy a 13 neziskových organizácií. Ide teda v absolútnom čísle o 153 inštitúcií a firiem. Z hľadiska tematických oblastí sa v najväčšej miere zapájame do IKT projektov (51 účastí a 9,34 mil. </w:t>
      </w:r>
      <w:r w:rsidR="00134F8E">
        <w:t>EUR</w:t>
      </w:r>
      <w:r w:rsidRPr="000E1A05">
        <w:t>), nano</w:t>
      </w:r>
      <w:r>
        <w:t xml:space="preserve"> </w:t>
      </w:r>
      <w:r w:rsidRPr="000E1A05">
        <w:t xml:space="preserve">vied a materiálov (30 účastí a 6,52 mil. </w:t>
      </w:r>
      <w:r w:rsidR="00134F8E">
        <w:t>EUR</w:t>
      </w:r>
      <w:r w:rsidRPr="000E1A05">
        <w:t xml:space="preserve">) a do projektov zameraných na bezpečnosť (17 účastí a 5,16 mil. </w:t>
      </w:r>
      <w:r w:rsidR="00134F8E">
        <w:t>EUR</w:t>
      </w:r>
      <w:r w:rsidRPr="000E1A05">
        <w:t>).</w:t>
      </w:r>
    </w:p>
    <w:p w:rsidR="008F746B" w:rsidRPr="000E1A05" w:rsidRDefault="008F746B" w:rsidP="008F746B">
      <w:pPr>
        <w:ind w:firstLine="340"/>
      </w:pPr>
      <w:r w:rsidRPr="000E1A05">
        <w:t>Slabo sa zapájame do európskych iniciatív, ktorých cieľom je spoločná koordinácia výskumných aktivít medzi jednotlivými členskými štátmi. Z celkového počtu 31 ERA-NETov sme sa zapojili len do 9 (celkovo 11 účastí). Pritom až v 6 prípadoch je slovenským účastníkom výskumná organizácia</w:t>
      </w:r>
      <w:r w:rsidR="00FF65CC">
        <w:t>,</w:t>
      </w:r>
      <w:r w:rsidRPr="000E1A05">
        <w:t xml:space="preserve"> a nie grantová agentúra alebo ministerstvo. APVV sa nezapojila ani do jedného z ERA-NETov.</w:t>
      </w:r>
    </w:p>
    <w:p w:rsidR="008F746B" w:rsidRPr="000E1A05" w:rsidRDefault="008F746B" w:rsidP="008F746B">
      <w:pPr>
        <w:ind w:firstLine="340"/>
      </w:pPr>
      <w:r w:rsidRPr="000E1A05">
        <w:t xml:space="preserve">Slovensko participuje celkovo v 18 z 36 </w:t>
      </w:r>
      <w:r w:rsidR="00FF65CC">
        <w:t>e</w:t>
      </w:r>
      <w:r w:rsidRPr="000E1A05">
        <w:t>urópskych technologických platforiem (ETP) a v</w:t>
      </w:r>
      <w:r w:rsidR="00FF65CC">
        <w:t> dvoch</w:t>
      </w:r>
      <w:r w:rsidRPr="000E1A05">
        <w:t xml:space="preserve"> z</w:t>
      </w:r>
      <w:r w:rsidR="00FF65CC">
        <w:t> piatich</w:t>
      </w:r>
      <w:r w:rsidRPr="000E1A05">
        <w:t xml:space="preserve"> </w:t>
      </w:r>
      <w:r w:rsidR="00FF65CC">
        <w:t>s</w:t>
      </w:r>
      <w:r w:rsidRPr="000E1A05">
        <w:t>poločných technologických iniciatív (ENIAC a ARTEMIS), ktoré vychádzajú práve z ETP. Pritom ob</w:t>
      </w:r>
      <w:r w:rsidR="00FF65CC">
        <w:t>e</w:t>
      </w:r>
      <w:r w:rsidRPr="000E1A05">
        <w:t xml:space="preserve"> </w:t>
      </w:r>
      <w:r w:rsidR="00FF65CC">
        <w:t>uvedené</w:t>
      </w:r>
      <w:r w:rsidRPr="000E1A05">
        <w:t xml:space="preserve"> iniciatívy majú značný vplyv na definovanie smerov podpory výskumu v EÚ. Slovenská účasť v týchto aktivitách by mala byť systematicky podporovaná aj zo strany štátu.</w:t>
      </w:r>
    </w:p>
    <w:p w:rsidR="008F746B" w:rsidRPr="000E1A05" w:rsidRDefault="008F746B" w:rsidP="00591008">
      <w:pPr>
        <w:ind w:firstLine="340"/>
      </w:pPr>
      <w:r w:rsidRPr="000E1A05">
        <w:t xml:space="preserve">V rámci Spoločného programovania, ktorého cieľom je spájať ministerstvá zodpovedné za jednotlivé oblasti na národnej úrovni, sme sa z 11 iniciatív zapojili len do </w:t>
      </w:r>
      <w:r w:rsidR="00FF65CC">
        <w:t>troch.</w:t>
      </w:r>
      <w:r w:rsidRPr="000E1A05">
        <w:t xml:space="preserve"> </w:t>
      </w:r>
      <w:r w:rsidR="004C1862">
        <w:t>Taktiež ú</w:t>
      </w:r>
      <w:r w:rsidRPr="000E1A05">
        <w:t xml:space="preserve">časť slovenských subjektov v iných programoch EU podporujúcich </w:t>
      </w:r>
      <w:r>
        <w:t>inovácie</w:t>
      </w:r>
      <w:r w:rsidRPr="000E1A05">
        <w:t xml:space="preserve"> (CIP) je veľmi nízka. </w:t>
      </w:r>
    </w:p>
    <w:p w:rsidR="008F746B" w:rsidRDefault="008F746B" w:rsidP="00591008">
      <w:pPr>
        <w:pStyle w:val="Odsekzoznamu"/>
        <w:ind w:left="0" w:firstLine="340"/>
      </w:pPr>
      <w:r>
        <w:t>Slovenské Va</w:t>
      </w:r>
      <w:r w:rsidR="004E738E">
        <w:t>I</w:t>
      </w:r>
      <w:r>
        <w:t xml:space="preserve"> organizácie sa zapájajú do projektov veľkých európskych infraštruktúr ESFRI. Slovenská republika v súčasnosti participuje na procese tvorby </w:t>
      </w:r>
      <w:r>
        <w:rPr>
          <w:iCs/>
        </w:rPr>
        <w:t>ESFRI Roadmap</w:t>
      </w:r>
      <w:r>
        <w:rPr>
          <w:i/>
          <w:iCs/>
        </w:rPr>
        <w:t xml:space="preserve"> </w:t>
      </w:r>
      <w:r>
        <w:t xml:space="preserve">prostredníctvom prípravy a budovania infraštruktúry výskumu a vývoja SR, ako aj členstva v ESFRI fóre a strategických pracovných skupinách v ESFRI Roadmap. Akčný plán budovania infraštruktúry </w:t>
      </w:r>
      <w:r w:rsidR="002217E0">
        <w:t>výskumu a vývoja</w:t>
      </w:r>
      <w:r>
        <w:t xml:space="preserve"> v Slovenskej republike (ďalej len „SK Roadmap</w:t>
      </w:r>
      <w:r w:rsidR="00FF65CC">
        <w:t>“</w:t>
      </w:r>
      <w:r>
        <w:t xml:space="preserve">) bude v súlade s prioritami Stratégie inteligentnej špecializácie Slovenskej republiky a vytvorí podmienky pre plnenie cieľov v rámci stanovených priorít v budovaní a udržovaní slovenskej infraštruktúry </w:t>
      </w:r>
      <w:r w:rsidR="002217E0">
        <w:t>výskumu a vývoja</w:t>
      </w:r>
      <w:r>
        <w:t xml:space="preserve"> v prospech zvyšovania zamestnanosti a hospodárskeho rastu. </w:t>
      </w:r>
      <w:r>
        <w:rPr>
          <w:color w:val="000000"/>
          <w:lang w:eastAsia="sk-SK"/>
        </w:rPr>
        <w:t>V súlade s SK</w:t>
      </w:r>
      <w:r w:rsidR="00134F8E">
        <w:rPr>
          <w:color w:val="000000"/>
          <w:lang w:eastAsia="sk-SK"/>
        </w:rPr>
        <w:t xml:space="preserve"> </w:t>
      </w:r>
      <w:r>
        <w:rPr>
          <w:color w:val="000000"/>
          <w:lang w:eastAsia="sk-SK"/>
        </w:rPr>
        <w:t xml:space="preserve">Roadmap sa zefektívni účasť </w:t>
      </w:r>
      <w:r w:rsidR="00FF65CC">
        <w:rPr>
          <w:color w:val="000000"/>
          <w:lang w:eastAsia="sk-SK"/>
        </w:rPr>
        <w:t xml:space="preserve">SR </w:t>
      </w:r>
      <w:r>
        <w:rPr>
          <w:color w:val="000000"/>
          <w:lang w:eastAsia="sk-SK"/>
        </w:rPr>
        <w:t xml:space="preserve">v príslušných projektoch a stanovia sa priority pre vstup do nových projektov. </w:t>
      </w:r>
      <w:r>
        <w:t xml:space="preserve">Zámerom je </w:t>
      </w:r>
      <w:r w:rsidR="00FF65CC">
        <w:t>tiež</w:t>
      </w:r>
      <w:r>
        <w:t xml:space="preserve"> iniciovať rozšírenie regionálnych skupín strednej a východnej Európy a</w:t>
      </w:r>
      <w:r w:rsidR="00FF65CC">
        <w:t>j</w:t>
      </w:r>
      <w:r>
        <w:t xml:space="preserve"> o krajiny západného Balkánu. </w:t>
      </w:r>
    </w:p>
    <w:p w:rsidR="00CF4A47" w:rsidRDefault="008F746B" w:rsidP="00CF4A47">
      <w:pPr>
        <w:ind w:firstLine="340"/>
      </w:pPr>
      <w:r>
        <w:lastRenderedPageBreak/>
        <w:t>V rámci Národného plánu budovania infraštruktúry Va</w:t>
      </w:r>
      <w:r w:rsidR="008A56BF">
        <w:t>I</w:t>
      </w:r>
      <w:r>
        <w:t xml:space="preserve"> sa navrhne budovať subjekty, ktoré podľa prioritných oblastí výskumu a vývoja v SR</w:t>
      </w:r>
      <w:r w:rsidR="00134F8E">
        <w:t xml:space="preserve"> </w:t>
      </w:r>
      <w:r>
        <w:t>koncentrujú kritickú masu ľudského potenciálu, potrebnú</w:t>
      </w:r>
      <w:r w:rsidR="00134F8E">
        <w:t xml:space="preserve"> </w:t>
      </w:r>
      <w:r>
        <w:t>technickú</w:t>
      </w:r>
      <w:r w:rsidR="00134F8E">
        <w:t xml:space="preserve"> </w:t>
      </w:r>
      <w:r>
        <w:t>infraštruktúru</w:t>
      </w:r>
      <w:r w:rsidR="00134F8E">
        <w:t xml:space="preserve"> </w:t>
      </w:r>
      <w:r>
        <w:t xml:space="preserve">a disponujú potrebnými kompetenciami koordinácie a riadenia. Toto vytvorí okrem iného aj prepojenie slovenských infraštruktúr výskumu a vývoja, ktoré sú budované v rámci infraštruktúrneho plánu projektov ESFRI Roadmap. Slovenská republika v rámci SK Roadmap bude pokračovať v podpore slovenskej účasti v tých projektoch ESFRI Roadmap, do ktorých sme už zapojení, a to European XFEL, ESRF, ILL 20/20 ESSurvay, FAIR a PRACE. Zároveň má slovenský výskum potenciál zapojiť sa do </w:t>
      </w:r>
      <w:r w:rsidR="00CF4A47">
        <w:t xml:space="preserve">niektorých </w:t>
      </w:r>
      <w:r>
        <w:t xml:space="preserve">infraštruktúr v ESFRI Roadmap tam, kde vznikajú konzorciá ERIC do roku 2015, </w:t>
      </w:r>
      <w:r w:rsidR="00CF4A47">
        <w:t xml:space="preserve">ako sú napríklad </w:t>
      </w:r>
      <w:r w:rsidR="00A105D0" w:rsidRPr="00A105D0">
        <w:t>JHR , MIRRI</w:t>
      </w:r>
      <w:r w:rsidR="00CF4A47" w:rsidRPr="00F104BD">
        <w:rPr>
          <w:bCs/>
          <w:iCs/>
          <w:lang w:val="af-ZA"/>
        </w:rPr>
        <w:t xml:space="preserve"> , </w:t>
      </w:r>
      <w:r w:rsidR="00A105D0" w:rsidRPr="00A105D0">
        <w:t>MYRRHA, ELIXIR,</w:t>
      </w:r>
      <w:r w:rsidR="00CF4A47" w:rsidRPr="00F104BD">
        <w:rPr>
          <w:b/>
        </w:rPr>
        <w:t xml:space="preserve"> </w:t>
      </w:r>
      <w:r w:rsidR="00CF4A47" w:rsidRPr="00F104BD">
        <w:t xml:space="preserve">EPOS-ERIC, LIFEWATCH-ERIC a pod. </w:t>
      </w:r>
      <w:r w:rsidR="005F3FEB" w:rsidRPr="00F104BD">
        <w:t xml:space="preserve"> </w:t>
      </w:r>
      <w:r w:rsidR="00CF4A47" w:rsidRPr="00F104BD">
        <w:t>SK Roadmap bude tiež identifikovať cie</w:t>
      </w:r>
      <w:r w:rsidR="00CF4A47">
        <w:t>le pre stanovenie priorít v budovaní a udržovaní slovenskej infraštruktúry výskumu a vývoja. Účasť v menovaných a nových ESFRI konzorciách bude posudzovan</w:t>
      </w:r>
      <w:r w:rsidR="005F3FEB">
        <w:t>á</w:t>
      </w:r>
      <w:r w:rsidR="00CF4A47">
        <w:t xml:space="preserve"> s ohľadom na súlad s prioritnými oblasťami </w:t>
      </w:r>
      <w:r w:rsidR="005F3FEB">
        <w:t xml:space="preserve"> </w:t>
      </w:r>
      <w:r w:rsidR="00CF4A47">
        <w:t>RIS3</w:t>
      </w:r>
      <w:r w:rsidR="008A6F2F">
        <w:t xml:space="preserve"> a s ohľadom na ekonomickú efektívnosť týchto infraštruktúrnych investícií</w:t>
      </w:r>
      <w:r w:rsidR="00CF4A47">
        <w:t xml:space="preserve">. </w:t>
      </w:r>
    </w:p>
    <w:p w:rsidR="009B4A3B" w:rsidRPr="00D019F9" w:rsidRDefault="009B4A3B" w:rsidP="00591008">
      <w:pPr>
        <w:pStyle w:val="Nadpis3"/>
        <w:numPr>
          <w:ilvl w:val="2"/>
          <w:numId w:val="35"/>
        </w:numPr>
        <w:spacing w:after="240"/>
      </w:pPr>
      <w:bookmarkStart w:id="127" w:name="_TOC_250010"/>
      <w:bookmarkStart w:id="128" w:name="_Toc360576017"/>
      <w:bookmarkStart w:id="129" w:name="_Toc365831803"/>
      <w:bookmarkStart w:id="130" w:name="_Toc365831995"/>
      <w:bookmarkStart w:id="131" w:name="_Toc366744165"/>
      <w:r w:rsidRPr="00D019F9">
        <w:t>Infraštruktúra a výskumné kapacity</w:t>
      </w:r>
      <w:bookmarkEnd w:id="127"/>
      <w:bookmarkEnd w:id="128"/>
      <w:bookmarkEnd w:id="129"/>
      <w:bookmarkEnd w:id="130"/>
      <w:bookmarkEnd w:id="131"/>
    </w:p>
    <w:p w:rsidR="009B4A3B" w:rsidRPr="000E1A05" w:rsidRDefault="009B4A3B" w:rsidP="00837B0A">
      <w:pPr>
        <w:ind w:firstLine="340"/>
      </w:pPr>
      <w:r w:rsidRPr="000E1A05">
        <w:t>Infraštruktúra pre výskum, vývoj a inovácie je nevyhnutnou podmienkou pre zvyšovanie technologickej a inovačnej úrovne ekonomiky pri súčasnom efektívnom transfere technológií. Kvalita aj kvantita výskumno-vývojovej a inovačnej infraštruktúry bola dlhodobo zanedbávaná a došlo k morálnemu aj fyzickému zastaraniu</w:t>
      </w:r>
      <w:r>
        <w:t>. Obnova vedeckej a výskumnej infraštruktúry tvorila veľkú časť implementácie štrukturálnych fondov na Slovensku, čím sa čiastočne deficit znížil</w:t>
      </w:r>
      <w:r w:rsidRPr="000E1A05">
        <w:t>.</w:t>
      </w:r>
    </w:p>
    <w:p w:rsidR="009B4A3B" w:rsidRDefault="009B4A3B" w:rsidP="00837B0A">
      <w:pPr>
        <w:ind w:firstLine="340"/>
      </w:pPr>
      <w:r>
        <w:t>P</w:t>
      </w:r>
      <w:r w:rsidRPr="000E1A05">
        <w:t>red rokom 2007 neexistovali v SR prakticky žiadne veľké výskumné centrá a ani žiadn</w:t>
      </w:r>
      <w:r w:rsidR="00E01F82">
        <w:t>y</w:t>
      </w:r>
      <w:r w:rsidRPr="000E1A05">
        <w:t xml:space="preserve"> reálny systém financovania, resp. aspoň </w:t>
      </w:r>
      <w:r w:rsidR="00E01F82">
        <w:t xml:space="preserve">systém </w:t>
      </w:r>
      <w:r w:rsidRPr="000E1A05">
        <w:t>vedúci k vytváraniu takýchto centier porovnateľný s niektorými ostatnými štátmi EÚ. Istou výnimkou spred roka 2007 boli štátne programy výskumu a</w:t>
      </w:r>
      <w:r w:rsidR="00E01F82">
        <w:t> </w:t>
      </w:r>
      <w:r w:rsidRPr="000E1A05">
        <w:t>vývoja</w:t>
      </w:r>
      <w:r w:rsidR="00E01F82">
        <w:t>,</w:t>
      </w:r>
      <w:r w:rsidRPr="000E1A05">
        <w:t xml:space="preserve"> v rámci ktorých sa realizoval jeden </w:t>
      </w:r>
      <w:r w:rsidR="00AC53A6">
        <w:t xml:space="preserve">projekt </w:t>
      </w:r>
      <w:r w:rsidRPr="000E1A05">
        <w:t xml:space="preserve">s investičným charakterom, ktorý podporil tri centrá: Biotechnologické centrum SR (BITCET, 4,9 mil. </w:t>
      </w:r>
      <w:r w:rsidR="00134F8E">
        <w:t>EUR</w:t>
      </w:r>
      <w:r w:rsidRPr="000E1A05">
        <w:t xml:space="preserve">), </w:t>
      </w:r>
      <w:r w:rsidRPr="00F104BD">
        <w:t>Laboratóri</w:t>
      </w:r>
      <w:r w:rsidR="00A105D0" w:rsidRPr="00A105D0">
        <w:t>um</w:t>
      </w:r>
      <w:r w:rsidRPr="00F104BD">
        <w:t xml:space="preserve"> nukleárnej magnetickej rezonancie (NMR, 6,5 mil. </w:t>
      </w:r>
      <w:r w:rsidR="00134F8E" w:rsidRPr="00F104BD">
        <w:t>EUR</w:t>
      </w:r>
      <w:r w:rsidRPr="00F104BD">
        <w:t>) a Laboratóri</w:t>
      </w:r>
      <w:r w:rsidR="00F104BD" w:rsidRPr="00F104BD">
        <w:t>um</w:t>
      </w:r>
      <w:r w:rsidRPr="000E1A05">
        <w:t xml:space="preserve"> elektromagnetickej kompatibility (EMC, 1,5 mil. </w:t>
      </w:r>
      <w:r w:rsidR="00134F8E">
        <w:t>EUR</w:t>
      </w:r>
      <w:r w:rsidRPr="000E1A05">
        <w:t xml:space="preserve">). </w:t>
      </w:r>
      <w:r w:rsidR="00E01F82">
        <w:t xml:space="preserve">Uvedené </w:t>
      </w:r>
      <w:r w:rsidRPr="000E1A05">
        <w:t>centrá vykonávajú svoju činnosť aj naďalej.</w:t>
      </w:r>
    </w:p>
    <w:p w:rsidR="009B4A3B" w:rsidRDefault="009B4A3B" w:rsidP="005F0F1E">
      <w:pPr>
        <w:ind w:firstLine="340"/>
      </w:pPr>
      <w:r w:rsidRPr="000E1A05">
        <w:t xml:space="preserve">K významnej zmene došlo až </w:t>
      </w:r>
      <w:r w:rsidR="00591008">
        <w:t xml:space="preserve">v programovom období rokov 2007 – </w:t>
      </w:r>
      <w:r w:rsidRPr="000E1A05">
        <w:t>2013</w:t>
      </w:r>
      <w:r w:rsidR="00E01F82">
        <w:t>,</w:t>
      </w:r>
      <w:r w:rsidRPr="000E1A05">
        <w:t xml:space="preserve"> kedy boli na Slovensku budované výskumno-vývojové kapacity predovšetkým </w:t>
      </w:r>
      <w:r w:rsidR="00E01F82">
        <w:t xml:space="preserve"> </w:t>
      </w:r>
      <w:r w:rsidRPr="000E1A05">
        <w:t>investíci</w:t>
      </w:r>
      <w:r w:rsidR="00E01F82">
        <w:t>ami</w:t>
      </w:r>
      <w:r w:rsidRPr="000E1A05">
        <w:t xml:space="preserve"> zo štrukturálnych fondov EÚ </w:t>
      </w:r>
      <w:r w:rsidR="00591008">
        <w:t>–</w:t>
      </w:r>
      <w:r w:rsidRPr="000E1A05">
        <w:t xml:space="preserve"> OP</w:t>
      </w:r>
      <w:r w:rsidR="00591008">
        <w:t xml:space="preserve"> </w:t>
      </w:r>
      <w:r w:rsidR="00E01F82">
        <w:t>VaV</w:t>
      </w:r>
      <w:r w:rsidRPr="000E1A05">
        <w:t>.</w:t>
      </w:r>
      <w:r>
        <w:t xml:space="preserve"> R</w:t>
      </w:r>
      <w:r w:rsidRPr="000E1A05">
        <w:t>iadiaci</w:t>
      </w:r>
      <w:r w:rsidR="00E01F82">
        <w:t>m</w:t>
      </w:r>
      <w:r w:rsidRPr="000E1A05">
        <w:t xml:space="preserve"> orgán</w:t>
      </w:r>
      <w:r w:rsidR="00E01F82">
        <w:t>om</w:t>
      </w:r>
      <w:r w:rsidRPr="000E1A05">
        <w:t xml:space="preserve"> </w:t>
      </w:r>
      <w:r w:rsidR="00E01F82">
        <w:t xml:space="preserve">je MŠVVŠ </w:t>
      </w:r>
      <w:r w:rsidRPr="000E1A05">
        <w:t>SR).</w:t>
      </w:r>
      <w:r w:rsidR="00E01F82">
        <w:t xml:space="preserve"> P</w:t>
      </w:r>
      <w:r w:rsidRPr="000E1A05">
        <w:t>rogram podpor</w:t>
      </w:r>
      <w:r w:rsidR="00E01F82">
        <w:t>uje</w:t>
      </w:r>
      <w:r w:rsidRPr="000E1A05">
        <w:t xml:space="preserve"> najmä riešenie projektov z oblasti IKT, biomedicíny a biotechnológií, ochrany životného prostredia, poľnohospodárstva</w:t>
      </w:r>
      <w:r w:rsidR="00134F8E">
        <w:t xml:space="preserve"> </w:t>
      </w:r>
      <w:r w:rsidRPr="000E1A05">
        <w:t>a výroby potravín.</w:t>
      </w:r>
    </w:p>
    <w:p w:rsidR="00182458" w:rsidRPr="007D2A9A" w:rsidRDefault="00182458" w:rsidP="005F0F1E">
      <w:pPr>
        <w:ind w:firstLine="340"/>
      </w:pPr>
      <w:r>
        <w:t>Znalostná báza v </w:t>
      </w:r>
      <w:r w:rsidR="00E01F82">
        <w:t xml:space="preserve">SR </w:t>
      </w:r>
      <w:r>
        <w:t xml:space="preserve"> vykazuje značnú asymetriu z hľadiska teritoriálneho rozloženia. </w:t>
      </w:r>
      <w:r w:rsidRPr="007D2A9A">
        <w:t xml:space="preserve">Z pohľadu výskumno-vývojového potenciálu je </w:t>
      </w:r>
      <w:r>
        <w:t>v Bratislavskom</w:t>
      </w:r>
      <w:r w:rsidRPr="007D2A9A">
        <w:t xml:space="preserve"> kraj</w:t>
      </w:r>
      <w:r>
        <w:t>i</w:t>
      </w:r>
      <w:r w:rsidR="00E13039">
        <w:t xml:space="preserve"> </w:t>
      </w:r>
      <w:r>
        <w:t xml:space="preserve">lokalizovaných viac ako </w:t>
      </w:r>
      <w:r w:rsidRPr="007D2A9A">
        <w:t>50</w:t>
      </w:r>
      <w:r w:rsidR="00E01F82">
        <w:t xml:space="preserve"> </w:t>
      </w:r>
      <w:r w:rsidRPr="007D2A9A">
        <w:t>% celoslovenských kapacít</w:t>
      </w:r>
      <w:r>
        <w:t xml:space="preserve">. Pracoviská lokalizované </w:t>
      </w:r>
      <w:r w:rsidRPr="007D2A9A">
        <w:t>v Bratislavskom regióne dosahuj</w:t>
      </w:r>
      <w:r>
        <w:t>ú</w:t>
      </w:r>
      <w:r w:rsidRPr="007D2A9A">
        <w:t xml:space="preserve"> viac ako 60</w:t>
      </w:r>
      <w:r w:rsidR="00E01F82">
        <w:t xml:space="preserve"> </w:t>
      </w:r>
      <w:r w:rsidRPr="007D2A9A">
        <w:t xml:space="preserve">% výkonov v oblasti medzinárodnej výskumno-vývojovej angažovanosti Slovenska </w:t>
      </w:r>
      <w:r>
        <w:t xml:space="preserve">meranej napr. úspešnosťou v projektoch 7. </w:t>
      </w:r>
      <w:r w:rsidR="00E01F82">
        <w:t xml:space="preserve">RP </w:t>
      </w:r>
      <w:r>
        <w:t>EÚ a viac</w:t>
      </w:r>
      <w:r w:rsidRPr="007D2A9A">
        <w:t xml:space="preserve"> ako 70</w:t>
      </w:r>
      <w:r w:rsidR="00E01F82">
        <w:t xml:space="preserve"> </w:t>
      </w:r>
      <w:r w:rsidRPr="007D2A9A">
        <w:t xml:space="preserve">% všetkých vedeckých výstupov Slovenska </w:t>
      </w:r>
      <w:r>
        <w:t>publikovaných v renomovaných medzinárodných časopisoch</w:t>
      </w:r>
      <w:r w:rsidRPr="007D2A9A">
        <w:t xml:space="preserve">. </w:t>
      </w:r>
    </w:p>
    <w:p w:rsidR="00182458" w:rsidRPr="007D2A9A" w:rsidRDefault="00182458" w:rsidP="005F0F1E">
      <w:pPr>
        <w:ind w:firstLine="340"/>
      </w:pPr>
      <w:r w:rsidRPr="007D2A9A">
        <w:t xml:space="preserve">Vzdelávacia, vedecká a inovačná aktivita v Bratislavskom kraji </w:t>
      </w:r>
      <w:r w:rsidR="00E01F82">
        <w:t xml:space="preserve">je </w:t>
      </w:r>
      <w:r w:rsidRPr="007D2A9A">
        <w:t>pre</w:t>
      </w:r>
      <w:r>
        <w:t>viazan</w:t>
      </w:r>
      <w:r w:rsidR="00E01F82">
        <w:t>á</w:t>
      </w:r>
      <w:r w:rsidRPr="007D2A9A">
        <w:t xml:space="preserve"> s hospodárskym rozvojom celého Slovenska. Vedecké tímy z výskumných inštitúcií v</w:t>
      </w:r>
      <w:r>
        <w:t> </w:t>
      </w:r>
      <w:r w:rsidRPr="007D2A9A">
        <w:t>Bratislave</w:t>
      </w:r>
      <w:r w:rsidR="00E13039">
        <w:t xml:space="preserve"> </w:t>
      </w:r>
      <w:r w:rsidRPr="007D2A9A">
        <w:t>spolupracujú s</w:t>
      </w:r>
      <w:r>
        <w:t> hospodárskou praxou, ktorej</w:t>
      </w:r>
      <w:r w:rsidRPr="007D2A9A">
        <w:t xml:space="preserve"> </w:t>
      </w:r>
      <w:r>
        <w:t xml:space="preserve">značná časť </w:t>
      </w:r>
      <w:r w:rsidRPr="007D2A9A">
        <w:t xml:space="preserve">sa nachádza aj mimo územia </w:t>
      </w:r>
      <w:r>
        <w:t>regiónu</w:t>
      </w:r>
      <w:r w:rsidR="00E13039">
        <w:t xml:space="preserve"> </w:t>
      </w:r>
      <w:r w:rsidRPr="007D2A9A">
        <w:t>a majú veľký význam pre Slovenské hospodárstvo ako také – či už ide o automobilový priemysel, strojárstvo, energetiku a ďalšie. Bratislavské vzdelávacie inštitúcie vzdelávajú podstatnú časť celoslovenského počtu študentov a vychovávajú kvalitnú pracovnú silu, ktorú vyžaduje aj priemysel na to, aby bol konkurencieschopný.</w:t>
      </w:r>
      <w:r>
        <w:t xml:space="preserve"> Takmer 80 % študentov dvoch najväčších univerzít – Univerzity Komenského v Bratislave a Slovenskej technickej univerzity v Bratislave majú trvalé bydlisko mimo Bratislavského kraja. </w:t>
      </w:r>
    </w:p>
    <w:p w:rsidR="00182458" w:rsidRDefault="00182458" w:rsidP="005F0F1E">
      <w:pPr>
        <w:ind w:firstLine="340"/>
      </w:pPr>
      <w:r w:rsidRPr="007D2A9A">
        <w:t xml:space="preserve">Aj napriek </w:t>
      </w:r>
      <w:r>
        <w:t xml:space="preserve">štatisticky vykazovanému </w:t>
      </w:r>
      <w:r w:rsidRPr="007D2A9A">
        <w:t xml:space="preserve">vysokému HDP na obyvateľa čelí Bratislavský kraj negatívnym dôsledkom dlhoročného podfinancovania </w:t>
      </w:r>
      <w:r>
        <w:t>vzdelávania, výskumu a vývoja</w:t>
      </w:r>
      <w:r w:rsidRPr="007D2A9A">
        <w:t xml:space="preserve">. </w:t>
      </w:r>
      <w:r>
        <w:t xml:space="preserve">Na základe uvedených skutočností </w:t>
      </w:r>
      <w:r>
        <w:lastRenderedPageBreak/>
        <w:t>bola</w:t>
      </w:r>
      <w:r w:rsidR="00E13039">
        <w:t xml:space="preserve"> </w:t>
      </w:r>
      <w:r>
        <w:t xml:space="preserve">EK </w:t>
      </w:r>
      <w:r w:rsidRPr="007D2A9A">
        <w:t>pre roky 2007 – 2013 udel</w:t>
      </w:r>
      <w:r>
        <w:t>ená</w:t>
      </w:r>
      <w:r w:rsidR="00E13039">
        <w:t xml:space="preserve"> </w:t>
      </w:r>
      <w:r w:rsidRPr="007D2A9A">
        <w:t xml:space="preserve">Bratislavskému kraju výnimku </w:t>
      </w:r>
      <w:r>
        <w:t xml:space="preserve">vo výške </w:t>
      </w:r>
      <w:r w:rsidRPr="007D2A9A">
        <w:t>30</w:t>
      </w:r>
      <w:r w:rsidR="00E01F82">
        <w:t xml:space="preserve"> </w:t>
      </w:r>
      <w:r w:rsidRPr="007D2A9A">
        <w:t>% z</w:t>
      </w:r>
      <w:r>
        <w:t> celkovej alokácie</w:t>
      </w:r>
      <w:r w:rsidR="00E01F82">
        <w:t> OP VaV</w:t>
      </w:r>
      <w:r>
        <w:t xml:space="preserve">. Táto výnimka sa netýkala inovácií. </w:t>
      </w:r>
    </w:p>
    <w:p w:rsidR="00182458" w:rsidRPr="007D2A9A" w:rsidRDefault="00182458" w:rsidP="005F0F1E">
      <w:pPr>
        <w:ind w:firstLine="340"/>
      </w:pPr>
      <w:r>
        <w:t>Bratislavský kraj je kľúčovou súčasťou výskumno-inovačného ekosystému Slovenskej republiky</w:t>
      </w:r>
      <w:r w:rsidR="00E01F82">
        <w:t>,</w:t>
      </w:r>
      <w:r>
        <w:t xml:space="preserve"> bez ktorého nie je možné zabezpečovať strategické úlohy hospodárskeho a spoločenského rozvoja. </w:t>
      </w:r>
    </w:p>
    <w:p w:rsidR="005F0F1E" w:rsidRPr="00B450ED" w:rsidRDefault="005F0F1E" w:rsidP="00163B88">
      <w:pPr>
        <w:ind w:firstLine="340"/>
      </w:pPr>
      <w:r>
        <w:t xml:space="preserve">Na Slovensku bol v rokoch 2007 – </w:t>
      </w:r>
      <w:r w:rsidR="009B4A3B" w:rsidRPr="00B450ED">
        <w:t xml:space="preserve">2013 OP </w:t>
      </w:r>
      <w:r w:rsidR="00E01F82">
        <w:t xml:space="preserve">VaV </w:t>
      </w:r>
      <w:r w:rsidR="009B4A3B" w:rsidRPr="00B450ED">
        <w:t xml:space="preserve">dominantným zdrojom súťažného financovania. Tento </w:t>
      </w:r>
      <w:r w:rsidR="00E01F82">
        <w:t xml:space="preserve"> OP </w:t>
      </w:r>
      <w:r w:rsidR="009B4A3B" w:rsidRPr="00B450ED">
        <w:t xml:space="preserve"> podporoval realizáciu výskumu a vývoja v rámci novovzniknutých výskumno-vývojových centier</w:t>
      </w:r>
      <w:r w:rsidR="00E01F82">
        <w:t>.</w:t>
      </w:r>
      <w:r w:rsidR="009B4A3B" w:rsidRPr="00B450ED">
        <w:t xml:space="preserve"> </w:t>
      </w:r>
    </w:p>
    <w:p w:rsidR="00565F84" w:rsidRPr="00971659" w:rsidRDefault="00565F84" w:rsidP="00565F84">
      <w:pPr>
        <w:spacing w:after="0"/>
        <w:rPr>
          <w:i/>
        </w:rPr>
      </w:pPr>
      <w:r w:rsidRPr="00971659">
        <w:rPr>
          <w:b/>
          <w:i/>
        </w:rPr>
        <w:t xml:space="preserve">Graf </w:t>
      </w:r>
      <w:r w:rsidR="00D00787">
        <w:rPr>
          <w:b/>
          <w:i/>
        </w:rPr>
        <w:t>6</w:t>
      </w:r>
      <w:r w:rsidRPr="00971659">
        <w:rPr>
          <w:i/>
        </w:rPr>
        <w:t xml:space="preserve"> Objem zazmluvnených finančných prostriedkov podľa zdrojov financovania a podľa roku vyhlásenia výziev</w:t>
      </w:r>
      <w:r w:rsidRPr="00971659">
        <w:rPr>
          <w:rStyle w:val="Odkaznapoznmkupodiarou"/>
          <w:i/>
        </w:rPr>
        <w:footnoteReference w:id="5"/>
      </w:r>
    </w:p>
    <w:p w:rsidR="00565F84" w:rsidRDefault="00CD6B77" w:rsidP="00565F84">
      <w:pPr>
        <w:spacing w:after="0"/>
        <w:rPr>
          <w:b/>
          <w:color w:val="4F6228"/>
        </w:rPr>
      </w:pPr>
      <w:r>
        <w:rPr>
          <w:noProof/>
          <w:lang w:eastAsia="sk-SK"/>
        </w:rPr>
        <w:drawing>
          <wp:inline distT="0" distB="0" distL="0" distR="0" wp14:anchorId="08143689" wp14:editId="0A7CC8FD">
            <wp:extent cx="5772150" cy="2324100"/>
            <wp:effectExtent l="0" t="0" r="0" b="0"/>
            <wp:docPr id="6"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2150" cy="2324100"/>
                    </a:xfrm>
                    <a:prstGeom prst="rect">
                      <a:avLst/>
                    </a:prstGeom>
                    <a:noFill/>
                    <a:ln>
                      <a:noFill/>
                    </a:ln>
                  </pic:spPr>
                </pic:pic>
              </a:graphicData>
            </a:graphic>
          </wp:inline>
        </w:drawing>
      </w:r>
    </w:p>
    <w:p w:rsidR="00565F84" w:rsidRDefault="00654B73" w:rsidP="00D00787">
      <w:pPr>
        <w:spacing w:line="240" w:lineRule="auto"/>
        <w:rPr>
          <w:i/>
        </w:rPr>
      </w:pPr>
      <w:r w:rsidRPr="00971659">
        <w:rPr>
          <w:b/>
          <w:i/>
        </w:rPr>
        <w:t>Zdroj</w:t>
      </w:r>
      <w:r w:rsidR="00F7206E">
        <w:rPr>
          <w:b/>
          <w:i/>
        </w:rPr>
        <w:t>:</w:t>
      </w:r>
      <w:r w:rsidR="00565F84">
        <w:rPr>
          <w:i/>
        </w:rPr>
        <w:t xml:space="preserve"> Výročné správy APVV; Štátny rozpočet na rok 2012; Výročné správy</w:t>
      </w:r>
      <w:r w:rsidR="00D00787">
        <w:rPr>
          <w:i/>
        </w:rPr>
        <w:t xml:space="preserve"> o vykonávaní OP </w:t>
      </w:r>
      <w:r w:rsidR="00E01F82">
        <w:rPr>
          <w:i/>
        </w:rPr>
        <w:t xml:space="preserve">VaV </w:t>
      </w:r>
      <w:r w:rsidR="00565F84">
        <w:rPr>
          <w:i/>
        </w:rPr>
        <w:t>2007-2011; Výzvy v rámci OP</w:t>
      </w:r>
      <w:r w:rsidR="00E01F82">
        <w:rPr>
          <w:i/>
        </w:rPr>
        <w:t>VaV</w:t>
      </w:r>
      <w:r w:rsidR="00565F84">
        <w:rPr>
          <w:i/>
        </w:rPr>
        <w:t>; E-corda 18/10/2012</w:t>
      </w:r>
    </w:p>
    <w:p w:rsidR="009B4A3B" w:rsidRPr="00B450ED" w:rsidRDefault="009B4A3B" w:rsidP="0051441B">
      <w:pPr>
        <w:ind w:firstLine="340"/>
      </w:pPr>
      <w:r w:rsidRPr="00B450ED">
        <w:t>Z tohto nástroja bolo celkovo podporených 419 projektov, v ktorých participovalo 782 účastníkov</w:t>
      </w:r>
      <w:r w:rsidRPr="00E01F82">
        <w:rPr>
          <w:vertAlign w:val="superscript"/>
        </w:rPr>
        <w:footnoteReference w:id="6"/>
      </w:r>
      <w:r w:rsidRPr="00B450ED">
        <w:t xml:space="preserve">. Celkovo boli projekty podporené NFP 859, 37 mil. </w:t>
      </w:r>
      <w:r w:rsidR="00134F8E">
        <w:t>EUR</w:t>
      </w:r>
      <w:r w:rsidRPr="00B450ED">
        <w:t xml:space="preserve">, vrátane spolufinancovania išlo až o 931,56 mil. </w:t>
      </w:r>
      <w:r w:rsidR="00134F8E">
        <w:t>EUR</w:t>
      </w:r>
      <w:r w:rsidRPr="00B450ED">
        <w:t xml:space="preserve">. </w:t>
      </w:r>
      <w:r w:rsidR="00E01F82">
        <w:t>D</w:t>
      </w:r>
      <w:r w:rsidRPr="00B450ED">
        <w:t xml:space="preserve">o riešenia projektov </w:t>
      </w:r>
      <w:r w:rsidR="00E01F82">
        <w:t xml:space="preserve">sa </w:t>
      </w:r>
      <w:r w:rsidRPr="00B450ED">
        <w:t>zapojilo 208 inštitúcií</w:t>
      </w:r>
      <w:r w:rsidR="00E01F82">
        <w:t>,</w:t>
      </w:r>
      <w:r w:rsidRPr="00B450ED">
        <w:t xml:space="preserve"> </w:t>
      </w:r>
      <w:r w:rsidR="00E01F82">
        <w:t>z</w:t>
      </w:r>
      <w:r w:rsidRPr="00B450ED">
        <w:t xml:space="preserve"> toho 110 podnikateľských subjektov, 47 ústavov SAV, 25 univerzít a vysokých škôl, 15 rezortných výskumných ústavov a ministerstiev a 3 neziskové organizácie. </w:t>
      </w:r>
    </w:p>
    <w:p w:rsidR="009B4A3B" w:rsidRPr="000E1A05" w:rsidRDefault="009B4A3B" w:rsidP="0051441B">
      <w:pPr>
        <w:ind w:firstLine="340"/>
      </w:pPr>
      <w:r w:rsidRPr="000E1A05">
        <w:t>Očakáva sa, že výsledky podporených projektov budú mať v budúcnosti celospoločensky priaznivý dopad, ktorý sa má prejaviť napr. vytvorením 599 nových pracovných miest, zlepš</w:t>
      </w:r>
      <w:r w:rsidR="00E01F82">
        <w:t>ením</w:t>
      </w:r>
      <w:r w:rsidRPr="000E1A05">
        <w:t xml:space="preserve">  kvalit</w:t>
      </w:r>
      <w:r w:rsidR="00E01F82">
        <w:t>y</w:t>
      </w:r>
      <w:r w:rsidRPr="000E1A05">
        <w:t xml:space="preserve"> vzdelávania 5</w:t>
      </w:r>
      <w:r w:rsidR="00E01F82">
        <w:t xml:space="preserve"> </w:t>
      </w:r>
      <w:r w:rsidRPr="000E1A05">
        <w:t>600 doktorandov, ktorí budú využívať novú infraštruktúru, zlepš</w:t>
      </w:r>
      <w:r w:rsidR="00E01F82">
        <w:t>ením</w:t>
      </w:r>
      <w:r w:rsidRPr="000E1A05">
        <w:t xml:space="preserve">  pracovn</w:t>
      </w:r>
      <w:r w:rsidR="00E01F82">
        <w:t>ých</w:t>
      </w:r>
      <w:r w:rsidRPr="000E1A05">
        <w:t xml:space="preserve"> podmien</w:t>
      </w:r>
      <w:r w:rsidR="00E01F82">
        <w:t>o</w:t>
      </w:r>
      <w:r w:rsidRPr="000E1A05">
        <w:t>k samotných výskumných pracovníkov. Očakáva sa udelenie viac ako 80 patentov a vznik 14 start-up firiem.</w:t>
      </w:r>
    </w:p>
    <w:p w:rsidR="009B4A3B" w:rsidRPr="00B450ED" w:rsidRDefault="009B4A3B" w:rsidP="00B450ED">
      <w:pPr>
        <w:ind w:firstLine="340"/>
      </w:pPr>
      <w:r w:rsidRPr="00B450ED">
        <w:t xml:space="preserve">Ako ukazuje graf, dominancia </w:t>
      </w:r>
      <w:r w:rsidR="00E01F82">
        <w:t xml:space="preserve">OP VaV </w:t>
      </w:r>
      <w:r w:rsidRPr="00B450ED">
        <w:t xml:space="preserve">je naozaj výrazná a ostatné súťažné zdroje predstavujú len minoritný podiel na súťažnom financovaní. Ročné alokácie </w:t>
      </w:r>
      <w:r w:rsidR="00E01F82">
        <w:t xml:space="preserve">OP VaV </w:t>
      </w:r>
      <w:r w:rsidRPr="00B450ED">
        <w:t>prevyšujú aj objem inštitucionálneho financovania vedy na Slovensku.</w:t>
      </w:r>
      <w:r w:rsidR="00134F8E">
        <w:t xml:space="preserve"> </w:t>
      </w:r>
    </w:p>
    <w:p w:rsidR="009B4A3B" w:rsidRPr="000E1A05" w:rsidRDefault="009B4A3B" w:rsidP="00837B0A">
      <w:pPr>
        <w:ind w:firstLine="340"/>
      </w:pPr>
      <w:r w:rsidRPr="000E1A05">
        <w:t xml:space="preserve">Do projektov sa v najväčšej miere zapájajú univerzity s celkový počtom 365 účastí v projektoch, SAV zaznamenala 217 účastí, podnikatelia 141, rezortné ústavy 56 a neziskové organizácie 3. Univerzity sú najúspešnejšie </w:t>
      </w:r>
      <w:r w:rsidR="00201816">
        <w:t xml:space="preserve">s </w:t>
      </w:r>
      <w:r w:rsidRPr="000E1A05">
        <w:t>celkový</w:t>
      </w:r>
      <w:r w:rsidR="00201816">
        <w:t>m</w:t>
      </w:r>
      <w:r w:rsidRPr="000E1A05">
        <w:t xml:space="preserve"> rozpočt</w:t>
      </w:r>
      <w:r w:rsidR="00201816">
        <w:t>om</w:t>
      </w:r>
      <w:r w:rsidRPr="000E1A05">
        <w:t xml:space="preserve"> 574,89 mil. </w:t>
      </w:r>
      <w:r w:rsidR="00134F8E">
        <w:t>EUR</w:t>
      </w:r>
      <w:r w:rsidR="00E01F82">
        <w:t>,</w:t>
      </w:r>
      <w:r w:rsidRPr="000E1A05">
        <w:t xml:space="preserve"> SAV získala </w:t>
      </w:r>
      <w:r w:rsidR="00201816">
        <w:t>projekty</w:t>
      </w:r>
      <w:r w:rsidR="00134F8E">
        <w:t xml:space="preserve"> </w:t>
      </w:r>
      <w:r w:rsidR="00201816">
        <w:t xml:space="preserve">s </w:t>
      </w:r>
      <w:r w:rsidRPr="000E1A05">
        <w:t>celkový</w:t>
      </w:r>
      <w:r w:rsidR="00201816">
        <w:t>m</w:t>
      </w:r>
      <w:r w:rsidRPr="000E1A05">
        <w:t xml:space="preserve"> rozpoč</w:t>
      </w:r>
      <w:r w:rsidR="00201816">
        <w:t>tom</w:t>
      </w:r>
      <w:r w:rsidRPr="000E1A05">
        <w:t xml:space="preserve"> 149,76 mil.</w:t>
      </w:r>
      <w:r w:rsidR="00B34530">
        <w:t xml:space="preserve"> </w:t>
      </w:r>
      <w:r w:rsidR="00134F8E">
        <w:t>EUR</w:t>
      </w:r>
      <w:r w:rsidRPr="000E1A05">
        <w:t>. Podnikatelia získali NFP</w:t>
      </w:r>
      <w:r w:rsidR="00785D00">
        <w:t xml:space="preserve"> na projekty</w:t>
      </w:r>
      <w:r w:rsidR="00134F8E">
        <w:t xml:space="preserve"> </w:t>
      </w:r>
      <w:r w:rsidR="00785D00">
        <w:t>s</w:t>
      </w:r>
      <w:r w:rsidRPr="000E1A05">
        <w:t xml:space="preserve"> celkový</w:t>
      </w:r>
      <w:r w:rsidR="00785D00">
        <w:t>m</w:t>
      </w:r>
      <w:r w:rsidRPr="000E1A05">
        <w:t xml:space="preserve"> rozpoč</w:t>
      </w:r>
      <w:r w:rsidR="00785D00">
        <w:t>tom</w:t>
      </w:r>
      <w:r w:rsidR="00134F8E">
        <w:t xml:space="preserve"> </w:t>
      </w:r>
      <w:r w:rsidRPr="000E1A05">
        <w:t xml:space="preserve">158,73 mil. </w:t>
      </w:r>
      <w:r w:rsidR="00134F8E">
        <w:t>EUR</w:t>
      </w:r>
      <w:r w:rsidRPr="000E1A05">
        <w:t>.</w:t>
      </w:r>
    </w:p>
    <w:p w:rsidR="009B4A3B" w:rsidRPr="000E1A05" w:rsidRDefault="009B4A3B" w:rsidP="00837B0A">
      <w:pPr>
        <w:ind w:firstLine="340"/>
      </w:pPr>
      <w:r w:rsidRPr="000E1A05">
        <w:t xml:space="preserve">Najviac finančných prostriedkov sa vďaka OP </w:t>
      </w:r>
      <w:r w:rsidR="00E01F82">
        <w:t xml:space="preserve">VaV </w:t>
      </w:r>
      <w:r w:rsidRPr="000E1A05">
        <w:t xml:space="preserve">investovalo do riešenia projektov v oblasti IKT (234,82 mil. </w:t>
      </w:r>
      <w:r w:rsidR="00134F8E">
        <w:t>EUR</w:t>
      </w:r>
      <w:r w:rsidRPr="000E1A05">
        <w:t xml:space="preserve">), nasleduje biomedicína a biotechnológie (174,91 mil. </w:t>
      </w:r>
      <w:r w:rsidR="00134F8E">
        <w:t>EUR</w:t>
      </w:r>
      <w:r w:rsidRPr="000E1A05">
        <w:t xml:space="preserve">) a ochrana životného prostredia, </w:t>
      </w:r>
      <w:r w:rsidRPr="000E1A05">
        <w:lastRenderedPageBreak/>
        <w:t xml:space="preserve">poľnohospodárstvo a potraviny (137,8 mil. </w:t>
      </w:r>
      <w:r w:rsidR="00134F8E">
        <w:t>EUR</w:t>
      </w:r>
      <w:r w:rsidRPr="000E1A05">
        <w:t xml:space="preserve">). Naopak najmenej finančných prostriedkov smeruje do oblasti udržateľná energetika a energie (75,29 mil. </w:t>
      </w:r>
      <w:r w:rsidR="00134F8E">
        <w:t>EUR</w:t>
      </w:r>
      <w:r w:rsidRPr="000E1A05">
        <w:t>).</w:t>
      </w:r>
    </w:p>
    <w:p w:rsidR="009B4A3B" w:rsidRPr="000E1A05" w:rsidRDefault="009B4A3B" w:rsidP="00837B0A">
      <w:pPr>
        <w:ind w:firstLine="340"/>
      </w:pPr>
      <w:r w:rsidRPr="000E1A05">
        <w:t>Tematické zameranie projektov tvorby centier excelen</w:t>
      </w:r>
      <w:r w:rsidR="00E01F82">
        <w:t>tnosti</w:t>
      </w:r>
      <w:r w:rsidRPr="000E1A05">
        <w:t xml:space="preserve"> bolo formované samotnou výskumnou komunitou, nebol</w:t>
      </w:r>
      <w:r w:rsidR="00E01F82">
        <w:t>o</w:t>
      </w:r>
      <w:r w:rsidRPr="000E1A05">
        <w:t xml:space="preserve"> indikované vo výzvach na predkladanie projektov. Podporovali sa projekty excelentných vedeckých tímov s potenciálom rastu a rozvoja. Výzvy boli dopytové</w:t>
      </w:r>
      <w:r w:rsidR="00E01F82">
        <w:t>,</w:t>
      </w:r>
      <w:r w:rsidRPr="000E1A05">
        <w:t xml:space="preserve">  hodnotené na základe kvality podaného návrhu. </w:t>
      </w:r>
      <w:r w:rsidR="007B78F8">
        <w:t>N</w:t>
      </w:r>
      <w:r w:rsidRPr="000E1A05">
        <w:t xml:space="preserve">ároky sa v ďalších výzvach postupne zvyšovali. </w:t>
      </w:r>
      <w:r w:rsidR="007B78F8">
        <w:t>D</w:t>
      </w:r>
      <w:r w:rsidRPr="000E1A05">
        <w:t xml:space="preserve">ošlo </w:t>
      </w:r>
      <w:r w:rsidR="007B78F8">
        <w:t xml:space="preserve">tak </w:t>
      </w:r>
      <w:r w:rsidRPr="000E1A05">
        <w:t>k vyselektovaniu niekoľko málo najsilnejších tematických oblastí výskumu reprezentovaný</w:t>
      </w:r>
      <w:r w:rsidR="007B78F8">
        <w:t>ch</w:t>
      </w:r>
      <w:r w:rsidRPr="000E1A05">
        <w:t xml:space="preserve"> niekoľkými silnými konzorciami inštitúcií výskumu a vývoja. Kryštalizáciu silných tematických oblastí a inštitúcií možno považovať za najvýznamnejší prín</w:t>
      </w:r>
      <w:r w:rsidR="00591008">
        <w:t xml:space="preserve">os programovacieho obdobia 2007 – </w:t>
      </w:r>
      <w:r w:rsidRPr="000E1A05">
        <w:t>2013.</w:t>
      </w:r>
    </w:p>
    <w:p w:rsidR="009B4A3B" w:rsidRPr="000E1A05" w:rsidRDefault="009B4A3B" w:rsidP="00E779D5">
      <w:pPr>
        <w:ind w:firstLine="340"/>
      </w:pPr>
      <w:r w:rsidRPr="000E1A05">
        <w:t>Z hľadiska podpory výskumnej infraštruktúry môžeme projekty rozdeliť do 8 typov:</w:t>
      </w:r>
    </w:p>
    <w:p w:rsidR="009B4A3B" w:rsidRPr="00B450ED" w:rsidRDefault="007B78F8" w:rsidP="00791A72">
      <w:pPr>
        <w:pStyle w:val="Odsekzoznamu1"/>
        <w:numPr>
          <w:ilvl w:val="0"/>
          <w:numId w:val="9"/>
        </w:numPr>
        <w:spacing w:after="0"/>
        <w:ind w:left="709" w:hanging="357"/>
      </w:pPr>
      <w:r>
        <w:t>c</w:t>
      </w:r>
      <w:r w:rsidR="009B4A3B" w:rsidRPr="000E1A05">
        <w:t xml:space="preserve">entrá </w:t>
      </w:r>
      <w:r w:rsidR="009B4A3B" w:rsidRPr="00B450ED">
        <w:t>excelentnosti (podpora excelentného základného výskumu)</w:t>
      </w:r>
      <w:r>
        <w:t>,</w:t>
      </w:r>
    </w:p>
    <w:p w:rsidR="009B4A3B" w:rsidRPr="00B450ED" w:rsidRDefault="007B78F8" w:rsidP="00791A72">
      <w:pPr>
        <w:pStyle w:val="Odsekzoznamu1"/>
        <w:numPr>
          <w:ilvl w:val="0"/>
          <w:numId w:val="9"/>
        </w:numPr>
        <w:spacing w:after="0"/>
        <w:ind w:left="709" w:hanging="357"/>
      </w:pPr>
      <w:r>
        <w:t>v</w:t>
      </w:r>
      <w:r w:rsidR="009B4A3B" w:rsidRPr="00B450ED">
        <w:t>ýskumno-vývojové centrá (priemysel - akademická sféra)</w:t>
      </w:r>
      <w:r>
        <w:t>,</w:t>
      </w:r>
    </w:p>
    <w:p w:rsidR="009B4A3B" w:rsidRPr="000E1A05" w:rsidRDefault="007B78F8" w:rsidP="00791A72">
      <w:pPr>
        <w:pStyle w:val="Odsekzoznamu1"/>
        <w:numPr>
          <w:ilvl w:val="0"/>
          <w:numId w:val="9"/>
        </w:numPr>
        <w:spacing w:after="0"/>
        <w:ind w:left="709" w:hanging="357"/>
      </w:pPr>
      <w:r>
        <w:t>k</w:t>
      </w:r>
      <w:r w:rsidR="009B4A3B" w:rsidRPr="00B450ED">
        <w:t xml:space="preserve">ompetenčné centrá (relatívne veľké zoskupenia akademických </w:t>
      </w:r>
      <w:r w:rsidR="009B4A3B" w:rsidRPr="000E1A05">
        <w:t>inštitúcií a priemyslu)</w:t>
      </w:r>
      <w:r>
        <w:t>,</w:t>
      </w:r>
    </w:p>
    <w:p w:rsidR="009B4A3B" w:rsidRPr="000E1A05" w:rsidRDefault="007B78F8" w:rsidP="00791A72">
      <w:pPr>
        <w:pStyle w:val="Odsekzoznamu1"/>
        <w:numPr>
          <w:ilvl w:val="0"/>
          <w:numId w:val="9"/>
        </w:numPr>
        <w:spacing w:after="0"/>
        <w:ind w:left="709" w:hanging="357"/>
      </w:pPr>
      <w:r>
        <w:t>p</w:t>
      </w:r>
      <w:r w:rsidR="009B4A3B" w:rsidRPr="000E1A05">
        <w:t>rojekty aplikovaného výskum a transfer technológií v rámci zriadených výskumných centier</w:t>
      </w:r>
      <w:r>
        <w:t>,</w:t>
      </w:r>
    </w:p>
    <w:p w:rsidR="009B4A3B" w:rsidRPr="000E1A05" w:rsidRDefault="007B78F8" w:rsidP="00791A72">
      <w:pPr>
        <w:pStyle w:val="Odsekzoznamu1"/>
        <w:numPr>
          <w:ilvl w:val="0"/>
          <w:numId w:val="9"/>
        </w:numPr>
        <w:spacing w:after="0"/>
        <w:ind w:left="709" w:hanging="357"/>
      </w:pPr>
      <w:r>
        <w:t>p</w:t>
      </w:r>
      <w:r w:rsidR="009B4A3B" w:rsidRPr="000E1A05">
        <w:t>rojekty obnovy infraštruktúry vysokých škôl</w:t>
      </w:r>
      <w:r>
        <w:t>,</w:t>
      </w:r>
    </w:p>
    <w:p w:rsidR="009B4A3B" w:rsidRPr="000E1A05" w:rsidRDefault="007B78F8" w:rsidP="00791A72">
      <w:pPr>
        <w:pStyle w:val="Odsekzoznamu1"/>
        <w:numPr>
          <w:ilvl w:val="0"/>
          <w:numId w:val="9"/>
        </w:numPr>
        <w:spacing w:after="0"/>
        <w:ind w:left="709" w:hanging="357"/>
      </w:pPr>
      <w:r>
        <w:t>m</w:t>
      </w:r>
      <w:r w:rsidR="009B4A3B" w:rsidRPr="000E1A05">
        <w:t>odernizácia prístrojového vybavenia</w:t>
      </w:r>
      <w:r>
        <w:t>,</w:t>
      </w:r>
    </w:p>
    <w:p w:rsidR="009B4A3B" w:rsidRPr="000E1A05" w:rsidRDefault="007B78F8" w:rsidP="00791A72">
      <w:pPr>
        <w:pStyle w:val="Odsekzoznamu1"/>
        <w:numPr>
          <w:ilvl w:val="0"/>
          <w:numId w:val="9"/>
        </w:numPr>
        <w:spacing w:after="0"/>
        <w:ind w:left="709" w:hanging="357"/>
      </w:pPr>
      <w:r>
        <w:t>n</w:t>
      </w:r>
      <w:r w:rsidR="009B4A3B" w:rsidRPr="000E1A05">
        <w:t>árodné projekty</w:t>
      </w:r>
      <w:r>
        <w:t>,</w:t>
      </w:r>
    </w:p>
    <w:p w:rsidR="009B4A3B" w:rsidRPr="000E1A05" w:rsidRDefault="007B78F8" w:rsidP="00791A72">
      <w:pPr>
        <w:pStyle w:val="Odsekzoznamu1"/>
        <w:numPr>
          <w:ilvl w:val="0"/>
          <w:numId w:val="9"/>
        </w:numPr>
        <w:spacing w:after="0"/>
        <w:ind w:left="709" w:hanging="357"/>
      </w:pPr>
      <w:r>
        <w:t>u</w:t>
      </w:r>
      <w:r w:rsidR="009B4A3B" w:rsidRPr="000E1A05">
        <w:t>niverzitné vedecké parky a výskumné centrá</w:t>
      </w:r>
      <w:r w:rsidR="009B4A3B" w:rsidRPr="000E1A05">
        <w:rPr>
          <w:rStyle w:val="Odkaznapoznmkupodiarou"/>
          <w:rFonts w:cs="Calibri"/>
        </w:rPr>
        <w:footnoteReference w:id="7"/>
      </w:r>
      <w:r w:rsidR="009B4A3B" w:rsidRPr="000E1A05">
        <w:t xml:space="preserve"> - I. etapa.</w:t>
      </w:r>
    </w:p>
    <w:p w:rsidR="00B26529" w:rsidRDefault="009B4A3B">
      <w:pPr>
        <w:spacing w:before="240"/>
        <w:ind w:firstLine="340"/>
      </w:pPr>
      <w:r w:rsidRPr="0031513D">
        <w:t xml:space="preserve">Ani jedna z foriem podpory výskumu a vývoja v rámci rôznych typov výskumných centier neznamenala vznik samostatných právnych subjektov. </w:t>
      </w:r>
      <w:r w:rsidR="0095722F">
        <w:t>I</w:t>
      </w:r>
      <w:r w:rsidRPr="0031513D">
        <w:t>šlo o vznik partnerstiev na základe</w:t>
      </w:r>
      <w:r w:rsidR="00134F8E">
        <w:t xml:space="preserve"> </w:t>
      </w:r>
      <w:r w:rsidRPr="0031513D">
        <w:t>zmlúv medzi zúčastnenými organizáciami.</w:t>
      </w:r>
    </w:p>
    <w:p w:rsidR="009B4A3B" w:rsidRPr="000E1A05" w:rsidRDefault="009B4A3B" w:rsidP="00591008">
      <w:pPr>
        <w:ind w:firstLine="340"/>
      </w:pPr>
      <w:r>
        <w:t>F</w:t>
      </w:r>
      <w:r w:rsidRPr="000E1A05">
        <w:t xml:space="preserve">inancovaných </w:t>
      </w:r>
      <w:r>
        <w:t xml:space="preserve">bolo </w:t>
      </w:r>
      <w:r w:rsidRPr="000E1A05">
        <w:t>celkovo 67 centier excelentnosti</w:t>
      </w:r>
      <w:r w:rsidR="007B78F8">
        <w:t xml:space="preserve"> (ďalej aj „CE“)</w:t>
      </w:r>
      <w:r w:rsidRPr="000E1A05">
        <w:t xml:space="preserve">. </w:t>
      </w:r>
      <w:r w:rsidR="007B78F8">
        <w:t xml:space="preserve"> </w:t>
      </w:r>
      <w:r w:rsidRPr="000E1A05">
        <w:t xml:space="preserve">Išlo o </w:t>
      </w:r>
      <w:r>
        <w:t>projekty</w:t>
      </w:r>
      <w:r w:rsidRPr="000E1A05">
        <w:t xml:space="preserve"> v rozsahu 2-3 mil. </w:t>
      </w:r>
      <w:r w:rsidR="00134F8E">
        <w:t>EUR</w:t>
      </w:r>
      <w:r w:rsidRPr="000E1A05">
        <w:t xml:space="preserve"> zamerané predovšetkým na materiálový výskum, nanotechnológie, ochranu životného prostredia a biomedicínu a biotechnológie. </w:t>
      </w:r>
      <w:r>
        <w:t>T</w:t>
      </w:r>
      <w:r w:rsidRPr="000E1A05">
        <w:t xml:space="preserve">ieto </w:t>
      </w:r>
      <w:r>
        <w:t xml:space="preserve">projekty </w:t>
      </w:r>
      <w:r w:rsidRPr="000E1A05">
        <w:t>predstav</w:t>
      </w:r>
      <w:r>
        <w:t>ovali</w:t>
      </w:r>
      <w:r w:rsidRPr="000E1A05">
        <w:t xml:space="preserve"> prvý krok k významnejšiemu financo</w:t>
      </w:r>
      <w:r w:rsidR="00591008">
        <w:t>vaniu výskumnej infraštruktúry.</w:t>
      </w:r>
      <w:r w:rsidR="007B78F8">
        <w:t xml:space="preserve"> </w:t>
      </w:r>
      <w:r w:rsidRPr="000E1A05">
        <w:t>Zároveň sa v nich začal</w:t>
      </w:r>
      <w:r w:rsidR="007B78F8">
        <w:t>a</w:t>
      </w:r>
      <w:r w:rsidRPr="000E1A05">
        <w:t xml:space="preserve"> vytvárať spoluprác</w:t>
      </w:r>
      <w:r w:rsidR="007B78F8">
        <w:t>a</w:t>
      </w:r>
      <w:r w:rsidRPr="000E1A05">
        <w:t xml:space="preserve"> medzi jednotlivými partnermi i v rámci organizáci</w:t>
      </w:r>
      <w:r w:rsidR="007B78F8">
        <w:t>í</w:t>
      </w:r>
      <w:r w:rsidRPr="000E1A05">
        <w:t xml:space="preserve"> výskumu a vývoja. Významným limitom využiteľnosti CE je neoprávnenosť aktivít s podnikateľskými subjektmi.</w:t>
      </w:r>
    </w:p>
    <w:p w:rsidR="009B4A3B" w:rsidRPr="000E1A05" w:rsidRDefault="009B4A3B" w:rsidP="006260C3">
      <w:pPr>
        <w:ind w:firstLine="340"/>
      </w:pPr>
      <w:r w:rsidRPr="000E1A05">
        <w:t xml:space="preserve">Výskumno-vývojové centrá (ďalej </w:t>
      </w:r>
      <w:r w:rsidR="007B78F8">
        <w:t>aj „</w:t>
      </w:r>
      <w:r w:rsidRPr="000E1A05">
        <w:t>VVC</w:t>
      </w:r>
      <w:r w:rsidR="007B78F8">
        <w:t>“</w:t>
      </w:r>
      <w:r w:rsidRPr="000E1A05">
        <w:t>) predstavujú prvé väčšie projekty zamerané na spoluprácu medzi akademickými pracoviskami a podnikmi, pričom podniky</w:t>
      </w:r>
      <w:r w:rsidR="00134F8E">
        <w:t xml:space="preserve"> </w:t>
      </w:r>
      <w:r w:rsidRPr="000E1A05">
        <w:t>spoluurčovali tému výskumu pre projekt. Pozitívom týchto projektov je najmä vytvorenie užšej spolupráce medzi inštitúciami z rôznych sektorov. Avšak určité problémy spôsobujú často rigidné</w:t>
      </w:r>
      <w:r w:rsidR="002B22FF">
        <w:t xml:space="preserve"> </w:t>
      </w:r>
      <w:r w:rsidRPr="000E1A05">
        <w:t>implementačné pravidlá pri využívaní prístrojov medzi jednotlivými partnermi. VVC boli financované predovšetkým v oblasti materiálového výskum a nanotechnológií, udržateľnej energie a energetiky a biomedicíny a biotechnológií. Najviac takýchto projektov vzniklo v Bratislavskom a Trnavskom kraji.</w:t>
      </w:r>
    </w:p>
    <w:p w:rsidR="009B4A3B" w:rsidRPr="000E1A05" w:rsidRDefault="009B4A3B" w:rsidP="006260C3">
      <w:pPr>
        <w:ind w:firstLine="340"/>
      </w:pPr>
      <w:r w:rsidRPr="000E1A05">
        <w:t xml:space="preserve">Kompetenčné centrá (ďalej </w:t>
      </w:r>
      <w:r w:rsidR="007B78F8">
        <w:t>aj „</w:t>
      </w:r>
      <w:r w:rsidRPr="000E1A05">
        <w:t>KC</w:t>
      </w:r>
      <w:r w:rsidR="007B78F8">
        <w:t>“</w:t>
      </w:r>
      <w:r w:rsidRPr="000E1A05">
        <w:t>) sú prvým významnejším krokom k budovaniu väčších projektov integrujúcich viacero partnerov z rôznych sektorov. Zoskupujú spolupracujúce verejné výskumné inštitúcie a podnikateľské subjekty. Na Slovensku takto vzniklo osem kompetenčných centier v štyroch krajoch (</w:t>
      </w:r>
      <w:r w:rsidR="007B78F8">
        <w:t>tri</w:t>
      </w:r>
      <w:r w:rsidRPr="000E1A05">
        <w:t xml:space="preserve"> v BSK, </w:t>
      </w:r>
      <w:r w:rsidR="007B78F8">
        <w:t>po dve</w:t>
      </w:r>
      <w:r w:rsidRPr="000E1A05">
        <w:t xml:space="preserve"> v KSK a ŽSK a jedno v BBSK) s projektovými partnermi zo všetkých ostatných VÚC. Hodnotenie predložených projektov tvorby </w:t>
      </w:r>
      <w:r w:rsidR="007B78F8">
        <w:t xml:space="preserve">KC </w:t>
      </w:r>
      <w:r w:rsidRPr="000E1A05">
        <w:t>bolo na základe vedeckej excelencie a záujmu partnerov z podnikateľskej sféry, ako aj posudzovan</w:t>
      </w:r>
      <w:r w:rsidR="007B78F8">
        <w:t>ia</w:t>
      </w:r>
      <w:r w:rsidRPr="000E1A05">
        <w:t xml:space="preserve"> možných ekonomických prínosov. Priemerná podpora bola na úrovni cca 8 mil</w:t>
      </w:r>
      <w:r w:rsidR="007B78F8">
        <w:t>.</w:t>
      </w:r>
      <w:r w:rsidRPr="000E1A05">
        <w:t xml:space="preserve"> EUR</w:t>
      </w:r>
      <w:r>
        <w:t xml:space="preserve"> na projekt</w:t>
      </w:r>
      <w:r w:rsidRPr="000E1A05">
        <w:t xml:space="preserve">. Celkovo je do riešenia týchto projektov zapojených 74 organizácií zo všetkých sektorov. </w:t>
      </w:r>
      <w:r w:rsidR="007B78F8">
        <w:t>P</w:t>
      </w:r>
      <w:r w:rsidRPr="000E1A05">
        <w:t>odp</w:t>
      </w:r>
      <w:r>
        <w:t>or</w:t>
      </w:r>
      <w:r w:rsidRPr="000E1A05">
        <w:t xml:space="preserve">ené </w:t>
      </w:r>
      <w:r w:rsidR="007B78F8">
        <w:t xml:space="preserve">boli </w:t>
      </w:r>
      <w:r w:rsidRPr="000E1A05">
        <w:t>nasledovné centrá:</w:t>
      </w:r>
    </w:p>
    <w:p w:rsidR="009B4A3B" w:rsidRPr="000E1A05" w:rsidRDefault="009B4A3B" w:rsidP="00791A72">
      <w:pPr>
        <w:pStyle w:val="Odsekzoznamu1"/>
        <w:numPr>
          <w:ilvl w:val="0"/>
          <w:numId w:val="14"/>
        </w:numPr>
        <w:spacing w:after="0"/>
        <w:ind w:left="714" w:hanging="357"/>
      </w:pPr>
      <w:r w:rsidRPr="000E1A05">
        <w:lastRenderedPageBreak/>
        <w:t>Kompetenčné centrum pre výskum a vývoj v oblasti molekulárnej medicíny</w:t>
      </w:r>
      <w:r w:rsidR="007B78F8">
        <w:t>,</w:t>
      </w:r>
    </w:p>
    <w:p w:rsidR="009B4A3B" w:rsidRPr="000E1A05" w:rsidRDefault="009B4A3B" w:rsidP="00791A72">
      <w:pPr>
        <w:pStyle w:val="Odsekzoznamu1"/>
        <w:numPr>
          <w:ilvl w:val="0"/>
          <w:numId w:val="14"/>
        </w:numPr>
        <w:spacing w:after="0"/>
        <w:ind w:left="714" w:hanging="357"/>
      </w:pPr>
      <w:r w:rsidRPr="000E1A05">
        <w:t>Kompetenčné centrum pre</w:t>
      </w:r>
      <w:r w:rsidR="00134F8E">
        <w:t xml:space="preserve"> </w:t>
      </w:r>
      <w:r w:rsidRPr="000E1A05">
        <w:t>nové materiály, pokročilé technológie a</w:t>
      </w:r>
      <w:r w:rsidR="007B78F8">
        <w:t> </w:t>
      </w:r>
      <w:r w:rsidRPr="000E1A05">
        <w:t>energetiku</w:t>
      </w:r>
      <w:r w:rsidR="007B78F8">
        <w:t>,</w:t>
      </w:r>
    </w:p>
    <w:p w:rsidR="009B4A3B" w:rsidRPr="000E1A05" w:rsidRDefault="009B4A3B" w:rsidP="00791A72">
      <w:pPr>
        <w:pStyle w:val="Odsekzoznamu1"/>
        <w:numPr>
          <w:ilvl w:val="0"/>
          <w:numId w:val="14"/>
        </w:numPr>
        <w:spacing w:after="0"/>
        <w:ind w:left="714" w:hanging="357"/>
      </w:pPr>
      <w:r w:rsidRPr="000E1A05">
        <w:t>Kompetenčné centrum inteligentných technológií pre elektronizáciu a informatizáciu systémov a</w:t>
      </w:r>
      <w:r w:rsidR="007B78F8">
        <w:t> </w:t>
      </w:r>
      <w:r w:rsidRPr="000E1A05">
        <w:t>služieb</w:t>
      </w:r>
      <w:r w:rsidR="007B78F8">
        <w:t>,</w:t>
      </w:r>
    </w:p>
    <w:p w:rsidR="009B4A3B" w:rsidRPr="000E1A05" w:rsidRDefault="009B4A3B" w:rsidP="00791A72">
      <w:pPr>
        <w:pStyle w:val="Odsekzoznamu1"/>
        <w:numPr>
          <w:ilvl w:val="0"/>
          <w:numId w:val="14"/>
        </w:numPr>
        <w:spacing w:after="0"/>
        <w:ind w:left="714" w:hanging="357"/>
      </w:pPr>
      <w:r w:rsidRPr="000E1A05">
        <w:t>Kompetenčné centrum pre priemyselný výskum a vývoj v oblasti ľahkých kovov a</w:t>
      </w:r>
      <w:r w:rsidR="007B78F8">
        <w:t> </w:t>
      </w:r>
      <w:r w:rsidRPr="000E1A05">
        <w:t>kompozitov</w:t>
      </w:r>
      <w:r w:rsidR="007B78F8">
        <w:t>,</w:t>
      </w:r>
    </w:p>
    <w:p w:rsidR="009B4A3B" w:rsidRPr="000E1A05" w:rsidRDefault="009B4A3B" w:rsidP="00791A72">
      <w:pPr>
        <w:pStyle w:val="Odsekzoznamu1"/>
        <w:numPr>
          <w:ilvl w:val="0"/>
          <w:numId w:val="14"/>
        </w:numPr>
        <w:spacing w:after="0"/>
        <w:ind w:left="714" w:hanging="357"/>
      </w:pPr>
      <w:r w:rsidRPr="000E1A05">
        <w:t>Brokerské centrum leteckej dopravy pre transfer technológií a znalostí do dopravy a dopravnej infraštruktúry</w:t>
      </w:r>
      <w:r w:rsidR="007B78F8">
        <w:t>,</w:t>
      </w:r>
    </w:p>
    <w:p w:rsidR="009B4A3B" w:rsidRPr="000E1A05" w:rsidRDefault="009B4A3B" w:rsidP="00791A72">
      <w:pPr>
        <w:pStyle w:val="Odsekzoznamu1"/>
        <w:numPr>
          <w:ilvl w:val="0"/>
          <w:numId w:val="14"/>
        </w:numPr>
        <w:spacing w:after="0"/>
        <w:ind w:left="714" w:hanging="357"/>
      </w:pPr>
      <w:r w:rsidRPr="000E1A05">
        <w:t>Kompetenčné centrum pre výskum a vývoj v oblasti diagnostiky a terapie onkologických ochorení</w:t>
      </w:r>
      <w:r w:rsidR="007B78F8">
        <w:t>,</w:t>
      </w:r>
    </w:p>
    <w:p w:rsidR="009B4A3B" w:rsidRPr="000E1A05" w:rsidRDefault="009B4A3B" w:rsidP="00791A72">
      <w:pPr>
        <w:pStyle w:val="Odsekzoznamu1"/>
        <w:numPr>
          <w:ilvl w:val="0"/>
          <w:numId w:val="14"/>
        </w:numPr>
        <w:spacing w:after="0"/>
        <w:ind w:left="714" w:hanging="357"/>
      </w:pPr>
      <w:r w:rsidRPr="000E1A05">
        <w:t>Kompetenčné centrum pre biomodulátory a výživové doplnky (Probiotech)</w:t>
      </w:r>
      <w:r w:rsidR="007B78F8">
        <w:t>,</w:t>
      </w:r>
    </w:p>
    <w:p w:rsidR="009B4A3B" w:rsidRPr="000E1A05" w:rsidRDefault="009B4A3B" w:rsidP="00791A72">
      <w:pPr>
        <w:pStyle w:val="Odsekzoznamu1"/>
        <w:numPr>
          <w:ilvl w:val="0"/>
          <w:numId w:val="14"/>
        </w:numPr>
        <w:ind w:left="714" w:hanging="357"/>
      </w:pPr>
      <w:r w:rsidRPr="000E1A05">
        <w:t>Kompetenčné centrum znalostných technológií pre inovácie produkčných systémov v priemysle a</w:t>
      </w:r>
      <w:r w:rsidR="007B78F8">
        <w:t> </w:t>
      </w:r>
      <w:r w:rsidRPr="000E1A05">
        <w:t>službách</w:t>
      </w:r>
      <w:r w:rsidR="007B78F8">
        <w:t>.</w:t>
      </w:r>
    </w:p>
    <w:p w:rsidR="009B4A3B" w:rsidRPr="000E1A05" w:rsidRDefault="009B4A3B" w:rsidP="006260C3">
      <w:pPr>
        <w:ind w:firstLine="340"/>
      </w:pPr>
      <w:r w:rsidRPr="000E1A05">
        <w:t>Kompetenčné centrá tak predstavujú zoskupenie partnerov realizujúcich výskumné a vývojové aktivity s cieľom ich komercionalizácie, pričom pre realizáciu úloh bola vybudovaná adekvátna infraštruktúra.</w:t>
      </w:r>
    </w:p>
    <w:p w:rsidR="009B4A3B" w:rsidRPr="000E1A05" w:rsidRDefault="009B4A3B" w:rsidP="006260C3">
      <w:pPr>
        <w:ind w:firstLine="340"/>
      </w:pPr>
      <w:r w:rsidRPr="000E1A05">
        <w:t>VVC a KC predstavujú projekty spolupráce medzi akademickou obcou a priemyselným sektorom. O účasť vo výskumno-vývojových projektoch na strane priemyslu bol pomerne veľký záujem.</w:t>
      </w:r>
    </w:p>
    <w:p w:rsidR="00157257" w:rsidRDefault="009B4A3B" w:rsidP="005F0F1E">
      <w:pPr>
        <w:ind w:firstLine="340"/>
      </w:pPr>
      <w:r w:rsidRPr="000E1A05">
        <w:t xml:space="preserve">V súčasnej dobe sa začínajú implementovať projekty budovania univerzitných vedeckých parkov </w:t>
      </w:r>
      <w:r w:rsidR="007B78F8">
        <w:t xml:space="preserve">(ďalej aj „UVP“) </w:t>
      </w:r>
      <w:r w:rsidRPr="000E1A05">
        <w:t xml:space="preserve">v celkovej hodnote cca 300 mil. </w:t>
      </w:r>
      <w:r w:rsidR="00134F8E">
        <w:t>EUR</w:t>
      </w:r>
      <w:r w:rsidRPr="000E1A05">
        <w:t xml:space="preserve">. Na realizáciu jedného parku bude alokovaných cca 40 mil. EUR. Ide o poslednú fázu OP </w:t>
      </w:r>
      <w:r w:rsidR="00157257">
        <w:t>VaV v programovacom období 2007 –</w:t>
      </w:r>
      <w:r w:rsidRPr="000E1A05">
        <w:t xml:space="preserve"> 2013. K 31.5.2013 bolo schválených celkovo 11 projektov v rámci celého Slovenska. V rámci budovaných vedeckých parkov boli podporené elitné vedecké tímy s potenciálom rozvoja spolupráce s praxou tak</w:t>
      </w:r>
      <w:r w:rsidR="007B78F8">
        <w:t>,</w:t>
      </w:r>
      <w:r w:rsidRPr="000E1A05">
        <w:t xml:space="preserve"> aby výstupy boli v maximálnej miere komercionalizovateľné v praxi.</w:t>
      </w:r>
    </w:p>
    <w:p w:rsidR="00654B73" w:rsidRPr="00971659" w:rsidRDefault="00654B73" w:rsidP="00654B73">
      <w:pPr>
        <w:rPr>
          <w:i/>
        </w:rPr>
      </w:pPr>
      <w:r w:rsidRPr="00971659">
        <w:rPr>
          <w:b/>
          <w:i/>
        </w:rPr>
        <w:t>Tab</w:t>
      </w:r>
      <w:r w:rsidR="002B611D">
        <w:rPr>
          <w:b/>
          <w:i/>
        </w:rPr>
        <w:t>uľka</w:t>
      </w:r>
      <w:r w:rsidRPr="00971659">
        <w:rPr>
          <w:b/>
          <w:i/>
        </w:rPr>
        <w:t xml:space="preserve"> 2</w:t>
      </w:r>
      <w:r w:rsidRPr="00971659">
        <w:rPr>
          <w:i/>
        </w:rPr>
        <w:t xml:space="preserve"> Prehľad schválených projektov </w:t>
      </w:r>
      <w:r w:rsidR="007B78F8">
        <w:rPr>
          <w:i/>
        </w:rPr>
        <w:t xml:space="preserve">UVP </w:t>
      </w:r>
      <w:r w:rsidRPr="00971659">
        <w:rPr>
          <w:i/>
        </w:rPr>
        <w:t>k 31.5.2013</w:t>
      </w:r>
    </w:p>
    <w:tbl>
      <w:tblPr>
        <w:tblW w:w="9110" w:type="dxa"/>
        <w:tblInd w:w="5" w:type="dxa"/>
        <w:tblLayout w:type="fixed"/>
        <w:tblCellMar>
          <w:left w:w="0" w:type="dxa"/>
          <w:right w:w="0" w:type="dxa"/>
        </w:tblCellMar>
        <w:tblLook w:val="01E0" w:firstRow="1" w:lastRow="1" w:firstColumn="1" w:lastColumn="1" w:noHBand="0" w:noVBand="0"/>
      </w:tblPr>
      <w:tblGrid>
        <w:gridCol w:w="427"/>
        <w:gridCol w:w="5281"/>
        <w:gridCol w:w="3402"/>
      </w:tblGrid>
      <w:tr w:rsidR="009B4A3B" w:rsidRPr="004F6F0E">
        <w:trPr>
          <w:trHeight w:hRule="exact" w:val="230"/>
        </w:trPr>
        <w:tc>
          <w:tcPr>
            <w:tcW w:w="427" w:type="dxa"/>
            <w:tcBorders>
              <w:top w:val="single" w:sz="4" w:space="0" w:color="000000"/>
              <w:left w:val="single" w:sz="4" w:space="0" w:color="000000"/>
              <w:bottom w:val="single" w:sz="4" w:space="0" w:color="000000"/>
              <w:right w:val="single" w:sz="4" w:space="0" w:color="000000"/>
            </w:tcBorders>
            <w:shd w:val="clear" w:color="auto" w:fill="FFCC99"/>
          </w:tcPr>
          <w:p w:rsidR="009B4A3B" w:rsidRPr="004F6F0E" w:rsidRDefault="009B4A3B" w:rsidP="004F6F0E">
            <w:pPr>
              <w:widowControl w:val="0"/>
              <w:spacing w:after="0" w:line="240" w:lineRule="auto"/>
              <w:jc w:val="left"/>
              <w:rPr>
                <w:sz w:val="22"/>
                <w:szCs w:val="22"/>
              </w:rPr>
            </w:pPr>
          </w:p>
        </w:tc>
        <w:tc>
          <w:tcPr>
            <w:tcW w:w="5281" w:type="dxa"/>
            <w:tcBorders>
              <w:top w:val="single" w:sz="4" w:space="0" w:color="000000"/>
              <w:left w:val="single" w:sz="4" w:space="0" w:color="000000"/>
              <w:bottom w:val="single" w:sz="4" w:space="0" w:color="000000"/>
              <w:right w:val="single" w:sz="4" w:space="0" w:color="000000"/>
            </w:tcBorders>
            <w:shd w:val="clear" w:color="auto" w:fill="FFCC99"/>
          </w:tcPr>
          <w:p w:rsidR="009B4A3B" w:rsidRPr="004F6F0E" w:rsidRDefault="009B4A3B" w:rsidP="004F6F0E">
            <w:pPr>
              <w:pStyle w:val="TableParagraph"/>
              <w:spacing w:before="2"/>
              <w:ind w:left="102"/>
              <w:rPr>
                <w:rFonts w:ascii="Arial" w:hAnsi="Arial" w:cs="Arial"/>
                <w:sz w:val="18"/>
                <w:szCs w:val="18"/>
                <w:lang w:val="sk-SK"/>
              </w:rPr>
            </w:pPr>
            <w:r w:rsidRPr="004F6F0E">
              <w:rPr>
                <w:rFonts w:ascii="Arial" w:hAnsi="Arial" w:cs="Arial"/>
                <w:w w:val="90"/>
                <w:sz w:val="18"/>
                <w:szCs w:val="18"/>
                <w:lang w:val="sk-SK"/>
              </w:rPr>
              <w:t>N</w:t>
            </w:r>
            <w:r w:rsidRPr="004F6F0E">
              <w:rPr>
                <w:rFonts w:ascii="Arial" w:hAnsi="Arial" w:cs="Arial"/>
                <w:spacing w:val="-2"/>
                <w:w w:val="90"/>
                <w:sz w:val="18"/>
                <w:szCs w:val="18"/>
                <w:lang w:val="sk-SK"/>
              </w:rPr>
              <w:t>áz</w:t>
            </w:r>
            <w:r w:rsidRPr="004F6F0E">
              <w:rPr>
                <w:rFonts w:ascii="Arial" w:hAnsi="Arial" w:cs="Arial"/>
                <w:w w:val="90"/>
                <w:sz w:val="18"/>
                <w:szCs w:val="18"/>
                <w:lang w:val="sk-SK"/>
              </w:rPr>
              <w:t>ov</w:t>
            </w:r>
            <w:r w:rsidR="00B67872">
              <w:rPr>
                <w:rFonts w:ascii="Arial" w:hAnsi="Arial" w:cs="Arial"/>
                <w:w w:val="90"/>
                <w:sz w:val="18"/>
                <w:szCs w:val="18"/>
                <w:lang w:val="sk-SK"/>
              </w:rPr>
              <w:t xml:space="preserve"> </w:t>
            </w:r>
            <w:r w:rsidRPr="004F6F0E">
              <w:rPr>
                <w:rFonts w:ascii="Arial" w:hAnsi="Arial" w:cs="Arial"/>
                <w:w w:val="90"/>
                <w:sz w:val="18"/>
                <w:szCs w:val="18"/>
                <w:lang w:val="sk-SK"/>
              </w:rPr>
              <w:t>projektového</w:t>
            </w:r>
            <w:r w:rsidR="00B67872">
              <w:rPr>
                <w:rFonts w:ascii="Arial" w:hAnsi="Arial" w:cs="Arial"/>
                <w:w w:val="90"/>
                <w:sz w:val="18"/>
                <w:szCs w:val="18"/>
                <w:lang w:val="sk-SK"/>
              </w:rPr>
              <w:t xml:space="preserve"> </w:t>
            </w:r>
            <w:r w:rsidRPr="004F6F0E">
              <w:rPr>
                <w:rFonts w:ascii="Arial" w:hAnsi="Arial" w:cs="Arial"/>
                <w:w w:val="90"/>
                <w:sz w:val="18"/>
                <w:szCs w:val="18"/>
                <w:lang w:val="sk-SK"/>
              </w:rPr>
              <w:t>n</w:t>
            </w:r>
            <w:r w:rsidRPr="004F6F0E">
              <w:rPr>
                <w:rFonts w:ascii="Arial" w:hAnsi="Arial" w:cs="Arial"/>
                <w:spacing w:val="-2"/>
                <w:w w:val="90"/>
                <w:sz w:val="18"/>
                <w:szCs w:val="18"/>
                <w:lang w:val="sk-SK"/>
              </w:rPr>
              <w:t>á</w:t>
            </w:r>
            <w:r w:rsidRPr="004F6F0E">
              <w:rPr>
                <w:rFonts w:ascii="Arial" w:hAnsi="Arial" w:cs="Arial"/>
                <w:w w:val="90"/>
                <w:sz w:val="18"/>
                <w:szCs w:val="18"/>
                <w:lang w:val="sk-SK"/>
              </w:rPr>
              <w:t>vrhu</w:t>
            </w:r>
          </w:p>
        </w:tc>
        <w:tc>
          <w:tcPr>
            <w:tcW w:w="3402" w:type="dxa"/>
            <w:tcBorders>
              <w:top w:val="single" w:sz="4" w:space="0" w:color="000000"/>
              <w:left w:val="single" w:sz="4" w:space="0" w:color="000000"/>
              <w:bottom w:val="single" w:sz="4" w:space="0" w:color="000000"/>
              <w:right w:val="single" w:sz="4" w:space="0" w:color="000000"/>
            </w:tcBorders>
            <w:shd w:val="clear" w:color="auto" w:fill="FFCC99"/>
          </w:tcPr>
          <w:p w:rsidR="009B4A3B" w:rsidRPr="004F6F0E" w:rsidRDefault="009B4A3B" w:rsidP="004F6F0E">
            <w:pPr>
              <w:pStyle w:val="TableParagraph"/>
              <w:spacing w:before="2"/>
              <w:ind w:left="102"/>
              <w:rPr>
                <w:rFonts w:ascii="Arial" w:hAnsi="Arial" w:cs="Arial"/>
                <w:sz w:val="18"/>
                <w:szCs w:val="18"/>
                <w:lang w:val="sk-SK"/>
              </w:rPr>
            </w:pPr>
            <w:r w:rsidRPr="004F6F0E">
              <w:rPr>
                <w:rFonts w:ascii="Arial" w:hAnsi="Arial" w:cs="Arial"/>
                <w:w w:val="90"/>
                <w:sz w:val="18"/>
                <w:szCs w:val="18"/>
                <w:lang w:val="sk-SK"/>
              </w:rPr>
              <w:t>N</w:t>
            </w:r>
            <w:r w:rsidRPr="004F6F0E">
              <w:rPr>
                <w:rFonts w:ascii="Arial" w:hAnsi="Arial" w:cs="Arial"/>
                <w:spacing w:val="-2"/>
                <w:w w:val="90"/>
                <w:sz w:val="18"/>
                <w:szCs w:val="18"/>
                <w:lang w:val="sk-SK"/>
              </w:rPr>
              <w:t>áz</w:t>
            </w:r>
            <w:r w:rsidRPr="004F6F0E">
              <w:rPr>
                <w:rFonts w:ascii="Arial" w:hAnsi="Arial" w:cs="Arial"/>
                <w:w w:val="90"/>
                <w:sz w:val="18"/>
                <w:szCs w:val="18"/>
                <w:lang w:val="sk-SK"/>
              </w:rPr>
              <w:t>ov</w:t>
            </w:r>
            <w:r w:rsidR="00B67872">
              <w:rPr>
                <w:rFonts w:ascii="Arial" w:hAnsi="Arial" w:cs="Arial"/>
                <w:w w:val="90"/>
                <w:sz w:val="18"/>
                <w:szCs w:val="18"/>
                <w:lang w:val="sk-SK"/>
              </w:rPr>
              <w:t xml:space="preserve"> </w:t>
            </w:r>
            <w:r w:rsidRPr="004F6F0E">
              <w:rPr>
                <w:rFonts w:ascii="Arial" w:hAnsi="Arial" w:cs="Arial"/>
                <w:w w:val="90"/>
                <w:sz w:val="18"/>
                <w:szCs w:val="18"/>
                <w:lang w:val="sk-SK"/>
              </w:rPr>
              <w:t>predkl</w:t>
            </w:r>
            <w:r w:rsidRPr="004F6F0E">
              <w:rPr>
                <w:rFonts w:ascii="Arial" w:hAnsi="Arial" w:cs="Arial"/>
                <w:spacing w:val="-2"/>
                <w:w w:val="90"/>
                <w:sz w:val="18"/>
                <w:szCs w:val="18"/>
                <w:lang w:val="sk-SK"/>
              </w:rPr>
              <w:t>a</w:t>
            </w:r>
            <w:r w:rsidRPr="004F6F0E">
              <w:rPr>
                <w:rFonts w:ascii="Arial" w:hAnsi="Arial" w:cs="Arial"/>
                <w:w w:val="90"/>
                <w:sz w:val="18"/>
                <w:szCs w:val="18"/>
                <w:lang w:val="sk-SK"/>
              </w:rPr>
              <w:t>d</w:t>
            </w:r>
            <w:r w:rsidRPr="004F6F0E">
              <w:rPr>
                <w:rFonts w:ascii="Arial" w:hAnsi="Arial" w:cs="Arial"/>
                <w:spacing w:val="-2"/>
                <w:w w:val="90"/>
                <w:sz w:val="18"/>
                <w:szCs w:val="18"/>
                <w:lang w:val="sk-SK"/>
              </w:rPr>
              <w:t>a</w:t>
            </w:r>
            <w:r w:rsidRPr="004F6F0E">
              <w:rPr>
                <w:rFonts w:ascii="Arial" w:hAnsi="Arial" w:cs="Arial"/>
                <w:spacing w:val="1"/>
                <w:w w:val="90"/>
                <w:sz w:val="18"/>
                <w:szCs w:val="18"/>
                <w:lang w:val="sk-SK"/>
              </w:rPr>
              <w:t>t</w:t>
            </w:r>
            <w:r w:rsidRPr="004F6F0E">
              <w:rPr>
                <w:rFonts w:ascii="Arial" w:hAnsi="Arial" w:cs="Arial"/>
                <w:w w:val="90"/>
                <w:sz w:val="18"/>
                <w:szCs w:val="18"/>
                <w:lang w:val="sk-SK"/>
              </w:rPr>
              <w:t>eľa</w:t>
            </w:r>
          </w:p>
        </w:tc>
      </w:tr>
      <w:tr w:rsidR="009B4A3B" w:rsidRPr="004F6F0E">
        <w:trPr>
          <w:trHeight w:hRule="exact" w:val="230"/>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1.</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w:t>
            </w:r>
            <w:r w:rsidRPr="004F6F0E">
              <w:rPr>
                <w:rFonts w:ascii="Arial" w:hAnsi="Arial" w:cs="Arial"/>
                <w:spacing w:val="-1"/>
                <w:w w:val="90"/>
                <w:sz w:val="18"/>
                <w:szCs w:val="18"/>
                <w:lang w:val="sk-SK"/>
              </w:rPr>
              <w:t>n</w:t>
            </w:r>
            <w:r w:rsidRPr="004F6F0E">
              <w:rPr>
                <w:rFonts w:ascii="Arial" w:hAnsi="Arial" w:cs="Arial"/>
                <w:w w:val="90"/>
                <w:sz w:val="18"/>
                <w:szCs w:val="18"/>
                <w:lang w:val="sk-SK"/>
              </w:rPr>
              <w:t>ý</w:t>
            </w:r>
            <w:r w:rsidR="002B22FF">
              <w:rPr>
                <w:rFonts w:ascii="Arial" w:hAnsi="Arial" w:cs="Arial"/>
                <w:w w:val="90"/>
                <w:sz w:val="18"/>
                <w:szCs w:val="18"/>
                <w:lang w:val="sk-SK"/>
              </w:rPr>
              <w:t xml:space="preserve"> </w:t>
            </w:r>
            <w:r w:rsidRPr="004F6F0E">
              <w:rPr>
                <w:rFonts w:ascii="Arial" w:hAnsi="Arial" w:cs="Arial"/>
                <w:spacing w:val="2"/>
                <w:w w:val="90"/>
                <w:sz w:val="18"/>
                <w:szCs w:val="18"/>
                <w:lang w:val="sk-SK"/>
              </w:rPr>
              <w:t>v</w:t>
            </w:r>
            <w:r w:rsidRPr="004F6F0E">
              <w:rPr>
                <w:rFonts w:ascii="Arial" w:hAnsi="Arial" w:cs="Arial"/>
                <w:w w:val="90"/>
                <w:sz w:val="18"/>
                <w:szCs w:val="18"/>
                <w:lang w:val="sk-SK"/>
              </w:rPr>
              <w:t>edecký</w:t>
            </w:r>
            <w:r w:rsidR="002B22FF">
              <w:rPr>
                <w:rFonts w:ascii="Arial" w:hAnsi="Arial" w:cs="Arial"/>
                <w:w w:val="90"/>
                <w:sz w:val="18"/>
                <w:szCs w:val="18"/>
                <w:lang w:val="sk-SK"/>
              </w:rPr>
              <w:t xml:space="preserve"> </w:t>
            </w:r>
            <w:r w:rsidRPr="004F6F0E">
              <w:rPr>
                <w:rFonts w:ascii="Arial" w:hAnsi="Arial" w:cs="Arial"/>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rk</w:t>
            </w:r>
            <w:r w:rsidR="002B22FF">
              <w:rPr>
                <w:rFonts w:ascii="Arial" w:hAnsi="Arial" w:cs="Arial"/>
                <w:w w:val="90"/>
                <w:sz w:val="18"/>
                <w:szCs w:val="18"/>
                <w:lang w:val="sk-SK"/>
              </w:rPr>
              <w:t xml:space="preserve"> </w:t>
            </w:r>
            <w:r w:rsidRPr="004F6F0E">
              <w:rPr>
                <w:rFonts w:ascii="Arial" w:hAnsi="Arial" w:cs="Arial"/>
                <w:w w:val="90"/>
                <w:sz w:val="18"/>
                <w:szCs w:val="18"/>
                <w:lang w:val="sk-SK"/>
              </w:rPr>
              <w:t>Ž</w:t>
            </w:r>
            <w:r w:rsidRPr="004F6F0E">
              <w:rPr>
                <w:rFonts w:ascii="Arial" w:hAnsi="Arial" w:cs="Arial"/>
                <w:spacing w:val="-1"/>
                <w:w w:val="90"/>
                <w:sz w:val="18"/>
                <w:szCs w:val="18"/>
                <w:lang w:val="sk-SK"/>
              </w:rPr>
              <w:t>il</w:t>
            </w:r>
            <w:r w:rsidRPr="004F6F0E">
              <w:rPr>
                <w:rFonts w:ascii="Arial" w:hAnsi="Arial" w:cs="Arial"/>
                <w:spacing w:val="1"/>
                <w:w w:val="90"/>
                <w:sz w:val="18"/>
                <w:szCs w:val="18"/>
                <w:lang w:val="sk-SK"/>
              </w:rPr>
              <w:t>i</w:t>
            </w:r>
            <w:r w:rsidRPr="004F6F0E">
              <w:rPr>
                <w:rFonts w:ascii="Arial" w:hAnsi="Arial" w:cs="Arial"/>
                <w:w w:val="90"/>
                <w:sz w:val="18"/>
                <w:szCs w:val="18"/>
                <w:lang w:val="sk-SK"/>
              </w:rPr>
              <w:t>nsk</w:t>
            </w:r>
            <w:r w:rsidRPr="004F6F0E">
              <w:rPr>
                <w:rFonts w:ascii="Arial" w:hAnsi="Arial" w:cs="Arial"/>
                <w:spacing w:val="2"/>
                <w:w w:val="90"/>
                <w:sz w:val="18"/>
                <w:szCs w:val="18"/>
                <w:lang w:val="sk-SK"/>
              </w:rPr>
              <w:t>e</w:t>
            </w:r>
            <w:r w:rsidRPr="004F6F0E">
              <w:rPr>
                <w:rFonts w:ascii="Arial" w:hAnsi="Arial" w:cs="Arial"/>
                <w:w w:val="90"/>
                <w:sz w:val="18"/>
                <w:szCs w:val="18"/>
                <w:lang w:val="sk-SK"/>
              </w:rPr>
              <w:t>j</w:t>
            </w:r>
            <w:r w:rsidR="002B22FF">
              <w:rPr>
                <w:rFonts w:ascii="Arial" w:hAnsi="Arial" w:cs="Arial"/>
                <w:w w:val="90"/>
                <w:sz w:val="18"/>
                <w:szCs w:val="18"/>
                <w:lang w:val="sk-SK"/>
              </w:rPr>
              <w:t xml:space="preserve"> </w:t>
            </w: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ty</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3"/>
              <w:rPr>
                <w:rFonts w:ascii="Arial" w:hAnsi="Arial" w:cs="Arial"/>
                <w:sz w:val="18"/>
                <w:szCs w:val="18"/>
                <w:lang w:val="sk-SK"/>
              </w:rPr>
            </w:pPr>
            <w:r w:rsidRPr="004F6F0E">
              <w:rPr>
                <w:rFonts w:ascii="Arial" w:hAnsi="Arial" w:cs="Arial"/>
                <w:w w:val="90"/>
                <w:sz w:val="18"/>
                <w:szCs w:val="18"/>
                <w:lang w:val="sk-SK"/>
              </w:rPr>
              <w:t>Ž</w:t>
            </w:r>
            <w:r w:rsidRPr="004F6F0E">
              <w:rPr>
                <w:rFonts w:ascii="Arial" w:hAnsi="Arial" w:cs="Arial"/>
                <w:spacing w:val="-1"/>
                <w:w w:val="90"/>
                <w:sz w:val="18"/>
                <w:szCs w:val="18"/>
                <w:lang w:val="sk-SK"/>
              </w:rPr>
              <w:t>ili</w:t>
            </w:r>
            <w:r w:rsidRPr="004F6F0E">
              <w:rPr>
                <w:rFonts w:ascii="Arial" w:hAnsi="Arial" w:cs="Arial"/>
                <w:spacing w:val="1"/>
                <w:w w:val="90"/>
                <w:sz w:val="18"/>
                <w:szCs w:val="18"/>
                <w:lang w:val="sk-SK"/>
              </w:rPr>
              <w:t>n</w:t>
            </w:r>
            <w:r w:rsidRPr="004F6F0E">
              <w:rPr>
                <w:rFonts w:ascii="Arial" w:hAnsi="Arial" w:cs="Arial"/>
                <w:w w:val="90"/>
                <w:sz w:val="18"/>
                <w:szCs w:val="18"/>
                <w:lang w:val="sk-SK"/>
              </w:rPr>
              <w:t>ská u</w:t>
            </w:r>
            <w:r w:rsidRPr="004F6F0E">
              <w:rPr>
                <w:rFonts w:ascii="Arial" w:hAnsi="Arial" w:cs="Arial"/>
                <w:spacing w:val="1"/>
                <w:w w:val="90"/>
                <w:sz w:val="18"/>
                <w:szCs w:val="18"/>
                <w:lang w:val="sk-SK"/>
              </w:rPr>
              <w:t>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zi</w:t>
            </w:r>
            <w:r w:rsidRPr="004F6F0E">
              <w:rPr>
                <w:rFonts w:ascii="Arial" w:hAnsi="Arial" w:cs="Arial"/>
                <w:w w:val="90"/>
                <w:sz w:val="18"/>
                <w:szCs w:val="18"/>
                <w:lang w:val="sk-SK"/>
              </w:rPr>
              <w:t>ta v Ž</w:t>
            </w:r>
            <w:r w:rsidRPr="004F6F0E">
              <w:rPr>
                <w:rFonts w:ascii="Arial" w:hAnsi="Arial" w:cs="Arial"/>
                <w:spacing w:val="-1"/>
                <w:w w:val="90"/>
                <w:sz w:val="18"/>
                <w:szCs w:val="18"/>
                <w:lang w:val="sk-SK"/>
              </w:rPr>
              <w:t>il</w:t>
            </w:r>
            <w:r w:rsidRPr="004F6F0E">
              <w:rPr>
                <w:rFonts w:ascii="Arial" w:hAnsi="Arial" w:cs="Arial"/>
                <w:spacing w:val="1"/>
                <w:w w:val="90"/>
                <w:sz w:val="18"/>
                <w:szCs w:val="18"/>
                <w:lang w:val="sk-SK"/>
              </w:rPr>
              <w:t>i</w:t>
            </w:r>
            <w:r w:rsidRPr="004F6F0E">
              <w:rPr>
                <w:rFonts w:ascii="Arial" w:hAnsi="Arial" w:cs="Arial"/>
                <w:w w:val="90"/>
                <w:sz w:val="18"/>
                <w:szCs w:val="18"/>
                <w:lang w:val="sk-SK"/>
              </w:rPr>
              <w:t>ne</w:t>
            </w:r>
          </w:p>
        </w:tc>
      </w:tr>
      <w:tr w:rsidR="009B4A3B" w:rsidRPr="004F6F0E">
        <w:trPr>
          <w:trHeight w:hRule="exact" w:val="449"/>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1" w:line="110" w:lineRule="exact"/>
              <w:rPr>
                <w:sz w:val="11"/>
                <w:szCs w:val="11"/>
                <w:lang w:val="sk-SK"/>
              </w:rPr>
            </w:pPr>
          </w:p>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2.</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line="256" w:lineRule="auto"/>
              <w:ind w:left="102" w:right="100"/>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w:t>
            </w:r>
            <w:r w:rsidRPr="004F6F0E">
              <w:rPr>
                <w:rFonts w:ascii="Arial" w:hAnsi="Arial" w:cs="Arial"/>
                <w:spacing w:val="-1"/>
                <w:w w:val="90"/>
                <w:sz w:val="18"/>
                <w:szCs w:val="18"/>
                <w:lang w:val="sk-SK"/>
              </w:rPr>
              <w:t>n</w:t>
            </w:r>
            <w:r w:rsidRPr="004F6F0E">
              <w:rPr>
                <w:rFonts w:ascii="Arial" w:hAnsi="Arial" w:cs="Arial"/>
                <w:w w:val="90"/>
                <w:sz w:val="18"/>
                <w:szCs w:val="18"/>
                <w:lang w:val="sk-SK"/>
              </w:rPr>
              <w:t>ýv</w:t>
            </w:r>
            <w:r w:rsidRPr="004F6F0E">
              <w:rPr>
                <w:rFonts w:ascii="Arial" w:hAnsi="Arial" w:cs="Arial"/>
                <w:spacing w:val="2"/>
                <w:w w:val="90"/>
                <w:sz w:val="18"/>
                <w:szCs w:val="18"/>
                <w:lang w:val="sk-SK"/>
              </w:rPr>
              <w:t>e</w:t>
            </w:r>
            <w:r w:rsidRPr="004F6F0E">
              <w:rPr>
                <w:rFonts w:ascii="Arial" w:hAnsi="Arial" w:cs="Arial"/>
                <w:w w:val="90"/>
                <w:sz w:val="18"/>
                <w:szCs w:val="18"/>
                <w:lang w:val="sk-SK"/>
              </w:rPr>
              <w:t>deckýp</w:t>
            </w:r>
            <w:r w:rsidRPr="004F6F0E">
              <w:rPr>
                <w:rFonts w:ascii="Arial" w:hAnsi="Arial" w:cs="Arial"/>
                <w:spacing w:val="-2"/>
                <w:w w:val="90"/>
                <w:sz w:val="18"/>
                <w:szCs w:val="18"/>
                <w:lang w:val="sk-SK"/>
              </w:rPr>
              <w:t>a</w:t>
            </w:r>
            <w:r w:rsidRPr="004F6F0E">
              <w:rPr>
                <w:rFonts w:ascii="Arial" w:hAnsi="Arial" w:cs="Arial"/>
                <w:w w:val="90"/>
                <w:sz w:val="18"/>
                <w:szCs w:val="18"/>
                <w:lang w:val="sk-SK"/>
              </w:rPr>
              <w:t>rkTEC</w:t>
            </w:r>
            <w:r w:rsidRPr="004F6F0E">
              <w:rPr>
                <w:rFonts w:ascii="Arial" w:hAnsi="Arial" w:cs="Arial"/>
                <w:spacing w:val="-4"/>
                <w:w w:val="90"/>
                <w:sz w:val="18"/>
                <w:szCs w:val="18"/>
                <w:lang w:val="sk-SK"/>
              </w:rPr>
              <w:t>H</w:t>
            </w:r>
            <w:r w:rsidRPr="004F6F0E">
              <w:rPr>
                <w:rFonts w:ascii="Arial" w:hAnsi="Arial" w:cs="Arial"/>
                <w:w w:val="90"/>
                <w:sz w:val="18"/>
                <w:szCs w:val="18"/>
                <w:lang w:val="sk-SK"/>
              </w:rPr>
              <w:t>N</w:t>
            </w:r>
            <w:r w:rsidRPr="004F6F0E">
              <w:rPr>
                <w:rFonts w:ascii="Arial" w:hAnsi="Arial" w:cs="Arial"/>
                <w:spacing w:val="-1"/>
                <w:w w:val="90"/>
                <w:sz w:val="18"/>
                <w:szCs w:val="18"/>
                <w:lang w:val="sk-SK"/>
              </w:rPr>
              <w:t>I</w:t>
            </w:r>
            <w:r w:rsidRPr="004F6F0E">
              <w:rPr>
                <w:rFonts w:ascii="Arial" w:hAnsi="Arial" w:cs="Arial"/>
                <w:w w:val="90"/>
                <w:sz w:val="18"/>
                <w:szCs w:val="18"/>
                <w:lang w:val="sk-SK"/>
              </w:rPr>
              <w:t>COMpre</w:t>
            </w:r>
            <w:r w:rsidRPr="004F6F0E">
              <w:rPr>
                <w:rFonts w:ascii="Arial" w:hAnsi="Arial" w:cs="Arial"/>
                <w:spacing w:val="-1"/>
                <w:w w:val="90"/>
                <w:sz w:val="18"/>
                <w:szCs w:val="18"/>
                <w:lang w:val="sk-SK"/>
              </w:rPr>
              <w:t>i</w:t>
            </w:r>
            <w:r w:rsidRPr="004F6F0E">
              <w:rPr>
                <w:rFonts w:ascii="Arial" w:hAnsi="Arial" w:cs="Arial"/>
                <w:w w:val="90"/>
                <w:sz w:val="18"/>
                <w:szCs w:val="18"/>
                <w:lang w:val="sk-SK"/>
              </w:rPr>
              <w:t>novačné</w:t>
            </w:r>
            <w:r w:rsidRPr="004F6F0E">
              <w:rPr>
                <w:rFonts w:ascii="Arial" w:hAnsi="Arial" w:cs="Arial"/>
                <w:spacing w:val="-2"/>
                <w:w w:val="90"/>
                <w:sz w:val="18"/>
                <w:szCs w:val="18"/>
                <w:lang w:val="sk-SK"/>
              </w:rPr>
              <w:t>a</w:t>
            </w:r>
            <w:r w:rsidRPr="004F6F0E">
              <w:rPr>
                <w:rFonts w:ascii="Arial" w:hAnsi="Arial" w:cs="Arial"/>
                <w:w w:val="90"/>
                <w:sz w:val="18"/>
                <w:szCs w:val="18"/>
                <w:lang w:val="sk-SK"/>
              </w:rPr>
              <w:t>p</w:t>
            </w:r>
            <w:r w:rsidRPr="004F6F0E">
              <w:rPr>
                <w:rFonts w:ascii="Arial" w:hAnsi="Arial" w:cs="Arial"/>
                <w:spacing w:val="-1"/>
                <w:w w:val="90"/>
                <w:sz w:val="18"/>
                <w:szCs w:val="18"/>
                <w:lang w:val="sk-SK"/>
              </w:rPr>
              <w:t>li</w:t>
            </w:r>
            <w:r w:rsidRPr="004F6F0E">
              <w:rPr>
                <w:rFonts w:ascii="Arial" w:hAnsi="Arial" w:cs="Arial"/>
                <w:w w:val="90"/>
                <w:sz w:val="18"/>
                <w:szCs w:val="18"/>
                <w:lang w:val="sk-SK"/>
              </w:rPr>
              <w:t>k</w:t>
            </w:r>
            <w:r w:rsidRPr="004F6F0E">
              <w:rPr>
                <w:rFonts w:ascii="Arial" w:hAnsi="Arial" w:cs="Arial"/>
                <w:spacing w:val="-1"/>
                <w:w w:val="90"/>
                <w:sz w:val="18"/>
                <w:szCs w:val="18"/>
                <w:lang w:val="sk-SK"/>
              </w:rPr>
              <w:t>á</w:t>
            </w:r>
            <w:r w:rsidRPr="004F6F0E">
              <w:rPr>
                <w:rFonts w:ascii="Arial" w:hAnsi="Arial" w:cs="Arial"/>
                <w:w w:val="90"/>
                <w:sz w:val="18"/>
                <w:szCs w:val="18"/>
                <w:lang w:val="sk-SK"/>
              </w:rPr>
              <w:t>c</w:t>
            </w:r>
            <w:r w:rsidRPr="004F6F0E">
              <w:rPr>
                <w:rFonts w:ascii="Arial" w:hAnsi="Arial" w:cs="Arial"/>
                <w:spacing w:val="-1"/>
                <w:w w:val="90"/>
                <w:sz w:val="18"/>
                <w:szCs w:val="18"/>
                <w:lang w:val="sk-SK"/>
              </w:rPr>
              <w:t>i</w:t>
            </w:r>
            <w:r w:rsidRPr="004F6F0E">
              <w:rPr>
                <w:rFonts w:ascii="Arial" w:hAnsi="Arial" w:cs="Arial"/>
                <w:w w:val="90"/>
                <w:sz w:val="18"/>
                <w:szCs w:val="18"/>
                <w:lang w:val="sk-SK"/>
              </w:rPr>
              <w:t>es</w:t>
            </w:r>
            <w:r w:rsidRPr="004F6F0E">
              <w:rPr>
                <w:rFonts w:ascii="Arial" w:hAnsi="Arial" w:cs="Arial"/>
                <w:spacing w:val="31"/>
                <w:w w:val="90"/>
                <w:sz w:val="18"/>
                <w:szCs w:val="18"/>
                <w:lang w:val="sk-SK"/>
              </w:rPr>
              <w:t> </w:t>
            </w:r>
            <w:r w:rsidRPr="004F6F0E">
              <w:rPr>
                <w:rFonts w:ascii="Arial" w:hAnsi="Arial" w:cs="Arial"/>
                <w:w w:val="90"/>
                <w:sz w:val="18"/>
                <w:szCs w:val="18"/>
                <w:lang w:val="sk-SK"/>
              </w:rPr>
              <w:t>podporou</w:t>
            </w:r>
            <w:r w:rsidRPr="004F6F0E">
              <w:rPr>
                <w:rFonts w:ascii="Arial" w:hAnsi="Arial" w:cs="Arial"/>
                <w:spacing w:val="-2"/>
                <w:w w:val="90"/>
                <w:sz w:val="18"/>
                <w:szCs w:val="18"/>
                <w:lang w:val="sk-SK"/>
              </w:rPr>
              <w:t>z</w:t>
            </w:r>
            <w:r w:rsidRPr="004F6F0E">
              <w:rPr>
                <w:rFonts w:ascii="Arial" w:hAnsi="Arial" w:cs="Arial"/>
                <w:w w:val="90"/>
                <w:sz w:val="18"/>
                <w:szCs w:val="18"/>
                <w:lang w:val="sk-SK"/>
              </w:rPr>
              <w:t>n</w:t>
            </w:r>
            <w:r w:rsidRPr="004F6F0E">
              <w:rPr>
                <w:rFonts w:ascii="Arial" w:hAnsi="Arial" w:cs="Arial"/>
                <w:spacing w:val="-2"/>
                <w:w w:val="90"/>
                <w:sz w:val="18"/>
                <w:szCs w:val="18"/>
                <w:lang w:val="sk-SK"/>
              </w:rPr>
              <w:t>a</w:t>
            </w:r>
            <w:r w:rsidRPr="004F6F0E">
              <w:rPr>
                <w:rFonts w:ascii="Arial" w:hAnsi="Arial" w:cs="Arial"/>
                <w:spacing w:val="-1"/>
                <w:w w:val="90"/>
                <w:sz w:val="18"/>
                <w:szCs w:val="18"/>
                <w:lang w:val="sk-SK"/>
              </w:rPr>
              <w:t>l</w:t>
            </w:r>
            <w:r w:rsidRPr="004F6F0E">
              <w:rPr>
                <w:rFonts w:ascii="Arial" w:hAnsi="Arial" w:cs="Arial"/>
                <w:w w:val="90"/>
                <w:sz w:val="18"/>
                <w:szCs w:val="18"/>
                <w:lang w:val="sk-SK"/>
              </w:rPr>
              <w:t>ost</w:t>
            </w:r>
            <w:r w:rsidRPr="004F6F0E">
              <w:rPr>
                <w:rFonts w:ascii="Arial" w:hAnsi="Arial" w:cs="Arial"/>
                <w:spacing w:val="-1"/>
                <w:w w:val="90"/>
                <w:sz w:val="18"/>
                <w:szCs w:val="18"/>
                <w:lang w:val="sk-SK"/>
              </w:rPr>
              <w:t>n</w:t>
            </w:r>
            <w:r w:rsidRPr="004F6F0E">
              <w:rPr>
                <w:rFonts w:ascii="Arial" w:hAnsi="Arial" w:cs="Arial"/>
                <w:w w:val="90"/>
                <w:sz w:val="18"/>
                <w:szCs w:val="18"/>
                <w:lang w:val="sk-SK"/>
              </w:rPr>
              <w:t>ýchtec</w:t>
            </w:r>
            <w:r w:rsidRPr="004F6F0E">
              <w:rPr>
                <w:rFonts w:ascii="Arial" w:hAnsi="Arial" w:cs="Arial"/>
                <w:spacing w:val="1"/>
                <w:w w:val="90"/>
                <w:sz w:val="18"/>
                <w:szCs w:val="18"/>
                <w:lang w:val="sk-SK"/>
              </w:rPr>
              <w:t>h</w:t>
            </w:r>
            <w:r w:rsidRPr="004F6F0E">
              <w:rPr>
                <w:rFonts w:ascii="Arial" w:hAnsi="Arial" w:cs="Arial"/>
                <w:w w:val="90"/>
                <w:sz w:val="18"/>
                <w:szCs w:val="18"/>
                <w:lang w:val="sk-SK"/>
              </w:rPr>
              <w:t>nológ</w:t>
            </w:r>
            <w:r w:rsidRPr="004F6F0E">
              <w:rPr>
                <w:rFonts w:ascii="Arial" w:hAnsi="Arial" w:cs="Arial"/>
                <w:spacing w:val="-1"/>
                <w:w w:val="90"/>
                <w:sz w:val="18"/>
                <w:szCs w:val="18"/>
                <w:lang w:val="sk-SK"/>
              </w:rPr>
              <w:t>i</w:t>
            </w:r>
            <w:r w:rsidRPr="004F6F0E">
              <w:rPr>
                <w:rFonts w:ascii="Arial" w:hAnsi="Arial" w:cs="Arial"/>
                <w:w w:val="90"/>
                <w:sz w:val="18"/>
                <w:szCs w:val="18"/>
                <w:lang w:val="sk-SK"/>
              </w:rPr>
              <w:t>í</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1" w:line="110" w:lineRule="exact"/>
              <w:rPr>
                <w:sz w:val="11"/>
                <w:szCs w:val="11"/>
                <w:lang w:val="sk-SK"/>
              </w:rPr>
            </w:pPr>
          </w:p>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Techn</w:t>
            </w:r>
            <w:r w:rsidRPr="004F6F0E">
              <w:rPr>
                <w:rFonts w:ascii="Arial" w:hAnsi="Arial" w:cs="Arial"/>
                <w:spacing w:val="-1"/>
                <w:w w:val="90"/>
                <w:sz w:val="18"/>
                <w:szCs w:val="18"/>
                <w:lang w:val="sk-SK"/>
              </w:rPr>
              <w:t>i</w:t>
            </w:r>
            <w:r w:rsidRPr="004F6F0E">
              <w:rPr>
                <w:rFonts w:ascii="Arial" w:hAnsi="Arial" w:cs="Arial"/>
                <w:w w:val="90"/>
                <w:sz w:val="18"/>
                <w:szCs w:val="18"/>
                <w:lang w:val="sk-SK"/>
              </w:rPr>
              <w:t>cká</w:t>
            </w:r>
            <w:r w:rsidR="002B22FF">
              <w:rPr>
                <w:rFonts w:ascii="Arial" w:hAnsi="Arial" w:cs="Arial"/>
                <w:w w:val="90"/>
                <w:sz w:val="18"/>
                <w:szCs w:val="18"/>
                <w:lang w:val="sk-SK"/>
              </w:rPr>
              <w:t xml:space="preserve"> </w:t>
            </w: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spacing w:val="2"/>
                <w:w w:val="90"/>
                <w:sz w:val="18"/>
                <w:szCs w:val="18"/>
                <w:lang w:val="sk-SK"/>
              </w:rPr>
              <w:t>v</w:t>
            </w:r>
            <w:r w:rsidRPr="004F6F0E">
              <w:rPr>
                <w:rFonts w:ascii="Arial" w:hAnsi="Arial" w:cs="Arial"/>
                <w:w w:val="90"/>
                <w:sz w:val="18"/>
                <w:szCs w:val="18"/>
                <w:lang w:val="sk-SK"/>
              </w:rPr>
              <w:t>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ta</w:t>
            </w:r>
            <w:r w:rsidR="002B22FF">
              <w:rPr>
                <w:rFonts w:ascii="Arial" w:hAnsi="Arial" w:cs="Arial"/>
                <w:w w:val="90"/>
                <w:sz w:val="18"/>
                <w:szCs w:val="18"/>
                <w:lang w:val="sk-SK"/>
              </w:rPr>
              <w:t xml:space="preserve"> </w:t>
            </w:r>
            <w:r w:rsidRPr="004F6F0E">
              <w:rPr>
                <w:rFonts w:ascii="Arial" w:hAnsi="Arial" w:cs="Arial"/>
                <w:w w:val="90"/>
                <w:sz w:val="18"/>
                <w:szCs w:val="18"/>
                <w:lang w:val="sk-SK"/>
              </w:rPr>
              <w:t>v</w:t>
            </w:r>
            <w:r w:rsidR="002B22FF">
              <w:rPr>
                <w:rFonts w:ascii="Arial" w:hAnsi="Arial" w:cs="Arial"/>
                <w:w w:val="90"/>
                <w:sz w:val="18"/>
                <w:szCs w:val="18"/>
                <w:lang w:val="sk-SK"/>
              </w:rPr>
              <w:t xml:space="preserve"> </w:t>
            </w:r>
            <w:r w:rsidRPr="004F6F0E">
              <w:rPr>
                <w:rFonts w:ascii="Arial" w:hAnsi="Arial" w:cs="Arial"/>
                <w:w w:val="90"/>
                <w:sz w:val="18"/>
                <w:szCs w:val="18"/>
                <w:lang w:val="sk-SK"/>
              </w:rPr>
              <w:t>Koš</w:t>
            </w:r>
            <w:r w:rsidRPr="004F6F0E">
              <w:rPr>
                <w:rFonts w:ascii="Arial" w:hAnsi="Arial" w:cs="Arial"/>
                <w:spacing w:val="-1"/>
                <w:w w:val="90"/>
                <w:sz w:val="18"/>
                <w:szCs w:val="18"/>
                <w:lang w:val="sk-SK"/>
              </w:rPr>
              <w:t>i</w:t>
            </w:r>
            <w:r w:rsidRPr="004F6F0E">
              <w:rPr>
                <w:rFonts w:ascii="Arial" w:hAnsi="Arial" w:cs="Arial"/>
                <w:w w:val="90"/>
                <w:sz w:val="18"/>
                <w:szCs w:val="18"/>
                <w:lang w:val="sk-SK"/>
              </w:rPr>
              <w:t>c</w:t>
            </w:r>
            <w:r w:rsidRPr="004F6F0E">
              <w:rPr>
                <w:rFonts w:ascii="Arial" w:hAnsi="Arial" w:cs="Arial"/>
                <w:spacing w:val="-1"/>
                <w:w w:val="90"/>
                <w:sz w:val="18"/>
                <w:szCs w:val="18"/>
                <w:lang w:val="sk-SK"/>
              </w:rPr>
              <w:t>i</w:t>
            </w:r>
            <w:r w:rsidRPr="004F6F0E">
              <w:rPr>
                <w:rFonts w:ascii="Arial" w:hAnsi="Arial" w:cs="Arial"/>
                <w:spacing w:val="-2"/>
                <w:w w:val="90"/>
                <w:sz w:val="18"/>
                <w:szCs w:val="18"/>
                <w:lang w:val="sk-SK"/>
              </w:rPr>
              <w:t>a</w:t>
            </w:r>
            <w:r w:rsidRPr="004F6F0E">
              <w:rPr>
                <w:rFonts w:ascii="Arial" w:hAnsi="Arial" w:cs="Arial"/>
                <w:w w:val="90"/>
                <w:sz w:val="18"/>
                <w:szCs w:val="18"/>
                <w:lang w:val="sk-SK"/>
              </w:rPr>
              <w:t>ch</w:t>
            </w:r>
          </w:p>
        </w:tc>
      </w:tr>
      <w:tr w:rsidR="009B4A3B" w:rsidRPr="004F6F0E">
        <w:trPr>
          <w:trHeight w:hRule="exact" w:val="449"/>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1" w:line="110" w:lineRule="exact"/>
              <w:rPr>
                <w:sz w:val="11"/>
                <w:szCs w:val="11"/>
                <w:lang w:val="sk-SK"/>
              </w:rPr>
            </w:pPr>
          </w:p>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3.</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line="256" w:lineRule="auto"/>
              <w:ind w:left="102" w:right="104"/>
              <w:rPr>
                <w:rFonts w:ascii="Arial" w:hAnsi="Arial" w:cs="Arial"/>
                <w:sz w:val="18"/>
                <w:szCs w:val="18"/>
                <w:lang w:val="sk-SK"/>
              </w:rPr>
            </w:pPr>
            <w:r w:rsidRPr="004F6F0E">
              <w:rPr>
                <w:rFonts w:ascii="Arial" w:hAnsi="Arial" w:cs="Arial"/>
                <w:w w:val="90"/>
                <w:sz w:val="18"/>
                <w:szCs w:val="18"/>
                <w:lang w:val="sk-SK"/>
              </w:rPr>
              <w:t>Výsku</w:t>
            </w:r>
            <w:r w:rsidRPr="004F6F0E">
              <w:rPr>
                <w:rFonts w:ascii="Arial" w:hAnsi="Arial" w:cs="Arial"/>
                <w:spacing w:val="-1"/>
                <w:w w:val="90"/>
                <w:sz w:val="18"/>
                <w:szCs w:val="18"/>
                <w:lang w:val="sk-SK"/>
              </w:rPr>
              <w:t>m</w:t>
            </w:r>
            <w:r w:rsidRPr="004F6F0E">
              <w:rPr>
                <w:rFonts w:ascii="Arial" w:hAnsi="Arial" w:cs="Arial"/>
                <w:w w:val="90"/>
                <w:sz w:val="18"/>
                <w:szCs w:val="18"/>
                <w:lang w:val="sk-SK"/>
              </w:rPr>
              <w:t>néc</w:t>
            </w:r>
            <w:r w:rsidRPr="004F6F0E">
              <w:rPr>
                <w:rFonts w:ascii="Arial" w:hAnsi="Arial" w:cs="Arial"/>
                <w:spacing w:val="2"/>
                <w:w w:val="90"/>
                <w:sz w:val="18"/>
                <w:szCs w:val="18"/>
                <w:lang w:val="sk-SK"/>
              </w:rPr>
              <w:t>e</w:t>
            </w:r>
            <w:r w:rsidRPr="004F6F0E">
              <w:rPr>
                <w:rFonts w:ascii="Arial" w:hAnsi="Arial" w:cs="Arial"/>
                <w:w w:val="90"/>
                <w:sz w:val="18"/>
                <w:szCs w:val="18"/>
                <w:lang w:val="sk-SK"/>
              </w:rPr>
              <w:t>nt</w:t>
            </w:r>
            <w:r w:rsidRPr="004F6F0E">
              <w:rPr>
                <w:rFonts w:ascii="Arial" w:hAnsi="Arial" w:cs="Arial"/>
                <w:spacing w:val="1"/>
                <w:w w:val="90"/>
                <w:sz w:val="18"/>
                <w:szCs w:val="18"/>
                <w:lang w:val="sk-SK"/>
              </w:rPr>
              <w:t>r</w:t>
            </w:r>
            <w:r w:rsidRPr="004F6F0E">
              <w:rPr>
                <w:rFonts w:ascii="Arial" w:hAnsi="Arial" w:cs="Arial"/>
                <w:w w:val="90"/>
                <w:sz w:val="18"/>
                <w:szCs w:val="18"/>
                <w:lang w:val="sk-SK"/>
              </w:rPr>
              <w:t>umprog</w:t>
            </w:r>
            <w:r w:rsidRPr="004F6F0E">
              <w:rPr>
                <w:rFonts w:ascii="Arial" w:hAnsi="Arial" w:cs="Arial"/>
                <w:spacing w:val="1"/>
                <w:w w:val="90"/>
                <w:sz w:val="18"/>
                <w:szCs w:val="18"/>
                <w:lang w:val="sk-SK"/>
              </w:rPr>
              <w:t>r</w:t>
            </w:r>
            <w:r w:rsidRPr="004F6F0E">
              <w:rPr>
                <w:rFonts w:ascii="Arial" w:hAnsi="Arial" w:cs="Arial"/>
                <w:w w:val="90"/>
                <w:sz w:val="18"/>
                <w:szCs w:val="18"/>
                <w:lang w:val="sk-SK"/>
              </w:rPr>
              <w:t>es</w:t>
            </w:r>
            <w:r w:rsidRPr="004F6F0E">
              <w:rPr>
                <w:rFonts w:ascii="Arial" w:hAnsi="Arial" w:cs="Arial"/>
                <w:spacing w:val="-2"/>
                <w:w w:val="90"/>
                <w:sz w:val="18"/>
                <w:szCs w:val="18"/>
                <w:lang w:val="sk-SK"/>
              </w:rPr>
              <w:t>í</w:t>
            </w:r>
            <w:r w:rsidRPr="004F6F0E">
              <w:rPr>
                <w:rFonts w:ascii="Arial" w:hAnsi="Arial" w:cs="Arial"/>
                <w:spacing w:val="2"/>
                <w:w w:val="90"/>
                <w:sz w:val="18"/>
                <w:szCs w:val="18"/>
                <w:lang w:val="sk-SK"/>
              </w:rPr>
              <w:t>v</w:t>
            </w:r>
            <w:r w:rsidRPr="004F6F0E">
              <w:rPr>
                <w:rFonts w:ascii="Arial" w:hAnsi="Arial" w:cs="Arial"/>
                <w:w w:val="90"/>
                <w:sz w:val="18"/>
                <w:szCs w:val="18"/>
                <w:lang w:val="sk-SK"/>
              </w:rPr>
              <w:t>nych</w:t>
            </w:r>
            <w:r w:rsidRPr="004F6F0E">
              <w:rPr>
                <w:rFonts w:ascii="Arial" w:hAnsi="Arial" w:cs="Arial"/>
                <w:spacing w:val="-1"/>
                <w:w w:val="90"/>
                <w:sz w:val="18"/>
                <w:szCs w:val="18"/>
                <w:lang w:val="sk-SK"/>
              </w:rPr>
              <w:t>m</w:t>
            </w:r>
            <w:r w:rsidRPr="004F6F0E">
              <w:rPr>
                <w:rFonts w:ascii="Arial" w:hAnsi="Arial" w:cs="Arial"/>
                <w:spacing w:val="-2"/>
                <w:w w:val="90"/>
                <w:sz w:val="18"/>
                <w:szCs w:val="18"/>
                <w:lang w:val="sk-SK"/>
              </w:rPr>
              <w:t>a</w:t>
            </w:r>
            <w:r w:rsidRPr="004F6F0E">
              <w:rPr>
                <w:rFonts w:ascii="Arial" w:hAnsi="Arial" w:cs="Arial"/>
                <w:w w:val="90"/>
                <w:sz w:val="18"/>
                <w:szCs w:val="18"/>
                <w:lang w:val="sk-SK"/>
              </w:rPr>
              <w:t>ter</w:t>
            </w:r>
            <w:r w:rsidRPr="004F6F0E">
              <w:rPr>
                <w:rFonts w:ascii="Arial" w:hAnsi="Arial" w:cs="Arial"/>
                <w:spacing w:val="-1"/>
                <w:w w:val="90"/>
                <w:sz w:val="18"/>
                <w:szCs w:val="18"/>
                <w:lang w:val="sk-SK"/>
              </w:rPr>
              <w:t>i</w:t>
            </w:r>
            <w:r w:rsidRPr="004F6F0E">
              <w:rPr>
                <w:rFonts w:ascii="Arial" w:hAnsi="Arial" w:cs="Arial"/>
                <w:spacing w:val="-2"/>
                <w:w w:val="90"/>
                <w:sz w:val="18"/>
                <w:szCs w:val="18"/>
                <w:lang w:val="sk-SK"/>
              </w:rPr>
              <w:t>á</w:t>
            </w:r>
            <w:r w:rsidRPr="004F6F0E">
              <w:rPr>
                <w:rFonts w:ascii="Arial" w:hAnsi="Arial" w:cs="Arial"/>
                <w:spacing w:val="-1"/>
                <w:w w:val="90"/>
                <w:sz w:val="18"/>
                <w:szCs w:val="18"/>
                <w:lang w:val="sk-SK"/>
              </w:rPr>
              <w:t>l</w:t>
            </w:r>
            <w:r w:rsidRPr="004F6F0E">
              <w:rPr>
                <w:rFonts w:ascii="Arial" w:hAnsi="Arial" w:cs="Arial"/>
                <w:w w:val="90"/>
                <w:sz w:val="18"/>
                <w:szCs w:val="18"/>
                <w:lang w:val="sk-SK"/>
              </w:rPr>
              <w:t>ovatechnológ</w:t>
            </w:r>
            <w:r w:rsidRPr="004F6F0E">
              <w:rPr>
                <w:rFonts w:ascii="Arial" w:hAnsi="Arial" w:cs="Arial"/>
                <w:spacing w:val="-1"/>
                <w:w w:val="90"/>
                <w:sz w:val="18"/>
                <w:szCs w:val="18"/>
                <w:lang w:val="sk-SK"/>
              </w:rPr>
              <w:t>i</w:t>
            </w:r>
            <w:r w:rsidRPr="004F6F0E">
              <w:rPr>
                <w:rFonts w:ascii="Arial" w:hAnsi="Arial" w:cs="Arial"/>
                <w:w w:val="90"/>
                <w:sz w:val="18"/>
                <w:szCs w:val="18"/>
                <w:lang w:val="sk-SK"/>
              </w:rPr>
              <w:t>íp</w:t>
            </w:r>
            <w:r w:rsidRPr="004F6F0E">
              <w:rPr>
                <w:rFonts w:ascii="Arial" w:hAnsi="Arial" w:cs="Arial"/>
                <w:spacing w:val="1"/>
                <w:w w:val="90"/>
                <w:sz w:val="18"/>
                <w:szCs w:val="18"/>
                <w:lang w:val="sk-SK"/>
              </w:rPr>
              <w:t>r</w:t>
            </w:r>
            <w:r w:rsidRPr="004F6F0E">
              <w:rPr>
                <w:rFonts w:ascii="Arial" w:hAnsi="Arial" w:cs="Arial"/>
                <w:w w:val="90"/>
                <w:sz w:val="18"/>
                <w:szCs w:val="18"/>
                <w:lang w:val="sk-SK"/>
              </w:rPr>
              <w:t>esúč</w:t>
            </w:r>
            <w:r w:rsidRPr="004F6F0E">
              <w:rPr>
                <w:rFonts w:ascii="Arial" w:hAnsi="Arial" w:cs="Arial"/>
                <w:spacing w:val="-2"/>
                <w:w w:val="90"/>
                <w:sz w:val="18"/>
                <w:szCs w:val="18"/>
                <w:lang w:val="sk-SK"/>
              </w:rPr>
              <w:t>a</w:t>
            </w:r>
            <w:r w:rsidRPr="004F6F0E">
              <w:rPr>
                <w:rFonts w:ascii="Arial" w:hAnsi="Arial" w:cs="Arial"/>
                <w:spacing w:val="2"/>
                <w:w w:val="90"/>
                <w:sz w:val="18"/>
                <w:szCs w:val="18"/>
                <w:lang w:val="sk-SK"/>
              </w:rPr>
              <w:t>s</w:t>
            </w:r>
            <w:r w:rsidRPr="004F6F0E">
              <w:rPr>
                <w:rFonts w:ascii="Arial" w:hAnsi="Arial" w:cs="Arial"/>
                <w:spacing w:val="-2"/>
                <w:w w:val="90"/>
                <w:sz w:val="18"/>
                <w:szCs w:val="18"/>
                <w:lang w:val="sk-SK"/>
              </w:rPr>
              <w:t>n</w:t>
            </w:r>
            <w:r w:rsidRPr="004F6F0E">
              <w:rPr>
                <w:rFonts w:ascii="Arial" w:hAnsi="Arial" w:cs="Arial"/>
                <w:w w:val="90"/>
                <w:sz w:val="18"/>
                <w:szCs w:val="18"/>
                <w:lang w:val="sk-SK"/>
              </w:rPr>
              <w:t>éabu</w:t>
            </w:r>
            <w:r w:rsidRPr="004F6F0E">
              <w:rPr>
                <w:rFonts w:ascii="Arial" w:hAnsi="Arial" w:cs="Arial"/>
                <w:spacing w:val="1"/>
                <w:w w:val="90"/>
                <w:sz w:val="18"/>
                <w:szCs w:val="18"/>
                <w:lang w:val="sk-SK"/>
              </w:rPr>
              <w:t>d</w:t>
            </w:r>
            <w:r w:rsidRPr="004F6F0E">
              <w:rPr>
                <w:rFonts w:ascii="Arial" w:hAnsi="Arial" w:cs="Arial"/>
                <w:w w:val="90"/>
                <w:sz w:val="18"/>
                <w:szCs w:val="18"/>
                <w:lang w:val="sk-SK"/>
              </w:rPr>
              <w:t>úce</w:t>
            </w:r>
            <w:r w:rsidRPr="004F6F0E">
              <w:rPr>
                <w:rFonts w:ascii="Arial" w:hAnsi="Arial" w:cs="Arial"/>
                <w:spacing w:val="-2"/>
                <w:w w:val="90"/>
                <w:sz w:val="18"/>
                <w:szCs w:val="18"/>
                <w:lang w:val="sk-SK"/>
              </w:rPr>
              <w:t>a</w:t>
            </w:r>
            <w:r w:rsidRPr="004F6F0E">
              <w:rPr>
                <w:rFonts w:ascii="Arial" w:hAnsi="Arial" w:cs="Arial"/>
                <w:w w:val="90"/>
                <w:sz w:val="18"/>
                <w:szCs w:val="18"/>
                <w:lang w:val="sk-SK"/>
              </w:rPr>
              <w:t>p</w:t>
            </w:r>
            <w:r w:rsidRPr="004F6F0E">
              <w:rPr>
                <w:rFonts w:ascii="Arial" w:hAnsi="Arial" w:cs="Arial"/>
                <w:spacing w:val="-1"/>
                <w:w w:val="90"/>
                <w:sz w:val="18"/>
                <w:szCs w:val="18"/>
                <w:lang w:val="sk-SK"/>
              </w:rPr>
              <w:t>li</w:t>
            </w:r>
            <w:r w:rsidRPr="004F6F0E">
              <w:rPr>
                <w:rFonts w:ascii="Arial" w:hAnsi="Arial" w:cs="Arial"/>
                <w:w w:val="90"/>
                <w:sz w:val="18"/>
                <w:szCs w:val="18"/>
                <w:lang w:val="sk-SK"/>
              </w:rPr>
              <w:t>k</w:t>
            </w:r>
            <w:r w:rsidRPr="004F6F0E">
              <w:rPr>
                <w:rFonts w:ascii="Arial" w:hAnsi="Arial" w:cs="Arial"/>
                <w:spacing w:val="-1"/>
                <w:w w:val="90"/>
                <w:sz w:val="18"/>
                <w:szCs w:val="18"/>
                <w:lang w:val="sk-SK"/>
              </w:rPr>
              <w:t>á</w:t>
            </w:r>
            <w:r w:rsidRPr="004F6F0E">
              <w:rPr>
                <w:rFonts w:ascii="Arial" w:hAnsi="Arial" w:cs="Arial"/>
                <w:w w:val="90"/>
                <w:sz w:val="18"/>
                <w:szCs w:val="18"/>
                <w:lang w:val="sk-SK"/>
              </w:rPr>
              <w:t>c</w:t>
            </w:r>
            <w:r w:rsidRPr="004F6F0E">
              <w:rPr>
                <w:rFonts w:ascii="Arial" w:hAnsi="Arial" w:cs="Arial"/>
                <w:spacing w:val="1"/>
                <w:w w:val="90"/>
                <w:sz w:val="18"/>
                <w:szCs w:val="18"/>
                <w:lang w:val="sk-SK"/>
              </w:rPr>
              <w:t>i</w:t>
            </w:r>
            <w:r w:rsidRPr="004F6F0E">
              <w:rPr>
                <w:rFonts w:ascii="Arial" w:hAnsi="Arial" w:cs="Arial"/>
                <w:w w:val="90"/>
                <w:sz w:val="18"/>
                <w:szCs w:val="18"/>
                <w:lang w:val="sk-SK"/>
              </w:rPr>
              <w:t>e„PRO</w:t>
            </w:r>
            <w:r w:rsidRPr="004F6F0E">
              <w:rPr>
                <w:rFonts w:ascii="Arial" w:hAnsi="Arial" w:cs="Arial"/>
                <w:spacing w:val="-1"/>
                <w:w w:val="90"/>
                <w:sz w:val="18"/>
                <w:szCs w:val="18"/>
                <w:lang w:val="sk-SK"/>
              </w:rPr>
              <w:t>M</w:t>
            </w:r>
            <w:r w:rsidRPr="004F6F0E">
              <w:rPr>
                <w:rFonts w:ascii="Arial" w:hAnsi="Arial" w:cs="Arial"/>
                <w:w w:val="90"/>
                <w:sz w:val="18"/>
                <w:szCs w:val="18"/>
                <w:lang w:val="sk-SK"/>
              </w:rPr>
              <w:t>ATECH“</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1" w:line="110" w:lineRule="exact"/>
              <w:rPr>
                <w:sz w:val="11"/>
                <w:szCs w:val="11"/>
                <w:lang w:val="sk-SK"/>
              </w:rPr>
            </w:pPr>
          </w:p>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Slovenská</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a</w:t>
            </w:r>
            <w:r w:rsidRPr="004F6F0E">
              <w:rPr>
                <w:rFonts w:ascii="Arial" w:hAnsi="Arial" w:cs="Arial"/>
                <w:w w:val="90"/>
                <w:sz w:val="18"/>
                <w:szCs w:val="18"/>
                <w:lang w:val="sk-SK"/>
              </w:rPr>
              <w:t>k</w:t>
            </w:r>
            <w:r w:rsidRPr="004F6F0E">
              <w:rPr>
                <w:rFonts w:ascii="Arial" w:hAnsi="Arial" w:cs="Arial"/>
                <w:spacing w:val="2"/>
                <w:w w:val="90"/>
                <w:sz w:val="18"/>
                <w:szCs w:val="18"/>
                <w:lang w:val="sk-SK"/>
              </w:rPr>
              <w:t>a</w:t>
            </w:r>
            <w:r w:rsidRPr="004F6F0E">
              <w:rPr>
                <w:rFonts w:ascii="Arial" w:hAnsi="Arial" w:cs="Arial"/>
                <w:w w:val="90"/>
                <w:sz w:val="18"/>
                <w:szCs w:val="18"/>
                <w:lang w:val="sk-SK"/>
              </w:rPr>
              <w:t>dém</w:t>
            </w:r>
            <w:r w:rsidRPr="004F6F0E">
              <w:rPr>
                <w:rFonts w:ascii="Arial" w:hAnsi="Arial" w:cs="Arial"/>
                <w:spacing w:val="-1"/>
                <w:w w:val="90"/>
                <w:sz w:val="18"/>
                <w:szCs w:val="18"/>
                <w:lang w:val="sk-SK"/>
              </w:rPr>
              <w:t>i</w:t>
            </w:r>
            <w:r w:rsidRPr="004F6F0E">
              <w:rPr>
                <w:rFonts w:ascii="Arial" w:hAnsi="Arial" w:cs="Arial"/>
                <w:w w:val="90"/>
                <w:sz w:val="18"/>
                <w:szCs w:val="18"/>
                <w:lang w:val="sk-SK"/>
              </w:rPr>
              <w:t>a</w:t>
            </w:r>
            <w:r w:rsidR="00D87BC4">
              <w:rPr>
                <w:rFonts w:ascii="Arial" w:hAnsi="Arial" w:cs="Arial"/>
                <w:w w:val="90"/>
                <w:sz w:val="18"/>
                <w:szCs w:val="18"/>
                <w:lang w:val="sk-SK"/>
              </w:rPr>
              <w:t xml:space="preserve"> </w:t>
            </w:r>
            <w:r w:rsidRPr="004F6F0E">
              <w:rPr>
                <w:rFonts w:ascii="Arial" w:hAnsi="Arial" w:cs="Arial"/>
                <w:w w:val="90"/>
                <w:sz w:val="18"/>
                <w:szCs w:val="18"/>
                <w:lang w:val="sk-SK"/>
              </w:rPr>
              <w:t>vi</w:t>
            </w:r>
            <w:r w:rsidRPr="004F6F0E">
              <w:rPr>
                <w:rFonts w:ascii="Arial" w:hAnsi="Arial" w:cs="Arial"/>
                <w:spacing w:val="2"/>
                <w:w w:val="90"/>
                <w:sz w:val="18"/>
                <w:szCs w:val="18"/>
                <w:lang w:val="sk-SK"/>
              </w:rPr>
              <w:t>e</w:t>
            </w:r>
            <w:r w:rsidRPr="004F6F0E">
              <w:rPr>
                <w:rFonts w:ascii="Arial" w:hAnsi="Arial" w:cs="Arial"/>
                <w:w w:val="90"/>
                <w:sz w:val="18"/>
                <w:szCs w:val="18"/>
                <w:lang w:val="sk-SK"/>
              </w:rPr>
              <w:t>d</w:t>
            </w:r>
          </w:p>
        </w:tc>
      </w:tr>
      <w:tr w:rsidR="009B4A3B" w:rsidRPr="004F6F0E">
        <w:trPr>
          <w:trHeight w:hRule="exact" w:val="429"/>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3"/>
              <w:ind w:left="102"/>
              <w:rPr>
                <w:rFonts w:ascii="Arial" w:hAnsi="Arial" w:cs="Arial"/>
                <w:sz w:val="18"/>
                <w:szCs w:val="18"/>
                <w:lang w:val="sk-SK"/>
              </w:rPr>
            </w:pPr>
            <w:r w:rsidRPr="004F6F0E">
              <w:rPr>
                <w:rFonts w:ascii="Arial" w:hAnsi="Arial" w:cs="Arial"/>
                <w:w w:val="90"/>
                <w:sz w:val="18"/>
                <w:szCs w:val="18"/>
                <w:lang w:val="sk-SK"/>
              </w:rPr>
              <w:t>4.</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D87BC4">
            <w:pPr>
              <w:pStyle w:val="TableParagraph"/>
              <w:spacing w:before="3"/>
              <w:ind w:left="102"/>
              <w:rPr>
                <w:rFonts w:ascii="Arial" w:hAnsi="Arial" w:cs="Arial"/>
                <w:sz w:val="18"/>
                <w:szCs w:val="18"/>
                <w:lang w:val="sk-SK"/>
              </w:rPr>
            </w:pPr>
            <w:r w:rsidRPr="004F6F0E">
              <w:rPr>
                <w:rFonts w:ascii="Arial" w:hAnsi="Arial" w:cs="Arial"/>
                <w:w w:val="90"/>
                <w:sz w:val="18"/>
                <w:szCs w:val="18"/>
                <w:lang w:val="sk-SK"/>
              </w:rPr>
              <w:t>Vybudovan</w:t>
            </w:r>
            <w:r w:rsidRPr="004F6F0E">
              <w:rPr>
                <w:rFonts w:ascii="Arial" w:hAnsi="Arial" w:cs="Arial"/>
                <w:spacing w:val="-1"/>
                <w:w w:val="90"/>
                <w:sz w:val="18"/>
                <w:szCs w:val="18"/>
                <w:lang w:val="sk-SK"/>
              </w:rPr>
              <w:t>i</w:t>
            </w:r>
            <w:r w:rsidRPr="004F6F0E">
              <w:rPr>
                <w:rFonts w:ascii="Arial" w:hAnsi="Arial" w:cs="Arial"/>
                <w:w w:val="90"/>
                <w:sz w:val="18"/>
                <w:szCs w:val="18"/>
                <w:lang w:val="sk-SK"/>
              </w:rPr>
              <w:t>e</w:t>
            </w:r>
            <w:r w:rsidR="00D87BC4">
              <w:rPr>
                <w:rFonts w:ascii="Arial" w:hAnsi="Arial" w:cs="Arial"/>
                <w:w w:val="90"/>
                <w:sz w:val="18"/>
                <w:szCs w:val="18"/>
                <w:lang w:val="sk-SK"/>
              </w:rPr>
              <w:t xml:space="preserve"> </w:t>
            </w:r>
            <w:r w:rsidRPr="004F6F0E">
              <w:rPr>
                <w:rFonts w:ascii="Arial" w:hAnsi="Arial" w:cs="Arial"/>
                <w:w w:val="90"/>
                <w:sz w:val="18"/>
                <w:szCs w:val="18"/>
                <w:lang w:val="sk-SK"/>
              </w:rPr>
              <w:t>výs</w:t>
            </w:r>
            <w:r w:rsidRPr="004F6F0E">
              <w:rPr>
                <w:rFonts w:ascii="Arial" w:hAnsi="Arial" w:cs="Arial"/>
                <w:spacing w:val="2"/>
                <w:w w:val="90"/>
                <w:sz w:val="18"/>
                <w:szCs w:val="18"/>
                <w:lang w:val="sk-SK"/>
              </w:rPr>
              <w:t>k</w:t>
            </w:r>
            <w:r w:rsidRPr="004F6F0E">
              <w:rPr>
                <w:rFonts w:ascii="Arial" w:hAnsi="Arial" w:cs="Arial"/>
                <w:w w:val="90"/>
                <w:sz w:val="18"/>
                <w:szCs w:val="18"/>
                <w:lang w:val="sk-SK"/>
              </w:rPr>
              <w:t>u</w:t>
            </w:r>
            <w:r w:rsidRPr="004F6F0E">
              <w:rPr>
                <w:rFonts w:ascii="Arial" w:hAnsi="Arial" w:cs="Arial"/>
                <w:spacing w:val="-1"/>
                <w:w w:val="90"/>
                <w:sz w:val="18"/>
                <w:szCs w:val="18"/>
                <w:lang w:val="sk-SK"/>
              </w:rPr>
              <w:t>m</w:t>
            </w:r>
            <w:r w:rsidRPr="004F6F0E">
              <w:rPr>
                <w:rFonts w:ascii="Arial" w:hAnsi="Arial" w:cs="Arial"/>
                <w:w w:val="90"/>
                <w:sz w:val="18"/>
                <w:szCs w:val="18"/>
                <w:lang w:val="sk-SK"/>
              </w:rPr>
              <w:t>n</w:t>
            </w:r>
            <w:r w:rsidRPr="004F6F0E">
              <w:rPr>
                <w:rFonts w:ascii="Arial" w:hAnsi="Arial" w:cs="Arial"/>
                <w:spacing w:val="2"/>
                <w:w w:val="90"/>
                <w:sz w:val="18"/>
                <w:szCs w:val="18"/>
                <w:lang w:val="sk-SK"/>
              </w:rPr>
              <w:t>é</w:t>
            </w:r>
            <w:r w:rsidRPr="004F6F0E">
              <w:rPr>
                <w:rFonts w:ascii="Arial" w:hAnsi="Arial" w:cs="Arial"/>
                <w:w w:val="90"/>
                <w:sz w:val="18"/>
                <w:szCs w:val="18"/>
                <w:lang w:val="sk-SK"/>
              </w:rPr>
              <w:t>ho</w:t>
            </w:r>
            <w:r w:rsidR="00D87BC4">
              <w:rPr>
                <w:rFonts w:ascii="Arial" w:hAnsi="Arial" w:cs="Arial"/>
                <w:w w:val="90"/>
                <w:sz w:val="18"/>
                <w:szCs w:val="18"/>
                <w:lang w:val="sk-SK"/>
              </w:rPr>
              <w:t xml:space="preserve"> </w:t>
            </w:r>
            <w:r w:rsidRPr="004F6F0E">
              <w:rPr>
                <w:rFonts w:ascii="Arial" w:hAnsi="Arial" w:cs="Arial"/>
                <w:w w:val="90"/>
                <w:sz w:val="18"/>
                <w:szCs w:val="18"/>
                <w:lang w:val="sk-SK"/>
              </w:rPr>
              <w:t>centra</w:t>
            </w:r>
            <w:r w:rsidR="00D87BC4">
              <w:rPr>
                <w:rFonts w:ascii="Arial" w:hAnsi="Arial" w:cs="Arial"/>
                <w:w w:val="90"/>
                <w:sz w:val="18"/>
                <w:szCs w:val="18"/>
                <w:lang w:val="sk-SK"/>
              </w:rPr>
              <w:t xml:space="preserve"> </w:t>
            </w:r>
            <w:r w:rsidRPr="004F6F0E">
              <w:rPr>
                <w:rFonts w:ascii="Arial" w:hAnsi="Arial" w:cs="Arial"/>
                <w:w w:val="90"/>
                <w:sz w:val="18"/>
                <w:szCs w:val="18"/>
                <w:lang w:val="sk-SK"/>
              </w:rPr>
              <w:t>„AgroB</w:t>
            </w:r>
            <w:r w:rsidRPr="004F6F0E">
              <w:rPr>
                <w:rFonts w:ascii="Arial" w:hAnsi="Arial" w:cs="Arial"/>
                <w:spacing w:val="-1"/>
                <w:w w:val="90"/>
                <w:sz w:val="18"/>
                <w:szCs w:val="18"/>
                <w:lang w:val="sk-SK"/>
              </w:rPr>
              <w:t>i</w:t>
            </w:r>
            <w:r w:rsidRPr="004F6F0E">
              <w:rPr>
                <w:rFonts w:ascii="Arial" w:hAnsi="Arial" w:cs="Arial"/>
                <w:w w:val="90"/>
                <w:sz w:val="18"/>
                <w:szCs w:val="18"/>
                <w:lang w:val="sk-SK"/>
              </w:rPr>
              <w:t>o</w:t>
            </w:r>
            <w:r w:rsidR="00D87BC4">
              <w:rPr>
                <w:rFonts w:ascii="Arial" w:hAnsi="Arial" w:cs="Arial"/>
                <w:w w:val="90"/>
                <w:sz w:val="18"/>
                <w:szCs w:val="18"/>
                <w:lang w:val="sk-SK"/>
              </w:rPr>
              <w:t>T</w:t>
            </w:r>
            <w:r w:rsidRPr="004F6F0E">
              <w:rPr>
                <w:rFonts w:ascii="Arial" w:hAnsi="Arial" w:cs="Arial"/>
                <w:w w:val="90"/>
                <w:sz w:val="18"/>
                <w:szCs w:val="18"/>
                <w:lang w:val="sk-SK"/>
              </w:rPr>
              <w:t>ech“</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3"/>
              <w:ind w:left="104"/>
              <w:rPr>
                <w:rFonts w:ascii="Arial" w:hAnsi="Arial" w:cs="Arial"/>
                <w:sz w:val="18"/>
                <w:szCs w:val="18"/>
                <w:lang w:val="sk-SK"/>
              </w:rPr>
            </w:pPr>
            <w:r w:rsidRPr="004F6F0E">
              <w:rPr>
                <w:rFonts w:ascii="Arial" w:hAnsi="Arial" w:cs="Arial"/>
                <w:w w:val="90"/>
                <w:sz w:val="18"/>
                <w:szCs w:val="18"/>
                <w:lang w:val="sk-SK"/>
              </w:rPr>
              <w:t>Slovenská poľnohospod</w:t>
            </w:r>
            <w:r w:rsidRPr="004F6F0E">
              <w:rPr>
                <w:rFonts w:ascii="Arial" w:hAnsi="Arial" w:cs="Arial"/>
                <w:spacing w:val="-2"/>
                <w:w w:val="90"/>
                <w:sz w:val="18"/>
                <w:szCs w:val="18"/>
                <w:lang w:val="sk-SK"/>
              </w:rPr>
              <w:t>á</w:t>
            </w:r>
            <w:r w:rsidRPr="004F6F0E">
              <w:rPr>
                <w:rFonts w:ascii="Arial" w:hAnsi="Arial" w:cs="Arial"/>
                <w:spacing w:val="1"/>
                <w:w w:val="90"/>
                <w:sz w:val="18"/>
                <w:szCs w:val="18"/>
                <w:lang w:val="sk-SK"/>
              </w:rPr>
              <w:t>r</w:t>
            </w:r>
            <w:r w:rsidRPr="004F6F0E">
              <w:rPr>
                <w:rFonts w:ascii="Arial" w:hAnsi="Arial" w:cs="Arial"/>
                <w:w w:val="90"/>
                <w:sz w:val="18"/>
                <w:szCs w:val="18"/>
                <w:lang w:val="sk-SK"/>
              </w:rPr>
              <w:t>ska 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ta</w:t>
            </w:r>
            <w:r w:rsidRPr="004F6F0E">
              <w:rPr>
                <w:rFonts w:ascii="Arial" w:hAnsi="Arial" w:cs="Arial"/>
                <w:w w:val="95"/>
                <w:sz w:val="18"/>
                <w:szCs w:val="18"/>
                <w:lang w:val="sk-SK"/>
              </w:rPr>
              <w:t xml:space="preserve"> v</w:t>
            </w:r>
            <w:r w:rsidR="00D87BC4">
              <w:rPr>
                <w:rFonts w:ascii="Arial" w:hAnsi="Arial" w:cs="Arial"/>
                <w:w w:val="95"/>
                <w:sz w:val="18"/>
                <w:szCs w:val="18"/>
                <w:lang w:val="sk-SK"/>
              </w:rPr>
              <w:t xml:space="preserve"> </w:t>
            </w:r>
            <w:r w:rsidRPr="004F6F0E">
              <w:rPr>
                <w:rFonts w:ascii="Arial" w:hAnsi="Arial" w:cs="Arial"/>
                <w:w w:val="95"/>
                <w:sz w:val="18"/>
                <w:szCs w:val="18"/>
                <w:lang w:val="sk-SK"/>
              </w:rPr>
              <w:t>N</w:t>
            </w:r>
            <w:r w:rsidRPr="004F6F0E">
              <w:rPr>
                <w:rFonts w:ascii="Arial" w:hAnsi="Arial" w:cs="Arial"/>
                <w:spacing w:val="-1"/>
                <w:w w:val="95"/>
                <w:sz w:val="18"/>
                <w:szCs w:val="18"/>
                <w:lang w:val="sk-SK"/>
              </w:rPr>
              <w:t>i</w:t>
            </w:r>
            <w:r w:rsidRPr="004F6F0E">
              <w:rPr>
                <w:rFonts w:ascii="Arial" w:hAnsi="Arial" w:cs="Arial"/>
                <w:w w:val="95"/>
                <w:sz w:val="18"/>
                <w:szCs w:val="18"/>
                <w:lang w:val="sk-SK"/>
              </w:rPr>
              <w:t>tre</w:t>
            </w:r>
          </w:p>
        </w:tc>
      </w:tr>
      <w:tr w:rsidR="009B4A3B" w:rsidRPr="004F6F0E">
        <w:trPr>
          <w:trHeight w:hRule="exact" w:val="230"/>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5.</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w:t>
            </w:r>
            <w:r w:rsidRPr="004F6F0E">
              <w:rPr>
                <w:rFonts w:ascii="Arial" w:hAnsi="Arial" w:cs="Arial"/>
                <w:spacing w:val="-1"/>
                <w:w w:val="90"/>
                <w:sz w:val="18"/>
                <w:szCs w:val="18"/>
                <w:lang w:val="sk-SK"/>
              </w:rPr>
              <w:t>n</w:t>
            </w:r>
            <w:r w:rsidRPr="004F6F0E">
              <w:rPr>
                <w:rFonts w:ascii="Arial" w:hAnsi="Arial" w:cs="Arial"/>
                <w:w w:val="90"/>
                <w:sz w:val="18"/>
                <w:szCs w:val="18"/>
                <w:lang w:val="sk-SK"/>
              </w:rPr>
              <w:t>ý</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v</w:t>
            </w:r>
            <w:r w:rsidRPr="004F6F0E">
              <w:rPr>
                <w:rFonts w:ascii="Arial" w:hAnsi="Arial" w:cs="Arial"/>
                <w:w w:val="90"/>
                <w:sz w:val="18"/>
                <w:szCs w:val="18"/>
                <w:lang w:val="sk-SK"/>
              </w:rPr>
              <w:t>edecký</w:t>
            </w:r>
            <w:r w:rsidR="00D87BC4">
              <w:rPr>
                <w:rFonts w:ascii="Arial" w:hAnsi="Arial" w:cs="Arial"/>
                <w:w w:val="90"/>
                <w:sz w:val="18"/>
                <w:szCs w:val="18"/>
                <w:lang w:val="sk-SK"/>
              </w:rPr>
              <w:t xml:space="preserve"> </w:t>
            </w:r>
            <w:r w:rsidRPr="004F6F0E">
              <w:rPr>
                <w:rFonts w:ascii="Arial" w:hAnsi="Arial" w:cs="Arial"/>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rk</w:t>
            </w:r>
            <w:r w:rsidR="00D87BC4">
              <w:rPr>
                <w:rFonts w:ascii="Arial" w:hAnsi="Arial" w:cs="Arial"/>
                <w:w w:val="90"/>
                <w:sz w:val="18"/>
                <w:szCs w:val="18"/>
                <w:lang w:val="sk-SK"/>
              </w:rPr>
              <w:t xml:space="preserve"> </w:t>
            </w:r>
            <w:r w:rsidRPr="004F6F0E">
              <w:rPr>
                <w:rFonts w:ascii="Arial" w:hAnsi="Arial" w:cs="Arial"/>
                <w:w w:val="90"/>
                <w:sz w:val="18"/>
                <w:szCs w:val="18"/>
                <w:lang w:val="sk-SK"/>
              </w:rPr>
              <w:t>„CA</w:t>
            </w:r>
            <w:r w:rsidRPr="004F6F0E">
              <w:rPr>
                <w:rFonts w:ascii="Arial" w:hAnsi="Arial" w:cs="Arial"/>
                <w:spacing w:val="-1"/>
                <w:w w:val="90"/>
                <w:sz w:val="18"/>
                <w:szCs w:val="18"/>
                <w:lang w:val="sk-SK"/>
              </w:rPr>
              <w:t>M</w:t>
            </w:r>
            <w:r w:rsidRPr="004F6F0E">
              <w:rPr>
                <w:rFonts w:ascii="Arial" w:hAnsi="Arial" w:cs="Arial"/>
                <w:spacing w:val="2"/>
                <w:w w:val="90"/>
                <w:sz w:val="18"/>
                <w:szCs w:val="18"/>
                <w:lang w:val="sk-SK"/>
              </w:rPr>
              <w:t>P</w:t>
            </w:r>
            <w:r w:rsidRPr="004F6F0E">
              <w:rPr>
                <w:rFonts w:ascii="Arial" w:hAnsi="Arial" w:cs="Arial"/>
                <w:w w:val="90"/>
                <w:sz w:val="18"/>
                <w:szCs w:val="18"/>
                <w:lang w:val="sk-SK"/>
              </w:rPr>
              <w:t>US</w:t>
            </w:r>
            <w:r w:rsidRPr="004F6F0E">
              <w:rPr>
                <w:rFonts w:ascii="Arial" w:hAnsi="Arial" w:cs="Arial"/>
                <w:spacing w:val="-1"/>
                <w:w w:val="90"/>
                <w:sz w:val="18"/>
                <w:szCs w:val="18"/>
                <w:lang w:val="sk-SK"/>
              </w:rPr>
              <w:t>M</w:t>
            </w:r>
            <w:r w:rsidRPr="004F6F0E">
              <w:rPr>
                <w:rFonts w:ascii="Arial" w:hAnsi="Arial" w:cs="Arial"/>
                <w:w w:val="90"/>
                <w:sz w:val="18"/>
                <w:szCs w:val="18"/>
                <w:lang w:val="sk-SK"/>
              </w:rPr>
              <w:t>TFSTU“-C</w:t>
            </w:r>
            <w:r w:rsidRPr="004F6F0E">
              <w:rPr>
                <w:rFonts w:ascii="Arial" w:hAnsi="Arial" w:cs="Arial"/>
                <w:spacing w:val="2"/>
                <w:w w:val="90"/>
                <w:sz w:val="18"/>
                <w:szCs w:val="18"/>
                <w:lang w:val="sk-SK"/>
              </w:rPr>
              <w:t>A</w:t>
            </w:r>
            <w:r w:rsidRPr="004F6F0E">
              <w:rPr>
                <w:rFonts w:ascii="Arial" w:hAnsi="Arial" w:cs="Arial"/>
                <w:spacing w:val="-1"/>
                <w:w w:val="90"/>
                <w:sz w:val="18"/>
                <w:szCs w:val="18"/>
                <w:lang w:val="sk-SK"/>
              </w:rPr>
              <w:t>M</w:t>
            </w:r>
            <w:r w:rsidRPr="004F6F0E">
              <w:rPr>
                <w:rFonts w:ascii="Arial" w:hAnsi="Arial" w:cs="Arial"/>
                <w:w w:val="90"/>
                <w:sz w:val="18"/>
                <w:szCs w:val="18"/>
                <w:lang w:val="sk-SK"/>
              </w:rPr>
              <w:t>BO</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3"/>
              <w:rPr>
                <w:rFonts w:ascii="Arial" w:hAnsi="Arial" w:cs="Arial"/>
                <w:sz w:val="18"/>
                <w:szCs w:val="18"/>
                <w:lang w:val="sk-SK"/>
              </w:rPr>
            </w:pPr>
            <w:r w:rsidRPr="004F6F0E">
              <w:rPr>
                <w:rFonts w:ascii="Arial" w:hAnsi="Arial" w:cs="Arial"/>
                <w:w w:val="90"/>
                <w:sz w:val="18"/>
                <w:szCs w:val="18"/>
                <w:lang w:val="sk-SK"/>
              </w:rPr>
              <w:t>Slovenská</w:t>
            </w:r>
            <w:r w:rsidR="00D87BC4">
              <w:rPr>
                <w:rFonts w:ascii="Arial" w:hAnsi="Arial" w:cs="Arial"/>
                <w:w w:val="90"/>
                <w:sz w:val="18"/>
                <w:szCs w:val="18"/>
                <w:lang w:val="sk-SK"/>
              </w:rPr>
              <w:t xml:space="preserve"> </w:t>
            </w:r>
            <w:r w:rsidRPr="004F6F0E">
              <w:rPr>
                <w:rFonts w:ascii="Arial" w:hAnsi="Arial" w:cs="Arial"/>
                <w:spacing w:val="1"/>
                <w:w w:val="90"/>
                <w:sz w:val="18"/>
                <w:szCs w:val="18"/>
                <w:lang w:val="sk-SK"/>
              </w:rPr>
              <w:t>t</w:t>
            </w:r>
            <w:r w:rsidRPr="004F6F0E">
              <w:rPr>
                <w:rFonts w:ascii="Arial" w:hAnsi="Arial" w:cs="Arial"/>
                <w:w w:val="90"/>
                <w:sz w:val="18"/>
                <w:szCs w:val="18"/>
                <w:lang w:val="sk-SK"/>
              </w:rPr>
              <w:t>echn</w:t>
            </w:r>
            <w:r w:rsidRPr="004F6F0E">
              <w:rPr>
                <w:rFonts w:ascii="Arial" w:hAnsi="Arial" w:cs="Arial"/>
                <w:spacing w:val="-1"/>
                <w:w w:val="90"/>
                <w:sz w:val="18"/>
                <w:szCs w:val="18"/>
                <w:lang w:val="sk-SK"/>
              </w:rPr>
              <w:t>i</w:t>
            </w:r>
            <w:r w:rsidRPr="004F6F0E">
              <w:rPr>
                <w:rFonts w:ascii="Arial" w:hAnsi="Arial" w:cs="Arial"/>
                <w:w w:val="90"/>
                <w:sz w:val="18"/>
                <w:szCs w:val="18"/>
                <w:lang w:val="sk-SK"/>
              </w:rPr>
              <w:t>cká</w:t>
            </w:r>
            <w:r w:rsidR="00D87BC4">
              <w:rPr>
                <w:rFonts w:ascii="Arial" w:hAnsi="Arial" w:cs="Arial"/>
                <w:w w:val="90"/>
                <w:sz w:val="18"/>
                <w:szCs w:val="18"/>
                <w:lang w:val="sk-SK"/>
              </w:rPr>
              <w:t xml:space="preserve"> </w:t>
            </w:r>
            <w:r w:rsidRPr="004F6F0E">
              <w:rPr>
                <w:rFonts w:ascii="Arial" w:hAnsi="Arial" w:cs="Arial"/>
                <w:spacing w:val="1"/>
                <w:w w:val="90"/>
                <w:sz w:val="18"/>
                <w:szCs w:val="18"/>
                <w:lang w:val="sk-SK"/>
              </w:rPr>
              <w:t>u</w:t>
            </w:r>
            <w:r w:rsidRPr="004F6F0E">
              <w:rPr>
                <w:rFonts w:ascii="Arial" w:hAnsi="Arial" w:cs="Arial"/>
                <w:spacing w:val="-3"/>
                <w:w w:val="90"/>
                <w:sz w:val="18"/>
                <w:szCs w:val="18"/>
                <w:lang w:val="sk-SK"/>
              </w:rPr>
              <w:t>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ta</w:t>
            </w:r>
            <w:r w:rsidR="00D87BC4">
              <w:rPr>
                <w:rFonts w:ascii="Arial" w:hAnsi="Arial" w:cs="Arial"/>
                <w:w w:val="90"/>
                <w:sz w:val="18"/>
                <w:szCs w:val="18"/>
                <w:lang w:val="sk-SK"/>
              </w:rPr>
              <w:t xml:space="preserve"> </w:t>
            </w:r>
            <w:r w:rsidRPr="004F6F0E">
              <w:rPr>
                <w:rFonts w:ascii="Arial" w:hAnsi="Arial" w:cs="Arial"/>
                <w:w w:val="90"/>
                <w:sz w:val="18"/>
                <w:szCs w:val="18"/>
                <w:lang w:val="sk-SK"/>
              </w:rPr>
              <w:t>v</w:t>
            </w:r>
            <w:r w:rsidR="00D87BC4">
              <w:rPr>
                <w:rFonts w:ascii="Arial" w:hAnsi="Arial" w:cs="Arial"/>
                <w:w w:val="90"/>
                <w:sz w:val="18"/>
                <w:szCs w:val="18"/>
                <w:lang w:val="sk-SK"/>
              </w:rPr>
              <w:t xml:space="preserve"> </w:t>
            </w:r>
            <w:r w:rsidRPr="004F6F0E">
              <w:rPr>
                <w:rFonts w:ascii="Arial" w:hAnsi="Arial" w:cs="Arial"/>
                <w:w w:val="90"/>
                <w:sz w:val="18"/>
                <w:szCs w:val="18"/>
                <w:lang w:val="sk-SK"/>
              </w:rPr>
              <w:t>Br</w:t>
            </w:r>
            <w:r w:rsidRPr="004F6F0E">
              <w:rPr>
                <w:rFonts w:ascii="Arial" w:hAnsi="Arial" w:cs="Arial"/>
                <w:spacing w:val="-2"/>
                <w:w w:val="90"/>
                <w:sz w:val="18"/>
                <w:szCs w:val="18"/>
                <w:lang w:val="sk-SK"/>
              </w:rPr>
              <w:t>a</w:t>
            </w:r>
            <w:r w:rsidRPr="004F6F0E">
              <w:rPr>
                <w:rFonts w:ascii="Arial" w:hAnsi="Arial" w:cs="Arial"/>
                <w:w w:val="90"/>
                <w:sz w:val="18"/>
                <w:szCs w:val="18"/>
                <w:lang w:val="sk-SK"/>
              </w:rPr>
              <w:t>t</w:t>
            </w:r>
            <w:r w:rsidRPr="004F6F0E">
              <w:rPr>
                <w:rFonts w:ascii="Arial" w:hAnsi="Arial" w:cs="Arial"/>
                <w:spacing w:val="-1"/>
                <w:w w:val="90"/>
                <w:sz w:val="18"/>
                <w:szCs w:val="18"/>
                <w:lang w:val="sk-SK"/>
              </w:rPr>
              <w:t>i</w:t>
            </w:r>
            <w:r w:rsidRPr="004F6F0E">
              <w:rPr>
                <w:rFonts w:ascii="Arial" w:hAnsi="Arial" w:cs="Arial"/>
                <w:w w:val="90"/>
                <w:sz w:val="18"/>
                <w:szCs w:val="18"/>
                <w:lang w:val="sk-SK"/>
              </w:rPr>
              <w:t>s</w:t>
            </w:r>
            <w:r w:rsidRPr="004F6F0E">
              <w:rPr>
                <w:rFonts w:ascii="Arial" w:hAnsi="Arial" w:cs="Arial"/>
                <w:spacing w:val="-1"/>
                <w:w w:val="90"/>
                <w:sz w:val="18"/>
                <w:szCs w:val="18"/>
                <w:lang w:val="sk-SK"/>
              </w:rPr>
              <w:t>l</w:t>
            </w:r>
            <w:r w:rsidRPr="004F6F0E">
              <w:rPr>
                <w:rFonts w:ascii="Arial" w:hAnsi="Arial" w:cs="Arial"/>
                <w:spacing w:val="-2"/>
                <w:w w:val="90"/>
                <w:sz w:val="18"/>
                <w:szCs w:val="18"/>
                <w:lang w:val="sk-SK"/>
              </w:rPr>
              <w:t>a</w:t>
            </w:r>
            <w:r w:rsidRPr="004F6F0E">
              <w:rPr>
                <w:rFonts w:ascii="Arial" w:hAnsi="Arial" w:cs="Arial"/>
                <w:w w:val="90"/>
                <w:sz w:val="18"/>
                <w:szCs w:val="18"/>
                <w:lang w:val="sk-SK"/>
              </w:rPr>
              <w:t>ve</w:t>
            </w:r>
          </w:p>
        </w:tc>
      </w:tr>
      <w:tr w:rsidR="009B4A3B" w:rsidRPr="004F6F0E">
        <w:trPr>
          <w:trHeight w:hRule="exact" w:val="230"/>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6.</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spacing w:val="-1"/>
                <w:w w:val="90"/>
                <w:sz w:val="18"/>
                <w:szCs w:val="18"/>
                <w:lang w:val="sk-SK"/>
              </w:rPr>
              <w:t>M</w:t>
            </w:r>
            <w:r w:rsidRPr="004F6F0E">
              <w:rPr>
                <w:rFonts w:ascii="Arial" w:hAnsi="Arial" w:cs="Arial"/>
                <w:w w:val="90"/>
                <w:sz w:val="18"/>
                <w:szCs w:val="18"/>
                <w:lang w:val="sk-SK"/>
              </w:rPr>
              <w:t>ed</w:t>
            </w:r>
            <w:r w:rsidRPr="004F6F0E">
              <w:rPr>
                <w:rFonts w:ascii="Arial" w:hAnsi="Arial" w:cs="Arial"/>
                <w:spacing w:val="-1"/>
                <w:w w:val="90"/>
                <w:sz w:val="18"/>
                <w:szCs w:val="18"/>
                <w:lang w:val="sk-SK"/>
              </w:rPr>
              <w:t>i</w:t>
            </w:r>
            <w:r w:rsidRPr="004F6F0E">
              <w:rPr>
                <w:rFonts w:ascii="Arial" w:hAnsi="Arial" w:cs="Arial"/>
                <w:w w:val="90"/>
                <w:sz w:val="18"/>
                <w:szCs w:val="18"/>
                <w:lang w:val="sk-SK"/>
              </w:rPr>
              <w:t>c</w:t>
            </w:r>
            <w:r w:rsidRPr="004F6F0E">
              <w:rPr>
                <w:rFonts w:ascii="Arial" w:hAnsi="Arial" w:cs="Arial"/>
                <w:spacing w:val="-2"/>
                <w:w w:val="90"/>
                <w:sz w:val="18"/>
                <w:szCs w:val="18"/>
                <w:lang w:val="sk-SK"/>
              </w:rPr>
              <w:t>í</w:t>
            </w:r>
            <w:r w:rsidRPr="004F6F0E">
              <w:rPr>
                <w:rFonts w:ascii="Arial" w:hAnsi="Arial" w:cs="Arial"/>
                <w:spacing w:val="1"/>
                <w:w w:val="90"/>
                <w:sz w:val="18"/>
                <w:szCs w:val="18"/>
                <w:lang w:val="sk-SK"/>
              </w:rPr>
              <w:t>n</w:t>
            </w:r>
            <w:r w:rsidRPr="004F6F0E">
              <w:rPr>
                <w:rFonts w:ascii="Arial" w:hAnsi="Arial" w:cs="Arial"/>
                <w:w w:val="90"/>
                <w:sz w:val="18"/>
                <w:szCs w:val="18"/>
                <w:lang w:val="sk-SK"/>
              </w:rPr>
              <w:t>sky</w:t>
            </w:r>
            <w:r w:rsidR="00D87BC4">
              <w:rPr>
                <w:rFonts w:ascii="Arial" w:hAnsi="Arial" w:cs="Arial"/>
                <w:w w:val="90"/>
                <w:sz w:val="18"/>
                <w:szCs w:val="18"/>
                <w:lang w:val="sk-SK"/>
              </w:rPr>
              <w:t xml:space="preserve"> </w:t>
            </w:r>
            <w:r w:rsidRPr="004F6F0E">
              <w:rPr>
                <w:rFonts w:ascii="Arial" w:hAnsi="Arial" w:cs="Arial"/>
                <w:spacing w:val="1"/>
                <w:w w:val="90"/>
                <w:sz w:val="18"/>
                <w:szCs w:val="18"/>
                <w:lang w:val="sk-SK"/>
              </w:rPr>
              <w:t>u</w:t>
            </w:r>
            <w:r w:rsidRPr="004F6F0E">
              <w:rPr>
                <w:rFonts w:ascii="Arial" w:hAnsi="Arial" w:cs="Arial"/>
                <w:w w:val="90"/>
                <w:sz w:val="18"/>
                <w:szCs w:val="18"/>
                <w:lang w:val="sk-SK"/>
              </w:rPr>
              <w:t>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w:t>
            </w:r>
            <w:r w:rsidRPr="004F6F0E">
              <w:rPr>
                <w:rFonts w:ascii="Arial" w:hAnsi="Arial" w:cs="Arial"/>
                <w:spacing w:val="-1"/>
                <w:w w:val="90"/>
                <w:sz w:val="18"/>
                <w:szCs w:val="18"/>
                <w:lang w:val="sk-SK"/>
              </w:rPr>
              <w:t>n</w:t>
            </w:r>
            <w:r w:rsidRPr="004F6F0E">
              <w:rPr>
                <w:rFonts w:ascii="Arial" w:hAnsi="Arial" w:cs="Arial"/>
                <w:w w:val="90"/>
                <w:sz w:val="18"/>
                <w:szCs w:val="18"/>
                <w:lang w:val="sk-SK"/>
              </w:rPr>
              <w:t>ý</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v</w:t>
            </w:r>
            <w:r w:rsidRPr="004F6F0E">
              <w:rPr>
                <w:rFonts w:ascii="Arial" w:hAnsi="Arial" w:cs="Arial"/>
                <w:w w:val="90"/>
                <w:sz w:val="18"/>
                <w:szCs w:val="18"/>
                <w:lang w:val="sk-SK"/>
              </w:rPr>
              <w:t>edecký</w:t>
            </w:r>
            <w:r w:rsidR="00D87BC4">
              <w:rPr>
                <w:rFonts w:ascii="Arial" w:hAnsi="Arial" w:cs="Arial"/>
                <w:w w:val="90"/>
                <w:sz w:val="18"/>
                <w:szCs w:val="18"/>
                <w:lang w:val="sk-SK"/>
              </w:rPr>
              <w:t xml:space="preserve"> </w:t>
            </w:r>
            <w:r w:rsidRPr="004F6F0E">
              <w:rPr>
                <w:rFonts w:ascii="Arial" w:hAnsi="Arial" w:cs="Arial"/>
                <w:spacing w:val="1"/>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rk</w:t>
            </w:r>
            <w:r w:rsidR="00D87BC4">
              <w:rPr>
                <w:rFonts w:ascii="Arial" w:hAnsi="Arial" w:cs="Arial"/>
                <w:w w:val="90"/>
                <w:sz w:val="18"/>
                <w:szCs w:val="18"/>
                <w:lang w:val="sk-SK"/>
              </w:rPr>
              <w:t xml:space="preserve"> </w:t>
            </w:r>
            <w:r w:rsidRPr="004F6F0E">
              <w:rPr>
                <w:rFonts w:ascii="Arial" w:hAnsi="Arial" w:cs="Arial"/>
                <w:w w:val="90"/>
                <w:sz w:val="18"/>
                <w:szCs w:val="18"/>
                <w:lang w:val="sk-SK"/>
              </w:rPr>
              <w:t>v</w:t>
            </w:r>
            <w:r w:rsidR="00D87BC4">
              <w:rPr>
                <w:rFonts w:ascii="Arial" w:hAnsi="Arial" w:cs="Arial"/>
                <w:w w:val="90"/>
                <w:sz w:val="18"/>
                <w:szCs w:val="18"/>
                <w:lang w:val="sk-SK"/>
              </w:rPr>
              <w:t xml:space="preserve"> </w:t>
            </w:r>
            <w:r w:rsidRPr="004F6F0E">
              <w:rPr>
                <w:rFonts w:ascii="Arial" w:hAnsi="Arial" w:cs="Arial"/>
                <w:w w:val="90"/>
                <w:sz w:val="18"/>
                <w:szCs w:val="18"/>
                <w:lang w:val="sk-SK"/>
              </w:rPr>
              <w:t>Koš</w:t>
            </w:r>
            <w:r w:rsidRPr="004F6F0E">
              <w:rPr>
                <w:rFonts w:ascii="Arial" w:hAnsi="Arial" w:cs="Arial"/>
                <w:spacing w:val="-1"/>
                <w:w w:val="90"/>
                <w:sz w:val="18"/>
                <w:szCs w:val="18"/>
                <w:lang w:val="sk-SK"/>
              </w:rPr>
              <w:t>i</w:t>
            </w:r>
            <w:r w:rsidRPr="004F6F0E">
              <w:rPr>
                <w:rFonts w:ascii="Arial" w:hAnsi="Arial" w:cs="Arial"/>
                <w:w w:val="90"/>
                <w:sz w:val="18"/>
                <w:szCs w:val="18"/>
                <w:lang w:val="sk-SK"/>
              </w:rPr>
              <w:t>c</w:t>
            </w:r>
            <w:r w:rsidRPr="004F6F0E">
              <w:rPr>
                <w:rFonts w:ascii="Arial" w:hAnsi="Arial" w:cs="Arial"/>
                <w:spacing w:val="-1"/>
                <w:w w:val="90"/>
                <w:sz w:val="18"/>
                <w:szCs w:val="18"/>
                <w:lang w:val="sk-SK"/>
              </w:rPr>
              <w:t>i</w:t>
            </w:r>
            <w:r w:rsidRPr="004F6F0E">
              <w:rPr>
                <w:rFonts w:ascii="Arial" w:hAnsi="Arial" w:cs="Arial"/>
                <w:spacing w:val="-2"/>
                <w:w w:val="90"/>
                <w:sz w:val="18"/>
                <w:szCs w:val="18"/>
                <w:lang w:val="sk-SK"/>
              </w:rPr>
              <w:t>a</w:t>
            </w:r>
            <w:r w:rsidRPr="004F6F0E">
              <w:rPr>
                <w:rFonts w:ascii="Arial" w:hAnsi="Arial" w:cs="Arial"/>
                <w:w w:val="90"/>
                <w:sz w:val="18"/>
                <w:szCs w:val="18"/>
                <w:lang w:val="sk-SK"/>
              </w:rPr>
              <w:t>ch</w:t>
            </w:r>
            <w:r w:rsidR="00D87BC4">
              <w:rPr>
                <w:rFonts w:ascii="Arial" w:hAnsi="Arial" w:cs="Arial"/>
                <w:w w:val="90"/>
                <w:sz w:val="18"/>
                <w:szCs w:val="18"/>
                <w:lang w:val="sk-SK"/>
              </w:rPr>
              <w:t xml:space="preserve"> </w:t>
            </w:r>
            <w:r w:rsidRPr="004F6F0E">
              <w:rPr>
                <w:rFonts w:ascii="Arial" w:hAnsi="Arial" w:cs="Arial"/>
                <w:w w:val="90"/>
                <w:sz w:val="18"/>
                <w:szCs w:val="18"/>
                <w:lang w:val="sk-SK"/>
              </w:rPr>
              <w:t>(</w:t>
            </w:r>
            <w:r w:rsidRPr="004F6F0E">
              <w:rPr>
                <w:rFonts w:ascii="Arial" w:hAnsi="Arial" w:cs="Arial"/>
                <w:spacing w:val="-1"/>
                <w:w w:val="90"/>
                <w:sz w:val="18"/>
                <w:szCs w:val="18"/>
                <w:lang w:val="sk-SK"/>
              </w:rPr>
              <w:t>M</w:t>
            </w:r>
            <w:r w:rsidRPr="004F6F0E">
              <w:rPr>
                <w:rFonts w:ascii="Arial" w:hAnsi="Arial" w:cs="Arial"/>
                <w:w w:val="90"/>
                <w:sz w:val="18"/>
                <w:szCs w:val="18"/>
                <w:lang w:val="sk-SK"/>
              </w:rPr>
              <w:t>ed</w:t>
            </w:r>
            <w:r w:rsidRPr="004F6F0E">
              <w:rPr>
                <w:rFonts w:ascii="Arial" w:hAnsi="Arial" w:cs="Arial"/>
                <w:spacing w:val="-1"/>
                <w:w w:val="90"/>
                <w:sz w:val="18"/>
                <w:szCs w:val="18"/>
                <w:lang w:val="sk-SK"/>
              </w:rPr>
              <w:t>i</w:t>
            </w:r>
            <w:r w:rsidRPr="004F6F0E">
              <w:rPr>
                <w:rFonts w:ascii="Arial" w:hAnsi="Arial" w:cs="Arial"/>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rk,</w:t>
            </w:r>
            <w:r w:rsidR="00D87BC4">
              <w:rPr>
                <w:rFonts w:ascii="Arial" w:hAnsi="Arial" w:cs="Arial"/>
                <w:w w:val="90"/>
                <w:sz w:val="18"/>
                <w:szCs w:val="18"/>
                <w:lang w:val="sk-SK"/>
              </w:rPr>
              <w:t xml:space="preserve"> </w:t>
            </w:r>
            <w:r w:rsidRPr="004F6F0E">
              <w:rPr>
                <w:rFonts w:ascii="Arial" w:hAnsi="Arial" w:cs="Arial"/>
                <w:w w:val="90"/>
                <w:sz w:val="18"/>
                <w:szCs w:val="18"/>
                <w:lang w:val="sk-SK"/>
              </w:rPr>
              <w:t>Koš</w:t>
            </w:r>
            <w:r w:rsidRPr="004F6F0E">
              <w:rPr>
                <w:rFonts w:ascii="Arial" w:hAnsi="Arial" w:cs="Arial"/>
                <w:spacing w:val="-1"/>
                <w:w w:val="90"/>
                <w:sz w:val="18"/>
                <w:szCs w:val="18"/>
                <w:lang w:val="sk-SK"/>
              </w:rPr>
              <w:t>i</w:t>
            </w:r>
            <w:r w:rsidRPr="004F6F0E">
              <w:rPr>
                <w:rFonts w:ascii="Arial" w:hAnsi="Arial" w:cs="Arial"/>
                <w:spacing w:val="-4"/>
                <w:w w:val="90"/>
                <w:sz w:val="18"/>
                <w:szCs w:val="18"/>
                <w:lang w:val="sk-SK"/>
              </w:rPr>
              <w:t>c</w:t>
            </w:r>
            <w:r w:rsidRPr="004F6F0E">
              <w:rPr>
                <w:rFonts w:ascii="Arial" w:hAnsi="Arial" w:cs="Arial"/>
                <w:w w:val="90"/>
                <w:sz w:val="18"/>
                <w:szCs w:val="18"/>
                <w:lang w:val="sk-SK"/>
              </w:rPr>
              <w:t>e)</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ta</w:t>
            </w:r>
            <w:r w:rsidR="00D87BC4">
              <w:rPr>
                <w:rFonts w:ascii="Arial" w:hAnsi="Arial" w:cs="Arial"/>
                <w:w w:val="90"/>
                <w:sz w:val="18"/>
                <w:szCs w:val="18"/>
                <w:lang w:val="sk-SK"/>
              </w:rPr>
              <w:t xml:space="preserve"> </w:t>
            </w:r>
            <w:r w:rsidRPr="004F6F0E">
              <w:rPr>
                <w:rFonts w:ascii="Arial" w:hAnsi="Arial" w:cs="Arial"/>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vla</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J</w:t>
            </w:r>
            <w:r w:rsidRPr="004F6F0E">
              <w:rPr>
                <w:rFonts w:ascii="Arial" w:hAnsi="Arial" w:cs="Arial"/>
                <w:w w:val="90"/>
                <w:sz w:val="18"/>
                <w:szCs w:val="18"/>
                <w:lang w:val="sk-SK"/>
              </w:rPr>
              <w:t>o</w:t>
            </w:r>
            <w:r w:rsidRPr="004F6F0E">
              <w:rPr>
                <w:rFonts w:ascii="Arial" w:hAnsi="Arial" w:cs="Arial"/>
                <w:spacing w:val="-1"/>
                <w:w w:val="90"/>
                <w:sz w:val="18"/>
                <w:szCs w:val="18"/>
                <w:lang w:val="sk-SK"/>
              </w:rPr>
              <w:t>z</w:t>
            </w:r>
            <w:r w:rsidRPr="004F6F0E">
              <w:rPr>
                <w:rFonts w:ascii="Arial" w:hAnsi="Arial" w:cs="Arial"/>
                <w:w w:val="90"/>
                <w:sz w:val="18"/>
                <w:szCs w:val="18"/>
                <w:lang w:val="sk-SK"/>
              </w:rPr>
              <w:t>efa</w:t>
            </w:r>
            <w:r w:rsidR="00D87BC4">
              <w:rPr>
                <w:rFonts w:ascii="Arial" w:hAnsi="Arial" w:cs="Arial"/>
                <w:w w:val="90"/>
                <w:sz w:val="18"/>
                <w:szCs w:val="18"/>
                <w:lang w:val="sk-SK"/>
              </w:rPr>
              <w:t xml:space="preserve"> </w:t>
            </w:r>
            <w:r w:rsidRPr="004F6F0E">
              <w:rPr>
                <w:rFonts w:ascii="Arial" w:hAnsi="Arial" w:cs="Arial"/>
                <w:w w:val="90"/>
                <w:sz w:val="18"/>
                <w:szCs w:val="18"/>
                <w:lang w:val="sk-SK"/>
              </w:rPr>
              <w:t>Š</w:t>
            </w:r>
            <w:r w:rsidRPr="004F6F0E">
              <w:rPr>
                <w:rFonts w:ascii="Arial" w:hAnsi="Arial" w:cs="Arial"/>
                <w:spacing w:val="-2"/>
                <w:w w:val="90"/>
                <w:sz w:val="18"/>
                <w:szCs w:val="18"/>
                <w:lang w:val="sk-SK"/>
              </w:rPr>
              <w:t>a</w:t>
            </w:r>
            <w:r w:rsidRPr="004F6F0E">
              <w:rPr>
                <w:rFonts w:ascii="Arial" w:hAnsi="Arial" w:cs="Arial"/>
                <w:w w:val="90"/>
                <w:sz w:val="18"/>
                <w:szCs w:val="18"/>
                <w:lang w:val="sk-SK"/>
              </w:rPr>
              <w:t>f</w:t>
            </w:r>
            <w:r w:rsidRPr="004F6F0E">
              <w:rPr>
                <w:rFonts w:ascii="Arial" w:hAnsi="Arial" w:cs="Arial"/>
                <w:spacing w:val="-2"/>
                <w:w w:val="90"/>
                <w:sz w:val="18"/>
                <w:szCs w:val="18"/>
                <w:lang w:val="sk-SK"/>
              </w:rPr>
              <w:t>á</w:t>
            </w:r>
            <w:r w:rsidRPr="004F6F0E">
              <w:rPr>
                <w:rFonts w:ascii="Arial" w:hAnsi="Arial" w:cs="Arial"/>
                <w:w w:val="90"/>
                <w:sz w:val="18"/>
                <w:szCs w:val="18"/>
                <w:lang w:val="sk-SK"/>
              </w:rPr>
              <w:t>r</w:t>
            </w:r>
            <w:r w:rsidRPr="004F6F0E">
              <w:rPr>
                <w:rFonts w:ascii="Arial" w:hAnsi="Arial" w:cs="Arial"/>
                <w:spacing w:val="-1"/>
                <w:w w:val="90"/>
                <w:sz w:val="18"/>
                <w:szCs w:val="18"/>
                <w:lang w:val="sk-SK"/>
              </w:rPr>
              <w:t>i</w:t>
            </w:r>
            <w:r w:rsidRPr="004F6F0E">
              <w:rPr>
                <w:rFonts w:ascii="Arial" w:hAnsi="Arial" w:cs="Arial"/>
                <w:w w:val="90"/>
                <w:sz w:val="18"/>
                <w:szCs w:val="18"/>
                <w:lang w:val="sk-SK"/>
              </w:rPr>
              <w:t>ka</w:t>
            </w:r>
            <w:r w:rsidR="00D87BC4">
              <w:rPr>
                <w:rFonts w:ascii="Arial" w:hAnsi="Arial" w:cs="Arial"/>
                <w:w w:val="90"/>
                <w:sz w:val="18"/>
                <w:szCs w:val="18"/>
                <w:lang w:val="sk-SK"/>
              </w:rPr>
              <w:t xml:space="preserve"> </w:t>
            </w:r>
            <w:r w:rsidRPr="004F6F0E">
              <w:rPr>
                <w:rFonts w:ascii="Arial" w:hAnsi="Arial" w:cs="Arial"/>
                <w:w w:val="90"/>
                <w:sz w:val="18"/>
                <w:szCs w:val="18"/>
                <w:lang w:val="sk-SK"/>
              </w:rPr>
              <w:t>v</w:t>
            </w:r>
            <w:r w:rsidR="00D87BC4">
              <w:rPr>
                <w:rFonts w:ascii="Arial" w:hAnsi="Arial" w:cs="Arial"/>
                <w:w w:val="90"/>
                <w:sz w:val="18"/>
                <w:szCs w:val="18"/>
                <w:lang w:val="sk-SK"/>
              </w:rPr>
              <w:t xml:space="preserve"> </w:t>
            </w:r>
            <w:r w:rsidRPr="004F6F0E">
              <w:rPr>
                <w:rFonts w:ascii="Arial" w:hAnsi="Arial" w:cs="Arial"/>
                <w:w w:val="90"/>
                <w:sz w:val="18"/>
                <w:szCs w:val="18"/>
                <w:lang w:val="sk-SK"/>
              </w:rPr>
              <w:t>Koš</w:t>
            </w:r>
            <w:r w:rsidRPr="004F6F0E">
              <w:rPr>
                <w:rFonts w:ascii="Arial" w:hAnsi="Arial" w:cs="Arial"/>
                <w:spacing w:val="-1"/>
                <w:w w:val="90"/>
                <w:sz w:val="18"/>
                <w:szCs w:val="18"/>
                <w:lang w:val="sk-SK"/>
              </w:rPr>
              <w:t>i</w:t>
            </w:r>
            <w:r w:rsidRPr="004F6F0E">
              <w:rPr>
                <w:rFonts w:ascii="Arial" w:hAnsi="Arial" w:cs="Arial"/>
                <w:w w:val="90"/>
                <w:sz w:val="18"/>
                <w:szCs w:val="18"/>
                <w:lang w:val="sk-SK"/>
              </w:rPr>
              <w:t>c</w:t>
            </w:r>
            <w:r w:rsidRPr="004F6F0E">
              <w:rPr>
                <w:rFonts w:ascii="Arial" w:hAnsi="Arial" w:cs="Arial"/>
                <w:spacing w:val="-1"/>
                <w:w w:val="90"/>
                <w:sz w:val="18"/>
                <w:szCs w:val="18"/>
                <w:lang w:val="sk-SK"/>
              </w:rPr>
              <w:t>i</w:t>
            </w:r>
            <w:r w:rsidRPr="004F6F0E">
              <w:rPr>
                <w:rFonts w:ascii="Arial" w:hAnsi="Arial" w:cs="Arial"/>
                <w:spacing w:val="-2"/>
                <w:w w:val="90"/>
                <w:sz w:val="18"/>
                <w:szCs w:val="18"/>
                <w:lang w:val="sk-SK"/>
              </w:rPr>
              <w:t>a</w:t>
            </w:r>
            <w:r w:rsidRPr="004F6F0E">
              <w:rPr>
                <w:rFonts w:ascii="Arial" w:hAnsi="Arial" w:cs="Arial"/>
                <w:w w:val="90"/>
                <w:sz w:val="18"/>
                <w:szCs w:val="18"/>
                <w:lang w:val="sk-SK"/>
              </w:rPr>
              <w:t>ch</w:t>
            </w:r>
          </w:p>
        </w:tc>
      </w:tr>
      <w:tr w:rsidR="009B4A3B" w:rsidRPr="004F6F0E">
        <w:trPr>
          <w:trHeight w:hRule="exact" w:val="228"/>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7.</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Výsku</w:t>
            </w:r>
            <w:r w:rsidRPr="004F6F0E">
              <w:rPr>
                <w:rFonts w:ascii="Arial" w:hAnsi="Arial" w:cs="Arial"/>
                <w:spacing w:val="-1"/>
                <w:w w:val="90"/>
                <w:sz w:val="18"/>
                <w:szCs w:val="18"/>
                <w:lang w:val="sk-SK"/>
              </w:rPr>
              <w:t>m</w:t>
            </w:r>
            <w:r w:rsidRPr="004F6F0E">
              <w:rPr>
                <w:rFonts w:ascii="Arial" w:hAnsi="Arial" w:cs="Arial"/>
                <w:w w:val="90"/>
                <w:sz w:val="18"/>
                <w:szCs w:val="18"/>
                <w:lang w:val="sk-SK"/>
              </w:rPr>
              <w:t>né</w:t>
            </w:r>
            <w:r w:rsidR="00D87BC4">
              <w:rPr>
                <w:rFonts w:ascii="Arial" w:hAnsi="Arial" w:cs="Arial"/>
                <w:w w:val="90"/>
                <w:sz w:val="18"/>
                <w:szCs w:val="18"/>
                <w:lang w:val="sk-SK"/>
              </w:rPr>
              <w:t xml:space="preserve"> </w:t>
            </w:r>
            <w:r w:rsidRPr="004F6F0E">
              <w:rPr>
                <w:rFonts w:ascii="Arial" w:hAnsi="Arial" w:cs="Arial"/>
                <w:w w:val="90"/>
                <w:sz w:val="18"/>
                <w:szCs w:val="18"/>
                <w:lang w:val="sk-SK"/>
              </w:rPr>
              <w:t>ce</w:t>
            </w:r>
            <w:r w:rsidRPr="004F6F0E">
              <w:rPr>
                <w:rFonts w:ascii="Arial" w:hAnsi="Arial" w:cs="Arial"/>
                <w:spacing w:val="1"/>
                <w:w w:val="90"/>
                <w:sz w:val="18"/>
                <w:szCs w:val="18"/>
                <w:lang w:val="sk-SK"/>
              </w:rPr>
              <w:t>n</w:t>
            </w:r>
            <w:r w:rsidRPr="004F6F0E">
              <w:rPr>
                <w:rFonts w:ascii="Arial" w:hAnsi="Arial" w:cs="Arial"/>
                <w:w w:val="90"/>
                <w:sz w:val="18"/>
                <w:szCs w:val="18"/>
                <w:lang w:val="sk-SK"/>
              </w:rPr>
              <w:t>trum</w:t>
            </w:r>
            <w:r w:rsidR="00D87BC4">
              <w:rPr>
                <w:rFonts w:ascii="Arial" w:hAnsi="Arial" w:cs="Arial"/>
                <w:w w:val="90"/>
                <w:sz w:val="18"/>
                <w:szCs w:val="18"/>
                <w:lang w:val="sk-SK"/>
              </w:rPr>
              <w:t xml:space="preserve"> </w:t>
            </w:r>
            <w:r w:rsidRPr="004F6F0E">
              <w:rPr>
                <w:rFonts w:ascii="Arial" w:hAnsi="Arial" w:cs="Arial"/>
                <w:w w:val="90"/>
                <w:sz w:val="18"/>
                <w:szCs w:val="18"/>
                <w:lang w:val="sk-SK"/>
              </w:rPr>
              <w:t>Ž</w:t>
            </w:r>
            <w:r w:rsidRPr="004F6F0E">
              <w:rPr>
                <w:rFonts w:ascii="Arial" w:hAnsi="Arial" w:cs="Arial"/>
                <w:spacing w:val="-1"/>
                <w:w w:val="90"/>
                <w:sz w:val="18"/>
                <w:szCs w:val="18"/>
                <w:lang w:val="sk-SK"/>
              </w:rPr>
              <w:t>i</w:t>
            </w:r>
            <w:r w:rsidRPr="004F6F0E">
              <w:rPr>
                <w:rFonts w:ascii="Arial" w:hAnsi="Arial" w:cs="Arial"/>
                <w:spacing w:val="1"/>
                <w:w w:val="90"/>
                <w:sz w:val="18"/>
                <w:szCs w:val="18"/>
                <w:lang w:val="sk-SK"/>
              </w:rPr>
              <w:t>l</w:t>
            </w:r>
            <w:r w:rsidRPr="004F6F0E">
              <w:rPr>
                <w:rFonts w:ascii="Arial" w:hAnsi="Arial" w:cs="Arial"/>
                <w:spacing w:val="-1"/>
                <w:w w:val="90"/>
                <w:sz w:val="18"/>
                <w:szCs w:val="18"/>
                <w:lang w:val="sk-SK"/>
              </w:rPr>
              <w:t>i</w:t>
            </w:r>
            <w:r w:rsidRPr="004F6F0E">
              <w:rPr>
                <w:rFonts w:ascii="Arial" w:hAnsi="Arial" w:cs="Arial"/>
                <w:w w:val="90"/>
                <w:sz w:val="18"/>
                <w:szCs w:val="18"/>
                <w:lang w:val="sk-SK"/>
              </w:rPr>
              <w:t>n</w:t>
            </w:r>
            <w:r w:rsidRPr="004F6F0E">
              <w:rPr>
                <w:rFonts w:ascii="Arial" w:hAnsi="Arial" w:cs="Arial"/>
                <w:spacing w:val="2"/>
                <w:w w:val="90"/>
                <w:sz w:val="18"/>
                <w:szCs w:val="18"/>
                <w:lang w:val="sk-SK"/>
              </w:rPr>
              <w:t>s</w:t>
            </w:r>
            <w:r w:rsidRPr="004F6F0E">
              <w:rPr>
                <w:rFonts w:ascii="Arial" w:hAnsi="Arial" w:cs="Arial"/>
                <w:w w:val="90"/>
                <w:sz w:val="18"/>
                <w:szCs w:val="18"/>
                <w:lang w:val="sk-SK"/>
              </w:rPr>
              <w:t>kej</w:t>
            </w:r>
            <w:r w:rsidR="00D87BC4">
              <w:rPr>
                <w:rFonts w:ascii="Arial" w:hAnsi="Arial" w:cs="Arial"/>
                <w:w w:val="90"/>
                <w:sz w:val="18"/>
                <w:szCs w:val="18"/>
                <w:lang w:val="sk-SK"/>
              </w:rPr>
              <w:t xml:space="preserve"> </w:t>
            </w:r>
            <w:r w:rsidRPr="004F6F0E">
              <w:rPr>
                <w:rFonts w:ascii="Arial" w:hAnsi="Arial" w:cs="Arial"/>
                <w:spacing w:val="1"/>
                <w:w w:val="90"/>
                <w:sz w:val="18"/>
                <w:szCs w:val="18"/>
                <w:lang w:val="sk-SK"/>
              </w:rPr>
              <w:t>u</w:t>
            </w:r>
            <w:r w:rsidRPr="004F6F0E">
              <w:rPr>
                <w:rFonts w:ascii="Arial" w:hAnsi="Arial" w:cs="Arial"/>
                <w:w w:val="90"/>
                <w:sz w:val="18"/>
                <w:szCs w:val="18"/>
                <w:lang w:val="sk-SK"/>
              </w:rPr>
              <w:t>n</w:t>
            </w:r>
            <w:r w:rsidRPr="004F6F0E">
              <w:rPr>
                <w:rFonts w:ascii="Arial" w:hAnsi="Arial" w:cs="Arial"/>
                <w:spacing w:val="-1"/>
                <w:w w:val="90"/>
                <w:sz w:val="18"/>
                <w:szCs w:val="18"/>
                <w:lang w:val="sk-SK"/>
              </w:rPr>
              <w:t>i</w:t>
            </w:r>
            <w:r w:rsidRPr="004F6F0E">
              <w:rPr>
                <w:rFonts w:ascii="Arial" w:hAnsi="Arial" w:cs="Arial"/>
                <w:spacing w:val="2"/>
                <w:w w:val="90"/>
                <w:sz w:val="18"/>
                <w:szCs w:val="18"/>
                <w:lang w:val="sk-SK"/>
              </w:rPr>
              <w:t>v</w:t>
            </w:r>
            <w:r w:rsidRPr="004F6F0E">
              <w:rPr>
                <w:rFonts w:ascii="Arial" w:hAnsi="Arial" w:cs="Arial"/>
                <w:w w:val="90"/>
                <w:sz w:val="18"/>
                <w:szCs w:val="18"/>
                <w:lang w:val="sk-SK"/>
              </w:rPr>
              <w:t>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ty</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3"/>
              <w:rPr>
                <w:rFonts w:ascii="Arial" w:hAnsi="Arial" w:cs="Arial"/>
                <w:sz w:val="18"/>
                <w:szCs w:val="18"/>
                <w:lang w:val="sk-SK"/>
              </w:rPr>
            </w:pPr>
            <w:r w:rsidRPr="004F6F0E">
              <w:rPr>
                <w:rFonts w:ascii="Arial" w:hAnsi="Arial" w:cs="Arial"/>
                <w:w w:val="90"/>
                <w:sz w:val="18"/>
                <w:szCs w:val="18"/>
                <w:lang w:val="sk-SK"/>
              </w:rPr>
              <w:t>Ž</w:t>
            </w:r>
            <w:r w:rsidRPr="004F6F0E">
              <w:rPr>
                <w:rFonts w:ascii="Arial" w:hAnsi="Arial" w:cs="Arial"/>
                <w:spacing w:val="-1"/>
                <w:w w:val="90"/>
                <w:sz w:val="18"/>
                <w:szCs w:val="18"/>
                <w:lang w:val="sk-SK"/>
              </w:rPr>
              <w:t>ili</w:t>
            </w:r>
            <w:r w:rsidRPr="004F6F0E">
              <w:rPr>
                <w:rFonts w:ascii="Arial" w:hAnsi="Arial" w:cs="Arial"/>
                <w:spacing w:val="1"/>
                <w:w w:val="90"/>
                <w:sz w:val="18"/>
                <w:szCs w:val="18"/>
                <w:lang w:val="sk-SK"/>
              </w:rPr>
              <w:t>n</w:t>
            </w:r>
            <w:r w:rsidRPr="004F6F0E">
              <w:rPr>
                <w:rFonts w:ascii="Arial" w:hAnsi="Arial" w:cs="Arial"/>
                <w:w w:val="90"/>
                <w:sz w:val="18"/>
                <w:szCs w:val="18"/>
                <w:lang w:val="sk-SK"/>
              </w:rPr>
              <w:t>ská u</w:t>
            </w:r>
            <w:r w:rsidRPr="004F6F0E">
              <w:rPr>
                <w:rFonts w:ascii="Arial" w:hAnsi="Arial" w:cs="Arial"/>
                <w:spacing w:val="1"/>
                <w:w w:val="90"/>
                <w:sz w:val="18"/>
                <w:szCs w:val="18"/>
                <w:lang w:val="sk-SK"/>
              </w:rPr>
              <w:t>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ta v</w:t>
            </w:r>
            <w:r w:rsidR="00D87BC4">
              <w:rPr>
                <w:rFonts w:ascii="Arial" w:hAnsi="Arial" w:cs="Arial"/>
                <w:w w:val="90"/>
                <w:sz w:val="18"/>
                <w:szCs w:val="18"/>
                <w:lang w:val="sk-SK"/>
              </w:rPr>
              <w:t xml:space="preserve"> </w:t>
            </w:r>
            <w:r w:rsidRPr="004F6F0E">
              <w:rPr>
                <w:rFonts w:ascii="Arial" w:hAnsi="Arial" w:cs="Arial"/>
                <w:spacing w:val="-3"/>
                <w:w w:val="90"/>
                <w:sz w:val="18"/>
                <w:szCs w:val="18"/>
                <w:lang w:val="sk-SK"/>
              </w:rPr>
              <w:t>Ž</w:t>
            </w:r>
            <w:r w:rsidRPr="004F6F0E">
              <w:rPr>
                <w:rFonts w:ascii="Arial" w:hAnsi="Arial" w:cs="Arial"/>
                <w:spacing w:val="-1"/>
                <w:w w:val="90"/>
                <w:sz w:val="18"/>
                <w:szCs w:val="18"/>
                <w:lang w:val="sk-SK"/>
              </w:rPr>
              <w:t>il</w:t>
            </w:r>
            <w:r w:rsidRPr="004F6F0E">
              <w:rPr>
                <w:rFonts w:ascii="Arial" w:hAnsi="Arial" w:cs="Arial"/>
                <w:spacing w:val="1"/>
                <w:w w:val="90"/>
                <w:sz w:val="18"/>
                <w:szCs w:val="18"/>
                <w:lang w:val="sk-SK"/>
              </w:rPr>
              <w:t>i</w:t>
            </w:r>
            <w:r w:rsidRPr="004F6F0E">
              <w:rPr>
                <w:rFonts w:ascii="Arial" w:hAnsi="Arial" w:cs="Arial"/>
                <w:w w:val="90"/>
                <w:sz w:val="18"/>
                <w:szCs w:val="18"/>
                <w:lang w:val="sk-SK"/>
              </w:rPr>
              <w:t>ne</w:t>
            </w:r>
          </w:p>
        </w:tc>
      </w:tr>
      <w:tr w:rsidR="009B4A3B" w:rsidRPr="004F6F0E">
        <w:trPr>
          <w:trHeight w:hRule="exact" w:val="230"/>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8.</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w:t>
            </w:r>
            <w:r w:rsidRPr="004F6F0E">
              <w:rPr>
                <w:rFonts w:ascii="Arial" w:hAnsi="Arial" w:cs="Arial"/>
                <w:spacing w:val="-1"/>
                <w:w w:val="90"/>
                <w:sz w:val="18"/>
                <w:szCs w:val="18"/>
                <w:lang w:val="sk-SK"/>
              </w:rPr>
              <w:t>n</w:t>
            </w:r>
            <w:r w:rsidRPr="004F6F0E">
              <w:rPr>
                <w:rFonts w:ascii="Arial" w:hAnsi="Arial" w:cs="Arial"/>
                <w:w w:val="90"/>
                <w:sz w:val="18"/>
                <w:szCs w:val="18"/>
                <w:lang w:val="sk-SK"/>
              </w:rPr>
              <w:t>ý</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v</w:t>
            </w:r>
            <w:r w:rsidRPr="004F6F0E">
              <w:rPr>
                <w:rFonts w:ascii="Arial" w:hAnsi="Arial" w:cs="Arial"/>
                <w:w w:val="90"/>
                <w:sz w:val="18"/>
                <w:szCs w:val="18"/>
                <w:lang w:val="sk-SK"/>
              </w:rPr>
              <w:t>edecký</w:t>
            </w:r>
            <w:r w:rsidR="00D87BC4">
              <w:rPr>
                <w:rFonts w:ascii="Arial" w:hAnsi="Arial" w:cs="Arial"/>
                <w:w w:val="90"/>
                <w:sz w:val="18"/>
                <w:szCs w:val="18"/>
                <w:lang w:val="sk-SK"/>
              </w:rPr>
              <w:t xml:space="preserve"> </w:t>
            </w:r>
            <w:r w:rsidRPr="004F6F0E">
              <w:rPr>
                <w:rFonts w:ascii="Arial" w:hAnsi="Arial" w:cs="Arial"/>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rk</w:t>
            </w:r>
            <w:r w:rsidR="00D87BC4">
              <w:rPr>
                <w:rFonts w:ascii="Arial" w:hAnsi="Arial" w:cs="Arial"/>
                <w:w w:val="90"/>
                <w:sz w:val="18"/>
                <w:szCs w:val="18"/>
                <w:lang w:val="sk-SK"/>
              </w:rPr>
              <w:t xml:space="preserve"> </w:t>
            </w:r>
            <w:r w:rsidRPr="004F6F0E">
              <w:rPr>
                <w:rFonts w:ascii="Arial" w:hAnsi="Arial" w:cs="Arial"/>
                <w:w w:val="90"/>
                <w:sz w:val="18"/>
                <w:szCs w:val="18"/>
                <w:lang w:val="sk-SK"/>
              </w:rPr>
              <w:t>pre</w:t>
            </w:r>
            <w:r w:rsidR="00D87BC4">
              <w:rPr>
                <w:rFonts w:ascii="Arial" w:hAnsi="Arial" w:cs="Arial"/>
                <w:w w:val="90"/>
                <w:sz w:val="18"/>
                <w:szCs w:val="18"/>
                <w:lang w:val="sk-SK"/>
              </w:rPr>
              <w:t xml:space="preserve"> </w:t>
            </w:r>
            <w:r w:rsidRPr="004F6F0E">
              <w:rPr>
                <w:rFonts w:ascii="Arial" w:hAnsi="Arial" w:cs="Arial"/>
                <w:w w:val="90"/>
                <w:sz w:val="18"/>
                <w:szCs w:val="18"/>
                <w:lang w:val="sk-SK"/>
              </w:rPr>
              <w:t>b</w:t>
            </w:r>
            <w:r w:rsidRPr="004F6F0E">
              <w:rPr>
                <w:rFonts w:ascii="Arial" w:hAnsi="Arial" w:cs="Arial"/>
                <w:spacing w:val="-1"/>
                <w:w w:val="90"/>
                <w:sz w:val="18"/>
                <w:szCs w:val="18"/>
                <w:lang w:val="sk-SK"/>
              </w:rPr>
              <w:t>i</w:t>
            </w:r>
            <w:r w:rsidRPr="004F6F0E">
              <w:rPr>
                <w:rFonts w:ascii="Arial" w:hAnsi="Arial" w:cs="Arial"/>
                <w:spacing w:val="1"/>
                <w:w w:val="90"/>
                <w:sz w:val="18"/>
                <w:szCs w:val="18"/>
                <w:lang w:val="sk-SK"/>
              </w:rPr>
              <w:t>o</w:t>
            </w:r>
            <w:r w:rsidRPr="004F6F0E">
              <w:rPr>
                <w:rFonts w:ascii="Arial" w:hAnsi="Arial" w:cs="Arial"/>
                <w:spacing w:val="-1"/>
                <w:w w:val="90"/>
                <w:sz w:val="18"/>
                <w:szCs w:val="18"/>
                <w:lang w:val="sk-SK"/>
              </w:rPr>
              <w:t>m</w:t>
            </w:r>
            <w:r w:rsidRPr="004F6F0E">
              <w:rPr>
                <w:rFonts w:ascii="Arial" w:hAnsi="Arial" w:cs="Arial"/>
                <w:w w:val="90"/>
                <w:sz w:val="18"/>
                <w:szCs w:val="18"/>
                <w:lang w:val="sk-SK"/>
              </w:rPr>
              <w:t>ed</w:t>
            </w:r>
            <w:r w:rsidRPr="004F6F0E">
              <w:rPr>
                <w:rFonts w:ascii="Arial" w:hAnsi="Arial" w:cs="Arial"/>
                <w:spacing w:val="-1"/>
                <w:w w:val="90"/>
                <w:sz w:val="18"/>
                <w:szCs w:val="18"/>
                <w:lang w:val="sk-SK"/>
              </w:rPr>
              <w:t>i</w:t>
            </w:r>
            <w:r w:rsidRPr="004F6F0E">
              <w:rPr>
                <w:rFonts w:ascii="Arial" w:hAnsi="Arial" w:cs="Arial"/>
                <w:w w:val="90"/>
                <w:sz w:val="18"/>
                <w:szCs w:val="18"/>
                <w:lang w:val="sk-SK"/>
              </w:rPr>
              <w:t>c</w:t>
            </w:r>
            <w:r w:rsidRPr="004F6F0E">
              <w:rPr>
                <w:rFonts w:ascii="Arial" w:hAnsi="Arial" w:cs="Arial"/>
                <w:spacing w:val="-2"/>
                <w:w w:val="90"/>
                <w:sz w:val="18"/>
                <w:szCs w:val="18"/>
                <w:lang w:val="sk-SK"/>
              </w:rPr>
              <w:t>í</w:t>
            </w:r>
            <w:r w:rsidRPr="004F6F0E">
              <w:rPr>
                <w:rFonts w:ascii="Arial" w:hAnsi="Arial" w:cs="Arial"/>
                <w:spacing w:val="1"/>
                <w:w w:val="90"/>
                <w:sz w:val="18"/>
                <w:szCs w:val="18"/>
                <w:lang w:val="sk-SK"/>
              </w:rPr>
              <w:t>n</w:t>
            </w:r>
            <w:r w:rsidRPr="004F6F0E">
              <w:rPr>
                <w:rFonts w:ascii="Arial" w:hAnsi="Arial" w:cs="Arial"/>
                <w:w w:val="90"/>
                <w:sz w:val="18"/>
                <w:szCs w:val="18"/>
                <w:lang w:val="sk-SK"/>
              </w:rPr>
              <w:t>u</w:t>
            </w:r>
            <w:r w:rsidR="00D87BC4">
              <w:rPr>
                <w:rFonts w:ascii="Arial" w:hAnsi="Arial" w:cs="Arial"/>
                <w:w w:val="90"/>
                <w:sz w:val="18"/>
                <w:szCs w:val="18"/>
                <w:lang w:val="sk-SK"/>
              </w:rPr>
              <w:t xml:space="preserve"> </w:t>
            </w:r>
            <w:r w:rsidRPr="004F6F0E">
              <w:rPr>
                <w:rFonts w:ascii="Arial" w:hAnsi="Arial" w:cs="Arial"/>
                <w:w w:val="90"/>
                <w:sz w:val="18"/>
                <w:szCs w:val="18"/>
                <w:lang w:val="sk-SK"/>
              </w:rPr>
              <w:t>Br</w:t>
            </w:r>
            <w:r w:rsidRPr="004F6F0E">
              <w:rPr>
                <w:rFonts w:ascii="Arial" w:hAnsi="Arial" w:cs="Arial"/>
                <w:spacing w:val="-2"/>
                <w:w w:val="90"/>
                <w:sz w:val="18"/>
                <w:szCs w:val="18"/>
                <w:lang w:val="sk-SK"/>
              </w:rPr>
              <w:t>a</w:t>
            </w:r>
            <w:r w:rsidRPr="004F6F0E">
              <w:rPr>
                <w:rFonts w:ascii="Arial" w:hAnsi="Arial" w:cs="Arial"/>
                <w:w w:val="90"/>
                <w:sz w:val="18"/>
                <w:szCs w:val="18"/>
                <w:lang w:val="sk-SK"/>
              </w:rPr>
              <w:t>t</w:t>
            </w:r>
            <w:r w:rsidRPr="004F6F0E">
              <w:rPr>
                <w:rFonts w:ascii="Arial" w:hAnsi="Arial" w:cs="Arial"/>
                <w:spacing w:val="-1"/>
                <w:w w:val="90"/>
                <w:sz w:val="18"/>
                <w:szCs w:val="18"/>
                <w:lang w:val="sk-SK"/>
              </w:rPr>
              <w:t>i</w:t>
            </w:r>
            <w:r w:rsidRPr="004F6F0E">
              <w:rPr>
                <w:rFonts w:ascii="Arial" w:hAnsi="Arial" w:cs="Arial"/>
                <w:w w:val="90"/>
                <w:sz w:val="18"/>
                <w:szCs w:val="18"/>
                <w:lang w:val="sk-SK"/>
              </w:rPr>
              <w:t>s</w:t>
            </w:r>
            <w:r w:rsidRPr="004F6F0E">
              <w:rPr>
                <w:rFonts w:ascii="Arial" w:hAnsi="Arial" w:cs="Arial"/>
                <w:spacing w:val="-1"/>
                <w:w w:val="90"/>
                <w:sz w:val="18"/>
                <w:szCs w:val="18"/>
                <w:lang w:val="sk-SK"/>
              </w:rPr>
              <w:t>l</w:t>
            </w:r>
            <w:r w:rsidRPr="004F6F0E">
              <w:rPr>
                <w:rFonts w:ascii="Arial" w:hAnsi="Arial" w:cs="Arial"/>
                <w:spacing w:val="-2"/>
                <w:w w:val="90"/>
                <w:sz w:val="18"/>
                <w:szCs w:val="18"/>
                <w:lang w:val="sk-SK"/>
              </w:rPr>
              <w:t>a</w:t>
            </w:r>
            <w:r w:rsidRPr="004F6F0E">
              <w:rPr>
                <w:rFonts w:ascii="Arial" w:hAnsi="Arial" w:cs="Arial"/>
                <w:w w:val="90"/>
                <w:sz w:val="18"/>
                <w:szCs w:val="18"/>
                <w:lang w:val="sk-SK"/>
              </w:rPr>
              <w:t>va</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3"/>
              <w:rPr>
                <w:rFonts w:ascii="Arial" w:hAnsi="Arial" w:cs="Arial"/>
                <w:sz w:val="18"/>
                <w:szCs w:val="18"/>
                <w:lang w:val="sk-SK"/>
              </w:rPr>
            </w:pPr>
            <w:r w:rsidRPr="004F6F0E">
              <w:rPr>
                <w:rFonts w:ascii="Arial" w:hAnsi="Arial" w:cs="Arial"/>
                <w:w w:val="90"/>
                <w:sz w:val="18"/>
                <w:szCs w:val="18"/>
                <w:lang w:val="sk-SK"/>
              </w:rPr>
              <w:t>Slovenská</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a</w:t>
            </w:r>
            <w:r w:rsidRPr="004F6F0E">
              <w:rPr>
                <w:rFonts w:ascii="Arial" w:hAnsi="Arial" w:cs="Arial"/>
                <w:w w:val="90"/>
                <w:sz w:val="18"/>
                <w:szCs w:val="18"/>
                <w:lang w:val="sk-SK"/>
              </w:rPr>
              <w:t>kadém</w:t>
            </w:r>
            <w:r w:rsidRPr="004F6F0E">
              <w:rPr>
                <w:rFonts w:ascii="Arial" w:hAnsi="Arial" w:cs="Arial"/>
                <w:spacing w:val="-1"/>
                <w:w w:val="90"/>
                <w:sz w:val="18"/>
                <w:szCs w:val="18"/>
                <w:lang w:val="sk-SK"/>
              </w:rPr>
              <w:t>i</w:t>
            </w:r>
            <w:r w:rsidRPr="004F6F0E">
              <w:rPr>
                <w:rFonts w:ascii="Arial" w:hAnsi="Arial" w:cs="Arial"/>
                <w:w w:val="90"/>
                <w:sz w:val="18"/>
                <w:szCs w:val="18"/>
                <w:lang w:val="sk-SK"/>
              </w:rPr>
              <w:t>a</w:t>
            </w:r>
            <w:r w:rsidR="00D87BC4">
              <w:rPr>
                <w:rFonts w:ascii="Arial" w:hAnsi="Arial" w:cs="Arial"/>
                <w:w w:val="90"/>
                <w:sz w:val="18"/>
                <w:szCs w:val="18"/>
                <w:lang w:val="sk-SK"/>
              </w:rPr>
              <w:t xml:space="preserve"> </w:t>
            </w:r>
            <w:r w:rsidRPr="004F6F0E">
              <w:rPr>
                <w:rFonts w:ascii="Arial" w:hAnsi="Arial" w:cs="Arial"/>
                <w:w w:val="90"/>
                <w:sz w:val="18"/>
                <w:szCs w:val="18"/>
                <w:lang w:val="sk-SK"/>
              </w:rPr>
              <w:t>vi</w:t>
            </w:r>
            <w:r w:rsidRPr="004F6F0E">
              <w:rPr>
                <w:rFonts w:ascii="Arial" w:hAnsi="Arial" w:cs="Arial"/>
                <w:spacing w:val="2"/>
                <w:w w:val="90"/>
                <w:sz w:val="18"/>
                <w:szCs w:val="18"/>
                <w:lang w:val="sk-SK"/>
              </w:rPr>
              <w:t>e</w:t>
            </w:r>
            <w:r w:rsidRPr="004F6F0E">
              <w:rPr>
                <w:rFonts w:ascii="Arial" w:hAnsi="Arial" w:cs="Arial"/>
                <w:w w:val="90"/>
                <w:sz w:val="18"/>
                <w:szCs w:val="18"/>
                <w:lang w:val="sk-SK"/>
              </w:rPr>
              <w:t>d</w:t>
            </w:r>
          </w:p>
        </w:tc>
      </w:tr>
      <w:tr w:rsidR="009B4A3B" w:rsidRPr="004F6F0E">
        <w:trPr>
          <w:trHeight w:hRule="exact" w:val="423"/>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9.</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Centrum</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a</w:t>
            </w:r>
            <w:r w:rsidRPr="004F6F0E">
              <w:rPr>
                <w:rFonts w:ascii="Arial" w:hAnsi="Arial" w:cs="Arial"/>
                <w:w w:val="90"/>
                <w:sz w:val="18"/>
                <w:szCs w:val="18"/>
                <w:lang w:val="sk-SK"/>
              </w:rPr>
              <w:t>p</w:t>
            </w:r>
            <w:r w:rsidRPr="004F6F0E">
              <w:rPr>
                <w:rFonts w:ascii="Arial" w:hAnsi="Arial" w:cs="Arial"/>
                <w:spacing w:val="-1"/>
                <w:w w:val="90"/>
                <w:sz w:val="18"/>
                <w:szCs w:val="18"/>
                <w:lang w:val="sk-SK"/>
              </w:rPr>
              <w:t>li</w:t>
            </w:r>
            <w:r w:rsidRPr="004F6F0E">
              <w:rPr>
                <w:rFonts w:ascii="Arial" w:hAnsi="Arial" w:cs="Arial"/>
                <w:w w:val="90"/>
                <w:sz w:val="18"/>
                <w:szCs w:val="18"/>
                <w:lang w:val="sk-SK"/>
              </w:rPr>
              <w:t>kovan</w:t>
            </w:r>
            <w:r w:rsidRPr="004F6F0E">
              <w:rPr>
                <w:rFonts w:ascii="Arial" w:hAnsi="Arial" w:cs="Arial"/>
                <w:spacing w:val="2"/>
                <w:w w:val="90"/>
                <w:sz w:val="18"/>
                <w:szCs w:val="18"/>
                <w:lang w:val="sk-SK"/>
              </w:rPr>
              <w:t>é</w:t>
            </w:r>
            <w:r w:rsidRPr="004F6F0E">
              <w:rPr>
                <w:rFonts w:ascii="Arial" w:hAnsi="Arial" w:cs="Arial"/>
                <w:w w:val="90"/>
                <w:sz w:val="18"/>
                <w:szCs w:val="18"/>
                <w:lang w:val="sk-SK"/>
              </w:rPr>
              <w:t>ho</w:t>
            </w:r>
            <w:r w:rsidR="00D87BC4">
              <w:rPr>
                <w:rFonts w:ascii="Arial" w:hAnsi="Arial" w:cs="Arial"/>
                <w:w w:val="90"/>
                <w:sz w:val="18"/>
                <w:szCs w:val="18"/>
                <w:lang w:val="sk-SK"/>
              </w:rPr>
              <w:t xml:space="preserve"> </w:t>
            </w:r>
            <w:r w:rsidRPr="004F6F0E">
              <w:rPr>
                <w:rFonts w:ascii="Arial" w:hAnsi="Arial" w:cs="Arial"/>
                <w:w w:val="90"/>
                <w:sz w:val="18"/>
                <w:szCs w:val="18"/>
                <w:lang w:val="sk-SK"/>
              </w:rPr>
              <w:t>výsku</w:t>
            </w:r>
            <w:r w:rsidRPr="004F6F0E">
              <w:rPr>
                <w:rFonts w:ascii="Arial" w:hAnsi="Arial" w:cs="Arial"/>
                <w:spacing w:val="-1"/>
                <w:w w:val="90"/>
                <w:sz w:val="18"/>
                <w:szCs w:val="18"/>
                <w:lang w:val="sk-SK"/>
              </w:rPr>
              <w:t>m</w:t>
            </w:r>
            <w:r w:rsidRPr="004F6F0E">
              <w:rPr>
                <w:rFonts w:ascii="Arial" w:hAnsi="Arial" w:cs="Arial"/>
                <w:w w:val="90"/>
                <w:sz w:val="18"/>
                <w:szCs w:val="18"/>
                <w:lang w:val="sk-SK"/>
              </w:rPr>
              <w:t>u</w:t>
            </w:r>
            <w:r w:rsidR="00D87BC4">
              <w:rPr>
                <w:rFonts w:ascii="Arial" w:hAnsi="Arial" w:cs="Arial"/>
                <w:w w:val="90"/>
                <w:sz w:val="18"/>
                <w:szCs w:val="18"/>
                <w:lang w:val="sk-SK"/>
              </w:rPr>
              <w:t xml:space="preserve"> </w:t>
            </w:r>
            <w:r w:rsidRPr="004F6F0E">
              <w:rPr>
                <w:rFonts w:ascii="Arial" w:hAnsi="Arial" w:cs="Arial"/>
                <w:w w:val="90"/>
                <w:sz w:val="18"/>
                <w:szCs w:val="18"/>
                <w:lang w:val="sk-SK"/>
              </w:rPr>
              <w:t>nových</w:t>
            </w:r>
            <w:r w:rsidR="00D87BC4">
              <w:rPr>
                <w:rFonts w:ascii="Arial" w:hAnsi="Arial" w:cs="Arial"/>
                <w:w w:val="90"/>
                <w:sz w:val="18"/>
                <w:szCs w:val="18"/>
                <w:lang w:val="sk-SK"/>
              </w:rPr>
              <w:t xml:space="preserve"> </w:t>
            </w:r>
            <w:r w:rsidRPr="004F6F0E">
              <w:rPr>
                <w:rFonts w:ascii="Arial" w:hAnsi="Arial" w:cs="Arial"/>
                <w:spacing w:val="-1"/>
                <w:w w:val="90"/>
                <w:sz w:val="18"/>
                <w:szCs w:val="18"/>
                <w:lang w:val="sk-SK"/>
              </w:rPr>
              <w:t>m</w:t>
            </w:r>
            <w:r w:rsidRPr="004F6F0E">
              <w:rPr>
                <w:rFonts w:ascii="Arial" w:hAnsi="Arial" w:cs="Arial"/>
                <w:spacing w:val="-2"/>
                <w:w w:val="90"/>
                <w:sz w:val="18"/>
                <w:szCs w:val="18"/>
                <w:lang w:val="sk-SK"/>
              </w:rPr>
              <w:t>a</w:t>
            </w:r>
            <w:r w:rsidRPr="004F6F0E">
              <w:rPr>
                <w:rFonts w:ascii="Arial" w:hAnsi="Arial" w:cs="Arial"/>
                <w:w w:val="90"/>
                <w:sz w:val="18"/>
                <w:szCs w:val="18"/>
                <w:lang w:val="sk-SK"/>
              </w:rPr>
              <w:t>ter</w:t>
            </w:r>
            <w:r w:rsidRPr="004F6F0E">
              <w:rPr>
                <w:rFonts w:ascii="Arial" w:hAnsi="Arial" w:cs="Arial"/>
                <w:spacing w:val="-1"/>
                <w:w w:val="90"/>
                <w:sz w:val="18"/>
                <w:szCs w:val="18"/>
                <w:lang w:val="sk-SK"/>
              </w:rPr>
              <w:t>i</w:t>
            </w:r>
            <w:r w:rsidRPr="004F6F0E">
              <w:rPr>
                <w:rFonts w:ascii="Arial" w:hAnsi="Arial" w:cs="Arial"/>
                <w:spacing w:val="-2"/>
                <w:w w:val="90"/>
                <w:sz w:val="18"/>
                <w:szCs w:val="18"/>
                <w:lang w:val="sk-SK"/>
              </w:rPr>
              <w:t>á</w:t>
            </w:r>
            <w:r w:rsidRPr="004F6F0E">
              <w:rPr>
                <w:rFonts w:ascii="Arial" w:hAnsi="Arial" w:cs="Arial"/>
                <w:spacing w:val="-1"/>
                <w:w w:val="90"/>
                <w:sz w:val="18"/>
                <w:szCs w:val="18"/>
                <w:lang w:val="sk-SK"/>
              </w:rPr>
              <w:t>l</w:t>
            </w:r>
            <w:r w:rsidRPr="004F6F0E">
              <w:rPr>
                <w:rFonts w:ascii="Arial" w:hAnsi="Arial" w:cs="Arial"/>
                <w:w w:val="90"/>
                <w:sz w:val="18"/>
                <w:szCs w:val="18"/>
                <w:lang w:val="sk-SK"/>
              </w:rPr>
              <w:t>ov</w:t>
            </w:r>
            <w:r w:rsidR="00D87BC4">
              <w:rPr>
                <w:rFonts w:ascii="Arial" w:hAnsi="Arial" w:cs="Arial"/>
                <w:w w:val="90"/>
                <w:sz w:val="18"/>
                <w:szCs w:val="18"/>
                <w:lang w:val="sk-SK"/>
              </w:rPr>
              <w:t xml:space="preserve"> </w:t>
            </w:r>
            <w:r w:rsidRPr="004F6F0E">
              <w:rPr>
                <w:rFonts w:ascii="Arial" w:hAnsi="Arial" w:cs="Arial"/>
                <w:w w:val="90"/>
                <w:sz w:val="18"/>
                <w:szCs w:val="18"/>
                <w:lang w:val="sk-SK"/>
              </w:rPr>
              <w:t>a</w:t>
            </w:r>
            <w:r w:rsidR="00D87BC4">
              <w:rPr>
                <w:rFonts w:ascii="Arial" w:hAnsi="Arial" w:cs="Arial"/>
                <w:w w:val="90"/>
                <w:sz w:val="18"/>
                <w:szCs w:val="18"/>
                <w:lang w:val="sk-SK"/>
              </w:rPr>
              <w:t> </w:t>
            </w:r>
            <w:r w:rsidRPr="004F6F0E">
              <w:rPr>
                <w:rFonts w:ascii="Arial" w:hAnsi="Arial" w:cs="Arial"/>
                <w:w w:val="90"/>
                <w:sz w:val="18"/>
                <w:szCs w:val="18"/>
                <w:lang w:val="sk-SK"/>
              </w:rPr>
              <w:t>tr</w:t>
            </w:r>
            <w:r w:rsidRPr="004F6F0E">
              <w:rPr>
                <w:rFonts w:ascii="Arial" w:hAnsi="Arial" w:cs="Arial"/>
                <w:spacing w:val="-2"/>
                <w:w w:val="90"/>
                <w:sz w:val="18"/>
                <w:szCs w:val="18"/>
                <w:lang w:val="sk-SK"/>
              </w:rPr>
              <w:t>a</w:t>
            </w:r>
            <w:r w:rsidRPr="004F6F0E">
              <w:rPr>
                <w:rFonts w:ascii="Arial" w:hAnsi="Arial" w:cs="Arial"/>
                <w:w w:val="90"/>
                <w:sz w:val="18"/>
                <w:szCs w:val="18"/>
                <w:lang w:val="sk-SK"/>
              </w:rPr>
              <w:t>nsfe</w:t>
            </w:r>
            <w:r w:rsidRPr="004F6F0E">
              <w:rPr>
                <w:rFonts w:ascii="Arial" w:hAnsi="Arial" w:cs="Arial"/>
                <w:spacing w:val="1"/>
                <w:w w:val="90"/>
                <w:sz w:val="18"/>
                <w:szCs w:val="18"/>
                <w:lang w:val="sk-SK"/>
              </w:rPr>
              <w:t>r</w:t>
            </w:r>
            <w:r w:rsidRPr="004F6F0E">
              <w:rPr>
                <w:rFonts w:ascii="Arial" w:hAnsi="Arial" w:cs="Arial"/>
                <w:w w:val="90"/>
                <w:sz w:val="18"/>
                <w:szCs w:val="18"/>
                <w:lang w:val="sk-SK"/>
              </w:rPr>
              <w:t>u</w:t>
            </w:r>
            <w:r w:rsidR="00D87BC4">
              <w:rPr>
                <w:rFonts w:ascii="Arial" w:hAnsi="Arial" w:cs="Arial"/>
                <w:w w:val="90"/>
                <w:sz w:val="18"/>
                <w:szCs w:val="18"/>
                <w:lang w:val="sk-SK"/>
              </w:rPr>
              <w:t xml:space="preserve"> </w:t>
            </w:r>
            <w:r w:rsidRPr="004F6F0E">
              <w:rPr>
                <w:rFonts w:ascii="Arial" w:hAnsi="Arial" w:cs="Arial"/>
                <w:w w:val="90"/>
                <w:sz w:val="18"/>
                <w:szCs w:val="18"/>
                <w:lang w:val="sk-SK"/>
              </w:rPr>
              <w:t>t</w:t>
            </w:r>
            <w:r w:rsidRPr="004F6F0E">
              <w:rPr>
                <w:rFonts w:ascii="Arial" w:hAnsi="Arial" w:cs="Arial"/>
                <w:spacing w:val="1"/>
                <w:w w:val="90"/>
                <w:sz w:val="18"/>
                <w:szCs w:val="18"/>
                <w:lang w:val="sk-SK"/>
              </w:rPr>
              <w:t>e</w:t>
            </w:r>
            <w:r w:rsidRPr="004F6F0E">
              <w:rPr>
                <w:rFonts w:ascii="Arial" w:hAnsi="Arial" w:cs="Arial"/>
                <w:w w:val="90"/>
                <w:sz w:val="18"/>
                <w:szCs w:val="18"/>
                <w:lang w:val="sk-SK"/>
              </w:rPr>
              <w:t>chnológ</w:t>
            </w:r>
            <w:r w:rsidRPr="004F6F0E">
              <w:rPr>
                <w:rFonts w:ascii="Arial" w:hAnsi="Arial" w:cs="Arial"/>
                <w:spacing w:val="-2"/>
                <w:w w:val="90"/>
                <w:sz w:val="18"/>
                <w:szCs w:val="18"/>
                <w:lang w:val="sk-SK"/>
              </w:rPr>
              <w:t>i</w:t>
            </w:r>
            <w:r w:rsidRPr="004F6F0E">
              <w:rPr>
                <w:rFonts w:ascii="Arial" w:hAnsi="Arial" w:cs="Arial"/>
                <w:w w:val="90"/>
                <w:sz w:val="18"/>
                <w:szCs w:val="18"/>
                <w:lang w:val="sk-SK"/>
              </w:rPr>
              <w:t>í</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Slovenská</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a</w:t>
            </w:r>
            <w:r w:rsidRPr="004F6F0E">
              <w:rPr>
                <w:rFonts w:ascii="Arial" w:hAnsi="Arial" w:cs="Arial"/>
                <w:w w:val="90"/>
                <w:sz w:val="18"/>
                <w:szCs w:val="18"/>
                <w:lang w:val="sk-SK"/>
              </w:rPr>
              <w:t>k</w:t>
            </w:r>
            <w:r w:rsidRPr="004F6F0E">
              <w:rPr>
                <w:rFonts w:ascii="Arial" w:hAnsi="Arial" w:cs="Arial"/>
                <w:spacing w:val="2"/>
                <w:w w:val="90"/>
                <w:sz w:val="18"/>
                <w:szCs w:val="18"/>
                <w:lang w:val="sk-SK"/>
              </w:rPr>
              <w:t>a</w:t>
            </w:r>
            <w:r w:rsidRPr="004F6F0E">
              <w:rPr>
                <w:rFonts w:ascii="Arial" w:hAnsi="Arial" w:cs="Arial"/>
                <w:w w:val="90"/>
                <w:sz w:val="18"/>
                <w:szCs w:val="18"/>
                <w:lang w:val="sk-SK"/>
              </w:rPr>
              <w:t>dém</w:t>
            </w:r>
            <w:r w:rsidRPr="004F6F0E">
              <w:rPr>
                <w:rFonts w:ascii="Arial" w:hAnsi="Arial" w:cs="Arial"/>
                <w:spacing w:val="-1"/>
                <w:w w:val="90"/>
                <w:sz w:val="18"/>
                <w:szCs w:val="18"/>
                <w:lang w:val="sk-SK"/>
              </w:rPr>
              <w:t>i</w:t>
            </w:r>
            <w:r w:rsidRPr="004F6F0E">
              <w:rPr>
                <w:rFonts w:ascii="Arial" w:hAnsi="Arial" w:cs="Arial"/>
                <w:w w:val="90"/>
                <w:sz w:val="18"/>
                <w:szCs w:val="18"/>
                <w:lang w:val="sk-SK"/>
              </w:rPr>
              <w:t>a</w:t>
            </w:r>
            <w:r w:rsidR="00D87BC4">
              <w:rPr>
                <w:rFonts w:ascii="Arial" w:hAnsi="Arial" w:cs="Arial"/>
                <w:w w:val="90"/>
                <w:sz w:val="18"/>
                <w:szCs w:val="18"/>
                <w:lang w:val="sk-SK"/>
              </w:rPr>
              <w:t xml:space="preserve"> </w:t>
            </w:r>
            <w:r w:rsidRPr="004F6F0E">
              <w:rPr>
                <w:rFonts w:ascii="Arial" w:hAnsi="Arial" w:cs="Arial"/>
                <w:w w:val="90"/>
                <w:sz w:val="18"/>
                <w:szCs w:val="18"/>
                <w:lang w:val="sk-SK"/>
              </w:rPr>
              <w:t>vi</w:t>
            </w:r>
            <w:r w:rsidRPr="004F6F0E">
              <w:rPr>
                <w:rFonts w:ascii="Arial" w:hAnsi="Arial" w:cs="Arial"/>
                <w:spacing w:val="2"/>
                <w:w w:val="90"/>
                <w:sz w:val="18"/>
                <w:szCs w:val="18"/>
                <w:lang w:val="sk-SK"/>
              </w:rPr>
              <w:t>e</w:t>
            </w:r>
            <w:r w:rsidRPr="004F6F0E">
              <w:rPr>
                <w:rFonts w:ascii="Arial" w:hAnsi="Arial" w:cs="Arial"/>
                <w:w w:val="90"/>
                <w:sz w:val="18"/>
                <w:szCs w:val="18"/>
                <w:lang w:val="sk-SK"/>
              </w:rPr>
              <w:t>d</w:t>
            </w:r>
          </w:p>
        </w:tc>
      </w:tr>
      <w:tr w:rsidR="009B4A3B" w:rsidRPr="004F6F0E">
        <w:trPr>
          <w:trHeight w:hRule="exact" w:val="228"/>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2"/>
              <w:rPr>
                <w:rFonts w:ascii="Arial" w:hAnsi="Arial" w:cs="Arial"/>
                <w:sz w:val="18"/>
                <w:szCs w:val="18"/>
                <w:lang w:val="sk-SK"/>
              </w:rPr>
            </w:pPr>
            <w:r w:rsidRPr="004F6F0E">
              <w:rPr>
                <w:rFonts w:ascii="Arial" w:hAnsi="Arial" w:cs="Arial"/>
                <w:w w:val="90"/>
                <w:sz w:val="18"/>
                <w:szCs w:val="18"/>
                <w:lang w:val="sk-SK"/>
              </w:rPr>
              <w:t>10</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D87BC4">
            <w:pPr>
              <w:pStyle w:val="TableParagraph"/>
              <w:ind w:left="102"/>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w:t>
            </w:r>
            <w:r w:rsidRPr="004F6F0E">
              <w:rPr>
                <w:rFonts w:ascii="Arial" w:hAnsi="Arial" w:cs="Arial"/>
                <w:spacing w:val="-1"/>
                <w:w w:val="90"/>
                <w:sz w:val="18"/>
                <w:szCs w:val="18"/>
                <w:lang w:val="sk-SK"/>
              </w:rPr>
              <w:t>n</w:t>
            </w:r>
            <w:r w:rsidRPr="004F6F0E">
              <w:rPr>
                <w:rFonts w:ascii="Arial" w:hAnsi="Arial" w:cs="Arial"/>
                <w:w w:val="90"/>
                <w:sz w:val="18"/>
                <w:szCs w:val="18"/>
                <w:lang w:val="sk-SK"/>
              </w:rPr>
              <w:t>ý</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v</w:t>
            </w:r>
            <w:r w:rsidRPr="004F6F0E">
              <w:rPr>
                <w:rFonts w:ascii="Arial" w:hAnsi="Arial" w:cs="Arial"/>
                <w:w w:val="90"/>
                <w:sz w:val="18"/>
                <w:szCs w:val="18"/>
                <w:lang w:val="sk-SK"/>
              </w:rPr>
              <w:t>edecký</w:t>
            </w:r>
            <w:r w:rsidR="00D87BC4">
              <w:rPr>
                <w:rFonts w:ascii="Arial" w:hAnsi="Arial" w:cs="Arial"/>
                <w:w w:val="90"/>
                <w:sz w:val="18"/>
                <w:szCs w:val="18"/>
                <w:lang w:val="sk-SK"/>
              </w:rPr>
              <w:t xml:space="preserve"> </w:t>
            </w:r>
            <w:r w:rsidRPr="004F6F0E">
              <w:rPr>
                <w:rFonts w:ascii="Arial" w:hAnsi="Arial" w:cs="Arial"/>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rk</w:t>
            </w:r>
            <w:r w:rsidR="00D87BC4">
              <w:rPr>
                <w:rFonts w:ascii="Arial" w:hAnsi="Arial" w:cs="Arial"/>
                <w:w w:val="90"/>
                <w:sz w:val="18"/>
                <w:szCs w:val="18"/>
                <w:lang w:val="sk-SK"/>
              </w:rPr>
              <w:t xml:space="preserve"> </w:t>
            </w: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w:t>
            </w:r>
            <w:r w:rsidRPr="004F6F0E">
              <w:rPr>
                <w:rFonts w:ascii="Arial" w:hAnsi="Arial" w:cs="Arial"/>
                <w:spacing w:val="2"/>
                <w:w w:val="90"/>
                <w:sz w:val="18"/>
                <w:szCs w:val="18"/>
                <w:lang w:val="sk-SK"/>
              </w:rPr>
              <w:t>e</w:t>
            </w:r>
            <w:r w:rsidRPr="004F6F0E">
              <w:rPr>
                <w:rFonts w:ascii="Arial" w:hAnsi="Arial" w:cs="Arial"/>
                <w:w w:val="90"/>
                <w:sz w:val="18"/>
                <w:szCs w:val="18"/>
                <w:lang w:val="sk-SK"/>
              </w:rPr>
              <w:t>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ty</w:t>
            </w:r>
            <w:r w:rsidR="00D87BC4">
              <w:rPr>
                <w:rFonts w:ascii="Arial" w:hAnsi="Arial" w:cs="Arial"/>
                <w:w w:val="90"/>
                <w:sz w:val="18"/>
                <w:szCs w:val="18"/>
                <w:lang w:val="sk-SK"/>
              </w:rPr>
              <w:t xml:space="preserve"> </w:t>
            </w:r>
            <w:r w:rsidRPr="004F6F0E">
              <w:rPr>
                <w:rFonts w:ascii="Arial" w:hAnsi="Arial" w:cs="Arial"/>
                <w:w w:val="90"/>
                <w:sz w:val="18"/>
                <w:szCs w:val="18"/>
                <w:lang w:val="sk-SK"/>
              </w:rPr>
              <w:t>Komensk</w:t>
            </w:r>
            <w:r w:rsidRPr="004F6F0E">
              <w:rPr>
                <w:rFonts w:ascii="Arial" w:hAnsi="Arial" w:cs="Arial"/>
                <w:spacing w:val="2"/>
                <w:w w:val="90"/>
                <w:sz w:val="18"/>
                <w:szCs w:val="18"/>
                <w:lang w:val="sk-SK"/>
              </w:rPr>
              <w:t>é</w:t>
            </w:r>
            <w:r w:rsidRPr="004F6F0E">
              <w:rPr>
                <w:rFonts w:ascii="Arial" w:hAnsi="Arial" w:cs="Arial"/>
                <w:w w:val="90"/>
                <w:sz w:val="18"/>
                <w:szCs w:val="18"/>
                <w:lang w:val="sk-SK"/>
              </w:rPr>
              <w:t>ho</w:t>
            </w:r>
            <w:r w:rsidR="00D87BC4">
              <w:rPr>
                <w:rFonts w:ascii="Arial" w:hAnsi="Arial" w:cs="Arial"/>
                <w:w w:val="90"/>
                <w:sz w:val="18"/>
                <w:szCs w:val="18"/>
                <w:lang w:val="sk-SK"/>
              </w:rPr>
              <w:t xml:space="preserve"> </w:t>
            </w:r>
            <w:r w:rsidRPr="004F6F0E">
              <w:rPr>
                <w:rFonts w:ascii="Arial" w:hAnsi="Arial" w:cs="Arial"/>
                <w:w w:val="90"/>
                <w:sz w:val="18"/>
                <w:szCs w:val="18"/>
                <w:lang w:val="sk-SK"/>
              </w:rPr>
              <w:t>v</w:t>
            </w:r>
            <w:r w:rsidR="00D87BC4">
              <w:rPr>
                <w:rFonts w:ascii="Arial" w:hAnsi="Arial" w:cs="Arial"/>
                <w:w w:val="90"/>
                <w:sz w:val="18"/>
                <w:szCs w:val="18"/>
                <w:lang w:val="sk-SK"/>
              </w:rPr>
              <w:t xml:space="preserve"> </w:t>
            </w:r>
            <w:r w:rsidRPr="004F6F0E">
              <w:rPr>
                <w:rFonts w:ascii="Arial" w:hAnsi="Arial" w:cs="Arial"/>
                <w:w w:val="90"/>
                <w:sz w:val="18"/>
                <w:szCs w:val="18"/>
                <w:lang w:val="sk-SK"/>
              </w:rPr>
              <w:t>Br</w:t>
            </w:r>
            <w:r w:rsidRPr="004F6F0E">
              <w:rPr>
                <w:rFonts w:ascii="Arial" w:hAnsi="Arial" w:cs="Arial"/>
                <w:spacing w:val="-2"/>
                <w:w w:val="90"/>
                <w:sz w:val="18"/>
                <w:szCs w:val="18"/>
                <w:lang w:val="sk-SK"/>
              </w:rPr>
              <w:t>a</w:t>
            </w:r>
            <w:r w:rsidRPr="004F6F0E">
              <w:rPr>
                <w:rFonts w:ascii="Arial" w:hAnsi="Arial" w:cs="Arial"/>
                <w:w w:val="90"/>
                <w:sz w:val="18"/>
                <w:szCs w:val="18"/>
                <w:lang w:val="sk-SK"/>
              </w:rPr>
              <w:t>t</w:t>
            </w:r>
            <w:r w:rsidRPr="004F6F0E">
              <w:rPr>
                <w:rFonts w:ascii="Arial" w:hAnsi="Arial" w:cs="Arial"/>
                <w:spacing w:val="-1"/>
                <w:w w:val="90"/>
                <w:sz w:val="18"/>
                <w:szCs w:val="18"/>
                <w:lang w:val="sk-SK"/>
              </w:rPr>
              <w:t>i</w:t>
            </w:r>
            <w:r w:rsidRPr="004F6F0E">
              <w:rPr>
                <w:rFonts w:ascii="Arial" w:hAnsi="Arial" w:cs="Arial"/>
                <w:w w:val="90"/>
                <w:sz w:val="18"/>
                <w:szCs w:val="18"/>
                <w:lang w:val="sk-SK"/>
              </w:rPr>
              <w:t>s</w:t>
            </w:r>
            <w:r w:rsidRPr="004F6F0E">
              <w:rPr>
                <w:rFonts w:ascii="Arial" w:hAnsi="Arial" w:cs="Arial"/>
                <w:spacing w:val="-1"/>
                <w:w w:val="90"/>
                <w:sz w:val="18"/>
                <w:szCs w:val="18"/>
                <w:lang w:val="sk-SK"/>
              </w:rPr>
              <w:t>l</w:t>
            </w:r>
            <w:r w:rsidRPr="004F6F0E">
              <w:rPr>
                <w:rFonts w:ascii="Arial" w:hAnsi="Arial" w:cs="Arial"/>
                <w:spacing w:val="-2"/>
                <w:w w:val="90"/>
                <w:sz w:val="18"/>
                <w:szCs w:val="18"/>
                <w:lang w:val="sk-SK"/>
              </w:rPr>
              <w:t>a</w:t>
            </w:r>
            <w:r w:rsidRPr="004F6F0E">
              <w:rPr>
                <w:rFonts w:ascii="Arial" w:hAnsi="Arial" w:cs="Arial"/>
                <w:w w:val="90"/>
                <w:sz w:val="18"/>
                <w:szCs w:val="18"/>
                <w:lang w:val="sk-SK"/>
              </w:rPr>
              <w:t>ve</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ind w:left="103"/>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3"/>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ta Komen</w:t>
            </w:r>
            <w:r w:rsidRPr="004F6F0E">
              <w:rPr>
                <w:rFonts w:ascii="Arial" w:hAnsi="Arial" w:cs="Arial"/>
                <w:spacing w:val="2"/>
                <w:w w:val="90"/>
                <w:sz w:val="18"/>
                <w:szCs w:val="18"/>
                <w:lang w:val="sk-SK"/>
              </w:rPr>
              <w:t>s</w:t>
            </w:r>
            <w:r w:rsidRPr="004F6F0E">
              <w:rPr>
                <w:rFonts w:ascii="Arial" w:hAnsi="Arial" w:cs="Arial"/>
                <w:w w:val="90"/>
                <w:sz w:val="18"/>
                <w:szCs w:val="18"/>
                <w:lang w:val="sk-SK"/>
              </w:rPr>
              <w:t>kého</w:t>
            </w:r>
            <w:r w:rsidR="00B07B21">
              <w:rPr>
                <w:rFonts w:ascii="Arial" w:hAnsi="Arial" w:cs="Arial"/>
                <w:w w:val="90"/>
                <w:sz w:val="18"/>
                <w:szCs w:val="18"/>
                <w:lang w:val="sk-SK"/>
              </w:rPr>
              <w:t xml:space="preserve"> </w:t>
            </w:r>
            <w:r w:rsidRPr="004F6F0E">
              <w:rPr>
                <w:rFonts w:ascii="Arial" w:hAnsi="Arial" w:cs="Arial"/>
                <w:w w:val="90"/>
                <w:sz w:val="18"/>
                <w:szCs w:val="18"/>
                <w:lang w:val="sk-SK"/>
              </w:rPr>
              <w:t>v Br</w:t>
            </w:r>
            <w:r w:rsidRPr="004F6F0E">
              <w:rPr>
                <w:rFonts w:ascii="Arial" w:hAnsi="Arial" w:cs="Arial"/>
                <w:spacing w:val="-2"/>
                <w:w w:val="90"/>
                <w:sz w:val="18"/>
                <w:szCs w:val="18"/>
                <w:lang w:val="sk-SK"/>
              </w:rPr>
              <w:t>a</w:t>
            </w:r>
            <w:r w:rsidRPr="004F6F0E">
              <w:rPr>
                <w:rFonts w:ascii="Arial" w:hAnsi="Arial" w:cs="Arial"/>
                <w:w w:val="90"/>
                <w:sz w:val="18"/>
                <w:szCs w:val="18"/>
                <w:lang w:val="sk-SK"/>
              </w:rPr>
              <w:t>t</w:t>
            </w:r>
            <w:r w:rsidRPr="004F6F0E">
              <w:rPr>
                <w:rFonts w:ascii="Arial" w:hAnsi="Arial" w:cs="Arial"/>
                <w:spacing w:val="-1"/>
                <w:w w:val="90"/>
                <w:sz w:val="18"/>
                <w:szCs w:val="18"/>
                <w:lang w:val="sk-SK"/>
              </w:rPr>
              <w:t>i</w:t>
            </w:r>
            <w:r w:rsidRPr="004F6F0E">
              <w:rPr>
                <w:rFonts w:ascii="Arial" w:hAnsi="Arial" w:cs="Arial"/>
                <w:w w:val="90"/>
                <w:sz w:val="18"/>
                <w:szCs w:val="18"/>
                <w:lang w:val="sk-SK"/>
              </w:rPr>
              <w:t>s</w:t>
            </w:r>
            <w:r w:rsidRPr="004F6F0E">
              <w:rPr>
                <w:rFonts w:ascii="Arial" w:hAnsi="Arial" w:cs="Arial"/>
                <w:spacing w:val="-1"/>
                <w:w w:val="90"/>
                <w:sz w:val="18"/>
                <w:szCs w:val="18"/>
                <w:lang w:val="sk-SK"/>
              </w:rPr>
              <w:t>l</w:t>
            </w:r>
            <w:r w:rsidRPr="004F6F0E">
              <w:rPr>
                <w:rFonts w:ascii="Arial" w:hAnsi="Arial" w:cs="Arial"/>
                <w:spacing w:val="2"/>
                <w:w w:val="90"/>
                <w:sz w:val="18"/>
                <w:szCs w:val="18"/>
                <w:lang w:val="sk-SK"/>
              </w:rPr>
              <w:t>a</w:t>
            </w:r>
            <w:r w:rsidRPr="004F6F0E">
              <w:rPr>
                <w:rFonts w:ascii="Arial" w:hAnsi="Arial" w:cs="Arial"/>
                <w:w w:val="90"/>
                <w:sz w:val="18"/>
                <w:szCs w:val="18"/>
                <w:lang w:val="sk-SK"/>
              </w:rPr>
              <w:t>ve</w:t>
            </w:r>
          </w:p>
        </w:tc>
      </w:tr>
      <w:tr w:rsidR="009B4A3B" w:rsidRPr="004F6F0E">
        <w:trPr>
          <w:trHeight w:hRule="exact" w:val="230"/>
        </w:trPr>
        <w:tc>
          <w:tcPr>
            <w:tcW w:w="427"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3"/>
              <w:ind w:left="102"/>
              <w:rPr>
                <w:rFonts w:ascii="Arial" w:hAnsi="Arial" w:cs="Arial"/>
                <w:sz w:val="18"/>
                <w:szCs w:val="18"/>
                <w:lang w:val="sk-SK"/>
              </w:rPr>
            </w:pPr>
            <w:r w:rsidRPr="004F6F0E">
              <w:rPr>
                <w:rFonts w:ascii="Arial" w:hAnsi="Arial" w:cs="Arial"/>
                <w:w w:val="90"/>
                <w:sz w:val="18"/>
                <w:szCs w:val="18"/>
                <w:lang w:val="sk-SK"/>
              </w:rPr>
              <w:t>11</w:t>
            </w:r>
          </w:p>
        </w:tc>
        <w:tc>
          <w:tcPr>
            <w:tcW w:w="5281"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3"/>
              <w:ind w:left="102"/>
              <w:rPr>
                <w:rFonts w:ascii="Arial" w:hAnsi="Arial" w:cs="Arial"/>
                <w:sz w:val="18"/>
                <w:szCs w:val="18"/>
                <w:lang w:val="sk-SK"/>
              </w:rPr>
            </w:pPr>
            <w:r w:rsidRPr="004F6F0E">
              <w:rPr>
                <w:rFonts w:ascii="Arial" w:hAnsi="Arial" w:cs="Arial"/>
                <w:w w:val="90"/>
                <w:sz w:val="18"/>
                <w:szCs w:val="18"/>
                <w:lang w:val="sk-SK"/>
              </w:rPr>
              <w:t>Un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w:t>
            </w:r>
            <w:r w:rsidRPr="004F6F0E">
              <w:rPr>
                <w:rFonts w:ascii="Arial" w:hAnsi="Arial" w:cs="Arial"/>
                <w:spacing w:val="-1"/>
                <w:w w:val="90"/>
                <w:sz w:val="18"/>
                <w:szCs w:val="18"/>
                <w:lang w:val="sk-SK"/>
              </w:rPr>
              <w:t>i</w:t>
            </w:r>
            <w:r w:rsidRPr="004F6F0E">
              <w:rPr>
                <w:rFonts w:ascii="Arial" w:hAnsi="Arial" w:cs="Arial"/>
                <w:w w:val="90"/>
                <w:sz w:val="18"/>
                <w:szCs w:val="18"/>
                <w:lang w:val="sk-SK"/>
              </w:rPr>
              <w:t>t</w:t>
            </w:r>
            <w:r w:rsidRPr="004F6F0E">
              <w:rPr>
                <w:rFonts w:ascii="Arial" w:hAnsi="Arial" w:cs="Arial"/>
                <w:spacing w:val="-1"/>
                <w:w w:val="90"/>
                <w:sz w:val="18"/>
                <w:szCs w:val="18"/>
                <w:lang w:val="sk-SK"/>
              </w:rPr>
              <w:t>n</w:t>
            </w:r>
            <w:r w:rsidRPr="004F6F0E">
              <w:rPr>
                <w:rFonts w:ascii="Arial" w:hAnsi="Arial" w:cs="Arial"/>
                <w:w w:val="90"/>
                <w:sz w:val="18"/>
                <w:szCs w:val="18"/>
                <w:lang w:val="sk-SK"/>
              </w:rPr>
              <w:t>ý</w:t>
            </w:r>
            <w:r w:rsidR="00D87BC4">
              <w:rPr>
                <w:rFonts w:ascii="Arial" w:hAnsi="Arial" w:cs="Arial"/>
                <w:w w:val="90"/>
                <w:sz w:val="18"/>
                <w:szCs w:val="18"/>
                <w:lang w:val="sk-SK"/>
              </w:rPr>
              <w:t xml:space="preserve"> </w:t>
            </w:r>
            <w:r w:rsidRPr="004F6F0E">
              <w:rPr>
                <w:rFonts w:ascii="Arial" w:hAnsi="Arial" w:cs="Arial"/>
                <w:spacing w:val="2"/>
                <w:w w:val="90"/>
                <w:sz w:val="18"/>
                <w:szCs w:val="18"/>
                <w:lang w:val="sk-SK"/>
              </w:rPr>
              <w:t>v</w:t>
            </w:r>
            <w:r w:rsidRPr="004F6F0E">
              <w:rPr>
                <w:rFonts w:ascii="Arial" w:hAnsi="Arial" w:cs="Arial"/>
                <w:w w:val="90"/>
                <w:sz w:val="18"/>
                <w:szCs w:val="18"/>
                <w:lang w:val="sk-SK"/>
              </w:rPr>
              <w:t>edecký</w:t>
            </w:r>
            <w:r w:rsidR="00D87BC4">
              <w:rPr>
                <w:rFonts w:ascii="Arial" w:hAnsi="Arial" w:cs="Arial"/>
                <w:w w:val="90"/>
                <w:sz w:val="18"/>
                <w:szCs w:val="18"/>
                <w:lang w:val="sk-SK"/>
              </w:rPr>
              <w:t xml:space="preserve"> </w:t>
            </w:r>
            <w:r w:rsidRPr="004F6F0E">
              <w:rPr>
                <w:rFonts w:ascii="Arial" w:hAnsi="Arial" w:cs="Arial"/>
                <w:w w:val="90"/>
                <w:sz w:val="18"/>
                <w:szCs w:val="18"/>
                <w:lang w:val="sk-SK"/>
              </w:rPr>
              <w:t>p</w:t>
            </w:r>
            <w:r w:rsidRPr="004F6F0E">
              <w:rPr>
                <w:rFonts w:ascii="Arial" w:hAnsi="Arial" w:cs="Arial"/>
                <w:spacing w:val="2"/>
                <w:w w:val="90"/>
                <w:sz w:val="18"/>
                <w:szCs w:val="18"/>
                <w:lang w:val="sk-SK"/>
              </w:rPr>
              <w:t>a</w:t>
            </w:r>
            <w:r w:rsidRPr="004F6F0E">
              <w:rPr>
                <w:rFonts w:ascii="Arial" w:hAnsi="Arial" w:cs="Arial"/>
                <w:w w:val="90"/>
                <w:sz w:val="18"/>
                <w:szCs w:val="18"/>
                <w:lang w:val="sk-SK"/>
              </w:rPr>
              <w:t>rk</w:t>
            </w:r>
            <w:r w:rsidR="00D87BC4">
              <w:rPr>
                <w:rFonts w:ascii="Arial" w:hAnsi="Arial" w:cs="Arial"/>
                <w:w w:val="90"/>
                <w:sz w:val="18"/>
                <w:szCs w:val="18"/>
                <w:lang w:val="sk-SK"/>
              </w:rPr>
              <w:t xml:space="preserve"> </w:t>
            </w:r>
            <w:r w:rsidRPr="004F6F0E">
              <w:rPr>
                <w:rFonts w:ascii="Arial" w:hAnsi="Arial" w:cs="Arial"/>
                <w:w w:val="90"/>
                <w:sz w:val="18"/>
                <w:szCs w:val="18"/>
                <w:lang w:val="sk-SK"/>
              </w:rPr>
              <w:t>STU</w:t>
            </w:r>
            <w:r w:rsidR="00D87BC4">
              <w:rPr>
                <w:rFonts w:ascii="Arial" w:hAnsi="Arial" w:cs="Arial"/>
                <w:w w:val="90"/>
                <w:sz w:val="18"/>
                <w:szCs w:val="18"/>
                <w:lang w:val="sk-SK"/>
              </w:rPr>
              <w:t xml:space="preserve"> </w:t>
            </w:r>
            <w:r w:rsidRPr="004F6F0E">
              <w:rPr>
                <w:rFonts w:ascii="Arial" w:hAnsi="Arial" w:cs="Arial"/>
                <w:w w:val="90"/>
                <w:sz w:val="18"/>
                <w:szCs w:val="18"/>
                <w:lang w:val="sk-SK"/>
              </w:rPr>
              <w:t>Br</w:t>
            </w:r>
            <w:r w:rsidRPr="004F6F0E">
              <w:rPr>
                <w:rFonts w:ascii="Arial" w:hAnsi="Arial" w:cs="Arial"/>
                <w:spacing w:val="2"/>
                <w:w w:val="90"/>
                <w:sz w:val="18"/>
                <w:szCs w:val="18"/>
                <w:lang w:val="sk-SK"/>
              </w:rPr>
              <w:t>a</w:t>
            </w:r>
            <w:r w:rsidRPr="004F6F0E">
              <w:rPr>
                <w:rFonts w:ascii="Arial" w:hAnsi="Arial" w:cs="Arial"/>
                <w:w w:val="90"/>
                <w:sz w:val="18"/>
                <w:szCs w:val="18"/>
                <w:lang w:val="sk-SK"/>
              </w:rPr>
              <w:t>t</w:t>
            </w:r>
            <w:r w:rsidRPr="004F6F0E">
              <w:rPr>
                <w:rFonts w:ascii="Arial" w:hAnsi="Arial" w:cs="Arial"/>
                <w:spacing w:val="-1"/>
                <w:w w:val="90"/>
                <w:sz w:val="18"/>
                <w:szCs w:val="18"/>
                <w:lang w:val="sk-SK"/>
              </w:rPr>
              <w:t>i</w:t>
            </w:r>
            <w:r w:rsidRPr="004F6F0E">
              <w:rPr>
                <w:rFonts w:ascii="Arial" w:hAnsi="Arial" w:cs="Arial"/>
                <w:w w:val="90"/>
                <w:sz w:val="18"/>
                <w:szCs w:val="18"/>
                <w:lang w:val="sk-SK"/>
              </w:rPr>
              <w:t>s</w:t>
            </w:r>
            <w:r w:rsidRPr="004F6F0E">
              <w:rPr>
                <w:rFonts w:ascii="Arial" w:hAnsi="Arial" w:cs="Arial"/>
                <w:spacing w:val="-1"/>
                <w:w w:val="90"/>
                <w:sz w:val="18"/>
                <w:szCs w:val="18"/>
                <w:lang w:val="sk-SK"/>
              </w:rPr>
              <w:t>l</w:t>
            </w:r>
            <w:r w:rsidRPr="004F6F0E">
              <w:rPr>
                <w:rFonts w:ascii="Arial" w:hAnsi="Arial" w:cs="Arial"/>
                <w:spacing w:val="-2"/>
                <w:w w:val="90"/>
                <w:sz w:val="18"/>
                <w:szCs w:val="18"/>
                <w:lang w:val="sk-SK"/>
              </w:rPr>
              <w:t>a</w:t>
            </w:r>
            <w:r w:rsidRPr="004F6F0E">
              <w:rPr>
                <w:rFonts w:ascii="Arial" w:hAnsi="Arial" w:cs="Arial"/>
                <w:w w:val="90"/>
                <w:sz w:val="18"/>
                <w:szCs w:val="18"/>
                <w:lang w:val="sk-SK"/>
              </w:rPr>
              <w:t>va</w:t>
            </w:r>
          </w:p>
        </w:tc>
        <w:tc>
          <w:tcPr>
            <w:tcW w:w="3402" w:type="dxa"/>
            <w:tcBorders>
              <w:top w:val="single" w:sz="4" w:space="0" w:color="000000"/>
              <w:left w:val="single" w:sz="4" w:space="0" w:color="000000"/>
              <w:bottom w:val="single" w:sz="4" w:space="0" w:color="000000"/>
              <w:right w:val="single" w:sz="4" w:space="0" w:color="000000"/>
            </w:tcBorders>
          </w:tcPr>
          <w:p w:rsidR="009B4A3B" w:rsidRPr="004F6F0E" w:rsidRDefault="009B4A3B" w:rsidP="004F6F0E">
            <w:pPr>
              <w:pStyle w:val="TableParagraph"/>
              <w:spacing w:before="3"/>
              <w:ind w:left="103"/>
              <w:rPr>
                <w:rFonts w:ascii="Arial" w:hAnsi="Arial" w:cs="Arial"/>
                <w:sz w:val="18"/>
                <w:szCs w:val="18"/>
                <w:lang w:val="sk-SK"/>
              </w:rPr>
            </w:pPr>
            <w:r w:rsidRPr="004F6F0E">
              <w:rPr>
                <w:rFonts w:ascii="Arial" w:hAnsi="Arial" w:cs="Arial"/>
                <w:w w:val="90"/>
                <w:sz w:val="18"/>
                <w:szCs w:val="18"/>
                <w:lang w:val="sk-SK"/>
              </w:rPr>
              <w:t>Slovenská</w:t>
            </w:r>
            <w:r w:rsidR="00D87BC4">
              <w:rPr>
                <w:rFonts w:ascii="Arial" w:hAnsi="Arial" w:cs="Arial"/>
                <w:w w:val="90"/>
                <w:sz w:val="18"/>
                <w:szCs w:val="18"/>
                <w:lang w:val="sk-SK"/>
              </w:rPr>
              <w:t xml:space="preserve"> </w:t>
            </w:r>
            <w:r w:rsidRPr="004F6F0E">
              <w:rPr>
                <w:rFonts w:ascii="Arial" w:hAnsi="Arial" w:cs="Arial"/>
                <w:spacing w:val="1"/>
                <w:w w:val="90"/>
                <w:sz w:val="18"/>
                <w:szCs w:val="18"/>
                <w:lang w:val="sk-SK"/>
              </w:rPr>
              <w:t>t</w:t>
            </w:r>
            <w:r w:rsidRPr="004F6F0E">
              <w:rPr>
                <w:rFonts w:ascii="Arial" w:hAnsi="Arial" w:cs="Arial"/>
                <w:w w:val="90"/>
                <w:sz w:val="18"/>
                <w:szCs w:val="18"/>
                <w:lang w:val="sk-SK"/>
              </w:rPr>
              <w:t>echn</w:t>
            </w:r>
            <w:r w:rsidRPr="004F6F0E">
              <w:rPr>
                <w:rFonts w:ascii="Arial" w:hAnsi="Arial" w:cs="Arial"/>
                <w:spacing w:val="-1"/>
                <w:w w:val="90"/>
                <w:sz w:val="18"/>
                <w:szCs w:val="18"/>
                <w:lang w:val="sk-SK"/>
              </w:rPr>
              <w:t>i</w:t>
            </w:r>
            <w:r w:rsidRPr="004F6F0E">
              <w:rPr>
                <w:rFonts w:ascii="Arial" w:hAnsi="Arial" w:cs="Arial"/>
                <w:w w:val="90"/>
                <w:sz w:val="18"/>
                <w:szCs w:val="18"/>
                <w:lang w:val="sk-SK"/>
              </w:rPr>
              <w:t>cká</w:t>
            </w:r>
            <w:r w:rsidR="00B07B21">
              <w:rPr>
                <w:rFonts w:ascii="Arial" w:hAnsi="Arial" w:cs="Arial"/>
                <w:w w:val="90"/>
                <w:sz w:val="18"/>
                <w:szCs w:val="18"/>
                <w:lang w:val="sk-SK"/>
              </w:rPr>
              <w:t xml:space="preserve"> </w:t>
            </w:r>
            <w:r w:rsidRPr="004F6F0E">
              <w:rPr>
                <w:rFonts w:ascii="Arial" w:hAnsi="Arial" w:cs="Arial"/>
                <w:spacing w:val="1"/>
                <w:w w:val="90"/>
                <w:sz w:val="18"/>
                <w:szCs w:val="18"/>
                <w:lang w:val="sk-SK"/>
              </w:rPr>
              <w:t>u</w:t>
            </w:r>
            <w:r w:rsidRPr="004F6F0E">
              <w:rPr>
                <w:rFonts w:ascii="Arial" w:hAnsi="Arial" w:cs="Arial"/>
                <w:w w:val="90"/>
                <w:sz w:val="18"/>
                <w:szCs w:val="18"/>
                <w:lang w:val="sk-SK"/>
              </w:rPr>
              <w:t>n</w:t>
            </w:r>
            <w:r w:rsidRPr="004F6F0E">
              <w:rPr>
                <w:rFonts w:ascii="Arial" w:hAnsi="Arial" w:cs="Arial"/>
                <w:spacing w:val="-1"/>
                <w:w w:val="90"/>
                <w:sz w:val="18"/>
                <w:szCs w:val="18"/>
                <w:lang w:val="sk-SK"/>
              </w:rPr>
              <w:t>i</w:t>
            </w:r>
            <w:r w:rsidRPr="004F6F0E">
              <w:rPr>
                <w:rFonts w:ascii="Arial" w:hAnsi="Arial" w:cs="Arial"/>
                <w:w w:val="90"/>
                <w:sz w:val="18"/>
                <w:szCs w:val="18"/>
                <w:lang w:val="sk-SK"/>
              </w:rPr>
              <w:t>ver</w:t>
            </w:r>
            <w:r w:rsidRPr="004F6F0E">
              <w:rPr>
                <w:rFonts w:ascii="Arial" w:hAnsi="Arial" w:cs="Arial"/>
                <w:spacing w:val="-2"/>
                <w:w w:val="90"/>
                <w:sz w:val="18"/>
                <w:szCs w:val="18"/>
                <w:lang w:val="sk-SK"/>
              </w:rPr>
              <w:t>zi</w:t>
            </w:r>
            <w:r w:rsidRPr="004F6F0E">
              <w:rPr>
                <w:rFonts w:ascii="Arial" w:hAnsi="Arial" w:cs="Arial"/>
                <w:w w:val="90"/>
                <w:sz w:val="18"/>
                <w:szCs w:val="18"/>
                <w:lang w:val="sk-SK"/>
              </w:rPr>
              <w:t>ta</w:t>
            </w:r>
            <w:r w:rsidR="00B07B21">
              <w:rPr>
                <w:rFonts w:ascii="Arial" w:hAnsi="Arial" w:cs="Arial"/>
                <w:w w:val="90"/>
                <w:sz w:val="18"/>
                <w:szCs w:val="18"/>
                <w:lang w:val="sk-SK"/>
              </w:rPr>
              <w:t xml:space="preserve"> </w:t>
            </w:r>
            <w:r w:rsidRPr="004F6F0E">
              <w:rPr>
                <w:rFonts w:ascii="Arial" w:hAnsi="Arial" w:cs="Arial"/>
                <w:w w:val="90"/>
                <w:sz w:val="18"/>
                <w:szCs w:val="18"/>
                <w:lang w:val="sk-SK"/>
              </w:rPr>
              <w:t>v</w:t>
            </w:r>
            <w:r w:rsidR="00B07B21">
              <w:rPr>
                <w:rFonts w:ascii="Arial" w:hAnsi="Arial" w:cs="Arial"/>
                <w:w w:val="90"/>
                <w:sz w:val="18"/>
                <w:szCs w:val="18"/>
                <w:lang w:val="sk-SK"/>
              </w:rPr>
              <w:t xml:space="preserve"> </w:t>
            </w:r>
            <w:r w:rsidRPr="004F6F0E">
              <w:rPr>
                <w:rFonts w:ascii="Arial" w:hAnsi="Arial" w:cs="Arial"/>
                <w:w w:val="90"/>
                <w:sz w:val="18"/>
                <w:szCs w:val="18"/>
                <w:lang w:val="sk-SK"/>
              </w:rPr>
              <w:t>Br</w:t>
            </w:r>
            <w:r w:rsidRPr="004F6F0E">
              <w:rPr>
                <w:rFonts w:ascii="Arial" w:hAnsi="Arial" w:cs="Arial"/>
                <w:spacing w:val="-2"/>
                <w:w w:val="90"/>
                <w:sz w:val="18"/>
                <w:szCs w:val="18"/>
                <w:lang w:val="sk-SK"/>
              </w:rPr>
              <w:t>a</w:t>
            </w:r>
            <w:r w:rsidRPr="004F6F0E">
              <w:rPr>
                <w:rFonts w:ascii="Arial" w:hAnsi="Arial" w:cs="Arial"/>
                <w:w w:val="90"/>
                <w:sz w:val="18"/>
                <w:szCs w:val="18"/>
                <w:lang w:val="sk-SK"/>
              </w:rPr>
              <w:t>t</w:t>
            </w:r>
            <w:r w:rsidRPr="004F6F0E">
              <w:rPr>
                <w:rFonts w:ascii="Arial" w:hAnsi="Arial" w:cs="Arial"/>
                <w:spacing w:val="-1"/>
                <w:w w:val="90"/>
                <w:sz w:val="18"/>
                <w:szCs w:val="18"/>
                <w:lang w:val="sk-SK"/>
              </w:rPr>
              <w:t>i</w:t>
            </w:r>
            <w:r w:rsidRPr="004F6F0E">
              <w:rPr>
                <w:rFonts w:ascii="Arial" w:hAnsi="Arial" w:cs="Arial"/>
                <w:w w:val="90"/>
                <w:sz w:val="18"/>
                <w:szCs w:val="18"/>
                <w:lang w:val="sk-SK"/>
              </w:rPr>
              <w:t>s</w:t>
            </w:r>
            <w:r w:rsidRPr="004F6F0E">
              <w:rPr>
                <w:rFonts w:ascii="Arial" w:hAnsi="Arial" w:cs="Arial"/>
                <w:spacing w:val="-1"/>
                <w:w w:val="90"/>
                <w:sz w:val="18"/>
                <w:szCs w:val="18"/>
                <w:lang w:val="sk-SK"/>
              </w:rPr>
              <w:t>l</w:t>
            </w:r>
            <w:r w:rsidRPr="004F6F0E">
              <w:rPr>
                <w:rFonts w:ascii="Arial" w:hAnsi="Arial" w:cs="Arial"/>
                <w:spacing w:val="-2"/>
                <w:w w:val="90"/>
                <w:sz w:val="18"/>
                <w:szCs w:val="18"/>
                <w:lang w:val="sk-SK"/>
              </w:rPr>
              <w:t>a</w:t>
            </w:r>
            <w:r w:rsidRPr="004F6F0E">
              <w:rPr>
                <w:rFonts w:ascii="Arial" w:hAnsi="Arial" w:cs="Arial"/>
                <w:w w:val="90"/>
                <w:sz w:val="18"/>
                <w:szCs w:val="18"/>
                <w:lang w:val="sk-SK"/>
              </w:rPr>
              <w:t>ve</w:t>
            </w:r>
          </w:p>
        </w:tc>
      </w:tr>
    </w:tbl>
    <w:p w:rsidR="009B4A3B" w:rsidRPr="00C820ED" w:rsidRDefault="00C820ED" w:rsidP="00C820ED">
      <w:pPr>
        <w:spacing w:before="120" w:line="200" w:lineRule="exact"/>
        <w:rPr>
          <w:i/>
        </w:rPr>
      </w:pPr>
      <w:r w:rsidRPr="00C820ED">
        <w:rPr>
          <w:i/>
        </w:rPr>
        <w:t>Zdroj: MŠVVaŠ SR</w:t>
      </w:r>
    </w:p>
    <w:p w:rsidR="009B4A3B" w:rsidRDefault="009B4A3B" w:rsidP="005F0F1E">
      <w:pPr>
        <w:ind w:firstLine="340"/>
      </w:pPr>
      <w:r w:rsidRPr="000E1A05">
        <w:t xml:space="preserve">Vedecké parky sú komplementárne a dopĺňajú kapacity </w:t>
      </w:r>
      <w:r w:rsidR="007F5F0E">
        <w:t>k</w:t>
      </w:r>
      <w:r w:rsidRPr="000E1A05">
        <w:t>ompetenčných centier. Vedecké parky spolu s </w:t>
      </w:r>
      <w:r w:rsidR="007F5F0E">
        <w:t>k</w:t>
      </w:r>
      <w:r w:rsidRPr="000E1A05">
        <w:t>ompetenčnými centrami tak zastrešujú oblasti vedeckej špecializácie s možnými ekonomickými výstupmi. Predstavujú  oblasti vedeckej špecializácie s hospodárskym potenciálom. Pre zefektívnenie ich činnosti bude potrebné vytvoriť mechanizmy umožňujúce efektívne spájanie inovačných aktérov.</w:t>
      </w:r>
    </w:p>
    <w:p w:rsidR="00B4446B" w:rsidRPr="00B450ED" w:rsidRDefault="00B4446B" w:rsidP="005F0F1E">
      <w:pPr>
        <w:ind w:firstLine="340"/>
      </w:pPr>
      <w:r w:rsidRPr="00B450ED">
        <w:t>Celkovo je slovenská veda stále po</w:t>
      </w:r>
      <w:r>
        <w:t>d</w:t>
      </w:r>
      <w:r w:rsidRPr="00B450ED">
        <w:t>financovaná a ani štrukturálne fondy EÚ túto skutočnosť nemenia. Medzinárodné porovnania ukazujú, že Slovenská republika by mala objem investovaných zdrojov zvýšiť. Finančné investície do výskumu a vývoja v SR</w:t>
      </w:r>
      <w:r w:rsidR="00134F8E">
        <w:t xml:space="preserve"> </w:t>
      </w:r>
      <w:r w:rsidRPr="00B450ED">
        <w:t xml:space="preserve">sú dlhodobo poddimenzované a výrazne zaostávajú za priemerom EÚ. V rámci EÚ sa Slovensko umiestňuje dlhodobo na posledných </w:t>
      </w:r>
      <w:r w:rsidR="007F5F0E">
        <w:t>troch</w:t>
      </w:r>
      <w:r w:rsidRPr="00B450ED">
        <w:t xml:space="preserve"> priečkach spoločne s Bulharskom </w:t>
      </w:r>
      <w:r w:rsidRPr="00B450ED">
        <w:lastRenderedPageBreak/>
        <w:t xml:space="preserve">a Rumunskom. </w:t>
      </w:r>
      <w:r>
        <w:t>N</w:t>
      </w:r>
      <w:r w:rsidRPr="00B450ED">
        <w:t>apríklad v rámci krajín Dunajského regiónu</w:t>
      </w:r>
      <w:r w:rsidR="007F5F0E">
        <w:t xml:space="preserve"> investuje</w:t>
      </w:r>
      <w:r w:rsidRPr="00B450ED">
        <w:t xml:space="preserve"> Slovenská republika do oblasti výskumu a vývoja ešte menej, ako napríklad Chorvátsko, Srbsko alebo Ukrajina.</w:t>
      </w:r>
      <w:r w:rsidR="00134F8E">
        <w:t xml:space="preserve"> </w:t>
      </w:r>
    </w:p>
    <w:p w:rsidR="00492DCB" w:rsidRPr="00F104BD" w:rsidRDefault="009519A3" w:rsidP="00971659">
      <w:pPr>
        <w:pStyle w:val="Nadpis2"/>
      </w:pPr>
      <w:bookmarkStart w:id="132" w:name="_Toc365831804"/>
      <w:bookmarkStart w:id="133" w:name="_Toc365831996"/>
      <w:bookmarkStart w:id="134" w:name="_Toc366744166"/>
      <w:bookmarkStart w:id="135" w:name="_TOC_250009"/>
      <w:bookmarkStart w:id="136" w:name="_Toc360576020"/>
      <w:r w:rsidRPr="00DF3358">
        <w:t>Analýza oblastí</w:t>
      </w:r>
      <w:r w:rsidR="00E13039" w:rsidRPr="00DF3358">
        <w:t xml:space="preserve"> </w:t>
      </w:r>
      <w:r w:rsidRPr="00DF3358">
        <w:t>vedy a výskumu</w:t>
      </w:r>
      <w:r w:rsidR="00E13039" w:rsidRPr="00DF3358">
        <w:t xml:space="preserve"> </w:t>
      </w:r>
      <w:r w:rsidRPr="00DF3358">
        <w:t>v</w:t>
      </w:r>
      <w:r w:rsidR="00E13039" w:rsidRPr="00DF3358">
        <w:t xml:space="preserve"> </w:t>
      </w:r>
      <w:r w:rsidRPr="00DF3358">
        <w:t>SR</w:t>
      </w:r>
      <w:bookmarkEnd w:id="132"/>
      <w:bookmarkEnd w:id="133"/>
      <w:bookmarkEnd w:id="134"/>
      <w:r w:rsidR="00E13039" w:rsidRPr="00F104BD">
        <w:t xml:space="preserve"> </w:t>
      </w:r>
    </w:p>
    <w:p w:rsidR="00895F77" w:rsidRDefault="00895F77" w:rsidP="00895F77">
      <w:pPr>
        <w:ind w:firstLine="360"/>
      </w:pPr>
      <w:r>
        <w:t>P</w:t>
      </w:r>
      <w:r w:rsidRPr="00B333A5">
        <w:t xml:space="preserve">re </w:t>
      </w:r>
      <w:r>
        <w:t xml:space="preserve">analýzu vedy a výskumu </w:t>
      </w:r>
      <w:r w:rsidRPr="00B333A5">
        <w:t xml:space="preserve">bola zostavená skupina expertov </w:t>
      </w:r>
      <w:r w:rsidR="00ED4084">
        <w:t xml:space="preserve">zložená </w:t>
      </w:r>
      <w:r w:rsidRPr="00B333A5">
        <w:t>z osobností z univerzít a výskumných ústavov vrátane SAV, z priemyselných výskumných ústavov, reprezentantov priemyslu a ich priemyselných zväzov.</w:t>
      </w:r>
      <w:r>
        <w:t xml:space="preserve"> </w:t>
      </w:r>
    </w:p>
    <w:p w:rsidR="00895F77" w:rsidRDefault="00895F77" w:rsidP="00895F77">
      <w:pPr>
        <w:ind w:firstLine="360"/>
      </w:pPr>
      <w:r>
        <w:t>Pri analýze oblastí vedy a výskumu bol aplikovaný postup špecifikácie na základe  dvoch pohľadov</w:t>
      </w:r>
      <w:r w:rsidR="00CE2E2F">
        <w:t>,</w:t>
      </w:r>
      <w:r>
        <w:t xml:space="preserve"> a to využitie počtov odborných citácií pre identifikáciu  odbornej kritickej masy  a úspešnosť v projektoch 7</w:t>
      </w:r>
      <w:r w:rsidR="00CE2E2F">
        <w:t>.</w:t>
      </w:r>
      <w:r>
        <w:t xml:space="preserve"> RP, meraná počtom účastí SK tímov a na ne viazaných finančných zdrojov.</w:t>
      </w:r>
    </w:p>
    <w:p w:rsidR="00DF3358" w:rsidRDefault="00895F77" w:rsidP="00DF3358">
      <w:pPr>
        <w:ind w:firstLine="360"/>
      </w:pPr>
      <w:r w:rsidRPr="00A32EA0">
        <w:t>Pôvodné vedecké práce autorov pôsobiacich v Slovenskej republike publikované v registrovaných medzinárodných ved</w:t>
      </w:r>
      <w:r w:rsidR="00BC3320">
        <w:t xml:space="preserve">eckých časopisoch v období 2007 – </w:t>
      </w:r>
      <w:r w:rsidRPr="00A32EA0">
        <w:t>2013 zoradené podľa vedných skupín, ktoré poskytuje databáza Scopus</w:t>
      </w:r>
      <w:r w:rsidR="00CE2E2F">
        <w:t>:</w:t>
      </w:r>
    </w:p>
    <w:p w:rsidR="004B564F" w:rsidRPr="00C820ED" w:rsidRDefault="00DF3358" w:rsidP="00C820ED">
      <w:pPr>
        <w:spacing w:after="0"/>
        <w:rPr>
          <w:b/>
          <w:i/>
        </w:rPr>
      </w:pPr>
      <w:r w:rsidRPr="00BC3320">
        <w:rPr>
          <w:b/>
          <w:i/>
        </w:rPr>
        <w:t>Tabuľka 3</w:t>
      </w:r>
      <w:r w:rsidR="00BC3320" w:rsidRPr="00BC3320">
        <w:rPr>
          <w:b/>
          <w:i/>
        </w:rPr>
        <w:t xml:space="preserve"> </w:t>
      </w:r>
      <w:r w:rsidR="00BC3320" w:rsidRPr="00BC3320">
        <w:rPr>
          <w:i/>
        </w:rPr>
        <w:t>Pôvodné vedecké práce autorov pôsobiacich v Slovenskej republike publikované v registrovaných medzinárodných vedeckých časopisoch v období 2007 – 2013 zoradené podľa vedných skupín (SCOPUS)</w:t>
      </w:r>
    </w:p>
    <w:tbl>
      <w:tblPr>
        <w:tblStyle w:val="Mriekatabuky"/>
        <w:tblW w:w="0" w:type="auto"/>
        <w:tblLook w:val="04A0" w:firstRow="1" w:lastRow="0" w:firstColumn="1" w:lastColumn="0" w:noHBand="0" w:noVBand="1"/>
      </w:tblPr>
      <w:tblGrid>
        <w:gridCol w:w="534"/>
        <w:gridCol w:w="2693"/>
        <w:gridCol w:w="3118"/>
        <w:gridCol w:w="1276"/>
      </w:tblGrid>
      <w:tr w:rsidR="00DF3358" w:rsidTr="00C0216D">
        <w:tc>
          <w:tcPr>
            <w:tcW w:w="534" w:type="dxa"/>
            <w:shd w:val="clear" w:color="auto" w:fill="76923C" w:themeFill="accent3" w:themeFillShade="BF"/>
          </w:tcPr>
          <w:p w:rsidR="00DF3358" w:rsidRPr="005D798D" w:rsidRDefault="00DF3358" w:rsidP="00454149">
            <w:pPr>
              <w:jc w:val="center"/>
              <w:rPr>
                <w:b/>
                <w:sz w:val="18"/>
                <w:szCs w:val="18"/>
              </w:rPr>
            </w:pPr>
            <w:r w:rsidRPr="005D798D">
              <w:rPr>
                <w:b/>
                <w:sz w:val="18"/>
                <w:szCs w:val="18"/>
              </w:rPr>
              <w:t>P.</w:t>
            </w:r>
            <w:r w:rsidR="00454149">
              <w:rPr>
                <w:b/>
                <w:sz w:val="18"/>
                <w:szCs w:val="18"/>
              </w:rPr>
              <w:t xml:space="preserve"> </w:t>
            </w:r>
            <w:r w:rsidRPr="005D798D">
              <w:rPr>
                <w:b/>
                <w:sz w:val="18"/>
                <w:szCs w:val="18"/>
              </w:rPr>
              <w:t>č.</w:t>
            </w:r>
          </w:p>
        </w:tc>
        <w:tc>
          <w:tcPr>
            <w:tcW w:w="2693" w:type="dxa"/>
            <w:shd w:val="clear" w:color="auto" w:fill="76923C" w:themeFill="accent3" w:themeFillShade="BF"/>
          </w:tcPr>
          <w:p w:rsidR="00DF3358" w:rsidRPr="005D798D" w:rsidRDefault="00DF3358" w:rsidP="00454149">
            <w:pPr>
              <w:spacing w:line="240" w:lineRule="auto"/>
              <w:jc w:val="center"/>
              <w:rPr>
                <w:b/>
                <w:sz w:val="18"/>
                <w:szCs w:val="18"/>
              </w:rPr>
            </w:pPr>
            <w:r w:rsidRPr="005D798D">
              <w:rPr>
                <w:b/>
                <w:sz w:val="18"/>
                <w:szCs w:val="18"/>
              </w:rPr>
              <w:t>Názov – anglický jazyk</w:t>
            </w:r>
          </w:p>
        </w:tc>
        <w:tc>
          <w:tcPr>
            <w:tcW w:w="3118" w:type="dxa"/>
            <w:shd w:val="clear" w:color="auto" w:fill="76923C" w:themeFill="accent3" w:themeFillShade="BF"/>
          </w:tcPr>
          <w:p w:rsidR="00DF3358" w:rsidRPr="005D798D" w:rsidRDefault="00DF3358" w:rsidP="00CA37C7">
            <w:pPr>
              <w:jc w:val="center"/>
              <w:rPr>
                <w:b/>
                <w:sz w:val="18"/>
                <w:szCs w:val="18"/>
              </w:rPr>
            </w:pPr>
            <w:r w:rsidRPr="005D798D">
              <w:rPr>
                <w:b/>
                <w:sz w:val="18"/>
                <w:szCs w:val="18"/>
              </w:rPr>
              <w:t>Názov – slovenský jazyk</w:t>
            </w:r>
          </w:p>
        </w:tc>
        <w:tc>
          <w:tcPr>
            <w:tcW w:w="1276" w:type="dxa"/>
            <w:shd w:val="clear" w:color="auto" w:fill="76923C" w:themeFill="accent3" w:themeFillShade="BF"/>
          </w:tcPr>
          <w:p w:rsidR="00DF3358" w:rsidRPr="005D798D" w:rsidRDefault="00DF3358" w:rsidP="00CA37C7">
            <w:pPr>
              <w:jc w:val="center"/>
              <w:rPr>
                <w:b/>
                <w:sz w:val="18"/>
                <w:szCs w:val="18"/>
              </w:rPr>
            </w:pPr>
            <w:r w:rsidRPr="005D798D">
              <w:rPr>
                <w:b/>
                <w:sz w:val="18"/>
                <w:szCs w:val="18"/>
              </w:rPr>
              <w:t>Počet citácií</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bCs/>
                <w:sz w:val="18"/>
                <w:szCs w:val="18"/>
                <w:lang w:val="en-GB"/>
              </w:rPr>
              <w:t>1</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Agricult. Sci.</w:t>
            </w:r>
          </w:p>
        </w:tc>
        <w:tc>
          <w:tcPr>
            <w:tcW w:w="3118" w:type="dxa"/>
          </w:tcPr>
          <w:p w:rsidR="00DF3358" w:rsidRPr="00202685" w:rsidRDefault="00DF3358" w:rsidP="00CA37C7">
            <w:pPr>
              <w:rPr>
                <w:rFonts w:cstheme="minorHAnsi"/>
                <w:sz w:val="18"/>
                <w:szCs w:val="18"/>
              </w:rPr>
            </w:pPr>
            <w:r w:rsidRPr="00202685">
              <w:rPr>
                <w:rFonts w:cstheme="minorHAnsi"/>
                <w:sz w:val="18"/>
                <w:szCs w:val="18"/>
              </w:rPr>
              <w:t>Poľnohospodárstvo</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2 676</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bCs/>
                <w:sz w:val="18"/>
                <w:szCs w:val="18"/>
                <w:lang w:val="en-GB"/>
              </w:rPr>
              <w:t>2</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Biochemistry, Molecular Biology</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Biochémia a molekulárna biológia</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2 945</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bCs/>
                <w:sz w:val="18"/>
                <w:szCs w:val="18"/>
                <w:lang w:val="en-GB"/>
              </w:rPr>
              <w:t>3</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Chemical Engineering</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Chemické inžinierstvo</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 xml:space="preserve">   744</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4</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Chemistry</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Chémia</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2 520</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5</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Computer Sci</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Počítačové vedy</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 xml:space="preserve">   706</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6</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Earth Sci.</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Vedy o Zemi</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1 290</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7</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Economie</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Ekonómia</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416</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8</w:t>
            </w:r>
          </w:p>
        </w:tc>
        <w:tc>
          <w:tcPr>
            <w:tcW w:w="2693" w:type="dxa"/>
          </w:tcPr>
          <w:p w:rsidR="00DF3358" w:rsidRPr="00202685" w:rsidRDefault="00DF3358" w:rsidP="00CA37C7">
            <w:pPr>
              <w:rPr>
                <w:rFonts w:cstheme="minorHAnsi"/>
                <w:sz w:val="18"/>
                <w:szCs w:val="18"/>
              </w:rPr>
            </w:pPr>
            <w:r w:rsidRPr="00202685">
              <w:rPr>
                <w:rFonts w:cstheme="minorHAnsi"/>
                <w:sz w:val="18"/>
                <w:szCs w:val="18"/>
              </w:rPr>
              <w:t>Energy</w:t>
            </w:r>
          </w:p>
        </w:tc>
        <w:tc>
          <w:tcPr>
            <w:tcW w:w="3118" w:type="dxa"/>
          </w:tcPr>
          <w:p w:rsidR="00DF3358" w:rsidRPr="00202685" w:rsidRDefault="00DF3358" w:rsidP="00CA37C7">
            <w:pPr>
              <w:rPr>
                <w:rFonts w:cstheme="minorHAnsi"/>
                <w:sz w:val="18"/>
                <w:szCs w:val="18"/>
              </w:rPr>
            </w:pPr>
            <w:r w:rsidRPr="00202685">
              <w:rPr>
                <w:rFonts w:cstheme="minorHAnsi"/>
                <w:sz w:val="18"/>
                <w:szCs w:val="18"/>
              </w:rPr>
              <w:t>Energie</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234</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9</w:t>
            </w:r>
          </w:p>
        </w:tc>
        <w:tc>
          <w:tcPr>
            <w:tcW w:w="2693" w:type="dxa"/>
          </w:tcPr>
          <w:p w:rsidR="00DF3358" w:rsidRPr="00202685" w:rsidRDefault="00DF3358" w:rsidP="00CA37C7">
            <w:pPr>
              <w:rPr>
                <w:rFonts w:cstheme="minorHAnsi"/>
                <w:sz w:val="18"/>
                <w:szCs w:val="18"/>
              </w:rPr>
            </w:pPr>
            <w:r w:rsidRPr="00202685">
              <w:rPr>
                <w:rFonts w:cstheme="minorHAnsi"/>
                <w:sz w:val="18"/>
                <w:szCs w:val="18"/>
              </w:rPr>
              <w:t>Engineering</w:t>
            </w:r>
          </w:p>
        </w:tc>
        <w:tc>
          <w:tcPr>
            <w:tcW w:w="3118" w:type="dxa"/>
          </w:tcPr>
          <w:p w:rsidR="00DF3358" w:rsidRPr="00202685" w:rsidRDefault="00DF3358" w:rsidP="00CA37C7">
            <w:pPr>
              <w:rPr>
                <w:rFonts w:cstheme="minorHAnsi"/>
                <w:sz w:val="18"/>
                <w:szCs w:val="18"/>
              </w:rPr>
            </w:pPr>
            <w:r w:rsidRPr="00202685">
              <w:rPr>
                <w:rFonts w:cstheme="minorHAnsi"/>
                <w:sz w:val="18"/>
                <w:szCs w:val="18"/>
              </w:rPr>
              <w:t>Inžinierstvo</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2 357</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10</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Environm. Sci.</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Environmentálne vedy</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1 210</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11</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Imunology, microbiology</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Imunológia, mikrobiológia</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873</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12</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Material Sci.</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Materiálové vedy</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2 447</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13</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Mathematics</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Matematika</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1</w:t>
            </w:r>
            <w:r>
              <w:rPr>
                <w:rFonts w:cstheme="minorHAnsi"/>
                <w:sz w:val="18"/>
                <w:szCs w:val="18"/>
                <w:lang w:val="en-GB"/>
              </w:rPr>
              <w:t xml:space="preserve"> </w:t>
            </w:r>
            <w:r w:rsidRPr="00202685">
              <w:rPr>
                <w:rFonts w:cstheme="minorHAnsi"/>
                <w:sz w:val="18"/>
                <w:szCs w:val="18"/>
                <w:lang w:val="en-GB"/>
              </w:rPr>
              <w:t>473</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14</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Medical Sci.</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Lekárske vedy</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4 003</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15</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Neurology</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Neurológia</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rPr>
              <w:t>439</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16</w:t>
            </w:r>
          </w:p>
        </w:tc>
        <w:tc>
          <w:tcPr>
            <w:tcW w:w="2693" w:type="dxa"/>
          </w:tcPr>
          <w:p w:rsidR="00DF3358" w:rsidRPr="00202685" w:rsidRDefault="00DF3358" w:rsidP="00CA37C7">
            <w:pPr>
              <w:rPr>
                <w:rFonts w:cstheme="minorHAnsi"/>
                <w:sz w:val="18"/>
                <w:szCs w:val="18"/>
              </w:rPr>
            </w:pPr>
            <w:r w:rsidRPr="00202685">
              <w:rPr>
                <w:rFonts w:cstheme="minorHAnsi"/>
                <w:sz w:val="18"/>
                <w:szCs w:val="18"/>
              </w:rPr>
              <w:t>Pharmacy</w:t>
            </w:r>
          </w:p>
        </w:tc>
        <w:tc>
          <w:tcPr>
            <w:tcW w:w="3118" w:type="dxa"/>
          </w:tcPr>
          <w:p w:rsidR="00DF3358" w:rsidRPr="00202685" w:rsidRDefault="00DF3358" w:rsidP="00CA37C7">
            <w:pPr>
              <w:rPr>
                <w:rFonts w:cstheme="minorHAnsi"/>
                <w:sz w:val="18"/>
                <w:szCs w:val="18"/>
              </w:rPr>
            </w:pPr>
            <w:r w:rsidRPr="00202685">
              <w:rPr>
                <w:rFonts w:cstheme="minorHAnsi"/>
                <w:sz w:val="18"/>
                <w:szCs w:val="18"/>
              </w:rPr>
              <w:t>Farmácia</w:t>
            </w:r>
          </w:p>
        </w:tc>
        <w:tc>
          <w:tcPr>
            <w:tcW w:w="1276" w:type="dxa"/>
          </w:tcPr>
          <w:p w:rsidR="00DF3358" w:rsidRPr="00202685" w:rsidRDefault="00DF3358" w:rsidP="00CA37C7">
            <w:pPr>
              <w:jc w:val="right"/>
              <w:rPr>
                <w:rFonts w:cstheme="minorHAnsi"/>
                <w:sz w:val="18"/>
                <w:szCs w:val="18"/>
              </w:rPr>
            </w:pPr>
            <w:r>
              <w:rPr>
                <w:rFonts w:cstheme="minorHAnsi"/>
                <w:sz w:val="18"/>
                <w:szCs w:val="18"/>
              </w:rPr>
              <w:t>7</w:t>
            </w:r>
            <w:r w:rsidRPr="00202685">
              <w:rPr>
                <w:rFonts w:cstheme="minorHAnsi"/>
                <w:sz w:val="18"/>
                <w:szCs w:val="18"/>
              </w:rPr>
              <w:t>07</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17</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Physics and Astronomy</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Fyzika a astronómia</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3</w:t>
            </w:r>
            <w:r>
              <w:rPr>
                <w:rFonts w:cstheme="minorHAnsi"/>
                <w:sz w:val="18"/>
                <w:szCs w:val="18"/>
                <w:lang w:val="en-GB"/>
              </w:rPr>
              <w:t xml:space="preserve"> </w:t>
            </w:r>
            <w:r w:rsidRPr="00202685">
              <w:rPr>
                <w:rFonts w:cstheme="minorHAnsi"/>
                <w:sz w:val="18"/>
                <w:szCs w:val="18"/>
                <w:lang w:val="en-GB"/>
              </w:rPr>
              <w:t>654</w:t>
            </w:r>
          </w:p>
        </w:tc>
      </w:tr>
      <w:tr w:rsidR="00DF3358" w:rsidRPr="00202685" w:rsidTr="00454149">
        <w:tc>
          <w:tcPr>
            <w:tcW w:w="534" w:type="dxa"/>
          </w:tcPr>
          <w:p w:rsidR="00DF3358" w:rsidRPr="00202685" w:rsidRDefault="00DF3358" w:rsidP="00CA37C7">
            <w:pPr>
              <w:rPr>
                <w:rFonts w:cstheme="minorHAnsi"/>
                <w:sz w:val="18"/>
                <w:szCs w:val="18"/>
              </w:rPr>
            </w:pPr>
            <w:r w:rsidRPr="00202685">
              <w:rPr>
                <w:rFonts w:cstheme="minorHAnsi"/>
                <w:sz w:val="18"/>
                <w:szCs w:val="18"/>
              </w:rPr>
              <w:t>18</w:t>
            </w:r>
          </w:p>
        </w:tc>
        <w:tc>
          <w:tcPr>
            <w:tcW w:w="2693" w:type="dxa"/>
          </w:tcPr>
          <w:p w:rsidR="00DF3358" w:rsidRPr="00202685" w:rsidRDefault="00DF3358" w:rsidP="00CA37C7">
            <w:pPr>
              <w:rPr>
                <w:rFonts w:cstheme="minorHAnsi"/>
                <w:sz w:val="18"/>
                <w:szCs w:val="18"/>
              </w:rPr>
            </w:pPr>
            <w:r w:rsidRPr="00202685">
              <w:rPr>
                <w:rFonts w:cstheme="minorHAnsi"/>
                <w:sz w:val="18"/>
                <w:szCs w:val="18"/>
                <w:lang w:val="en-GB"/>
              </w:rPr>
              <w:t>Scial sci.</w:t>
            </w:r>
          </w:p>
        </w:tc>
        <w:tc>
          <w:tcPr>
            <w:tcW w:w="3118" w:type="dxa"/>
          </w:tcPr>
          <w:p w:rsidR="00DF3358" w:rsidRPr="00202685" w:rsidRDefault="00DF3358" w:rsidP="00CA37C7">
            <w:pPr>
              <w:rPr>
                <w:rFonts w:cstheme="minorHAnsi"/>
                <w:sz w:val="18"/>
                <w:szCs w:val="18"/>
              </w:rPr>
            </w:pPr>
            <w:r w:rsidRPr="00202685">
              <w:rPr>
                <w:rFonts w:cstheme="minorHAnsi"/>
                <w:sz w:val="18"/>
                <w:szCs w:val="18"/>
                <w:lang w:val="en-GB"/>
              </w:rPr>
              <w:t>Spoločenské vedy</w:t>
            </w:r>
          </w:p>
        </w:tc>
        <w:tc>
          <w:tcPr>
            <w:tcW w:w="1276" w:type="dxa"/>
          </w:tcPr>
          <w:p w:rsidR="00DF3358" w:rsidRPr="00202685" w:rsidRDefault="00DF3358" w:rsidP="00CA37C7">
            <w:pPr>
              <w:jc w:val="right"/>
              <w:rPr>
                <w:rFonts w:cstheme="minorHAnsi"/>
                <w:sz w:val="18"/>
                <w:szCs w:val="18"/>
              </w:rPr>
            </w:pPr>
            <w:r w:rsidRPr="00202685">
              <w:rPr>
                <w:rFonts w:cstheme="minorHAnsi"/>
                <w:sz w:val="18"/>
                <w:szCs w:val="18"/>
                <w:lang w:val="en-GB"/>
              </w:rPr>
              <w:t>736</w:t>
            </w:r>
          </w:p>
        </w:tc>
      </w:tr>
    </w:tbl>
    <w:p w:rsidR="00895F77" w:rsidRPr="00A32EA0" w:rsidRDefault="00895F77" w:rsidP="00895F77">
      <w:pPr>
        <w:spacing w:after="0"/>
        <w:ind w:firstLine="360"/>
      </w:pPr>
    </w:p>
    <w:p w:rsidR="00895F77" w:rsidRPr="00A32EA0" w:rsidRDefault="00895F77" w:rsidP="00895F77">
      <w:pPr>
        <w:ind w:firstLine="360"/>
      </w:pPr>
      <w:r w:rsidRPr="00A32EA0">
        <w:t>Uvedené členenie je síce</w:t>
      </w:r>
      <w:r w:rsidR="00DF3358">
        <w:t xml:space="preserve"> </w:t>
      </w:r>
      <w:r w:rsidR="00CE2E2F">
        <w:t>rámcové</w:t>
      </w:r>
      <w:r w:rsidRPr="00A32EA0">
        <w:t>, umožňuje však stanoviť základné dominantné oblasti výskumu, v ktorom existuje v Slovenskej republike kritická masa. Z údajov je zrejmé, že najsilnejšie oblasti z hľadiska produkcie nových vedeckých poznatkov sú najmä oblasti (zoradené podľa počtu zverejnených prác):</w:t>
      </w:r>
    </w:p>
    <w:p w:rsidR="00895F77" w:rsidRPr="00A32EA0" w:rsidRDefault="00895F77" w:rsidP="00895F77">
      <w:pPr>
        <w:numPr>
          <w:ilvl w:val="0"/>
          <w:numId w:val="41"/>
        </w:numPr>
        <w:spacing w:after="0"/>
      </w:pPr>
      <w:r w:rsidRPr="00A32EA0">
        <w:t>mat</w:t>
      </w:r>
      <w:r w:rsidR="00F44A6D">
        <w:t xml:space="preserve">eriálové vedy, fyzika a chémia   </w:t>
      </w:r>
      <w:r w:rsidRPr="00A32EA0">
        <w:t>8</w:t>
      </w:r>
      <w:r w:rsidR="00CE2E2F">
        <w:t xml:space="preserve"> </w:t>
      </w:r>
      <w:r w:rsidRPr="00A32EA0">
        <w:t>621</w:t>
      </w:r>
    </w:p>
    <w:p w:rsidR="00895F77" w:rsidRPr="00A32EA0" w:rsidRDefault="00895F77" w:rsidP="00895F77">
      <w:pPr>
        <w:numPr>
          <w:ilvl w:val="0"/>
          <w:numId w:val="41"/>
        </w:numPr>
        <w:spacing w:after="0"/>
      </w:pPr>
      <w:r w:rsidRPr="00A32EA0">
        <w:t>lekárske vedy, biochémia a</w:t>
      </w:r>
      <w:r w:rsidR="00F44A6D">
        <w:t> </w:t>
      </w:r>
      <w:r w:rsidRPr="00A32EA0">
        <w:t>molekulárna</w:t>
      </w:r>
      <w:r w:rsidR="00F44A6D">
        <w:t xml:space="preserve"> biológia</w:t>
      </w:r>
      <w:r w:rsidRPr="00A32EA0">
        <w:t xml:space="preserve"> </w:t>
      </w:r>
      <w:r w:rsidR="00F44A6D">
        <w:t xml:space="preserve">  </w:t>
      </w:r>
      <w:r w:rsidRPr="00A32EA0">
        <w:t>6</w:t>
      </w:r>
      <w:r w:rsidR="00CE2E2F">
        <w:t xml:space="preserve"> </w:t>
      </w:r>
      <w:r w:rsidRPr="00A32EA0">
        <w:t>948</w:t>
      </w:r>
    </w:p>
    <w:p w:rsidR="00895F77" w:rsidRPr="00A32EA0" w:rsidRDefault="00895F77" w:rsidP="00895F77">
      <w:pPr>
        <w:numPr>
          <w:ilvl w:val="0"/>
          <w:numId w:val="41"/>
        </w:numPr>
        <w:spacing w:after="0"/>
      </w:pPr>
      <w:r w:rsidRPr="00A32EA0">
        <w:t>technické</w:t>
      </w:r>
      <w:r>
        <w:t xml:space="preserve"> </w:t>
      </w:r>
      <w:r w:rsidR="00F44A6D">
        <w:t xml:space="preserve">vedy a chemické inžinierstvo  </w:t>
      </w:r>
      <w:r w:rsidRPr="00A32EA0">
        <w:t xml:space="preserve"> 3</w:t>
      </w:r>
      <w:r w:rsidR="00CE2E2F">
        <w:t xml:space="preserve"> </w:t>
      </w:r>
      <w:r w:rsidRPr="00A32EA0">
        <w:t>100</w:t>
      </w:r>
    </w:p>
    <w:p w:rsidR="00895F77" w:rsidRPr="00A32EA0" w:rsidRDefault="00F44A6D" w:rsidP="00895F77">
      <w:pPr>
        <w:numPr>
          <w:ilvl w:val="0"/>
          <w:numId w:val="41"/>
        </w:numPr>
        <w:spacing w:after="0"/>
      </w:pPr>
      <w:r>
        <w:t>poľnohospodárske vedy</w:t>
      </w:r>
      <w:r w:rsidR="00895F77" w:rsidRPr="00A32EA0">
        <w:t xml:space="preserve"> </w:t>
      </w:r>
      <w:r>
        <w:t xml:space="preserve">  </w:t>
      </w:r>
      <w:r w:rsidR="00895F77" w:rsidRPr="00A32EA0">
        <w:t>2</w:t>
      </w:r>
      <w:r w:rsidR="00CE2E2F">
        <w:t xml:space="preserve"> </w:t>
      </w:r>
      <w:r w:rsidR="00895F77" w:rsidRPr="00A32EA0">
        <w:t>676</w:t>
      </w:r>
    </w:p>
    <w:p w:rsidR="00895F77" w:rsidRPr="00A32EA0" w:rsidRDefault="00F44A6D" w:rsidP="00895F77">
      <w:pPr>
        <w:numPr>
          <w:ilvl w:val="0"/>
          <w:numId w:val="41"/>
        </w:numPr>
        <w:spacing w:after="0"/>
      </w:pPr>
      <w:r>
        <w:t>matematika a počítačové vedy</w:t>
      </w:r>
      <w:r w:rsidR="00895F77" w:rsidRPr="00A32EA0">
        <w:t xml:space="preserve"> </w:t>
      </w:r>
      <w:r>
        <w:t xml:space="preserve">  </w:t>
      </w:r>
      <w:r w:rsidR="00895F77" w:rsidRPr="00A32EA0">
        <w:t>2</w:t>
      </w:r>
      <w:r w:rsidR="00CE2E2F">
        <w:t xml:space="preserve"> </w:t>
      </w:r>
      <w:r w:rsidR="00895F77" w:rsidRPr="00A32EA0">
        <w:t>179</w:t>
      </w:r>
    </w:p>
    <w:p w:rsidR="00B26529" w:rsidRDefault="00895F77">
      <w:pPr>
        <w:spacing w:before="240"/>
        <w:ind w:firstLine="360"/>
      </w:pPr>
      <w:r w:rsidRPr="00A32EA0">
        <w:t>Tieto oblasti zahŕňajú 80 % produkcie publikácií</w:t>
      </w:r>
      <w:r w:rsidR="00CE2E2F">
        <w:t xml:space="preserve"> </w:t>
      </w:r>
      <w:r w:rsidRPr="00A32EA0">
        <w:t>všetkých oblastí a predstavujú dominantné oblasti výskumu v </w:t>
      </w:r>
      <w:r w:rsidR="00CE2E2F">
        <w:t>SR</w:t>
      </w:r>
      <w:r w:rsidRPr="00A32EA0">
        <w:t>.</w:t>
      </w:r>
      <w:r>
        <w:t xml:space="preserve"> </w:t>
      </w:r>
      <w:r w:rsidR="00CE2E2F">
        <w:t xml:space="preserve"> </w:t>
      </w:r>
      <w:r w:rsidRPr="00A32EA0">
        <w:t xml:space="preserve">Kvantitatívne dokumentujú na výskumných výstupoch reálnu kritickú masu jednotlivých oblastí. </w:t>
      </w:r>
    </w:p>
    <w:p w:rsidR="0095719B" w:rsidRPr="00A32EA0" w:rsidRDefault="0095719B" w:rsidP="0095719B">
      <w:pPr>
        <w:ind w:firstLine="360"/>
      </w:pPr>
      <w:r w:rsidRPr="00A32EA0">
        <w:t xml:space="preserve">Výskumné kapacity v jednotlivých dominantných oblastiach sú odhadované nasledovne: </w:t>
      </w:r>
    </w:p>
    <w:p w:rsidR="0095719B" w:rsidRPr="00A32EA0" w:rsidRDefault="0095719B" w:rsidP="0095719B">
      <w:pPr>
        <w:numPr>
          <w:ilvl w:val="0"/>
          <w:numId w:val="42"/>
        </w:numPr>
        <w:spacing w:after="0"/>
      </w:pPr>
      <w:r w:rsidRPr="00A32EA0">
        <w:rPr>
          <w:bCs/>
        </w:rPr>
        <w:t>Informačné a komunikačné technológie – ICT – 1</w:t>
      </w:r>
      <w:r w:rsidR="00CE2E2F">
        <w:rPr>
          <w:bCs/>
        </w:rPr>
        <w:t xml:space="preserve"> </w:t>
      </w:r>
      <w:r w:rsidRPr="00A32EA0">
        <w:rPr>
          <w:bCs/>
        </w:rPr>
        <w:t>100</w:t>
      </w:r>
    </w:p>
    <w:p w:rsidR="0095719B" w:rsidRPr="00A32EA0" w:rsidRDefault="0095719B" w:rsidP="0095719B">
      <w:pPr>
        <w:numPr>
          <w:ilvl w:val="0"/>
          <w:numId w:val="42"/>
        </w:numPr>
        <w:spacing w:after="0"/>
      </w:pPr>
      <w:r w:rsidRPr="00A32EA0">
        <w:rPr>
          <w:bCs/>
        </w:rPr>
        <w:t>Materiálový výskum, nanotechnológie – MAT - 800</w:t>
      </w:r>
    </w:p>
    <w:p w:rsidR="0095719B" w:rsidRPr="00A32EA0" w:rsidRDefault="0095719B" w:rsidP="0095719B">
      <w:pPr>
        <w:numPr>
          <w:ilvl w:val="0"/>
          <w:numId w:val="42"/>
        </w:numPr>
        <w:spacing w:after="0"/>
      </w:pPr>
      <w:r w:rsidRPr="00A32EA0">
        <w:rPr>
          <w:bCs/>
        </w:rPr>
        <w:t xml:space="preserve">Priemyselné technológie – TECH – 700 </w:t>
      </w:r>
    </w:p>
    <w:p w:rsidR="0095719B" w:rsidRPr="00A32EA0" w:rsidRDefault="0095719B" w:rsidP="0095719B">
      <w:pPr>
        <w:numPr>
          <w:ilvl w:val="0"/>
          <w:numId w:val="42"/>
        </w:numPr>
        <w:spacing w:after="0"/>
      </w:pPr>
      <w:r w:rsidRPr="00A32EA0">
        <w:rPr>
          <w:bCs/>
        </w:rPr>
        <w:t>Biomedicína a biotechnológie – BIO – 2</w:t>
      </w:r>
      <w:r w:rsidR="00CE2E2F">
        <w:rPr>
          <w:bCs/>
        </w:rPr>
        <w:t xml:space="preserve"> </w:t>
      </w:r>
      <w:r w:rsidRPr="00A32EA0">
        <w:rPr>
          <w:bCs/>
        </w:rPr>
        <w:t xml:space="preserve">000 </w:t>
      </w:r>
    </w:p>
    <w:p w:rsidR="0095719B" w:rsidRPr="00A32EA0" w:rsidRDefault="0095719B" w:rsidP="0095719B">
      <w:pPr>
        <w:numPr>
          <w:ilvl w:val="0"/>
          <w:numId w:val="42"/>
        </w:numPr>
        <w:spacing w:after="0"/>
      </w:pPr>
      <w:r w:rsidRPr="00A32EA0">
        <w:rPr>
          <w:bCs/>
        </w:rPr>
        <w:t xml:space="preserve">Udržateľná energetika a energie – ENERG – </w:t>
      </w:r>
      <w:r>
        <w:rPr>
          <w:bCs/>
        </w:rPr>
        <w:t>70</w:t>
      </w:r>
      <w:r w:rsidRPr="00A32EA0">
        <w:rPr>
          <w:bCs/>
        </w:rPr>
        <w:t xml:space="preserve">0 </w:t>
      </w:r>
    </w:p>
    <w:p w:rsidR="0095719B" w:rsidRPr="00656F84" w:rsidRDefault="0095719B" w:rsidP="0095719B">
      <w:pPr>
        <w:numPr>
          <w:ilvl w:val="0"/>
          <w:numId w:val="42"/>
        </w:numPr>
        <w:spacing w:after="0"/>
      </w:pPr>
      <w:r w:rsidRPr="00A32EA0">
        <w:rPr>
          <w:bCs/>
        </w:rPr>
        <w:t xml:space="preserve">Životné prostredie, pôdohospodárstvo – ENVIR – 450 </w:t>
      </w:r>
    </w:p>
    <w:p w:rsidR="00895F77" w:rsidRDefault="00895F77" w:rsidP="00895F77">
      <w:pPr>
        <w:spacing w:after="0"/>
        <w:ind w:firstLine="360"/>
      </w:pPr>
      <w:r w:rsidRPr="00A32EA0">
        <w:t>Z hľadiska identifikovania oblastí excelentnosti na medzinárodnej úrovni je možné využiť aj údaje o úspešnosti v </w:t>
      </w:r>
      <w:r w:rsidR="00CE2E2F">
        <w:t xml:space="preserve"> 7.RP</w:t>
      </w:r>
      <w:r w:rsidRPr="00A32EA0">
        <w:t xml:space="preserve"> EÚ. Tieto projekty sú považované za elitné projekty potvrdzujúce excelentnosť. </w:t>
      </w:r>
      <w:r w:rsidR="00CE2E2F">
        <w:t xml:space="preserve"> </w:t>
      </w:r>
      <w:r w:rsidRPr="00A32EA0">
        <w:t xml:space="preserve">Úspešnosť v prvom priblížení možno hodnotiť ako podľa počtu účastí v projektoch, tak aj podľa výšky získaných príspevkov vo finančnom vyjadrení. </w:t>
      </w:r>
    </w:p>
    <w:p w:rsidR="00CE2E2F" w:rsidRPr="00A32EA0" w:rsidRDefault="00CE2E2F" w:rsidP="00895F77">
      <w:pPr>
        <w:spacing w:after="0"/>
        <w:ind w:firstLine="360"/>
      </w:pPr>
    </w:p>
    <w:p w:rsidR="00895F77" w:rsidRPr="00656F84" w:rsidRDefault="002B611D" w:rsidP="00656F84">
      <w:pPr>
        <w:spacing w:after="0"/>
        <w:rPr>
          <w:b/>
          <w:i/>
        </w:rPr>
      </w:pPr>
      <w:r w:rsidRPr="00656F84">
        <w:rPr>
          <w:b/>
          <w:i/>
        </w:rPr>
        <w:t>Tabuľka</w:t>
      </w:r>
      <w:r w:rsidR="00DF3358" w:rsidRPr="00656F84">
        <w:rPr>
          <w:b/>
          <w:i/>
        </w:rPr>
        <w:t xml:space="preserve"> 4</w:t>
      </w:r>
      <w:r w:rsidR="00895F77" w:rsidRPr="00656F84">
        <w:rPr>
          <w:b/>
          <w:i/>
        </w:rPr>
        <w:t xml:space="preserve"> </w:t>
      </w:r>
      <w:r w:rsidR="00895F77" w:rsidRPr="00656F84">
        <w:rPr>
          <w:i/>
        </w:rPr>
        <w:t>Účasť slovenských výskumných tímov v tematických oblastiach špecifického programu Spoluprác</w:t>
      </w:r>
      <w:r w:rsidR="00CE2E2F" w:rsidRPr="00656F84">
        <w:rPr>
          <w:i/>
        </w:rPr>
        <w:t>a</w:t>
      </w:r>
      <w:r w:rsidR="00895F77" w:rsidRPr="00656F84">
        <w:rPr>
          <w:i/>
        </w:rPr>
        <w:t xml:space="preserve"> </w:t>
      </w:r>
    </w:p>
    <w:tbl>
      <w:tblPr>
        <w:tblW w:w="9087" w:type="dxa"/>
        <w:tblInd w:w="55" w:type="dxa"/>
        <w:tblCellMar>
          <w:left w:w="70" w:type="dxa"/>
          <w:right w:w="70" w:type="dxa"/>
        </w:tblCellMar>
        <w:tblLook w:val="00A0" w:firstRow="1" w:lastRow="0" w:firstColumn="1" w:lastColumn="0" w:noHBand="0" w:noVBand="0"/>
      </w:tblPr>
      <w:tblGrid>
        <w:gridCol w:w="5615"/>
        <w:gridCol w:w="1556"/>
        <w:gridCol w:w="1916"/>
      </w:tblGrid>
      <w:tr w:rsidR="00895F77" w:rsidRPr="00A32EA0" w:rsidTr="00C376D6">
        <w:trPr>
          <w:trHeight w:val="255"/>
        </w:trPr>
        <w:tc>
          <w:tcPr>
            <w:tcW w:w="5615" w:type="dxa"/>
            <w:tcBorders>
              <w:top w:val="nil"/>
              <w:left w:val="nil"/>
              <w:bottom w:val="single" w:sz="2" w:space="0" w:color="000000"/>
              <w:right w:val="nil"/>
            </w:tcBorders>
            <w:shd w:val="clear" w:color="auto" w:fill="9BBB59"/>
            <w:noWrap/>
            <w:vAlign w:val="bottom"/>
          </w:tcPr>
          <w:p w:rsidR="00895F77" w:rsidRPr="00A32EA0" w:rsidRDefault="00895F77" w:rsidP="00C376D6">
            <w:pPr>
              <w:spacing w:after="0"/>
              <w:ind w:firstLine="360"/>
              <w:rPr>
                <w:b/>
                <w:lang w:val="en-GB"/>
              </w:rPr>
            </w:pPr>
            <w:r w:rsidRPr="00A32EA0">
              <w:rPr>
                <w:b/>
                <w:lang w:val="en-GB"/>
              </w:rPr>
              <w:t>Tematická oblasť</w:t>
            </w:r>
          </w:p>
        </w:tc>
        <w:tc>
          <w:tcPr>
            <w:tcW w:w="1556" w:type="dxa"/>
            <w:tcBorders>
              <w:top w:val="nil"/>
              <w:left w:val="nil"/>
              <w:bottom w:val="single" w:sz="2" w:space="0" w:color="000000"/>
              <w:right w:val="nil"/>
            </w:tcBorders>
            <w:shd w:val="clear" w:color="auto" w:fill="9BBB59"/>
            <w:noWrap/>
            <w:vAlign w:val="bottom"/>
          </w:tcPr>
          <w:p w:rsidR="00895F77" w:rsidRPr="00A32EA0" w:rsidRDefault="00895F77" w:rsidP="00C376D6">
            <w:pPr>
              <w:spacing w:after="0"/>
              <w:ind w:firstLine="360"/>
              <w:rPr>
                <w:b/>
                <w:lang w:val="en-GB"/>
              </w:rPr>
            </w:pPr>
            <w:r w:rsidRPr="00A32EA0">
              <w:rPr>
                <w:b/>
                <w:lang w:val="en-GB"/>
              </w:rPr>
              <w:t>Príspevok EK</w:t>
            </w:r>
          </w:p>
        </w:tc>
        <w:tc>
          <w:tcPr>
            <w:tcW w:w="1916" w:type="dxa"/>
            <w:tcBorders>
              <w:top w:val="nil"/>
              <w:left w:val="nil"/>
              <w:bottom w:val="single" w:sz="2" w:space="0" w:color="000000"/>
              <w:right w:val="nil"/>
            </w:tcBorders>
            <w:shd w:val="clear" w:color="auto" w:fill="9BBB59"/>
            <w:noWrap/>
            <w:vAlign w:val="bottom"/>
          </w:tcPr>
          <w:p w:rsidR="00895F77" w:rsidRPr="00A32EA0" w:rsidRDefault="00895F77" w:rsidP="00C376D6">
            <w:pPr>
              <w:spacing w:after="0"/>
              <w:ind w:firstLine="360"/>
              <w:rPr>
                <w:b/>
                <w:lang w:val="en-GB"/>
              </w:rPr>
            </w:pPr>
            <w:r w:rsidRPr="00A32EA0">
              <w:rPr>
                <w:b/>
                <w:lang w:val="en-GB"/>
              </w:rPr>
              <w:t>Počet účastí</w:t>
            </w:r>
          </w:p>
        </w:tc>
      </w:tr>
      <w:tr w:rsidR="00895F77" w:rsidRPr="00A32EA0" w:rsidTr="00C376D6">
        <w:trPr>
          <w:trHeight w:val="255"/>
        </w:trPr>
        <w:tc>
          <w:tcPr>
            <w:tcW w:w="5615" w:type="dxa"/>
            <w:tcBorders>
              <w:top w:val="single" w:sz="2" w:space="0" w:color="000000"/>
              <w:left w:val="nil"/>
              <w:bottom w:val="nil"/>
              <w:right w:val="nil"/>
            </w:tcBorders>
            <w:noWrap/>
            <w:vAlign w:val="bottom"/>
          </w:tcPr>
          <w:p w:rsidR="00895F77" w:rsidRPr="00A32EA0" w:rsidRDefault="00895F77" w:rsidP="00C376D6">
            <w:pPr>
              <w:spacing w:after="0"/>
              <w:ind w:firstLine="360"/>
              <w:rPr>
                <w:lang w:val="de-DE"/>
              </w:rPr>
            </w:pPr>
            <w:r w:rsidRPr="00A32EA0">
              <w:rPr>
                <w:lang w:val="de-DE"/>
              </w:rPr>
              <w:t>Informačné a komunikačné technológie (IKT)</w:t>
            </w:r>
          </w:p>
        </w:tc>
        <w:tc>
          <w:tcPr>
            <w:tcW w:w="1556" w:type="dxa"/>
            <w:tcBorders>
              <w:top w:val="single" w:sz="2" w:space="0" w:color="000000"/>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9 348 441,00</w:t>
            </w:r>
          </w:p>
        </w:tc>
        <w:tc>
          <w:tcPr>
            <w:tcW w:w="1916" w:type="dxa"/>
            <w:tcBorders>
              <w:top w:val="single" w:sz="2" w:space="0" w:color="000000"/>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51</w:t>
            </w:r>
          </w:p>
        </w:tc>
      </w:tr>
      <w:tr w:rsidR="00895F77" w:rsidRPr="00A32EA0" w:rsidTr="00C376D6">
        <w:trPr>
          <w:trHeight w:val="255"/>
        </w:trPr>
        <w:tc>
          <w:tcPr>
            <w:tcW w:w="5615"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Nanovedy, nanotechnológie, materiály a nové výrobné technológie (NMP)</w:t>
            </w:r>
          </w:p>
        </w:tc>
        <w:tc>
          <w:tcPr>
            <w:tcW w:w="155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6 528 634,45</w:t>
            </w:r>
          </w:p>
        </w:tc>
        <w:tc>
          <w:tcPr>
            <w:tcW w:w="191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30</w:t>
            </w:r>
          </w:p>
        </w:tc>
      </w:tr>
      <w:tr w:rsidR="00895F77" w:rsidRPr="00A32EA0" w:rsidTr="00C376D6">
        <w:trPr>
          <w:trHeight w:val="255"/>
        </w:trPr>
        <w:tc>
          <w:tcPr>
            <w:tcW w:w="5615"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Bezpečnosť (SECURITY)</w:t>
            </w:r>
          </w:p>
        </w:tc>
        <w:tc>
          <w:tcPr>
            <w:tcW w:w="155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5 165 852,27</w:t>
            </w:r>
          </w:p>
        </w:tc>
        <w:tc>
          <w:tcPr>
            <w:tcW w:w="191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17</w:t>
            </w:r>
          </w:p>
        </w:tc>
      </w:tr>
      <w:tr w:rsidR="00895F77" w:rsidRPr="00A32EA0" w:rsidTr="00C376D6">
        <w:trPr>
          <w:trHeight w:val="255"/>
        </w:trPr>
        <w:tc>
          <w:tcPr>
            <w:tcW w:w="5615" w:type="dxa"/>
            <w:tcBorders>
              <w:top w:val="nil"/>
              <w:left w:val="nil"/>
              <w:bottom w:val="nil"/>
              <w:right w:val="nil"/>
            </w:tcBorders>
            <w:noWrap/>
            <w:vAlign w:val="bottom"/>
          </w:tcPr>
          <w:p w:rsidR="00895F77" w:rsidRPr="00AC518D" w:rsidRDefault="00A105D0" w:rsidP="00C376D6">
            <w:pPr>
              <w:spacing w:after="0"/>
              <w:ind w:firstLine="360"/>
            </w:pPr>
            <w:r w:rsidRPr="00A105D0">
              <w:t>Potraviny, poľnohospodárstvo, rybné hospodárstvo a biotechnológia (KBBE)</w:t>
            </w:r>
          </w:p>
        </w:tc>
        <w:tc>
          <w:tcPr>
            <w:tcW w:w="155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3 352 937,00</w:t>
            </w:r>
          </w:p>
        </w:tc>
        <w:tc>
          <w:tcPr>
            <w:tcW w:w="191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23</w:t>
            </w:r>
          </w:p>
        </w:tc>
      </w:tr>
      <w:tr w:rsidR="00895F77" w:rsidRPr="00A32EA0" w:rsidTr="00C376D6">
        <w:trPr>
          <w:trHeight w:val="255"/>
        </w:trPr>
        <w:tc>
          <w:tcPr>
            <w:tcW w:w="5615"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Zdravie (HEALTH)</w:t>
            </w:r>
          </w:p>
        </w:tc>
        <w:tc>
          <w:tcPr>
            <w:tcW w:w="155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2 795 712,47</w:t>
            </w:r>
          </w:p>
        </w:tc>
        <w:tc>
          <w:tcPr>
            <w:tcW w:w="191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15</w:t>
            </w:r>
          </w:p>
        </w:tc>
      </w:tr>
      <w:tr w:rsidR="00895F77" w:rsidRPr="00A32EA0" w:rsidTr="00C376D6">
        <w:trPr>
          <w:trHeight w:val="255"/>
        </w:trPr>
        <w:tc>
          <w:tcPr>
            <w:tcW w:w="5615"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Životné prostredie a zmeny klímy (ENV)</w:t>
            </w:r>
          </w:p>
        </w:tc>
        <w:tc>
          <w:tcPr>
            <w:tcW w:w="155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2 324 120,37</w:t>
            </w:r>
          </w:p>
        </w:tc>
        <w:tc>
          <w:tcPr>
            <w:tcW w:w="191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17</w:t>
            </w:r>
          </w:p>
        </w:tc>
      </w:tr>
      <w:tr w:rsidR="00895F77" w:rsidRPr="00A32EA0" w:rsidTr="00C376D6">
        <w:trPr>
          <w:trHeight w:val="255"/>
        </w:trPr>
        <w:tc>
          <w:tcPr>
            <w:tcW w:w="5615"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Doprava (vrátane leteckej) (TPT)</w:t>
            </w:r>
          </w:p>
        </w:tc>
        <w:tc>
          <w:tcPr>
            <w:tcW w:w="155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2 294 472,20</w:t>
            </w:r>
          </w:p>
        </w:tc>
        <w:tc>
          <w:tcPr>
            <w:tcW w:w="191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20</w:t>
            </w:r>
          </w:p>
        </w:tc>
      </w:tr>
      <w:tr w:rsidR="00895F77" w:rsidRPr="00A32EA0" w:rsidTr="00C376D6">
        <w:trPr>
          <w:trHeight w:val="255"/>
        </w:trPr>
        <w:tc>
          <w:tcPr>
            <w:tcW w:w="5615" w:type="dxa"/>
            <w:tcBorders>
              <w:top w:val="nil"/>
              <w:left w:val="nil"/>
              <w:bottom w:val="nil"/>
              <w:right w:val="nil"/>
            </w:tcBorders>
            <w:noWrap/>
            <w:vAlign w:val="bottom"/>
          </w:tcPr>
          <w:p w:rsidR="00895F77" w:rsidRPr="00A32EA0" w:rsidRDefault="00895F77" w:rsidP="00C376D6">
            <w:pPr>
              <w:spacing w:after="0"/>
              <w:ind w:firstLine="360"/>
              <w:rPr>
                <w:lang w:val="pt-BR"/>
              </w:rPr>
            </w:pPr>
            <w:r w:rsidRPr="00A32EA0">
              <w:rPr>
                <w:lang w:val="pt-BR"/>
              </w:rPr>
              <w:t>Socio-ekonomické a humanitné vedy (SSH)</w:t>
            </w:r>
          </w:p>
        </w:tc>
        <w:tc>
          <w:tcPr>
            <w:tcW w:w="155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2 294 275,50</w:t>
            </w:r>
          </w:p>
        </w:tc>
        <w:tc>
          <w:tcPr>
            <w:tcW w:w="1916" w:type="dxa"/>
            <w:tcBorders>
              <w:top w:val="nil"/>
              <w:left w:val="nil"/>
              <w:bottom w:val="nil"/>
              <w:right w:val="nil"/>
            </w:tcBorders>
            <w:noWrap/>
            <w:vAlign w:val="bottom"/>
          </w:tcPr>
          <w:p w:rsidR="00895F77" w:rsidRPr="00A32EA0" w:rsidRDefault="00895F77" w:rsidP="00C376D6">
            <w:pPr>
              <w:spacing w:after="0"/>
              <w:ind w:firstLine="360"/>
              <w:rPr>
                <w:lang w:val="en-GB"/>
              </w:rPr>
            </w:pPr>
            <w:r w:rsidRPr="00A32EA0">
              <w:rPr>
                <w:lang w:val="en-GB"/>
              </w:rPr>
              <w:t>18</w:t>
            </w:r>
          </w:p>
        </w:tc>
      </w:tr>
      <w:tr w:rsidR="00895F77" w:rsidRPr="00A32EA0" w:rsidTr="00C376D6">
        <w:trPr>
          <w:trHeight w:val="255"/>
        </w:trPr>
        <w:tc>
          <w:tcPr>
            <w:tcW w:w="5615" w:type="dxa"/>
            <w:tcBorders>
              <w:top w:val="nil"/>
              <w:left w:val="nil"/>
              <w:right w:val="nil"/>
            </w:tcBorders>
            <w:noWrap/>
            <w:vAlign w:val="bottom"/>
          </w:tcPr>
          <w:p w:rsidR="00895F77" w:rsidRPr="00A32EA0" w:rsidRDefault="00895F77" w:rsidP="00C376D6">
            <w:pPr>
              <w:spacing w:after="0"/>
              <w:ind w:firstLine="360"/>
              <w:rPr>
                <w:lang w:val="en-GB"/>
              </w:rPr>
            </w:pPr>
            <w:r w:rsidRPr="00A32EA0">
              <w:rPr>
                <w:lang w:val="en-GB"/>
              </w:rPr>
              <w:t>Energia (ENERGY)</w:t>
            </w:r>
          </w:p>
        </w:tc>
        <w:tc>
          <w:tcPr>
            <w:tcW w:w="1556" w:type="dxa"/>
            <w:tcBorders>
              <w:top w:val="nil"/>
              <w:left w:val="nil"/>
              <w:right w:val="nil"/>
            </w:tcBorders>
            <w:noWrap/>
            <w:vAlign w:val="bottom"/>
          </w:tcPr>
          <w:p w:rsidR="00895F77" w:rsidRPr="00A32EA0" w:rsidRDefault="00895F77" w:rsidP="00C376D6">
            <w:pPr>
              <w:spacing w:after="0"/>
              <w:ind w:firstLine="360"/>
              <w:rPr>
                <w:lang w:val="en-GB"/>
              </w:rPr>
            </w:pPr>
            <w:r w:rsidRPr="00A32EA0">
              <w:rPr>
                <w:lang w:val="en-GB"/>
              </w:rPr>
              <w:t>2 138 514,31</w:t>
            </w:r>
          </w:p>
        </w:tc>
        <w:tc>
          <w:tcPr>
            <w:tcW w:w="1916" w:type="dxa"/>
            <w:tcBorders>
              <w:top w:val="nil"/>
              <w:left w:val="nil"/>
              <w:right w:val="nil"/>
            </w:tcBorders>
            <w:noWrap/>
            <w:vAlign w:val="bottom"/>
          </w:tcPr>
          <w:p w:rsidR="00895F77" w:rsidRPr="00A32EA0" w:rsidRDefault="00895F77" w:rsidP="00C376D6">
            <w:pPr>
              <w:spacing w:after="0"/>
              <w:ind w:firstLine="360"/>
              <w:rPr>
                <w:lang w:val="en-GB"/>
              </w:rPr>
            </w:pPr>
            <w:r w:rsidRPr="00A32EA0">
              <w:rPr>
                <w:lang w:val="en-GB"/>
              </w:rPr>
              <w:t>15</w:t>
            </w:r>
          </w:p>
        </w:tc>
      </w:tr>
      <w:tr w:rsidR="00895F77" w:rsidRPr="00A32EA0" w:rsidTr="00C376D6">
        <w:trPr>
          <w:trHeight w:val="255"/>
        </w:trPr>
        <w:tc>
          <w:tcPr>
            <w:tcW w:w="5615" w:type="dxa"/>
            <w:tcBorders>
              <w:top w:val="nil"/>
              <w:left w:val="nil"/>
              <w:bottom w:val="single" w:sz="2" w:space="0" w:color="auto"/>
              <w:right w:val="nil"/>
            </w:tcBorders>
            <w:noWrap/>
            <w:vAlign w:val="bottom"/>
          </w:tcPr>
          <w:p w:rsidR="00895F77" w:rsidRPr="00A32EA0" w:rsidRDefault="00895F77" w:rsidP="00C376D6">
            <w:pPr>
              <w:spacing w:after="0"/>
              <w:ind w:firstLine="360"/>
              <w:rPr>
                <w:lang w:val="en-GB"/>
              </w:rPr>
            </w:pPr>
            <w:r w:rsidRPr="00A32EA0">
              <w:rPr>
                <w:lang w:val="en-GB"/>
              </w:rPr>
              <w:t>Vesmír (SPA)</w:t>
            </w:r>
          </w:p>
        </w:tc>
        <w:tc>
          <w:tcPr>
            <w:tcW w:w="1556" w:type="dxa"/>
            <w:tcBorders>
              <w:top w:val="nil"/>
              <w:left w:val="nil"/>
              <w:bottom w:val="single" w:sz="2" w:space="0" w:color="auto"/>
              <w:right w:val="nil"/>
            </w:tcBorders>
            <w:noWrap/>
            <w:vAlign w:val="bottom"/>
          </w:tcPr>
          <w:p w:rsidR="00895F77" w:rsidRPr="00A32EA0" w:rsidRDefault="00895F77" w:rsidP="00C376D6">
            <w:pPr>
              <w:spacing w:after="0"/>
              <w:ind w:firstLine="360"/>
              <w:rPr>
                <w:lang w:val="en-GB"/>
              </w:rPr>
            </w:pPr>
            <w:r w:rsidRPr="00A32EA0">
              <w:rPr>
                <w:lang w:val="en-GB"/>
              </w:rPr>
              <w:t>52 498,29</w:t>
            </w:r>
          </w:p>
        </w:tc>
        <w:tc>
          <w:tcPr>
            <w:tcW w:w="1916" w:type="dxa"/>
            <w:tcBorders>
              <w:top w:val="nil"/>
              <w:left w:val="nil"/>
              <w:bottom w:val="single" w:sz="2" w:space="0" w:color="auto"/>
              <w:right w:val="nil"/>
            </w:tcBorders>
            <w:noWrap/>
            <w:vAlign w:val="bottom"/>
          </w:tcPr>
          <w:p w:rsidR="00895F77" w:rsidRPr="00A32EA0" w:rsidRDefault="00895F77" w:rsidP="00C376D6">
            <w:pPr>
              <w:spacing w:after="0"/>
              <w:ind w:firstLine="360"/>
              <w:rPr>
                <w:lang w:val="en-GB"/>
              </w:rPr>
            </w:pPr>
            <w:r w:rsidRPr="00A32EA0">
              <w:rPr>
                <w:lang w:val="en-GB"/>
              </w:rPr>
              <w:t>3</w:t>
            </w:r>
          </w:p>
        </w:tc>
      </w:tr>
    </w:tbl>
    <w:p w:rsidR="00895F77" w:rsidRPr="00A32EA0" w:rsidRDefault="00656F84" w:rsidP="00895F77">
      <w:pPr>
        <w:spacing w:after="0"/>
        <w:ind w:firstLine="360"/>
        <w:rPr>
          <w:lang w:val="en-GB"/>
        </w:rPr>
      </w:pPr>
      <w:r w:rsidRPr="00656F84">
        <w:rPr>
          <w:b/>
          <w:i/>
          <w:lang w:val="en-GB"/>
        </w:rPr>
        <w:t>Zdroj</w:t>
      </w:r>
      <w:r w:rsidR="00895F77" w:rsidRPr="00A32EA0">
        <w:rPr>
          <w:i/>
          <w:lang w:val="en-GB"/>
        </w:rPr>
        <w:t>: Ecorda 18/10/2012</w:t>
      </w:r>
    </w:p>
    <w:p w:rsidR="001F212A" w:rsidRDefault="001F212A" w:rsidP="00895F77">
      <w:pPr>
        <w:spacing w:after="0"/>
        <w:ind w:firstLine="360"/>
      </w:pPr>
    </w:p>
    <w:p w:rsidR="00B0196E" w:rsidRPr="003B2E56" w:rsidRDefault="004B564F" w:rsidP="00971659">
      <w:pPr>
        <w:ind w:firstLine="360"/>
      </w:pPr>
      <w:r>
        <w:t>Na základe vyššie uvedených údajov e</w:t>
      </w:r>
      <w:r w:rsidR="009519A3">
        <w:t xml:space="preserve">xpertná skupina zadefinovala </w:t>
      </w:r>
      <w:r w:rsidR="009519A3" w:rsidRPr="003B2E56">
        <w:t>tri základné skupiny oblastí tematických priorít, a to</w:t>
      </w:r>
      <w:r w:rsidR="00B0196E" w:rsidRPr="003B2E56">
        <w:t>:</w:t>
      </w:r>
    </w:p>
    <w:p w:rsidR="00B0196E" w:rsidRPr="00F224F7" w:rsidRDefault="00B0196E" w:rsidP="00791A72">
      <w:pPr>
        <w:pStyle w:val="Odsekzoznamu1"/>
        <w:numPr>
          <w:ilvl w:val="0"/>
          <w:numId w:val="30"/>
        </w:numPr>
        <w:spacing w:after="0"/>
        <w:contextualSpacing/>
        <w:rPr>
          <w:sz w:val="22"/>
        </w:rPr>
      </w:pPr>
      <w:r w:rsidRPr="00F224F7">
        <w:rPr>
          <w:sz w:val="22"/>
        </w:rPr>
        <w:t>Priority výskumu a vývoja</w:t>
      </w:r>
    </w:p>
    <w:p w:rsidR="00B0196E" w:rsidRPr="00F224F7" w:rsidRDefault="00B0196E" w:rsidP="00791A72">
      <w:pPr>
        <w:pStyle w:val="Odsekzoznamu1"/>
        <w:numPr>
          <w:ilvl w:val="0"/>
          <w:numId w:val="30"/>
        </w:numPr>
        <w:spacing w:after="0"/>
        <w:contextualSpacing/>
        <w:rPr>
          <w:sz w:val="22"/>
        </w:rPr>
      </w:pPr>
      <w:r w:rsidRPr="00F224F7">
        <w:rPr>
          <w:sz w:val="22"/>
        </w:rPr>
        <w:t>Technologické priority</w:t>
      </w:r>
    </w:p>
    <w:p w:rsidR="00B0196E" w:rsidRPr="00F224F7" w:rsidRDefault="00B0196E" w:rsidP="00791A72">
      <w:pPr>
        <w:pStyle w:val="Odsekzoznamu1"/>
        <w:numPr>
          <w:ilvl w:val="0"/>
          <w:numId w:val="30"/>
        </w:numPr>
        <w:spacing w:after="0"/>
        <w:contextualSpacing/>
        <w:rPr>
          <w:sz w:val="22"/>
        </w:rPr>
      </w:pPr>
      <w:r w:rsidRPr="00F224F7">
        <w:rPr>
          <w:sz w:val="22"/>
        </w:rPr>
        <w:t>Spoločenské priority</w:t>
      </w:r>
    </w:p>
    <w:p w:rsidR="00971659" w:rsidRDefault="00971659" w:rsidP="00971659">
      <w:pPr>
        <w:spacing w:after="0"/>
        <w:ind w:firstLine="360"/>
      </w:pPr>
    </w:p>
    <w:p w:rsidR="00CF5B1A" w:rsidRDefault="00B0196E" w:rsidP="00971659">
      <w:pPr>
        <w:ind w:firstLine="360"/>
      </w:pPr>
      <w:r>
        <w:t>Expertná skupina v ďalšej činnosti vychádzala zásadne z</w:t>
      </w:r>
      <w:r w:rsidR="00AA0CDD">
        <w:t> </w:t>
      </w:r>
      <w:r>
        <w:t>analýzy</w:t>
      </w:r>
      <w:r w:rsidR="00AA0CDD">
        <w:t xml:space="preserve"> </w:t>
      </w:r>
      <w:r>
        <w:t xml:space="preserve">údajov </w:t>
      </w:r>
      <w:r w:rsidRPr="00FA0D3C">
        <w:t>o medzi</w:t>
      </w:r>
      <w:r>
        <w:t>národnej projektovej úspešnosti ako objektívneho faktora</w:t>
      </w:r>
      <w:r w:rsidR="00CE2E2F">
        <w:t>,</w:t>
      </w:r>
      <w:r>
        <w:t xml:space="preserve"> ktorý hovorí o medzinárodnej konkurencieschopnosti slovenskej vedy a výskumu. S prihliadnutím na údaje o </w:t>
      </w:r>
      <w:r w:rsidRPr="00FA0D3C">
        <w:t xml:space="preserve">medzinárodných publikovaných vedeckých prácach, </w:t>
      </w:r>
      <w:r>
        <w:t xml:space="preserve">ako aj </w:t>
      </w:r>
      <w:r w:rsidR="00CE2E2F">
        <w:t xml:space="preserve">na </w:t>
      </w:r>
      <w:r>
        <w:t xml:space="preserve">existujúcu infraštruktúru </w:t>
      </w:r>
      <w:r w:rsidRPr="00FA0D3C">
        <w:t>výskumu</w:t>
      </w:r>
      <w:r w:rsidR="00CE2E2F">
        <w:t>,</w:t>
      </w:r>
      <w:r w:rsidRPr="00FA0D3C">
        <w:t xml:space="preserve"> </w:t>
      </w:r>
      <w:r>
        <w:t xml:space="preserve">identifikovala nasledovných </w:t>
      </w:r>
      <w:r w:rsidR="00CE2E2F">
        <w:t>sedem</w:t>
      </w:r>
      <w:r w:rsidR="00CF5B1A">
        <w:t xml:space="preserve"> </w:t>
      </w:r>
      <w:r w:rsidR="00CF5B1A" w:rsidRPr="00FA0D3C">
        <w:t>tematických okruhov</w:t>
      </w:r>
      <w:r w:rsidR="00CF5B1A">
        <w:t xml:space="preserve"> </w:t>
      </w:r>
      <w:r w:rsidR="00CF5B1A" w:rsidRPr="00FA0D3C">
        <w:t>vedeckého výskumu</w:t>
      </w:r>
      <w:r w:rsidR="00CF5B1A">
        <w:t xml:space="preserve"> s predpokladmi pre rast</w:t>
      </w:r>
      <w:r w:rsidR="00E13039">
        <w:t xml:space="preserve"> </w:t>
      </w:r>
      <w:r w:rsidR="00CF5B1A">
        <w:t xml:space="preserve">a spoluprácu s hospodárskou praxou </w:t>
      </w:r>
      <w:r w:rsidR="00CE2E2F">
        <w:t xml:space="preserve">a </w:t>
      </w:r>
      <w:r w:rsidR="00CF5B1A">
        <w:t>riešenie naliehavých spoločenských problémov:</w:t>
      </w:r>
    </w:p>
    <w:p w:rsidR="00B0196E" w:rsidRDefault="00B0196E" w:rsidP="00B0196E">
      <w:pPr>
        <w:spacing w:after="0"/>
        <w:rPr>
          <w:b/>
        </w:rPr>
      </w:pPr>
      <w:r>
        <w:rPr>
          <w:b/>
        </w:rPr>
        <w:t>V oblasti priorít</w:t>
      </w:r>
      <w:r w:rsidRPr="009D1D64">
        <w:rPr>
          <w:b/>
        </w:rPr>
        <w:t xml:space="preserve"> výskumu a</w:t>
      </w:r>
      <w:r>
        <w:rPr>
          <w:b/>
        </w:rPr>
        <w:t> </w:t>
      </w:r>
      <w:r w:rsidRPr="009D1D64">
        <w:rPr>
          <w:b/>
        </w:rPr>
        <w:t>vývoja</w:t>
      </w:r>
      <w:r>
        <w:rPr>
          <w:b/>
        </w:rPr>
        <w:t>:</w:t>
      </w:r>
    </w:p>
    <w:p w:rsidR="00B0196E" w:rsidRPr="009D1D64" w:rsidRDefault="00B0196E" w:rsidP="00B0196E">
      <w:pPr>
        <w:spacing w:after="0"/>
        <w:ind w:left="720"/>
      </w:pPr>
      <w:r w:rsidRPr="009D1D64">
        <w:t>1.</w:t>
      </w:r>
      <w:r w:rsidRPr="009D1D64">
        <w:tab/>
        <w:t>materiálový výskum a nanotechnológie</w:t>
      </w:r>
    </w:p>
    <w:p w:rsidR="00B0196E" w:rsidRPr="009D1D64" w:rsidRDefault="00B0196E" w:rsidP="00B0196E">
      <w:pPr>
        <w:spacing w:after="0"/>
        <w:ind w:left="720"/>
      </w:pPr>
      <w:r w:rsidRPr="009D1D64">
        <w:t>2.</w:t>
      </w:r>
      <w:r w:rsidRPr="009D1D64">
        <w:tab/>
      </w:r>
      <w:r w:rsidR="00CE2E2F">
        <w:t>i</w:t>
      </w:r>
      <w:r w:rsidRPr="009D1D64">
        <w:t>nformačné a komunikačné technológie</w:t>
      </w:r>
    </w:p>
    <w:p w:rsidR="00B0196E" w:rsidRDefault="00B0196E" w:rsidP="00B0196E">
      <w:pPr>
        <w:ind w:left="720"/>
      </w:pPr>
      <w:r w:rsidRPr="009D1D64">
        <w:t>3.</w:t>
      </w:r>
      <w:r w:rsidRPr="009D1D64">
        <w:tab/>
        <w:t>biomedicína a</w:t>
      </w:r>
      <w:r>
        <w:t> </w:t>
      </w:r>
      <w:r w:rsidRPr="009D1D64">
        <w:t>biotechnológie</w:t>
      </w:r>
    </w:p>
    <w:p w:rsidR="00B0196E" w:rsidRPr="009D1D64" w:rsidRDefault="00B0196E" w:rsidP="00B0196E">
      <w:pPr>
        <w:spacing w:after="0"/>
        <w:rPr>
          <w:b/>
        </w:rPr>
      </w:pPr>
      <w:r w:rsidRPr="009D1D64">
        <w:rPr>
          <w:b/>
        </w:rPr>
        <w:t>V oblasti technologických priorít</w:t>
      </w:r>
    </w:p>
    <w:p w:rsidR="00B0196E" w:rsidRPr="009D1D64" w:rsidRDefault="00B0196E" w:rsidP="00B0196E">
      <w:pPr>
        <w:spacing w:after="0"/>
        <w:ind w:left="720"/>
      </w:pPr>
      <w:r w:rsidRPr="009D1D64">
        <w:t>4.</w:t>
      </w:r>
      <w:r w:rsidRPr="009D1D64">
        <w:tab/>
        <w:t>priemyselné technológie</w:t>
      </w:r>
    </w:p>
    <w:p w:rsidR="00B0196E" w:rsidRPr="009D1D64" w:rsidRDefault="00B0196E" w:rsidP="00B0196E">
      <w:pPr>
        <w:spacing w:after="0"/>
        <w:ind w:left="720"/>
      </w:pPr>
      <w:r w:rsidRPr="009D1D64">
        <w:t>5.</w:t>
      </w:r>
      <w:r w:rsidRPr="009D1D64">
        <w:tab/>
        <w:t>udržateľná energetika a energie</w:t>
      </w:r>
    </w:p>
    <w:p w:rsidR="00B0196E" w:rsidRDefault="00B0196E" w:rsidP="00B0196E">
      <w:pPr>
        <w:ind w:left="720"/>
      </w:pPr>
      <w:r w:rsidRPr="009D1D64">
        <w:t>6.</w:t>
      </w:r>
      <w:r w:rsidRPr="009D1D64">
        <w:tab/>
        <w:t>životné prostredie a</w:t>
      </w:r>
      <w:r>
        <w:t> </w:t>
      </w:r>
      <w:r w:rsidRPr="009D1D64">
        <w:t>pôdohospodárstvo</w:t>
      </w:r>
    </w:p>
    <w:p w:rsidR="00B0196E" w:rsidRPr="009D1D64" w:rsidRDefault="00B0196E" w:rsidP="00B0196E">
      <w:pPr>
        <w:spacing w:after="0"/>
        <w:rPr>
          <w:b/>
        </w:rPr>
      </w:pPr>
      <w:r w:rsidRPr="009D1D64">
        <w:rPr>
          <w:b/>
        </w:rPr>
        <w:t>V oblasti spoločenských priorít</w:t>
      </w:r>
    </w:p>
    <w:p w:rsidR="00B0196E" w:rsidRDefault="00B0196E" w:rsidP="00B0196E">
      <w:pPr>
        <w:spacing w:after="0"/>
        <w:ind w:left="720"/>
      </w:pPr>
      <w:r w:rsidRPr="009D1D64">
        <w:t>7.</w:t>
      </w:r>
      <w:r w:rsidRPr="009D1D64">
        <w:tab/>
        <w:t>vybrané okruhy spoločenských vied</w:t>
      </w:r>
      <w:r w:rsidR="00CE2E2F">
        <w:t xml:space="preserve"> </w:t>
      </w:r>
      <w:r>
        <w:t>(</w:t>
      </w:r>
      <w:r w:rsidRPr="003B2E56">
        <w:t>s ohľadom na najpálčivejšie problémy spoločnosti, ktoré najviac zaťažujú slovenskú spoločnosť</w:t>
      </w:r>
      <w:r>
        <w:t>)</w:t>
      </w:r>
      <w:r w:rsidR="00CE2E2F">
        <w:t>.</w:t>
      </w:r>
    </w:p>
    <w:p w:rsidR="00B0196E" w:rsidRPr="009D1D64" w:rsidRDefault="00B0196E" w:rsidP="00B0196E">
      <w:pPr>
        <w:spacing w:after="0"/>
        <w:ind w:left="720"/>
      </w:pPr>
    </w:p>
    <w:p w:rsidR="00B0196E" w:rsidRPr="00AD560E" w:rsidRDefault="00B0196E" w:rsidP="00656F84">
      <w:pPr>
        <w:pStyle w:val="Nadpis3"/>
        <w:numPr>
          <w:ilvl w:val="2"/>
          <w:numId w:val="36"/>
        </w:numPr>
        <w:spacing w:after="240"/>
      </w:pPr>
      <w:bookmarkStart w:id="137" w:name="_Toc365831805"/>
      <w:bookmarkStart w:id="138" w:name="_Toc365831997"/>
      <w:bookmarkStart w:id="139" w:name="_Toc366744167"/>
      <w:r w:rsidRPr="00AD560E">
        <w:t>Priority výskumu a vývoja</w:t>
      </w:r>
      <w:bookmarkEnd w:id="137"/>
      <w:bookmarkEnd w:id="138"/>
      <w:bookmarkEnd w:id="139"/>
    </w:p>
    <w:p w:rsidR="00B0196E" w:rsidRPr="00F26654" w:rsidRDefault="00B0196E" w:rsidP="00F26654">
      <w:pPr>
        <w:pStyle w:val="Odsekzoznamu1"/>
        <w:numPr>
          <w:ilvl w:val="0"/>
          <w:numId w:val="29"/>
        </w:numPr>
        <w:spacing w:after="0"/>
        <w:contextualSpacing/>
        <w:rPr>
          <w:b/>
          <w:bCs/>
        </w:rPr>
      </w:pPr>
      <w:r w:rsidRPr="00F26654">
        <w:rPr>
          <w:b/>
          <w:bCs/>
        </w:rPr>
        <w:t>Materiálový výskum a</w:t>
      </w:r>
      <w:r w:rsidR="0092572B" w:rsidRPr="00F26654">
        <w:rPr>
          <w:b/>
          <w:bCs/>
        </w:rPr>
        <w:t> </w:t>
      </w:r>
      <w:r w:rsidRPr="00F26654">
        <w:rPr>
          <w:b/>
          <w:bCs/>
        </w:rPr>
        <w:t>nanotechnológie</w:t>
      </w:r>
      <w:r w:rsidR="0092572B" w:rsidRPr="00F26654">
        <w:rPr>
          <w:b/>
          <w:bCs/>
        </w:rPr>
        <w:t xml:space="preserve"> </w:t>
      </w:r>
      <w:r w:rsidRPr="00F26654">
        <w:rPr>
          <w:bCs/>
        </w:rPr>
        <w:t>so zameraním na nové materiály (najmä ľahké konštrukčné materiály a kompozity, organické materiály, plasty, oceľ a špeciálne materiály), povrchové úpravy a systémovú diagnostiku pre aplikácie v oblastiach hospodárskej špecializácie SR, konkrétne v automobilovom priemysle, strojárstve, elektrotechnike, elektronike, hutníctve, energetike. SR má v daných oblastiach viac ako 1</w:t>
      </w:r>
      <w:r w:rsidR="00CE2E2F" w:rsidRPr="00F26654">
        <w:rPr>
          <w:bCs/>
        </w:rPr>
        <w:t xml:space="preserve"> </w:t>
      </w:r>
      <w:r w:rsidRPr="00F26654">
        <w:rPr>
          <w:bCs/>
        </w:rPr>
        <w:t xml:space="preserve">000 výskumných pracovníkov, ktorí publikovali takmer 30 % všetkých výstupov v medzinárodných vedeckých časopisoch. </w:t>
      </w:r>
    </w:p>
    <w:p w:rsidR="00B0196E" w:rsidRPr="00F26654" w:rsidRDefault="00B0196E" w:rsidP="00F26654">
      <w:pPr>
        <w:pStyle w:val="Odsekzoznamu1"/>
        <w:numPr>
          <w:ilvl w:val="0"/>
          <w:numId w:val="29"/>
        </w:numPr>
        <w:spacing w:after="0"/>
        <w:contextualSpacing/>
        <w:rPr>
          <w:b/>
          <w:bCs/>
        </w:rPr>
      </w:pPr>
      <w:r w:rsidRPr="00F26654">
        <w:rPr>
          <w:b/>
          <w:bCs/>
        </w:rPr>
        <w:t xml:space="preserve">Informačné a komunikačné technológie </w:t>
      </w:r>
      <w:r w:rsidRPr="00F26654">
        <w:rPr>
          <w:bCs/>
        </w:rPr>
        <w:t>so zameraním na informačné a komunikačné systémy, vrátane systémov riadenia technologických procesov, ako aj služby</w:t>
      </w:r>
      <w:r w:rsidR="00CE2E2F" w:rsidRPr="00F26654">
        <w:rPr>
          <w:bCs/>
        </w:rPr>
        <w:t xml:space="preserve"> </w:t>
      </w:r>
      <w:r w:rsidRPr="00F26654">
        <w:rPr>
          <w:bCs/>
        </w:rPr>
        <w:t>dataminingu</w:t>
      </w:r>
      <w:r w:rsidR="00CE2E2F" w:rsidRPr="00F26654">
        <w:rPr>
          <w:bCs/>
        </w:rPr>
        <w:t xml:space="preserve"> </w:t>
      </w:r>
      <w:r w:rsidRPr="00F26654">
        <w:rPr>
          <w:bCs/>
        </w:rPr>
        <w:t>a spracovávania veľkých dát a bezpečného využívania IKT vrátane web technológií a cloudovských riešení.</w:t>
      </w:r>
      <w:r w:rsidR="00CE2E2F" w:rsidRPr="00F26654">
        <w:rPr>
          <w:bCs/>
        </w:rPr>
        <w:t xml:space="preserve"> </w:t>
      </w:r>
      <w:r w:rsidRPr="00F26654">
        <w:rPr>
          <w:bCs/>
        </w:rPr>
        <w:t>Tieto</w:t>
      </w:r>
      <w:r w:rsidR="00CE2E2F" w:rsidRPr="00F26654">
        <w:rPr>
          <w:bCs/>
        </w:rPr>
        <w:t xml:space="preserve"> </w:t>
      </w:r>
      <w:r w:rsidRPr="00F26654">
        <w:rPr>
          <w:bCs/>
        </w:rPr>
        <w:t>tvoria</w:t>
      </w:r>
      <w:r w:rsidR="00CE2E2F" w:rsidRPr="00F26654">
        <w:rPr>
          <w:bCs/>
        </w:rPr>
        <w:t xml:space="preserve"> </w:t>
      </w:r>
      <w:r w:rsidRPr="00F26654">
        <w:rPr>
          <w:bCs/>
        </w:rPr>
        <w:t>tiež</w:t>
      </w:r>
      <w:r w:rsidR="00CE2E2F" w:rsidRPr="00F26654">
        <w:rPr>
          <w:bCs/>
        </w:rPr>
        <w:t xml:space="preserve"> </w:t>
      </w:r>
      <w:r w:rsidRPr="00F26654">
        <w:t>ťažisko kreatívneho priemyslu na Slovensku</w:t>
      </w:r>
      <w:r w:rsidR="00CE2E2F" w:rsidRPr="00F26654">
        <w:t xml:space="preserve">, </w:t>
      </w:r>
      <w:r w:rsidRPr="00F26654">
        <w:t xml:space="preserve"> ktorý je 10 rokov rastúcim segmentom exportu služieb SR a v súčasnosti predstavuje 40</w:t>
      </w:r>
      <w:r w:rsidR="00CE2E2F" w:rsidRPr="00F26654">
        <w:t xml:space="preserve"> </w:t>
      </w:r>
      <w:r w:rsidRPr="00F26654">
        <w:t>000 zamestnancov. Spoločne s podnikovými službami dosahuje viac ako tretinu exportu služieb SR. Táto tematická oblasť predstavuje potenciál pre vznik nových malých podnikov a rozvoj existujúcich podnikov a</w:t>
      </w:r>
      <w:r w:rsidR="00CE2E2F" w:rsidRPr="00F26654">
        <w:t> </w:t>
      </w:r>
      <w:r w:rsidRPr="00F26654">
        <w:t>tvorbu</w:t>
      </w:r>
      <w:r w:rsidR="00CE2E2F" w:rsidRPr="00F26654">
        <w:t xml:space="preserve"> </w:t>
      </w:r>
      <w:r w:rsidRPr="00F26654">
        <w:t>nových pracovných miest s vysokou pridanou hodnotou.</w:t>
      </w:r>
      <w:r w:rsidR="00CE2E2F" w:rsidRPr="00F26654">
        <w:t xml:space="preserve"> </w:t>
      </w:r>
      <w:r w:rsidRPr="00F26654">
        <w:t>Uvedená agenda je kľúčová pre napĺňanie digitálnej agendy EÚ v podmienkach SR. V akademických inštitúciách s týmto zameraním pracuje takmer 1</w:t>
      </w:r>
      <w:r w:rsidR="00CE2E2F" w:rsidRPr="00F26654">
        <w:t xml:space="preserve"> </w:t>
      </w:r>
      <w:r w:rsidRPr="00F26654">
        <w:t>300 výskumných a vývojových pracovníkov a vysokoškolské štúdium druhého stupňa v danom zameraní končí približne 1</w:t>
      </w:r>
      <w:r w:rsidR="00CE2E2F" w:rsidRPr="00F26654">
        <w:t xml:space="preserve"> </w:t>
      </w:r>
      <w:r w:rsidRPr="00F26654">
        <w:t xml:space="preserve">500 absolventov ročne. Segment zaznamenáva najvyššiu úspešnosť v 7.RP vo všetkých sektoroch výskumu. </w:t>
      </w:r>
    </w:p>
    <w:p w:rsidR="00B0196E" w:rsidRPr="008B0735" w:rsidRDefault="00B0196E" w:rsidP="00F26654">
      <w:pPr>
        <w:pStyle w:val="Odsekzoznamu1"/>
        <w:numPr>
          <w:ilvl w:val="0"/>
          <w:numId w:val="29"/>
        </w:numPr>
        <w:spacing w:after="0"/>
        <w:contextualSpacing/>
        <w:rPr>
          <w:b/>
          <w:bCs/>
        </w:rPr>
      </w:pPr>
      <w:bookmarkStart w:id="140" w:name="OLE_LINK3"/>
      <w:bookmarkStart w:id="141" w:name="OLE_LINK4"/>
      <w:r w:rsidRPr="00F26654">
        <w:rPr>
          <w:b/>
          <w:bCs/>
        </w:rPr>
        <w:t xml:space="preserve">Biomedicína a biotechnológie </w:t>
      </w:r>
      <w:r w:rsidRPr="00F26654">
        <w:t>so zameraním na nové diagnostické a liečebné postupy pri nádorových ochoreniach, ochoreniach srdca, ciev a mozgu, endokrinných a metabolických por</w:t>
      </w:r>
      <w:r w:rsidR="00CE2E2F" w:rsidRPr="00F26654">
        <w:t>u</w:t>
      </w:r>
      <w:r w:rsidRPr="00F26654">
        <w:t>ch</w:t>
      </w:r>
      <w:r w:rsidR="00CE2E2F" w:rsidRPr="00F26654">
        <w:t>ách</w:t>
      </w:r>
      <w:r w:rsidRPr="00F26654">
        <w:t>, infekčných chor</w:t>
      </w:r>
      <w:r w:rsidR="00CE2E2F" w:rsidRPr="00F26654">
        <w:t>o</w:t>
      </w:r>
      <w:r w:rsidRPr="00F26654">
        <w:t>b</w:t>
      </w:r>
      <w:r w:rsidR="00CE2E2F" w:rsidRPr="00F26654">
        <w:t>ách</w:t>
      </w:r>
      <w:r w:rsidRPr="00F26654">
        <w:t xml:space="preserve"> a alergi</w:t>
      </w:r>
      <w:r w:rsidR="00CE2E2F" w:rsidRPr="00F26654">
        <w:t>ách</w:t>
      </w:r>
      <w:r w:rsidRPr="00F26654">
        <w:t xml:space="preserve">. V oblasti biotechnológií najmä na </w:t>
      </w:r>
      <w:r w:rsidR="00F26654" w:rsidRPr="00F26654">
        <w:t xml:space="preserve">farmakologické a priemyselné biotechnológie. </w:t>
      </w:r>
      <w:r w:rsidR="00CE2E2F" w:rsidRPr="00F26654">
        <w:t>V s</w:t>
      </w:r>
      <w:r w:rsidRPr="00F26654">
        <w:t>egmente pracuje takmer 2</w:t>
      </w:r>
      <w:r w:rsidR="00CE2E2F" w:rsidRPr="00F26654">
        <w:t xml:space="preserve"> </w:t>
      </w:r>
      <w:r w:rsidRPr="00F26654">
        <w:t>000 výskumníkov, ktorí publikujú viac ako štvrtinu všetkých publikácií SR v medzinárodných vedeckých časopisoch. Hlavné uplatnenie výsledkov sa premieta do diagnostiky, prevencie a liečby chorôb a </w:t>
      </w:r>
      <w:r w:rsidR="001E124A" w:rsidRPr="00F26654">
        <w:t>do</w:t>
      </w:r>
      <w:r w:rsidRPr="00F26654">
        <w:t> spoluprác</w:t>
      </w:r>
      <w:r w:rsidR="001E124A" w:rsidRPr="00F26654">
        <w:t>e</w:t>
      </w:r>
      <w:r w:rsidRPr="00F26654">
        <w:t xml:space="preserve"> s tromi lekárskymi fakultami.</w:t>
      </w:r>
      <w:bookmarkEnd w:id="140"/>
      <w:bookmarkEnd w:id="141"/>
    </w:p>
    <w:p w:rsidR="008B0735" w:rsidRDefault="008B0735" w:rsidP="008B0735">
      <w:pPr>
        <w:pStyle w:val="Odsekzoznamu1"/>
        <w:spacing w:after="0"/>
        <w:contextualSpacing/>
        <w:rPr>
          <w:b/>
          <w:bCs/>
        </w:rPr>
      </w:pPr>
    </w:p>
    <w:p w:rsidR="008B0735" w:rsidRPr="00F26654" w:rsidRDefault="008B0735" w:rsidP="008B0735">
      <w:pPr>
        <w:pStyle w:val="Odsekzoznamu1"/>
        <w:spacing w:after="0"/>
        <w:contextualSpacing/>
        <w:rPr>
          <w:b/>
          <w:bCs/>
        </w:rPr>
      </w:pPr>
    </w:p>
    <w:p w:rsidR="00B0196E" w:rsidRPr="001E3B32" w:rsidRDefault="00B0196E" w:rsidP="00656F84">
      <w:pPr>
        <w:pStyle w:val="Nadpis3"/>
        <w:numPr>
          <w:ilvl w:val="2"/>
          <w:numId w:val="36"/>
        </w:numPr>
        <w:spacing w:after="240"/>
      </w:pPr>
      <w:bookmarkStart w:id="142" w:name="_Toc365831806"/>
      <w:bookmarkStart w:id="143" w:name="_Toc365831998"/>
      <w:bookmarkStart w:id="144" w:name="_Toc366744168"/>
      <w:r w:rsidRPr="001E3B32">
        <w:lastRenderedPageBreak/>
        <w:t>Technologické priority</w:t>
      </w:r>
      <w:bookmarkEnd w:id="142"/>
      <w:bookmarkEnd w:id="143"/>
      <w:bookmarkEnd w:id="144"/>
    </w:p>
    <w:p w:rsidR="00B0196E" w:rsidRPr="00F26654" w:rsidRDefault="00B0196E" w:rsidP="00791A72">
      <w:pPr>
        <w:pStyle w:val="Odsekzoznamu1"/>
        <w:numPr>
          <w:ilvl w:val="0"/>
          <w:numId w:val="29"/>
        </w:numPr>
        <w:spacing w:after="0"/>
        <w:contextualSpacing/>
      </w:pPr>
      <w:r w:rsidRPr="00F26654">
        <w:rPr>
          <w:b/>
          <w:bCs/>
        </w:rPr>
        <w:t xml:space="preserve">Priemyselné technológie </w:t>
      </w:r>
      <w:r w:rsidRPr="00F26654">
        <w:rPr>
          <w:bCs/>
        </w:rPr>
        <w:t xml:space="preserve">s dôrazom na automatizáciu, riadenie, robotiku, ako aj na technológie </w:t>
      </w:r>
      <w:r w:rsidRPr="00F26654">
        <w:t>pre tvárnenie, obrábanie a spájanie nových kovových a nekovových materiálov a kompozitov, logistické technológie, technológie spracovania polymérov, dreva a výrobkov z</w:t>
      </w:r>
      <w:r w:rsidR="00693712" w:rsidRPr="00F26654">
        <w:t> </w:t>
      </w:r>
      <w:r w:rsidRPr="00F26654">
        <w:t>nich</w:t>
      </w:r>
      <w:r w:rsidRPr="00F26654">
        <w:rPr>
          <w:bCs/>
        </w:rPr>
        <w:t>. SR má v tejto oblasti cca 700 výskumných pracovníkov, ktorí publikovali viac ako 10 % všetkých výstupov v medzinárodných vedeckých časopisoch.</w:t>
      </w:r>
    </w:p>
    <w:p w:rsidR="00B0196E" w:rsidRPr="00F26654" w:rsidRDefault="00B0196E" w:rsidP="00791A72">
      <w:pPr>
        <w:pStyle w:val="Odsekzoznamu1"/>
        <w:numPr>
          <w:ilvl w:val="0"/>
          <w:numId w:val="29"/>
        </w:numPr>
        <w:spacing w:after="0"/>
        <w:contextualSpacing/>
      </w:pPr>
      <w:r w:rsidRPr="00F26654">
        <w:rPr>
          <w:b/>
          <w:bCs/>
        </w:rPr>
        <w:t xml:space="preserve">Efektívne využiteľné zdroje energií </w:t>
      </w:r>
      <w:r w:rsidRPr="00F26654">
        <w:t xml:space="preserve">(znižovanie energetickej náročnosti, znižovanie emisií, program ALLEGRO, smartgrid technológie, bezpečnosť jadrových elektrárni a pod.). Slovensko má skúsenosti s výstavbou, prevádzkou a vyraďovaním jadrových elektrární a súčasne má vybudované výskumné a vzdelávacie kapacity. </w:t>
      </w:r>
      <w:r w:rsidR="00693712" w:rsidRPr="00F26654">
        <w:t>P</w:t>
      </w:r>
      <w:r w:rsidRPr="00F26654">
        <w:t xml:space="preserve">rirodzenou prioritou </w:t>
      </w:r>
      <w:r w:rsidR="00693712" w:rsidRPr="00F26654">
        <w:t xml:space="preserve">je </w:t>
      </w:r>
      <w:r w:rsidRPr="00F26654">
        <w:t xml:space="preserve">zabezpečenie energetickej bezpečnosti krajiny cestou hľadania nových udržateľných </w:t>
      </w:r>
      <w:r w:rsidR="00693712" w:rsidRPr="00F26654">
        <w:t xml:space="preserve">spôsobov </w:t>
      </w:r>
      <w:r w:rsidRPr="00F26654">
        <w:t>výroby elektriny.</w:t>
      </w:r>
      <w:r w:rsidR="00693712" w:rsidRPr="00F26654">
        <w:t xml:space="preserve"> </w:t>
      </w:r>
      <w:r w:rsidRPr="00F26654">
        <w:rPr>
          <w:bCs/>
        </w:rPr>
        <w:t xml:space="preserve">SR má v tejto oblasti cez 350 výskumných pracovníkov. </w:t>
      </w:r>
    </w:p>
    <w:p w:rsidR="00B0196E" w:rsidRPr="005F0F1E" w:rsidRDefault="00B0196E" w:rsidP="005F0F1E">
      <w:pPr>
        <w:pStyle w:val="Odsekzoznamu1"/>
        <w:numPr>
          <w:ilvl w:val="0"/>
          <w:numId w:val="29"/>
        </w:numPr>
        <w:spacing w:after="0"/>
        <w:contextualSpacing/>
        <w:rPr>
          <w:b/>
          <w:bCs/>
        </w:rPr>
      </w:pPr>
      <w:r w:rsidRPr="002D59D6">
        <w:rPr>
          <w:b/>
          <w:bCs/>
        </w:rPr>
        <w:t>Environment</w:t>
      </w:r>
      <w:r w:rsidRPr="00F26654">
        <w:rPr>
          <w:b/>
          <w:bCs/>
        </w:rPr>
        <w:t>, pôdohospodárstvo, potravinová bezpečnosť</w:t>
      </w:r>
      <w:r w:rsidR="00693712" w:rsidRPr="00F26654">
        <w:rPr>
          <w:b/>
          <w:bCs/>
        </w:rPr>
        <w:t xml:space="preserve"> </w:t>
      </w:r>
      <w:r w:rsidRPr="00F26654">
        <w:rPr>
          <w:bCs/>
        </w:rPr>
        <w:t xml:space="preserve">so zameraním na progresívne technológie a postupy </w:t>
      </w:r>
      <w:r w:rsidR="00F26654" w:rsidRPr="00F26654">
        <w:rPr>
          <w:bCs/>
        </w:rPr>
        <w:t xml:space="preserve">v </w:t>
      </w:r>
      <w:r w:rsidRPr="00F26654">
        <w:t xml:space="preserve">oblasti pôdohospodárstva a potravín </w:t>
      </w:r>
      <w:r w:rsidRPr="00F26654">
        <w:rPr>
          <w:bCs/>
        </w:rPr>
        <w:t>pre zabezpečenie dostatočnosti produkcie zdravých potravín.</w:t>
      </w:r>
      <w:r w:rsidR="00693712" w:rsidRPr="00F26654">
        <w:rPr>
          <w:bCs/>
        </w:rPr>
        <w:t xml:space="preserve"> </w:t>
      </w:r>
      <w:r w:rsidRPr="00F26654">
        <w:rPr>
          <w:bCs/>
        </w:rPr>
        <w:t xml:space="preserve">Príležitosťou </w:t>
      </w:r>
      <w:r w:rsidRPr="00F26654">
        <w:t xml:space="preserve">je efektívnejšie využívanie lesa, ktorý pokrýva </w:t>
      </w:r>
      <w:r w:rsidR="00F26654" w:rsidRPr="00F26654">
        <w:t xml:space="preserve">pre </w:t>
      </w:r>
      <w:r w:rsidRPr="00F26654">
        <w:t>takmer polovicu územia SR, vrátane nadväzných technológií spracovania dreva. SR disponuje cca 450 výskumníkmi v tejto oblasti, ktorí vyprodukujú cca 9 % všetkých výstupov v</w:t>
      </w:r>
      <w:r w:rsidR="00693712" w:rsidRPr="00F26654">
        <w:t> </w:t>
      </w:r>
      <w:r w:rsidRPr="00F26654">
        <w:t>medzinárodných vedeckých časopisoch.</w:t>
      </w:r>
    </w:p>
    <w:p w:rsidR="00B0196E" w:rsidRPr="00825D38" w:rsidRDefault="00B0196E" w:rsidP="00F26654">
      <w:pPr>
        <w:pStyle w:val="Nadpis3"/>
        <w:numPr>
          <w:ilvl w:val="2"/>
          <w:numId w:val="36"/>
        </w:numPr>
        <w:spacing w:after="240"/>
      </w:pPr>
      <w:bookmarkStart w:id="145" w:name="_Toc365831807"/>
      <w:bookmarkStart w:id="146" w:name="_Toc365831999"/>
      <w:bookmarkStart w:id="147" w:name="_Toc366744169"/>
      <w:r w:rsidRPr="00825D38">
        <w:t>Spoločenské priority</w:t>
      </w:r>
      <w:bookmarkEnd w:id="145"/>
      <w:bookmarkEnd w:id="146"/>
      <w:bookmarkEnd w:id="147"/>
    </w:p>
    <w:p w:rsidR="00BC19B3" w:rsidRPr="00F26654" w:rsidRDefault="004F3B12" w:rsidP="00BC19B3">
      <w:bookmarkStart w:id="148" w:name="OLE_LINK1"/>
      <w:bookmarkStart w:id="149" w:name="OLE_LINK2"/>
      <w:r w:rsidRPr="00F26654">
        <w:rPr>
          <w:b/>
        </w:rPr>
        <w:t>S</w:t>
      </w:r>
      <w:r w:rsidR="00BC19B3" w:rsidRPr="00F26654">
        <w:rPr>
          <w:b/>
        </w:rPr>
        <w:t>poločenské tematické priority</w:t>
      </w:r>
      <w:r w:rsidRPr="00F26654">
        <w:rPr>
          <w:b/>
        </w:rPr>
        <w:t xml:space="preserve"> sú stanovené </w:t>
      </w:r>
      <w:r w:rsidR="00BC19B3" w:rsidRPr="00F26654">
        <w:t>s ohľadom na najpálčivejšie problémy spoločnosti, ktoré najviac zaťažujú slovenskú spoločnosť</w:t>
      </w:r>
      <w:r w:rsidRPr="00F26654">
        <w:t>.</w:t>
      </w:r>
      <w:r w:rsidR="00BC19B3" w:rsidRPr="00F26654">
        <w:t xml:space="preserve"> </w:t>
      </w:r>
      <w:r w:rsidR="00BC19B3" w:rsidRPr="00F26654">
        <w:rPr>
          <w:bCs/>
        </w:rPr>
        <w:t>Slovenská republika disponuje relatívne primeraným vedeckým potenciálom v</w:t>
      </w:r>
      <w:r w:rsidR="00693712" w:rsidRPr="00F26654">
        <w:rPr>
          <w:bCs/>
        </w:rPr>
        <w:t> </w:t>
      </w:r>
      <w:r w:rsidR="00BC19B3" w:rsidRPr="00F26654">
        <w:rPr>
          <w:bCs/>
        </w:rPr>
        <w:t>širokej škále disciplín spoločenských a humanitných vied. Spoločenské tematické priority</w:t>
      </w:r>
      <w:r w:rsidR="00BC19B3" w:rsidRPr="00F26654">
        <w:t xml:space="preserve"> sú:</w:t>
      </w:r>
    </w:p>
    <w:p w:rsidR="00BC19B3" w:rsidRPr="00F26654" w:rsidRDefault="00BC19B3" w:rsidP="00791A72">
      <w:pPr>
        <w:pStyle w:val="Odsekzoznamu1"/>
        <w:numPr>
          <w:ilvl w:val="0"/>
          <w:numId w:val="2"/>
        </w:numPr>
        <w:spacing w:after="0"/>
        <w:contextualSpacing/>
        <w:rPr>
          <w:bCs/>
        </w:rPr>
      </w:pPr>
      <w:r w:rsidRPr="00F26654">
        <w:rPr>
          <w:b/>
          <w:bCs/>
        </w:rPr>
        <w:t>Starnutie populácie a kvalita života</w:t>
      </w:r>
      <w:r w:rsidRPr="00F26654">
        <w:rPr>
          <w:bCs/>
        </w:rPr>
        <w:t xml:space="preserve"> so zameraním najmä na aktívne starnutie, zdravotné zabezpečenie starších spoluobčanov vrátane pomoci v oblasti duševného zdravia, sociálneho zabezpečenia, odstraňovania bariér pre handicapovaných</w:t>
      </w:r>
      <w:r w:rsidR="00693712" w:rsidRPr="00F26654">
        <w:rPr>
          <w:bCs/>
        </w:rPr>
        <w:t xml:space="preserve"> </w:t>
      </w:r>
      <w:r w:rsidRPr="00F26654">
        <w:rPr>
          <w:bCs/>
        </w:rPr>
        <w:t>a priateľskú samosprávu. Podľa demografických výhľadov bude čoskoro populácia</w:t>
      </w:r>
      <w:r w:rsidR="00083805" w:rsidRPr="00F26654">
        <w:rPr>
          <w:bCs/>
        </w:rPr>
        <w:t xml:space="preserve"> </w:t>
      </w:r>
      <w:r w:rsidRPr="00F26654">
        <w:rPr>
          <w:bCs/>
        </w:rPr>
        <w:t xml:space="preserve">Slovenska patriť k najrýchlejšie starnúcim v Európe. O to vážnejšie vystupuje potreba hľadať riešenia zlepšujúce podmienky pre aktívny život starších ľudí a kvalitu ich života. </w:t>
      </w:r>
    </w:p>
    <w:p w:rsidR="00BC19B3" w:rsidRPr="00F26654" w:rsidRDefault="00BC19B3" w:rsidP="00791A72">
      <w:pPr>
        <w:pStyle w:val="Odsekzoznamu1"/>
        <w:numPr>
          <w:ilvl w:val="0"/>
          <w:numId w:val="2"/>
        </w:numPr>
        <w:spacing w:after="0"/>
        <w:contextualSpacing/>
        <w:rPr>
          <w:bCs/>
        </w:rPr>
      </w:pPr>
      <w:r w:rsidRPr="00F26654">
        <w:rPr>
          <w:b/>
          <w:bCs/>
        </w:rPr>
        <w:t>Multiietnicita, sociálna inklúzia a problémy chudoby</w:t>
      </w:r>
      <w:r w:rsidRPr="00F26654">
        <w:rPr>
          <w:bCs/>
        </w:rPr>
        <w:t xml:space="preserve"> niektorých skupín obyvateľstva.</w:t>
      </w:r>
      <w:r w:rsidR="00693712" w:rsidRPr="00F26654">
        <w:rPr>
          <w:bCs/>
        </w:rPr>
        <w:t xml:space="preserve"> </w:t>
      </w:r>
      <w:r w:rsidRPr="00F26654">
        <w:rPr>
          <w:bCs/>
        </w:rPr>
        <w:t>Pozornosť sa sústredí najmä na hľadanie riešení v skupinách obyvateľstva najviac postihnutých chudobou, na identifikáciu objektívnych aj subjektívnych príčin vznikajúcej chudoby, návykov a špecifík a taktiež hľadania účinných riešení. Dôraz sa bude klásť na riešenia</w:t>
      </w:r>
      <w:r w:rsidR="00693712" w:rsidRPr="00F26654">
        <w:rPr>
          <w:bCs/>
        </w:rPr>
        <w:t xml:space="preserve"> </w:t>
      </w:r>
      <w:r w:rsidRPr="00F26654">
        <w:rPr>
          <w:bCs/>
        </w:rPr>
        <w:t>udržateľné</w:t>
      </w:r>
      <w:r w:rsidR="00693712" w:rsidRPr="00F26654">
        <w:rPr>
          <w:bCs/>
        </w:rPr>
        <w:t xml:space="preserve"> </w:t>
      </w:r>
      <w:r w:rsidRPr="00F26654">
        <w:rPr>
          <w:bCs/>
        </w:rPr>
        <w:t xml:space="preserve">v dlhodobom horizonte. </w:t>
      </w:r>
    </w:p>
    <w:p w:rsidR="00BC19B3" w:rsidRPr="00F26654" w:rsidRDefault="00BC19B3" w:rsidP="00791A72">
      <w:pPr>
        <w:pStyle w:val="Odsekzoznamu1"/>
        <w:numPr>
          <w:ilvl w:val="0"/>
          <w:numId w:val="2"/>
        </w:numPr>
        <w:spacing w:after="0"/>
        <w:contextualSpacing/>
        <w:rPr>
          <w:bCs/>
        </w:rPr>
      </w:pPr>
      <w:r w:rsidRPr="00F26654">
        <w:rPr>
          <w:b/>
          <w:bCs/>
        </w:rPr>
        <w:t>Uplatnenie mladých ľudí v meniacich sa podmienkach</w:t>
      </w:r>
      <w:r w:rsidRPr="00F26654">
        <w:rPr>
          <w:bCs/>
        </w:rPr>
        <w:t>. Uplatnenie mladých ľudí najmä po skončení školy, zvlášť prvé zamestnanie je kritickým vo výchove a príprave mladých ľudí na povolanie. Vysoké miery nezamestnaných mladých ľudí nabádajú k hľadaniu účinnejších prístupov. V súčasnej dobe existujú viaceré alternatívy pre uplatnenie mladých ľudí, nielen zamestnanecký pomer. Priestor je aj v oblastiach kreatívnych činností a v oblasti rozvoja vlastného podnikania, preto bude venovaná pozornosť spôsobom podpory mechanizmov napomáhajúci</w:t>
      </w:r>
      <w:r w:rsidR="00693712" w:rsidRPr="00F26654">
        <w:rPr>
          <w:bCs/>
        </w:rPr>
        <w:t>ch</w:t>
      </w:r>
      <w:r w:rsidRPr="00F26654">
        <w:rPr>
          <w:bCs/>
        </w:rPr>
        <w:t xml:space="preserve"> uplatneniu mladých ľudí. Aj keď existuje výskumná kapacita, ktorá sa môže venovať tejto téme čisto výskumne, dôraz sa bude klásť na praktické mechanizmy podpory.</w:t>
      </w:r>
      <w:r w:rsidR="00E13039" w:rsidRPr="00F26654">
        <w:rPr>
          <w:bCs/>
        </w:rPr>
        <w:t xml:space="preserve"> </w:t>
      </w:r>
    </w:p>
    <w:p w:rsidR="003F7412" w:rsidRDefault="003F7412" w:rsidP="00791A72">
      <w:pPr>
        <w:pStyle w:val="Nadpis2"/>
        <w:numPr>
          <w:ilvl w:val="1"/>
          <w:numId w:val="36"/>
        </w:numPr>
      </w:pPr>
      <w:bookmarkStart w:id="150" w:name="_Toc365831808"/>
      <w:bookmarkStart w:id="151" w:name="_Toc365832000"/>
      <w:bookmarkStart w:id="152" w:name="_Toc366744170"/>
      <w:bookmarkEnd w:id="135"/>
      <w:bookmarkEnd w:id="136"/>
      <w:bookmarkEnd w:id="148"/>
      <w:bookmarkEnd w:id="149"/>
      <w:r w:rsidRPr="002F1203">
        <w:t>Ľ</w:t>
      </w:r>
      <w:bookmarkEnd w:id="150"/>
      <w:bookmarkEnd w:id="151"/>
      <w:r w:rsidR="003875FC">
        <w:t>udské zdroje</w:t>
      </w:r>
      <w:bookmarkEnd w:id="152"/>
    </w:p>
    <w:p w:rsidR="003F7412" w:rsidRDefault="003F7412" w:rsidP="00971659">
      <w:pPr>
        <w:ind w:firstLine="426"/>
      </w:pPr>
      <w:r w:rsidRPr="00F26654">
        <w:t>Stredný stav obyvateľstva Slovenska k 1. 7. 2012 predstavoval 5 407 579 ľudí. Podiel žien na celkovom počte obyvateľstva tvoril 51,3</w:t>
      </w:r>
      <w:r w:rsidR="0013443C" w:rsidRPr="00F26654">
        <w:t xml:space="preserve"> </w:t>
      </w:r>
      <w:r w:rsidRPr="00F26654">
        <w:t>%. Počet obyvateľov v ekonomicky aktívnom veku predstavoval 2 706,5</w:t>
      </w:r>
      <w:r w:rsidR="0013443C" w:rsidRPr="00F26654">
        <w:t> </w:t>
      </w:r>
      <w:r w:rsidRPr="00F26654">
        <w:t>tis</w:t>
      </w:r>
      <w:r w:rsidR="0013443C" w:rsidRPr="00F26654">
        <w:t>.</w:t>
      </w:r>
      <w:r w:rsidRPr="00F26654">
        <w:t xml:space="preserve"> osôb, z toho 2 329,0 </w:t>
      </w:r>
      <w:r w:rsidR="0013443C" w:rsidRPr="00F26654">
        <w:t xml:space="preserve">tis. </w:t>
      </w:r>
      <w:r w:rsidRPr="00F26654">
        <w:t xml:space="preserve">pracujúcich a 377,5 </w:t>
      </w:r>
      <w:r w:rsidR="0013443C" w:rsidRPr="00F26654">
        <w:t xml:space="preserve">tis. </w:t>
      </w:r>
      <w:r w:rsidRPr="00F26654">
        <w:t>nezamestnaných, čo predstavuje mieru nezamestnanosti na úrovni 14</w:t>
      </w:r>
      <w:r w:rsidR="0013443C" w:rsidRPr="00F26654">
        <w:t xml:space="preserve"> </w:t>
      </w:r>
      <w:r w:rsidRPr="00F26654">
        <w:t xml:space="preserve">%. </w:t>
      </w:r>
    </w:p>
    <w:p w:rsidR="003F7412" w:rsidRPr="00971659" w:rsidRDefault="003F7412" w:rsidP="003F7412">
      <w:pPr>
        <w:rPr>
          <w:i/>
        </w:rPr>
      </w:pPr>
      <w:r w:rsidRPr="00971659">
        <w:rPr>
          <w:b/>
          <w:i/>
        </w:rPr>
        <w:lastRenderedPageBreak/>
        <w:t>Graf</w:t>
      </w:r>
      <w:r w:rsidR="00654B73" w:rsidRPr="00971659">
        <w:rPr>
          <w:b/>
          <w:i/>
        </w:rPr>
        <w:t xml:space="preserve"> </w:t>
      </w:r>
      <w:r w:rsidR="00D00787">
        <w:rPr>
          <w:b/>
          <w:i/>
        </w:rPr>
        <w:t>7</w:t>
      </w:r>
      <w:r w:rsidRPr="00971659">
        <w:rPr>
          <w:i/>
        </w:rPr>
        <w:t xml:space="preserve"> Veková štruktúra pracujúcich a nezamestnaných v roku 2012</w:t>
      </w:r>
    </w:p>
    <w:p w:rsidR="003F7412" w:rsidRDefault="00CD6B77" w:rsidP="003F7412">
      <w:pPr>
        <w:spacing w:after="0" w:line="240" w:lineRule="auto"/>
        <w:rPr>
          <w:color w:val="0070C0"/>
        </w:rPr>
      </w:pPr>
      <w:r>
        <w:rPr>
          <w:noProof/>
          <w:lang w:eastAsia="sk-SK"/>
        </w:rPr>
        <w:drawing>
          <wp:inline distT="0" distB="0" distL="0" distR="0" wp14:anchorId="7037539F" wp14:editId="158FE011">
            <wp:extent cx="5063706" cy="2865556"/>
            <wp:effectExtent l="0" t="0" r="3594"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1743" cy="2864445"/>
                    </a:xfrm>
                    <a:prstGeom prst="rect">
                      <a:avLst/>
                    </a:prstGeom>
                    <a:noFill/>
                    <a:ln>
                      <a:noFill/>
                    </a:ln>
                  </pic:spPr>
                </pic:pic>
              </a:graphicData>
            </a:graphic>
          </wp:inline>
        </w:drawing>
      </w:r>
    </w:p>
    <w:p w:rsidR="004A07B4" w:rsidRPr="00F26654" w:rsidRDefault="003F7412" w:rsidP="00F26654">
      <w:pPr>
        <w:spacing w:after="0" w:line="240" w:lineRule="auto"/>
        <w:rPr>
          <w:b/>
          <w:i/>
        </w:rPr>
      </w:pPr>
      <w:r w:rsidRPr="00971659">
        <w:rPr>
          <w:b/>
          <w:i/>
        </w:rPr>
        <w:t>Zdroj</w:t>
      </w:r>
      <w:r w:rsidR="00F26654">
        <w:rPr>
          <w:b/>
          <w:i/>
        </w:rPr>
        <w:t>:</w:t>
      </w:r>
      <w:r w:rsidR="00F26654">
        <w:rPr>
          <w:i/>
        </w:rPr>
        <w:t xml:space="preserve"> Štatistický úrad</w:t>
      </w:r>
      <w:r w:rsidRPr="00971659">
        <w:rPr>
          <w:i/>
        </w:rPr>
        <w:t xml:space="preserve"> SR</w:t>
      </w:r>
    </w:p>
    <w:p w:rsidR="000E2E36" w:rsidRPr="004A07B4" w:rsidRDefault="000E2E36" w:rsidP="00F26654">
      <w:pPr>
        <w:pStyle w:val="Nadpis3"/>
        <w:numPr>
          <w:ilvl w:val="2"/>
          <w:numId w:val="36"/>
        </w:numPr>
        <w:spacing w:after="240"/>
      </w:pPr>
      <w:bookmarkStart w:id="153" w:name="_Toc365831809"/>
      <w:bookmarkStart w:id="154" w:name="_Toc365832001"/>
      <w:bookmarkStart w:id="155" w:name="_Toc366744171"/>
      <w:r w:rsidRPr="004A07B4">
        <w:t>Starnutie populácie</w:t>
      </w:r>
      <w:bookmarkEnd w:id="153"/>
      <w:bookmarkEnd w:id="154"/>
      <w:bookmarkEnd w:id="155"/>
    </w:p>
    <w:p w:rsidR="000E2E36" w:rsidRPr="004A07B4" w:rsidRDefault="000E2E36" w:rsidP="00971659">
      <w:pPr>
        <w:ind w:firstLine="426"/>
      </w:pPr>
      <w:r w:rsidRPr="004A07B4">
        <w:t>Hlavnými demografickými trendmi na Slovensku v období rokov 2011 až 2020 bude spomalenie až zastavenie prírastku počtu obyvateľov a pokračujúce populačné starnutie. Významnou skutočnosťou bude aj zastavenie prírastku počtu obyvateľov v produktívnom veku a</w:t>
      </w:r>
      <w:r w:rsidR="0013443C">
        <w:t xml:space="preserve"> jeho </w:t>
      </w:r>
      <w:r w:rsidRPr="004A07B4">
        <w:t>následný pokles.</w:t>
      </w:r>
      <w:r w:rsidR="0013443C">
        <w:t xml:space="preserve"> </w:t>
      </w:r>
      <w:r w:rsidRPr="004A07B4">
        <w:t>Starnutie populácie bude mať významný vplyv na udržateľnosť systému sociálnych služieb štátu. Na jednej strane sa s pokračujúcim úbytkom obyvateľstva v produktívnom veku zníži počet prispievateľov do systému verejných financií</w:t>
      </w:r>
      <w:r w:rsidR="0013443C">
        <w:t>,</w:t>
      </w:r>
      <w:r w:rsidRPr="004A07B4">
        <w:t xml:space="preserve"> </w:t>
      </w:r>
      <w:r w:rsidR="0013443C">
        <w:t>n</w:t>
      </w:r>
      <w:r w:rsidRPr="004A07B4">
        <w:t>a strane druhej sa zvýši tlak na financovanie sociálnych služieb štátu (najmä v zdravotnej a dôchodkovej oblasti).</w:t>
      </w:r>
      <w:r w:rsidR="0013443C">
        <w:t xml:space="preserve"> </w:t>
      </w:r>
      <w:r w:rsidRPr="004A07B4">
        <w:t xml:space="preserve">Slovenská republika by podľa projekcií Európskej komisie mala patriť ku krajinám s najvyšším prírastkom hrubých verejných výdavkov na dôchodky, zdravotnú a dlhodobú starostlivosť. </w:t>
      </w:r>
      <w:r w:rsidR="0013443C">
        <w:t>Predpokladá sa, že p</w:t>
      </w:r>
      <w:r w:rsidRPr="004A07B4">
        <w:t>odiel týchto výdavkov na HDP narastie zo 14,5</w:t>
      </w:r>
      <w:r w:rsidR="0013443C">
        <w:t xml:space="preserve"> </w:t>
      </w:r>
      <w:r w:rsidRPr="004A07B4">
        <w:t>% v roku 2010 na 15,7</w:t>
      </w:r>
      <w:r w:rsidR="0013443C">
        <w:t xml:space="preserve"> </w:t>
      </w:r>
      <w:r w:rsidRPr="004A07B4">
        <w:t>% v roku 2020 a 22,2</w:t>
      </w:r>
      <w:r w:rsidR="0013443C">
        <w:t xml:space="preserve"> </w:t>
      </w:r>
      <w:r w:rsidRPr="004A07B4">
        <w:t>% v roku 2060</w:t>
      </w:r>
      <w:r w:rsidRPr="004A07B4">
        <w:rPr>
          <w:vertAlign w:val="superscript"/>
        </w:rPr>
        <w:footnoteReference w:id="8"/>
      </w:r>
      <w:r w:rsidRPr="004A07B4">
        <w:t>.</w:t>
      </w:r>
    </w:p>
    <w:p w:rsidR="003F7412" w:rsidRPr="004A07B4" w:rsidRDefault="000E2E36" w:rsidP="00971659">
      <w:pPr>
        <w:ind w:firstLine="426"/>
      </w:pPr>
      <w:r w:rsidRPr="004A07B4">
        <w:t>Podľa projekcie Európskej komisie zostane rast produktivity práce sprostredkovaný zavádzaním nových technológií rozhodujúcim faktorom ekonomického rastu SR v dlhodobom výhľade. Ďalej sa predpokladá, že príspevok veľkosti populácie a zdrojov pracovných síl k ekonomickému rastu bude čoraz menší a po roku 2030 sa stane negatívnym faktorom rastu. Celý prírastok hrubého domáceho produktu (a tým aj zdrojov financovania sociálnych služieb štátu) majú zabezpečiť výlučne nové technológie a formy organizácie práce</w:t>
      </w:r>
      <w:r w:rsidR="0013443C">
        <w:t>.</w:t>
      </w:r>
    </w:p>
    <w:p w:rsidR="003F7412" w:rsidRPr="00366FC9" w:rsidRDefault="003F7412" w:rsidP="00971659">
      <w:pPr>
        <w:ind w:firstLine="426"/>
      </w:pPr>
      <w:r w:rsidRPr="00366FC9">
        <w:t>Najväčší podiel nezamestnaných bol v roku 2012 evidovaný vo vekových kategóriách 15</w:t>
      </w:r>
      <w:r w:rsidR="0013443C">
        <w:t xml:space="preserve"> ročných</w:t>
      </w:r>
      <w:r w:rsidRPr="00366FC9">
        <w:t xml:space="preserve"> </w:t>
      </w:r>
      <w:r w:rsidR="0013443C">
        <w:t xml:space="preserve">až </w:t>
      </w:r>
      <w:r w:rsidRPr="00366FC9">
        <w:t>29 ročných, teda mlad</w:t>
      </w:r>
      <w:r w:rsidR="0013443C">
        <w:t>ých</w:t>
      </w:r>
      <w:r w:rsidRPr="00366FC9">
        <w:t xml:space="preserve"> ľud</w:t>
      </w:r>
      <w:r w:rsidR="0013443C">
        <w:t>í</w:t>
      </w:r>
      <w:r w:rsidRPr="00366FC9">
        <w:t>, absolvent</w:t>
      </w:r>
      <w:r w:rsidR="0013443C">
        <w:t>ov</w:t>
      </w:r>
      <w:r w:rsidRPr="00366FC9">
        <w:t xml:space="preserve"> stredných a vysokých škôl. V týchto kategóriách bol zaznamenaný aj najväčší rozdiel medzi podielom nezamestnaných a pracujúcich v neprospech pracujúcich.</w:t>
      </w:r>
      <w:r w:rsidR="00134F8E">
        <w:t xml:space="preserve"> </w:t>
      </w:r>
      <w:r w:rsidRPr="00366FC9">
        <w:t>V sezóne 2011/2012 bolo v priemere evidovaných 23</w:t>
      </w:r>
      <w:r w:rsidR="0013443C">
        <w:t xml:space="preserve"> </w:t>
      </w:r>
      <w:r w:rsidRPr="00366FC9">
        <w:t>697 nezamestnaných absolventov stredných škôl, z toho 2</w:t>
      </w:r>
      <w:r w:rsidR="0013443C">
        <w:t xml:space="preserve"> </w:t>
      </w:r>
      <w:r w:rsidRPr="00366FC9">
        <w:t>295 absolventov gymnázií,</w:t>
      </w:r>
      <w:r w:rsidR="00134F8E">
        <w:t xml:space="preserve"> </w:t>
      </w:r>
      <w:r w:rsidRPr="00366FC9">
        <w:t>9</w:t>
      </w:r>
      <w:r w:rsidR="0013443C">
        <w:t xml:space="preserve"> </w:t>
      </w:r>
      <w:r w:rsidRPr="00366FC9">
        <w:t>412 absolventov študijných odborov a</w:t>
      </w:r>
      <w:r w:rsidR="0013443C">
        <w:t> </w:t>
      </w:r>
      <w:r w:rsidRPr="00366FC9">
        <w:t>7</w:t>
      </w:r>
      <w:r w:rsidR="0013443C">
        <w:t xml:space="preserve"> </w:t>
      </w:r>
      <w:r w:rsidRPr="00366FC9">
        <w:t>055 absolventov študijných odborov s rozšíreným praktickým vyučovaním a</w:t>
      </w:r>
      <w:r w:rsidR="0013443C">
        <w:t> </w:t>
      </w:r>
      <w:r w:rsidRPr="00366FC9">
        <w:t>5</w:t>
      </w:r>
      <w:r w:rsidR="0013443C">
        <w:t xml:space="preserve"> </w:t>
      </w:r>
      <w:r w:rsidRPr="00366FC9">
        <w:t>601 nezamestnaných absolventov vysokých škôl.</w:t>
      </w:r>
      <w:r w:rsidR="00134F8E">
        <w:t xml:space="preserve"> </w:t>
      </w:r>
      <w:r w:rsidRPr="00366FC9">
        <w:t xml:space="preserve">Z týchto skupín mali najvyššiu </w:t>
      </w:r>
      <w:r w:rsidRPr="00366FC9">
        <w:rPr>
          <w:b/>
          <w:bCs/>
        </w:rPr>
        <w:t xml:space="preserve">absorpciu </w:t>
      </w:r>
      <w:r w:rsidRPr="00366FC9">
        <w:t>nezamestnaných trhom práce absolventi študijných odborov s rozšíreným praktickým vyučovaním (28 %), potom absolventi učebných odborov (18 %) a študijných odborov (14 %) (UIPŠ, 2012).</w:t>
      </w:r>
      <w:r w:rsidR="00134F8E">
        <w:t xml:space="preserve"> </w:t>
      </w:r>
      <w:r w:rsidRPr="00366FC9">
        <w:t>Počet voľných pracovných miest pre absolventov bol v sezóne 2011/2012 priemerne 2</w:t>
      </w:r>
      <w:r w:rsidR="0013443C">
        <w:t xml:space="preserve"> </w:t>
      </w:r>
      <w:r w:rsidRPr="00366FC9">
        <w:t>453, najviac v Bratislavskom kraji (492),</w:t>
      </w:r>
      <w:r w:rsidR="00134F8E">
        <w:t xml:space="preserve"> </w:t>
      </w:r>
      <w:r w:rsidRPr="00366FC9">
        <w:t>Trenčianskom kraji (473) a Trnavskom kraji (337).</w:t>
      </w:r>
      <w:r w:rsidR="00134F8E">
        <w:t xml:space="preserve"> </w:t>
      </w:r>
    </w:p>
    <w:p w:rsidR="003F7412" w:rsidRPr="00366FC9" w:rsidRDefault="003F7412" w:rsidP="00F26654">
      <w:pPr>
        <w:pStyle w:val="Nadpis3"/>
        <w:numPr>
          <w:ilvl w:val="2"/>
          <w:numId w:val="36"/>
        </w:numPr>
        <w:spacing w:after="240"/>
      </w:pPr>
      <w:bookmarkStart w:id="156" w:name="_Toc365831810"/>
      <w:bookmarkStart w:id="157" w:name="_Toc365832002"/>
      <w:bookmarkStart w:id="158" w:name="_Toc366744172"/>
      <w:r w:rsidRPr="00366FC9">
        <w:lastRenderedPageBreak/>
        <w:t>Základné a stredné školy</w:t>
      </w:r>
      <w:bookmarkEnd w:id="156"/>
      <w:bookmarkEnd w:id="157"/>
      <w:bookmarkEnd w:id="158"/>
    </w:p>
    <w:p w:rsidR="003F7412" w:rsidRPr="00366FC9" w:rsidRDefault="003F7412" w:rsidP="00971659">
      <w:pPr>
        <w:ind w:firstLine="426"/>
      </w:pPr>
      <w:r w:rsidRPr="00366FC9">
        <w:t>V školskom roku 2012/2013 bolo na Slovensku evidovaných 2</w:t>
      </w:r>
      <w:r w:rsidR="0013443C">
        <w:t xml:space="preserve"> </w:t>
      </w:r>
      <w:r w:rsidRPr="00366FC9">
        <w:t>177 základných škôl so 430</w:t>
      </w:r>
      <w:r w:rsidR="0013443C">
        <w:t xml:space="preserve"> </w:t>
      </w:r>
      <w:r w:rsidRPr="00366FC9">
        <w:t xml:space="preserve">139 žiakmi, 244 gymnázií </w:t>
      </w:r>
      <w:r w:rsidR="0013443C">
        <w:t xml:space="preserve">s </w:t>
      </w:r>
      <w:r w:rsidRPr="00366FC9">
        <w:t>80 346 žiakmi a 467 stredných odborných škôl so 159</w:t>
      </w:r>
      <w:r w:rsidR="0013443C">
        <w:t xml:space="preserve"> </w:t>
      </w:r>
      <w:r w:rsidRPr="00366FC9">
        <w:t>121 žiakmi (v dennej forme). Na gymnáziách vyučovalo 6</w:t>
      </w:r>
      <w:r w:rsidR="0013443C">
        <w:t xml:space="preserve"> </w:t>
      </w:r>
      <w:r w:rsidRPr="00366FC9">
        <w:t>134 učiteľov, na stredných odborných školách 12</w:t>
      </w:r>
      <w:r w:rsidR="0013443C">
        <w:t xml:space="preserve"> </w:t>
      </w:r>
      <w:r w:rsidRPr="00366FC9">
        <w:t>372.</w:t>
      </w:r>
      <w:r w:rsidR="00134F8E">
        <w:t xml:space="preserve"> </w:t>
      </w:r>
      <w:r w:rsidRPr="00366FC9">
        <w:t>V školskom roku 2011/2012 absolvovalo štúdium na gymnáziách 19</w:t>
      </w:r>
      <w:r w:rsidR="0013443C">
        <w:t xml:space="preserve"> </w:t>
      </w:r>
      <w:r w:rsidRPr="00366FC9">
        <w:t>098 žiakov, na stredných odborných školách 47</w:t>
      </w:r>
      <w:r w:rsidR="0013443C">
        <w:t xml:space="preserve"> </w:t>
      </w:r>
      <w:r w:rsidRPr="00366FC9">
        <w:t>170 žiakov.</w:t>
      </w:r>
    </w:p>
    <w:p w:rsidR="003F7412" w:rsidRPr="00366FC9" w:rsidRDefault="003F7412" w:rsidP="00971659">
      <w:pPr>
        <w:ind w:firstLine="426"/>
      </w:pPr>
      <w:r w:rsidRPr="00366FC9">
        <w:t>Za posledných 13 rokov (šk. roky 1999/2000 – 2011/2012) na Slovensku pretrváva pokles počtu žiakov základných škôl</w:t>
      </w:r>
      <w:r w:rsidR="0013443C">
        <w:t>,</w:t>
      </w:r>
      <w:r w:rsidRPr="00366FC9">
        <w:t xml:space="preserve"> ale pri pretrvávajúcej kapacite školstva. Klesajúci trend je prirodzeným odzrkadlením demografického vývoja na Slovensku, teda znižovani</w:t>
      </w:r>
      <w:r w:rsidR="0013443C">
        <w:t>a</w:t>
      </w:r>
      <w:r w:rsidRPr="00366FC9">
        <w:t xml:space="preserve"> počtu populácie v predproduktívnom a detskom veku. Napriek tomu však v priebehu sledovaného obdobia postupne rástol počet žiakov na gymnáziách (okrem</w:t>
      </w:r>
      <w:r w:rsidRPr="00E1786A">
        <w:rPr>
          <w:color w:val="0070C0"/>
        </w:rPr>
        <w:t xml:space="preserve"> </w:t>
      </w:r>
      <w:r w:rsidRPr="00366FC9">
        <w:t xml:space="preserve">mierneho poklesu v posledných 2 – 3 rokoch), z čoho sa dá vyvodiť stály alebo mierne rastúci záujem žiakov koncových ročníkov základných škôl o tento druh školy. </w:t>
      </w:r>
    </w:p>
    <w:p w:rsidR="003F7412" w:rsidRPr="00366FC9" w:rsidRDefault="003F7412" w:rsidP="00971659">
      <w:pPr>
        <w:ind w:firstLine="426"/>
      </w:pPr>
      <w:r w:rsidRPr="00366FC9">
        <w:t xml:space="preserve">Na druhej strane, od roku 2002 je badať výrazný pokles žiakov na stredných odborných školách s priemyselným zameraním spolu so strednými odbornými učilišťami. Počet žiakov na týchto školách sa v roku 2006 dostal pod úroveň gymnázií a klesajúci trend pretrvával. </w:t>
      </w:r>
    </w:p>
    <w:p w:rsidR="003F7412" w:rsidRPr="00366FC9" w:rsidRDefault="003F7412" w:rsidP="00971659">
      <w:pPr>
        <w:ind w:firstLine="426"/>
      </w:pPr>
      <w:r w:rsidRPr="00366FC9">
        <w:t xml:space="preserve">V roku 2009 nastala zmena v klasifikácií stredných škôl, ktorej výsledkom bolo zjednotenie všetkých stredných odborných škôl a učilíšť. Napriek tejto zmene počet žiakov na </w:t>
      </w:r>
      <w:r w:rsidR="004657AE">
        <w:t xml:space="preserve">stredných </w:t>
      </w:r>
      <w:r w:rsidRPr="00366FC9">
        <w:t xml:space="preserve">školách sústavne klesá. V súčasnosti síce na tomto type školy študuje </w:t>
      </w:r>
      <w:r w:rsidR="004657AE" w:rsidRPr="00366FC9">
        <w:t xml:space="preserve">v absolútnom vyjadrení </w:t>
      </w:r>
      <w:r w:rsidRPr="00366FC9">
        <w:t xml:space="preserve">viac žiakov ako na gymnáziách, </w:t>
      </w:r>
      <w:r w:rsidR="004657AE">
        <w:t xml:space="preserve">ide však </w:t>
      </w:r>
      <w:r w:rsidRPr="00366FC9">
        <w:t xml:space="preserve">o zlúčené údaje z bývalých obchodných akadémií, hotelových, lesníckych, technických </w:t>
      </w:r>
      <w:r w:rsidR="004657AE">
        <w:t xml:space="preserve">škôl </w:t>
      </w:r>
      <w:r w:rsidRPr="00366FC9">
        <w:t>atď. Ak by k zlúčeniu neprišlo, je</w:t>
      </w:r>
      <w:r w:rsidR="00F26654">
        <w:t xml:space="preserve"> </w:t>
      </w:r>
      <w:r w:rsidR="004657AE">
        <w:t>reálny predpoklad</w:t>
      </w:r>
      <w:r w:rsidRPr="00366FC9">
        <w:t xml:space="preserve">, že rozdiel medzi SOŠ a gymnáziami v počte žiakov (v prospech gymnázií) by sa naďalej prehlboval. </w:t>
      </w:r>
    </w:p>
    <w:p w:rsidR="003F7412" w:rsidRPr="00971659" w:rsidRDefault="003F7412" w:rsidP="00971659">
      <w:pPr>
        <w:rPr>
          <w:i/>
        </w:rPr>
      </w:pPr>
      <w:r w:rsidRPr="00971659">
        <w:rPr>
          <w:b/>
          <w:i/>
        </w:rPr>
        <w:t>Graf</w:t>
      </w:r>
      <w:r w:rsidR="00654B73" w:rsidRPr="00971659">
        <w:rPr>
          <w:b/>
          <w:i/>
        </w:rPr>
        <w:t xml:space="preserve"> </w:t>
      </w:r>
      <w:r w:rsidR="00D00787">
        <w:rPr>
          <w:b/>
          <w:i/>
        </w:rPr>
        <w:t>8</w:t>
      </w:r>
      <w:r w:rsidRPr="00971659">
        <w:rPr>
          <w:i/>
        </w:rPr>
        <w:t xml:space="preserve"> Početnosť žiakov základných škôl a vybraných druhov stredných škôl (1999 – 2011) v tis.</w:t>
      </w:r>
    </w:p>
    <w:p w:rsidR="003F7412" w:rsidRPr="00AF144C" w:rsidRDefault="00CD6B77" w:rsidP="003F7412">
      <w:pPr>
        <w:rPr>
          <w:color w:val="0070C0"/>
        </w:rPr>
      </w:pPr>
      <w:r>
        <w:rPr>
          <w:noProof/>
          <w:lang w:eastAsia="sk-SK"/>
        </w:rPr>
        <w:drawing>
          <wp:inline distT="0" distB="0" distL="0" distR="0" wp14:anchorId="4B93B5D4" wp14:editId="7CB3750E">
            <wp:extent cx="4946337" cy="3646968"/>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4833" cy="3653232"/>
                    </a:xfrm>
                    <a:prstGeom prst="rect">
                      <a:avLst/>
                    </a:prstGeom>
                    <a:noFill/>
                    <a:ln>
                      <a:noFill/>
                    </a:ln>
                  </pic:spPr>
                </pic:pic>
              </a:graphicData>
            </a:graphic>
          </wp:inline>
        </w:drawing>
      </w:r>
    </w:p>
    <w:p w:rsidR="003F7412" w:rsidRDefault="00971659" w:rsidP="003F7412">
      <w:pPr>
        <w:rPr>
          <w:i/>
        </w:rPr>
      </w:pPr>
      <w:r w:rsidRPr="00971659">
        <w:rPr>
          <w:b/>
          <w:i/>
        </w:rPr>
        <w:t>Zdroj</w:t>
      </w:r>
      <w:r w:rsidR="00F26654">
        <w:rPr>
          <w:b/>
          <w:i/>
        </w:rPr>
        <w:t>:</w:t>
      </w:r>
      <w:r w:rsidR="003F7412" w:rsidRPr="00971659">
        <w:rPr>
          <w:i/>
        </w:rPr>
        <w:t xml:space="preserve"> Štatistická ročenka Ústavu informácií a prognóz školstva </w:t>
      </w:r>
    </w:p>
    <w:p w:rsidR="00F7206E" w:rsidRPr="00F7206E" w:rsidRDefault="00F7206E" w:rsidP="00F7206E">
      <w:pPr>
        <w:ind w:firstLine="426"/>
      </w:pPr>
      <w:r w:rsidRPr="00366FC9">
        <w:lastRenderedPageBreak/>
        <w:t>Technické odbory v stredoškolskom systéme strácajú na popularite na úkor gymnázií, no neodôvodnene</w:t>
      </w:r>
      <w:r>
        <w:t xml:space="preserve"> </w:t>
      </w:r>
      <w:r w:rsidRPr="00366FC9">
        <w:t>sa nesleduje záujem žiakov o vedné odbory ani o konkrétne predmety, čo by určite prispelo k ucelenému obrazu</w:t>
      </w:r>
      <w:r>
        <w:t xml:space="preserve">. Prínosom by bol </w:t>
      </w:r>
      <w:r w:rsidRPr="00366FC9">
        <w:t>aj prieskum postojov a prístupov k vzdelávaniu.</w:t>
      </w:r>
    </w:p>
    <w:p w:rsidR="003F7412" w:rsidRPr="009C1E06" w:rsidRDefault="003F7412" w:rsidP="00971659">
      <w:pPr>
        <w:ind w:firstLine="425"/>
      </w:pPr>
      <w:r w:rsidRPr="009C1E06">
        <w:t>Matematické zručnosti</w:t>
      </w:r>
      <w:r w:rsidR="009C1E06">
        <w:t xml:space="preserve"> </w:t>
      </w:r>
      <w:r w:rsidRPr="009C1E06">
        <w:t>sú základným stavebným kameňom technických, prírodovedných a IKT predmetov, ich úroveň predurčuje zvládnutie technických odborov na SŠ a VŠ a takisto uľahčuj</w:t>
      </w:r>
      <w:r w:rsidR="004657AE">
        <w:t>e</w:t>
      </w:r>
      <w:r w:rsidRPr="009C1E06">
        <w:t xml:space="preserve"> výber</w:t>
      </w:r>
      <w:r w:rsidR="004657AE">
        <w:t>,</w:t>
      </w:r>
      <w:r w:rsidRPr="009C1E06">
        <w:t xml:space="preserve">  umiestnenie a adaptáciu zamestnancov v pracovnom prostredí kvalifikačne náročných povolaní, najmä </w:t>
      </w:r>
      <w:r w:rsidR="004657AE">
        <w:t xml:space="preserve">v </w:t>
      </w:r>
      <w:r w:rsidRPr="009C1E06">
        <w:t xml:space="preserve">automobilovom priemysle, strojárstve a elektrotechnickom priemysle. </w:t>
      </w:r>
      <w:r w:rsidR="009C1E06">
        <w:t xml:space="preserve">Z hodnotenia PISA vyplýva, že </w:t>
      </w:r>
      <w:r w:rsidRPr="009C1E06">
        <w:t>Slovensko sa v rebríčku matematickej gramotnosti v roku 2009 umiestnilo na 23. mieste v skupine s priemerným výkonom významne sa neodlišujúc</w:t>
      </w:r>
      <w:r w:rsidR="009C1E06">
        <w:t>im</w:t>
      </w:r>
      <w:r w:rsidRPr="009C1E06">
        <w:t xml:space="preserve"> od priemeru OECD (</w:t>
      </w:r>
      <w:r w:rsidRPr="009C1E06">
        <w:rPr>
          <w:i/>
        </w:rPr>
        <w:t>NÚCEM, 2009</w:t>
      </w:r>
      <w:r w:rsidRPr="009C1E06">
        <w:t>).</w:t>
      </w:r>
    </w:p>
    <w:p w:rsidR="003F7412" w:rsidRPr="009C1E06" w:rsidRDefault="003F7412" w:rsidP="00971659">
      <w:pPr>
        <w:ind w:firstLine="425"/>
      </w:pPr>
      <w:r w:rsidRPr="009C1E06">
        <w:t>Na stredných odborných školách, školách, ktoré „produkujú“ pracovnú silu pre priemysel, je relatívne nízke percento žiakov na najvyšších úrovniach matematickej gramotnosti, ktorá je pre technické smery a technické povolania žiad</w:t>
      </w:r>
      <w:r w:rsidR="004657AE">
        <w:t>u</w:t>
      </w:r>
      <w:r w:rsidRPr="009C1E06">
        <w:t>ca a nevyhnutná. Naopak</w:t>
      </w:r>
      <w:r w:rsidR="004657AE">
        <w:t>,</w:t>
      </w:r>
      <w:r w:rsidRPr="009C1E06">
        <w:t xml:space="preserve"> pomerne početne sú vzhľadom na zamerania SOŠ zastúpené najnižšie úrovne, čo len potvrdzuje fakt a nutnosť podpory výučby matematiky na tomto, ale aj ostatnom type škôl.</w:t>
      </w:r>
    </w:p>
    <w:p w:rsidR="003F7412" w:rsidRPr="009C1E06" w:rsidRDefault="003F7412" w:rsidP="00971659">
      <w:pPr>
        <w:autoSpaceDE w:val="0"/>
        <w:autoSpaceDN w:val="0"/>
        <w:adjustRightInd w:val="0"/>
        <w:ind w:firstLine="425"/>
      </w:pPr>
      <w:r w:rsidRPr="009C1E06">
        <w:t>Porozumenie prírodným vedám umožňuje mladým ľuďom plne sa začleniť do života spoločnosti a pracovného života najmä v priemysle, v rámci ktor</w:t>
      </w:r>
      <w:r w:rsidR="004657AE">
        <w:t>ého</w:t>
      </w:r>
      <w:r w:rsidRPr="009C1E06">
        <w:t xml:space="preserve"> hrajú prírodné vedy a s nimi súvisiace technológie dôležitú úlohu.</w:t>
      </w:r>
      <w:r w:rsidR="00802C62">
        <w:t xml:space="preserve"> </w:t>
      </w:r>
      <w:r w:rsidRPr="009C1E06">
        <w:t>Slovensko sa v rebríčku prírodovednej gramotnosti v roku 2009 umiestnilo na 34. mieste v skupine s priemerným výkonom pod priemerom OECD (</w:t>
      </w:r>
      <w:r w:rsidRPr="009C1E06">
        <w:rPr>
          <w:i/>
        </w:rPr>
        <w:t>NÚCEM, 2009</w:t>
      </w:r>
      <w:r w:rsidRPr="009C1E06">
        <w:t>).</w:t>
      </w:r>
    </w:p>
    <w:p w:rsidR="003F7412" w:rsidRPr="00802C62" w:rsidRDefault="003F7412" w:rsidP="00971659">
      <w:pPr>
        <w:autoSpaceDE w:val="0"/>
        <w:autoSpaceDN w:val="0"/>
        <w:adjustRightInd w:val="0"/>
        <w:ind w:firstLine="425"/>
      </w:pPr>
      <w:r w:rsidRPr="009C1E06">
        <w:t>Najviac žiakov s najvyššou úrovňou prírodovednej gramotnosti (úrovne 5 a 6) navštevuje osemročné a štvorročné gymnáziá. Napriek akademickému zameraniu týchto škôl však v nich nachádzame aj isté percento žiakov v rizikovej skupine, t. j. s nízkou úrovňou prírodovednej gramotnosti (úroveň 1 a pod úrovňou 1). Najväčšiu časť rizikovej skupiny tvoria žiaci nematuritných odborov SOU, približne 50</w:t>
      </w:r>
      <w:r w:rsidR="004657AE">
        <w:t xml:space="preserve"> </w:t>
      </w:r>
      <w:r w:rsidRPr="009C1E06">
        <w:t>% ich žiakov. Tieto odbory pripravujú na trh práce žiakov, ktorým na konci povinnej školskej dochádzky ešte stále chýba aspoň základná funkčná gramotnosť. Na základných školách patrí k rizikovej skupine približne 30</w:t>
      </w:r>
      <w:r w:rsidR="004657AE">
        <w:t xml:space="preserve"> </w:t>
      </w:r>
      <w:r w:rsidRPr="009C1E06">
        <w:t>% žiakov.</w:t>
      </w:r>
      <w:r w:rsidR="00802C62">
        <w:t xml:space="preserve"> </w:t>
      </w:r>
      <w:r w:rsidRPr="00802C62">
        <w:t>Žiaci na úrovni 5 alebo 6 matematickej a prírodovednej gramotnosti patria k elite a predstavujú potenciál pre rozvoj vedy a techniky vo svete.</w:t>
      </w:r>
    </w:p>
    <w:p w:rsidR="003F7412" w:rsidRPr="00CA1ACD" w:rsidRDefault="003F7412" w:rsidP="00F26654">
      <w:pPr>
        <w:pStyle w:val="Nadpis3"/>
        <w:numPr>
          <w:ilvl w:val="2"/>
          <w:numId w:val="36"/>
        </w:numPr>
        <w:spacing w:after="240"/>
      </w:pPr>
      <w:bookmarkStart w:id="159" w:name="_Toc365831811"/>
      <w:bookmarkStart w:id="160" w:name="_Toc365832003"/>
      <w:bookmarkStart w:id="161" w:name="_Toc366744173"/>
      <w:r w:rsidRPr="00CA1ACD">
        <w:t>Vysoké školy</w:t>
      </w:r>
      <w:bookmarkEnd w:id="159"/>
      <w:bookmarkEnd w:id="160"/>
      <w:bookmarkEnd w:id="161"/>
    </w:p>
    <w:p w:rsidR="003F7412" w:rsidRPr="00CA1ACD" w:rsidRDefault="003F7412" w:rsidP="00971659">
      <w:pPr>
        <w:ind w:firstLine="426"/>
      </w:pPr>
      <w:r w:rsidRPr="00CA1ACD">
        <w:t xml:space="preserve">K 31. 12. 2012 bolo na Slovensku evidovaných 36 </w:t>
      </w:r>
      <w:r w:rsidR="004657AE">
        <w:t xml:space="preserve">VŠ </w:t>
      </w:r>
      <w:r w:rsidRPr="00CA1ACD">
        <w:t>so 132 fakultami s 131 306 študentmi na I. a II. stupni a</w:t>
      </w:r>
      <w:r w:rsidR="004657AE">
        <w:t> </w:t>
      </w:r>
      <w:r w:rsidRPr="00CA1ACD">
        <w:t>5</w:t>
      </w:r>
      <w:r w:rsidR="004657AE">
        <w:t xml:space="preserve"> </w:t>
      </w:r>
      <w:r w:rsidRPr="00CA1ACD">
        <w:t>810 študentmi na III. stupni</w:t>
      </w:r>
      <w:r w:rsidR="00E13039">
        <w:t xml:space="preserve"> </w:t>
      </w:r>
      <w:r w:rsidRPr="00CA1ACD">
        <w:t>dennej forme štúdia</w:t>
      </w:r>
      <w:r w:rsidR="00957360">
        <w:t xml:space="preserve"> </w:t>
      </w:r>
      <w:r w:rsidR="00957360" w:rsidRPr="00537D1F">
        <w:t>s 58 035 študentmi na I. a II. stupni a</w:t>
      </w:r>
      <w:r w:rsidR="004657AE">
        <w:t> </w:t>
      </w:r>
      <w:r w:rsidR="00957360" w:rsidRPr="00537D1F">
        <w:t>4</w:t>
      </w:r>
      <w:r w:rsidR="004657AE">
        <w:t xml:space="preserve"> </w:t>
      </w:r>
      <w:r w:rsidR="00957360" w:rsidRPr="00537D1F">
        <w:t>925 študentmi na III. stupni v externej forme štúdia.</w:t>
      </w:r>
      <w:r w:rsidRPr="00CA1ACD">
        <w:t xml:space="preserve"> Na všetkých </w:t>
      </w:r>
      <w:r w:rsidR="004657AE">
        <w:t>VŠ</w:t>
      </w:r>
      <w:r w:rsidRPr="00CA1ACD">
        <w:t xml:space="preserve"> vyučovalo 10 825 pedagogických pracovníkov. V školskom roku 2011/2012 absolvovalo vysokoškolské štúdium I. a II. </w:t>
      </w:r>
      <w:r w:rsidR="004657AE">
        <w:t>s</w:t>
      </w:r>
      <w:r w:rsidRPr="00CA1ACD">
        <w:t>tupňa 42</w:t>
      </w:r>
      <w:r w:rsidR="004657AE">
        <w:t> </w:t>
      </w:r>
      <w:r w:rsidRPr="00CA1ACD">
        <w:t>493 študentov a štúdium III. stupňa 1 343 študentov.</w:t>
      </w:r>
    </w:p>
    <w:p w:rsidR="003F7412" w:rsidRPr="00CA1ACD" w:rsidRDefault="003F7412" w:rsidP="00971659">
      <w:pPr>
        <w:ind w:firstLine="426"/>
      </w:pPr>
      <w:r w:rsidRPr="00CA1ACD">
        <w:t>V roku 2012 sa podľa študijných odborov najviac uchádzačov hlásilo na ekonomické vedy (13</w:t>
      </w:r>
      <w:r w:rsidR="004657AE">
        <w:t xml:space="preserve"> </w:t>
      </w:r>
      <w:r w:rsidRPr="00CA1ACD">
        <w:t>007), pedagogické vedy (8</w:t>
      </w:r>
      <w:r w:rsidR="004657AE">
        <w:t xml:space="preserve"> </w:t>
      </w:r>
      <w:r w:rsidRPr="00CA1ACD">
        <w:t>454) a učiteľstvo predmetov v kombináciách (5</w:t>
      </w:r>
      <w:r w:rsidR="004657AE">
        <w:t xml:space="preserve"> </w:t>
      </w:r>
      <w:r w:rsidRPr="00CA1ACD">
        <w:t>513). Na informatiku a výpočtovú techniku sa hlásilo 3</w:t>
      </w:r>
      <w:r w:rsidR="004657AE">
        <w:t xml:space="preserve"> </w:t>
      </w:r>
      <w:r w:rsidRPr="00CA1ACD">
        <w:t>658 uchádzačov, na strojárstvo a ostatnú kovospracujúcu výrobu 3</w:t>
      </w:r>
      <w:r w:rsidR="004657AE">
        <w:t xml:space="preserve"> </w:t>
      </w:r>
      <w:r w:rsidRPr="00CA1ACD">
        <w:t>435 uchádzačov. Na prvých piatich miestach v počte prihlášok na študijné programy a odbory sa umiestnilo učiteľstvo predmetov v kombináciách (7</w:t>
      </w:r>
      <w:r w:rsidR="004657AE">
        <w:t xml:space="preserve"> </w:t>
      </w:r>
      <w:r w:rsidRPr="00CA1ACD">
        <w:t>336), ekonomika manažmentu podniku (6</w:t>
      </w:r>
      <w:r w:rsidR="004657AE">
        <w:t xml:space="preserve"> </w:t>
      </w:r>
      <w:r w:rsidRPr="00CA1ACD">
        <w:t>422), všeobecné lekárstvo (5</w:t>
      </w:r>
      <w:r w:rsidR="004657AE">
        <w:t xml:space="preserve"> </w:t>
      </w:r>
      <w:r w:rsidRPr="00CA1ACD">
        <w:t>078), právo (4</w:t>
      </w:r>
      <w:r w:rsidR="004657AE">
        <w:t xml:space="preserve"> </w:t>
      </w:r>
      <w:r w:rsidRPr="00CA1ACD">
        <w:t>710) a sociálna práca (4</w:t>
      </w:r>
      <w:r w:rsidR="004657AE">
        <w:t xml:space="preserve"> </w:t>
      </w:r>
      <w:r w:rsidRPr="00CA1ACD">
        <w:t xml:space="preserve">243). </w:t>
      </w:r>
    </w:p>
    <w:p w:rsidR="00595EFB" w:rsidRPr="00CA1ACD" w:rsidRDefault="00595EFB" w:rsidP="00FF3F69">
      <w:pPr>
        <w:ind w:firstLine="426"/>
      </w:pPr>
      <w:r>
        <w:t>Početnosť žiakov/</w:t>
      </w:r>
      <w:r w:rsidR="003F7412" w:rsidRPr="00CA1ACD">
        <w:t xml:space="preserve">absolventov na </w:t>
      </w:r>
      <w:r w:rsidR="004657AE">
        <w:t xml:space="preserve">VŠ v SR </w:t>
      </w:r>
      <w:r w:rsidR="003F7412" w:rsidRPr="00CA1ACD">
        <w:t xml:space="preserve">rozdelená podľa príslušných odborov alebo odborových skupín sa sleduje od roku 1989. </w:t>
      </w:r>
      <w:r w:rsidR="004657AE">
        <w:t xml:space="preserve">Tieto dáta </w:t>
      </w:r>
      <w:r w:rsidR="003F7412" w:rsidRPr="00CA1ACD">
        <w:t xml:space="preserve">sú relevantné pri zhodnotení výberu odboru absolventmi stredných škôl, </w:t>
      </w:r>
      <w:r w:rsidR="004657AE">
        <w:t xml:space="preserve">preto je </w:t>
      </w:r>
      <w:r w:rsidR="003F7412" w:rsidRPr="00CA1ACD">
        <w:t>chybou, že</w:t>
      </w:r>
      <w:r w:rsidR="00134F8E">
        <w:t xml:space="preserve"> </w:t>
      </w:r>
      <w:r w:rsidR="003F7412" w:rsidRPr="00CA1ACD">
        <w:t xml:space="preserve">nerozlišujeme absolventov rôznych druhov stredných škôl. Od roku 2009 klesá počet všetkých vysokoškolákov (na verejných aj súkromných školách spolu) a tento trend je príznačný v relatívne rovnakej miere pre všetky odbory. V početnosti suverénne vedú spoločenské vedy (za sledované obdobie sa </w:t>
      </w:r>
      <w:r w:rsidR="003F7412" w:rsidRPr="00CA1ACD">
        <w:lastRenderedPageBreak/>
        <w:t>„držia“ na úrovni cca 58</w:t>
      </w:r>
      <w:r w:rsidR="004657AE">
        <w:t xml:space="preserve"> </w:t>
      </w:r>
      <w:r w:rsidR="003F7412" w:rsidRPr="00CA1ACD">
        <w:t xml:space="preserve">% z celkového počtu vysokoškolákov). Študenti technických odborov sú síce druhí v poradí, </w:t>
      </w:r>
      <w:r w:rsidR="004657AE">
        <w:t xml:space="preserve"> </w:t>
      </w:r>
      <w:r w:rsidR="003F7412" w:rsidRPr="00CA1ACD">
        <w:t xml:space="preserve">ani tak </w:t>
      </w:r>
      <w:r w:rsidR="004657AE">
        <w:t xml:space="preserve">však </w:t>
      </w:r>
      <w:r w:rsidR="003F7412" w:rsidRPr="00CA1ACD">
        <w:t>netvoria ani polovicu počtu študentov spoločenských</w:t>
      </w:r>
      <w:r w:rsidR="004657AE">
        <w:t xml:space="preserve"> odborov</w:t>
      </w:r>
      <w:r w:rsidR="003F7412" w:rsidRPr="00CA1ACD">
        <w:t>. Študenti prírodných vied majú stabilný cca 5</w:t>
      </w:r>
      <w:r w:rsidR="004657AE">
        <w:t xml:space="preserve"> </w:t>
      </w:r>
      <w:r w:rsidR="003F7412" w:rsidRPr="00CA1ACD">
        <w:t>% podiel na celkovom počte študentov VŠ.</w:t>
      </w:r>
    </w:p>
    <w:p w:rsidR="003F7412" w:rsidRPr="00971659" w:rsidRDefault="003F7412" w:rsidP="003F7412">
      <w:pPr>
        <w:rPr>
          <w:i/>
        </w:rPr>
      </w:pPr>
      <w:r w:rsidRPr="00971659">
        <w:rPr>
          <w:b/>
          <w:i/>
        </w:rPr>
        <w:t>Graf</w:t>
      </w:r>
      <w:r w:rsidR="00654B73" w:rsidRPr="00971659">
        <w:rPr>
          <w:b/>
          <w:i/>
        </w:rPr>
        <w:t xml:space="preserve"> </w:t>
      </w:r>
      <w:r w:rsidR="00D00787">
        <w:rPr>
          <w:b/>
          <w:i/>
        </w:rPr>
        <w:t>9</w:t>
      </w:r>
      <w:r w:rsidRPr="00971659">
        <w:rPr>
          <w:i/>
        </w:rPr>
        <w:t xml:space="preserve"> Početnosť študentov a absolventov vo vybraných odboroch VŠ</w:t>
      </w:r>
      <w:r w:rsidR="004657AE">
        <w:rPr>
          <w:i/>
        </w:rPr>
        <w:t xml:space="preserve"> </w:t>
      </w:r>
      <w:r w:rsidRPr="00971659">
        <w:rPr>
          <w:i/>
        </w:rPr>
        <w:t>(1989 – 2011)</w:t>
      </w:r>
    </w:p>
    <w:p w:rsidR="003F7412" w:rsidRPr="00CA1ACD" w:rsidRDefault="00CD6B77" w:rsidP="003F7412">
      <w:r>
        <w:rPr>
          <w:noProof/>
          <w:lang w:eastAsia="sk-SK"/>
        </w:rPr>
        <w:drawing>
          <wp:inline distT="0" distB="0" distL="0" distR="0" wp14:anchorId="0B9EA1A2" wp14:editId="5FAB8DF4">
            <wp:extent cx="5753100" cy="35814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rsidR="00FF3F69" w:rsidRDefault="003F7412" w:rsidP="00FF3F69">
      <w:pPr>
        <w:spacing w:line="240" w:lineRule="auto"/>
        <w:rPr>
          <w:i/>
        </w:rPr>
      </w:pPr>
      <w:r w:rsidRPr="00971659">
        <w:rPr>
          <w:b/>
          <w:i/>
        </w:rPr>
        <w:t>Zdroj</w:t>
      </w:r>
      <w:r w:rsidR="00595EFB">
        <w:rPr>
          <w:i/>
        </w:rPr>
        <w:t>: Štatistický úrad</w:t>
      </w:r>
      <w:r w:rsidRPr="00CA1ACD">
        <w:rPr>
          <w:i/>
        </w:rPr>
        <w:t xml:space="preserve"> SR</w:t>
      </w:r>
      <w:r w:rsidR="00FE4206">
        <w:rPr>
          <w:i/>
        </w:rPr>
        <w:t xml:space="preserve"> (</w:t>
      </w:r>
      <w:r w:rsidRPr="00CA1ACD">
        <w:rPr>
          <w:i/>
        </w:rPr>
        <w:t>Pozn. pre líniový graf prislúcha pravá os</w:t>
      </w:r>
      <w:r w:rsidR="00FE4206">
        <w:rPr>
          <w:i/>
        </w:rPr>
        <w:t>)</w:t>
      </w:r>
    </w:p>
    <w:p w:rsidR="00FF3F69" w:rsidRPr="00FF3F69" w:rsidRDefault="00FF3F69" w:rsidP="00FF3F69">
      <w:pPr>
        <w:spacing w:line="240" w:lineRule="auto"/>
        <w:rPr>
          <w:i/>
        </w:rPr>
      </w:pPr>
    </w:p>
    <w:p w:rsidR="003F7412" w:rsidRPr="00971659" w:rsidRDefault="003F7412" w:rsidP="003F7412">
      <w:pPr>
        <w:spacing w:line="240" w:lineRule="auto"/>
        <w:rPr>
          <w:i/>
        </w:rPr>
      </w:pPr>
      <w:r w:rsidRPr="00971659">
        <w:rPr>
          <w:b/>
          <w:i/>
        </w:rPr>
        <w:t xml:space="preserve">Graf </w:t>
      </w:r>
      <w:r w:rsidR="00D00787">
        <w:rPr>
          <w:b/>
          <w:i/>
        </w:rPr>
        <w:t>10</w:t>
      </w:r>
      <w:r w:rsidRPr="00971659">
        <w:rPr>
          <w:i/>
        </w:rPr>
        <w:t xml:space="preserve"> Podiel uchádzačov o zamestnanie absolventov podľa dokončeného odboru (2011)</w:t>
      </w:r>
    </w:p>
    <w:p w:rsidR="003F7412" w:rsidRPr="00CA1ACD" w:rsidRDefault="00CD6B77" w:rsidP="003F7412">
      <w:pPr>
        <w:spacing w:line="240" w:lineRule="auto"/>
      </w:pPr>
      <w:r>
        <w:rPr>
          <w:noProof/>
          <w:lang w:eastAsia="sk-SK"/>
        </w:rPr>
        <w:drawing>
          <wp:inline distT="0" distB="0" distL="0" distR="0" wp14:anchorId="5371BC21" wp14:editId="4D4B2CCF">
            <wp:extent cx="5022850" cy="262890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2850" cy="2628900"/>
                    </a:xfrm>
                    <a:prstGeom prst="rect">
                      <a:avLst/>
                    </a:prstGeom>
                    <a:noFill/>
                    <a:ln>
                      <a:noFill/>
                    </a:ln>
                  </pic:spPr>
                </pic:pic>
              </a:graphicData>
            </a:graphic>
          </wp:inline>
        </w:drawing>
      </w:r>
    </w:p>
    <w:p w:rsidR="003F7412" w:rsidRDefault="003F7412" w:rsidP="003F7412">
      <w:pPr>
        <w:rPr>
          <w:i/>
        </w:rPr>
      </w:pPr>
      <w:r w:rsidRPr="00971659">
        <w:rPr>
          <w:b/>
          <w:i/>
        </w:rPr>
        <w:t>Zdroj</w:t>
      </w:r>
      <w:r w:rsidR="00FE4206">
        <w:rPr>
          <w:b/>
          <w:i/>
        </w:rPr>
        <w:t>:</w:t>
      </w:r>
      <w:r w:rsidRPr="00CA1ACD">
        <w:rPr>
          <w:i/>
        </w:rPr>
        <w:t xml:space="preserve"> Ústav informácií a prognóz školstva</w:t>
      </w:r>
    </w:p>
    <w:p w:rsidR="00FF3F69" w:rsidRPr="00CA1ACD" w:rsidRDefault="00FF3F69" w:rsidP="00FF3F69">
      <w:pPr>
        <w:spacing w:line="240" w:lineRule="auto"/>
        <w:ind w:firstLine="426"/>
      </w:pPr>
      <w:r w:rsidRPr="00CA1ACD">
        <w:lastRenderedPageBreak/>
        <w:t>Podľa prieskumu záujmu zamestnávateľov o abs</w:t>
      </w:r>
      <w:r>
        <w:t>olventov jednotlivých odborov/</w:t>
      </w:r>
      <w:r w:rsidRPr="00CA1ACD">
        <w:t>zamerani</w:t>
      </w:r>
      <w:r>
        <w:t>e</w:t>
      </w:r>
      <w:r w:rsidRPr="00CA1ACD">
        <w:t xml:space="preserve"> fakúlt pretaveného do indexu záujmu popredné miesto zaujíma informatika (72,75</w:t>
      </w:r>
      <w:r>
        <w:t xml:space="preserve"> </w:t>
      </w:r>
      <w:r w:rsidRPr="00CA1ACD">
        <w:t>%) a stavebníctvo (45,12</w:t>
      </w:r>
      <w:r>
        <w:t xml:space="preserve"> </w:t>
      </w:r>
      <w:r w:rsidRPr="00CA1ACD">
        <w:t>%). O ostatné technologické a prírodovedné smery je záujem menší</w:t>
      </w:r>
      <w:r>
        <w:t>.</w:t>
      </w:r>
      <w:r w:rsidRPr="00CA1ACD">
        <w:t xml:space="preserve"> </w:t>
      </w:r>
      <w:r>
        <w:t>S</w:t>
      </w:r>
      <w:r w:rsidRPr="00CA1ACD">
        <w:t>poločenské vedy dosiahli 32,04</w:t>
      </w:r>
      <w:r>
        <w:t xml:space="preserve"> </w:t>
      </w:r>
      <w:r w:rsidRPr="00CA1ACD">
        <w:t>%, technológia (27,89</w:t>
      </w:r>
      <w:r>
        <w:t xml:space="preserve"> </w:t>
      </w:r>
      <w:r w:rsidRPr="00CA1ACD">
        <w:t>%), strojárstvo (27,71</w:t>
      </w:r>
      <w:r>
        <w:t xml:space="preserve"> </w:t>
      </w:r>
      <w:r w:rsidRPr="00CA1ACD">
        <w:t>%) a prírodné vedy 26,88</w:t>
      </w:r>
      <w:r>
        <w:t xml:space="preserve"> </w:t>
      </w:r>
      <w:r w:rsidRPr="00CA1ACD">
        <w:t xml:space="preserve">%. </w:t>
      </w:r>
    </w:p>
    <w:p w:rsidR="00FF3F69" w:rsidRPr="00FF3F69" w:rsidRDefault="00FF3F69" w:rsidP="00FF3F69">
      <w:pPr>
        <w:spacing w:line="240" w:lineRule="auto"/>
        <w:ind w:firstLine="426"/>
      </w:pPr>
      <w:r w:rsidRPr="003C713F">
        <w:t xml:space="preserve">Napriek záujmu zamestnávateľov predstavujú najväčší podiel </w:t>
      </w:r>
      <w:r w:rsidRPr="00A105D0">
        <w:t xml:space="preserve">absolventov - </w:t>
      </w:r>
      <w:r w:rsidRPr="003C713F">
        <w:t>uchádzačov o zamestnanie absolvent</w:t>
      </w:r>
      <w:r w:rsidRPr="00A105D0">
        <w:t xml:space="preserve">i </w:t>
      </w:r>
      <w:r w:rsidRPr="003C713F">
        <w:t>spoločensk</w:t>
      </w:r>
      <w:r w:rsidRPr="00A105D0">
        <w:t>ých</w:t>
      </w:r>
      <w:r w:rsidRPr="003C713F">
        <w:t xml:space="preserve"> v</w:t>
      </w:r>
      <w:r w:rsidRPr="00A105D0">
        <w:t>i</w:t>
      </w:r>
      <w:r w:rsidRPr="003C713F">
        <w:t xml:space="preserve">ed </w:t>
      </w:r>
      <w:r w:rsidRPr="00A105D0">
        <w:t xml:space="preserve"> - </w:t>
      </w:r>
      <w:r w:rsidRPr="003C713F">
        <w:t>viac ako polovicu (55</w:t>
      </w:r>
      <w:r w:rsidRPr="00A105D0">
        <w:t xml:space="preserve"> </w:t>
      </w:r>
      <w:r w:rsidRPr="003C713F">
        <w:t>%) a technick</w:t>
      </w:r>
      <w:r w:rsidRPr="00A105D0">
        <w:t>ých</w:t>
      </w:r>
      <w:r w:rsidRPr="003C713F">
        <w:t xml:space="preserve"> v</w:t>
      </w:r>
      <w:r w:rsidRPr="00A105D0">
        <w:t>i</w:t>
      </w:r>
      <w:r w:rsidRPr="003C713F">
        <w:t>ed (33</w:t>
      </w:r>
      <w:r w:rsidRPr="00A105D0">
        <w:t xml:space="preserve"> </w:t>
      </w:r>
      <w:r w:rsidRPr="003C713F">
        <w:t>%).</w:t>
      </w:r>
    </w:p>
    <w:p w:rsidR="00957360" w:rsidRPr="00537D1F" w:rsidRDefault="00957360" w:rsidP="00FE4206">
      <w:pPr>
        <w:pStyle w:val="Nadpis3"/>
        <w:numPr>
          <w:ilvl w:val="2"/>
          <w:numId w:val="36"/>
        </w:numPr>
        <w:spacing w:after="240"/>
      </w:pPr>
      <w:bookmarkStart w:id="162" w:name="_Toc365831812"/>
      <w:bookmarkStart w:id="163" w:name="_Toc365832004"/>
      <w:bookmarkStart w:id="164" w:name="_Toc366744174"/>
      <w:r w:rsidRPr="00537D1F">
        <w:t>Ďalšie vzdelávanie</w:t>
      </w:r>
      <w:bookmarkEnd w:id="162"/>
      <w:bookmarkEnd w:id="163"/>
      <w:bookmarkEnd w:id="164"/>
    </w:p>
    <w:p w:rsidR="00957360" w:rsidRPr="00537D1F" w:rsidRDefault="00957360" w:rsidP="00971659">
      <w:pPr>
        <w:ind w:firstLine="426"/>
      </w:pPr>
      <w:r w:rsidRPr="00537D1F">
        <w:t>V roku 2011 sa celkovo 22 016 aktivít ďalšieho vzdelávania zúčastnilo 299 694 osôb (UIPŠ, 2012). Podľa druhu vzdelávania sa najviac osôb zúčastnilo aktivít v rámci ďalšieho odborného (profesijného) vzdelávania (44,59</w:t>
      </w:r>
      <w:r w:rsidR="00375476">
        <w:t xml:space="preserve"> </w:t>
      </w:r>
      <w:r w:rsidR="00AB6F2E">
        <w:t xml:space="preserve">%), </w:t>
      </w:r>
      <w:r w:rsidRPr="00537D1F">
        <w:t>ďalšieho vzdelávania na získanie čiastočnej kvalifikácie (22,75</w:t>
      </w:r>
      <w:r w:rsidR="00375476">
        <w:t xml:space="preserve"> </w:t>
      </w:r>
      <w:r w:rsidRPr="00537D1F">
        <w:t>%) záujmového a kultúrneho vzdelávania (11,42</w:t>
      </w:r>
      <w:r w:rsidR="00375476">
        <w:t xml:space="preserve"> </w:t>
      </w:r>
      <w:r w:rsidRPr="00537D1F">
        <w:t>%) a občianskeho vzdelávania (2</w:t>
      </w:r>
      <w:r w:rsidR="00375476">
        <w:t>,</w:t>
      </w:r>
      <w:r w:rsidRPr="00537D1F">
        <w:t>35</w:t>
      </w:r>
      <w:r w:rsidR="00375476">
        <w:t xml:space="preserve"> </w:t>
      </w:r>
      <w:r w:rsidRPr="00537D1F">
        <w:t>%). Vzdelávania seniorov sa zúčastnilo 1,24</w:t>
      </w:r>
      <w:r w:rsidR="00375476">
        <w:t xml:space="preserve"> </w:t>
      </w:r>
      <w:r w:rsidRPr="00537D1F">
        <w:t>% všetkých zúčastnených osôb. V rámci oblasti vzdelávania ISCED 97 sa najviac osôb zúčastnilo aktivít prípravy učiteľov a pedagogiky (17,61</w:t>
      </w:r>
      <w:r w:rsidR="00375476">
        <w:t xml:space="preserve"> </w:t>
      </w:r>
      <w:r w:rsidRPr="00537D1F">
        <w:t>%)</w:t>
      </w:r>
      <w:r w:rsidR="00375476">
        <w:t>,</w:t>
      </w:r>
      <w:r w:rsidRPr="00537D1F">
        <w:t xml:space="preserve"> ekonomiky, riadenia a správy (15,59</w:t>
      </w:r>
      <w:r w:rsidR="00375476">
        <w:t xml:space="preserve"> </w:t>
      </w:r>
      <w:r w:rsidRPr="00537D1F">
        <w:t>%), humanitných vied (13,43</w:t>
      </w:r>
      <w:r w:rsidR="00375476">
        <w:t xml:space="preserve"> </w:t>
      </w:r>
      <w:r w:rsidRPr="00537D1F">
        <w:t>%), bezpečnostných služieb (10,11</w:t>
      </w:r>
      <w:r w:rsidR="00375476">
        <w:t xml:space="preserve"> </w:t>
      </w:r>
      <w:r w:rsidRPr="00537D1F">
        <w:t>%) a informatik</w:t>
      </w:r>
      <w:r w:rsidR="00375476">
        <w:t>y</w:t>
      </w:r>
      <w:r w:rsidRPr="00537D1F">
        <w:t xml:space="preserve"> a počítač</w:t>
      </w:r>
      <w:r w:rsidR="00375476">
        <w:t>ov</w:t>
      </w:r>
      <w:r w:rsidRPr="00537D1F">
        <w:t xml:space="preserve"> (7,76</w:t>
      </w:r>
      <w:r w:rsidR="00375476">
        <w:t xml:space="preserve"> </w:t>
      </w:r>
      <w:r w:rsidRPr="00537D1F">
        <w:t>%</w:t>
      </w:r>
      <w:r w:rsidR="00375476">
        <w:t>)</w:t>
      </w:r>
      <w:r w:rsidRPr="00537D1F">
        <w:t>. V oblasti techniky, výroby a stavebníctva sa zúčastnilo 3,61</w:t>
      </w:r>
      <w:r w:rsidR="009454CA">
        <w:t xml:space="preserve"> </w:t>
      </w:r>
      <w:r w:rsidRPr="00537D1F">
        <w:t>% všetkých zúčastnených osôb. Najväčší počet vzdelávacích aktivít sa zrealizovalo v oblasti humanitných vied a umenia (32,66</w:t>
      </w:r>
      <w:r w:rsidR="009454CA">
        <w:t xml:space="preserve"> </w:t>
      </w:r>
      <w:r w:rsidRPr="00537D1F">
        <w:t>%), spoločenských vied, ekonómie a práva (11,20</w:t>
      </w:r>
      <w:r w:rsidR="009454CA">
        <w:t xml:space="preserve"> </w:t>
      </w:r>
      <w:r w:rsidRPr="00537D1F">
        <w:t>%) a výchovy a vzdelávania (10,64</w:t>
      </w:r>
      <w:r w:rsidR="009454CA">
        <w:t xml:space="preserve"> </w:t>
      </w:r>
      <w:r w:rsidRPr="00537D1F">
        <w:t>%). V oblasti techniky, výroby a stavebníctva sa realizovalo 6,51</w:t>
      </w:r>
      <w:r w:rsidR="009454CA">
        <w:t xml:space="preserve"> </w:t>
      </w:r>
      <w:r w:rsidRPr="00537D1F">
        <w:t xml:space="preserve">% vzdelávacích aktivít. </w:t>
      </w:r>
      <w:r w:rsidR="009454CA">
        <w:t xml:space="preserve">Z hľadiska </w:t>
      </w:r>
      <w:r w:rsidRPr="00537D1F">
        <w:t>form</w:t>
      </w:r>
      <w:r w:rsidR="009454CA">
        <w:t>y</w:t>
      </w:r>
      <w:r w:rsidRPr="00537D1F">
        <w:t xml:space="preserve"> vzdelávania prevládalo prezenčné večerné, víkendové a iné pravidelné vzdelávanie (44,87</w:t>
      </w:r>
      <w:r w:rsidR="009454CA">
        <w:t xml:space="preserve"> </w:t>
      </w:r>
      <w:r w:rsidRPr="00537D1F">
        <w:t>%), prezenčné intenzívne vzdelávanie (17,55</w:t>
      </w:r>
      <w:r w:rsidR="009454CA">
        <w:t xml:space="preserve"> </w:t>
      </w:r>
      <w:r w:rsidRPr="00537D1F">
        <w:t>%) a krátke jednorazové aktivity (19,54</w:t>
      </w:r>
      <w:r w:rsidR="009454CA">
        <w:t xml:space="preserve"> </w:t>
      </w:r>
      <w:r w:rsidRPr="00537D1F">
        <w:t>%). Dištančné vzdelávanie využilo 0,56</w:t>
      </w:r>
      <w:r w:rsidR="009454CA">
        <w:t xml:space="preserve"> </w:t>
      </w:r>
      <w:r w:rsidRPr="00537D1F">
        <w:t>%, e-learning 1,90</w:t>
      </w:r>
      <w:r w:rsidR="009454CA">
        <w:t xml:space="preserve"> </w:t>
      </w:r>
      <w:r w:rsidRPr="00537D1F">
        <w:t>% všetkých účastníkov.</w:t>
      </w:r>
    </w:p>
    <w:p w:rsidR="00E64633" w:rsidRPr="00CA1ACD" w:rsidRDefault="00704CF4" w:rsidP="00971659">
      <w:pPr>
        <w:ind w:firstLine="426"/>
      </w:pPr>
      <w:r w:rsidRPr="00CA1ACD">
        <w:t>Zavedenie d</w:t>
      </w:r>
      <w:r w:rsidR="00395DA4" w:rsidRPr="00CA1ACD">
        <w:t>ecentralizovan</w:t>
      </w:r>
      <w:r w:rsidR="00456DD6" w:rsidRPr="00CA1ACD">
        <w:t>ého</w:t>
      </w:r>
      <w:r w:rsidR="00395DA4" w:rsidRPr="00CA1ACD">
        <w:t xml:space="preserve"> model</w:t>
      </w:r>
      <w:r w:rsidR="00456DD6" w:rsidRPr="00CA1ACD">
        <w:t>u</w:t>
      </w:r>
      <w:r w:rsidR="00395DA4" w:rsidRPr="00CA1ACD">
        <w:t xml:space="preserve"> spravovania </w:t>
      </w:r>
      <w:r w:rsidRPr="00CA1ACD">
        <w:t xml:space="preserve">základného a stredného </w:t>
      </w:r>
      <w:r w:rsidR="00395DA4" w:rsidRPr="00CA1ACD">
        <w:t>školstva</w:t>
      </w:r>
      <w:r w:rsidRPr="00CA1ACD">
        <w:t xml:space="preserve"> neviedlo z zlepšeniu kvalitatívnych výsledkov</w:t>
      </w:r>
      <w:r w:rsidR="00AB6F2E">
        <w:t>.</w:t>
      </w:r>
      <w:r w:rsidRPr="00CA1ACD">
        <w:t xml:space="preserve"> </w:t>
      </w:r>
      <w:r w:rsidR="009454CA">
        <w:t>N</w:t>
      </w:r>
      <w:r w:rsidR="00456DD6" w:rsidRPr="00CA1ACD">
        <w:t>eefektívne modely financovania škôl</w:t>
      </w:r>
      <w:r w:rsidRPr="00CA1ACD">
        <w:t xml:space="preserve"> súbežne so zlyhaním trhu </w:t>
      </w:r>
      <w:r w:rsidR="00456DD6" w:rsidRPr="00CA1ACD">
        <w:t>viedli</w:t>
      </w:r>
      <w:r w:rsidR="00134F8E">
        <w:t xml:space="preserve"> </w:t>
      </w:r>
      <w:r w:rsidRPr="00CA1ACD">
        <w:t xml:space="preserve">k inflácii </w:t>
      </w:r>
      <w:r w:rsidR="00456DD6" w:rsidRPr="00CA1ACD">
        <w:t>školskej siete</w:t>
      </w:r>
      <w:r w:rsidR="009D490E" w:rsidRPr="00CA1ACD">
        <w:t xml:space="preserve">. Prevažuje faktický </w:t>
      </w:r>
      <w:r w:rsidR="00456DD6" w:rsidRPr="00CA1ACD">
        <w:t xml:space="preserve">nezáujem zakladateľov na </w:t>
      </w:r>
      <w:r w:rsidR="009D490E" w:rsidRPr="00CA1ACD">
        <w:t>dosahovan</w:t>
      </w:r>
      <w:r w:rsidR="009454CA">
        <w:t>í</w:t>
      </w:r>
      <w:r w:rsidR="009D490E" w:rsidRPr="00CA1ACD">
        <w:t xml:space="preserve"> </w:t>
      </w:r>
      <w:r w:rsidR="00456DD6" w:rsidRPr="00CA1ACD">
        <w:t>kvalit</w:t>
      </w:r>
      <w:r w:rsidR="009D490E" w:rsidRPr="00CA1ACD">
        <w:t>y</w:t>
      </w:r>
      <w:r w:rsidR="00FC7132" w:rsidRPr="00CA1ACD">
        <w:t xml:space="preserve"> a</w:t>
      </w:r>
      <w:r w:rsidR="00134F8E">
        <w:t xml:space="preserve"> </w:t>
      </w:r>
      <w:r w:rsidR="009D490E" w:rsidRPr="00CA1ACD">
        <w:t>tento problém sa následne prenáša aj do prostredia vysokého školstva so všetkými negatívnymi dôsledkami.</w:t>
      </w:r>
      <w:r w:rsidR="00456DD6" w:rsidRPr="00CA1ACD">
        <w:t xml:space="preserve"> </w:t>
      </w:r>
      <w:r w:rsidR="00E64633" w:rsidRPr="00CA1ACD">
        <w:t xml:space="preserve">Neželaným výsledkom uplatneného spôsobu decentralizácie a financovania je aj nekorelácia demografického vývoja </w:t>
      </w:r>
      <w:r w:rsidR="009454CA">
        <w:t xml:space="preserve">s </w:t>
      </w:r>
      <w:r w:rsidR="00E64633" w:rsidRPr="00CA1ACD">
        <w:t>počt</w:t>
      </w:r>
      <w:r w:rsidR="009454CA">
        <w:t>om</w:t>
      </w:r>
      <w:r w:rsidR="00134F8E">
        <w:t xml:space="preserve"> </w:t>
      </w:r>
      <w:r w:rsidR="00E64633" w:rsidRPr="00CA1ACD">
        <w:t>škôl</w:t>
      </w:r>
      <w:r w:rsidR="00F87241" w:rsidRPr="00CA1ACD">
        <w:t xml:space="preserve"> spolu s ich zameraním a kapacitou</w:t>
      </w:r>
      <w:r w:rsidR="00134F8E">
        <w:t xml:space="preserve"> </w:t>
      </w:r>
      <w:r w:rsidR="00E64633" w:rsidRPr="00CA1ACD">
        <w:t>na všetkých stupňoch.</w:t>
      </w:r>
    </w:p>
    <w:p w:rsidR="003F7412" w:rsidRPr="00CA1ACD" w:rsidRDefault="003F7412" w:rsidP="00971659">
      <w:pPr>
        <w:ind w:firstLine="426"/>
      </w:pPr>
      <w:r w:rsidRPr="00CA1ACD">
        <w:t xml:space="preserve">V prostredí stredných, no najmä vysokých škôl, </w:t>
      </w:r>
      <w:r w:rsidR="005229E3" w:rsidRPr="00CA1ACD">
        <w:t>je väčšina</w:t>
      </w:r>
      <w:r w:rsidR="00134F8E">
        <w:t xml:space="preserve"> </w:t>
      </w:r>
      <w:r w:rsidRPr="00CA1ACD">
        <w:t>študent</w:t>
      </w:r>
      <w:r w:rsidR="005229E3" w:rsidRPr="00CA1ACD">
        <w:t>ov zameraná na</w:t>
      </w:r>
      <w:r w:rsidR="00134F8E">
        <w:t xml:space="preserve"> </w:t>
      </w:r>
      <w:r w:rsidRPr="00CA1ACD">
        <w:t>spoločensk</w:t>
      </w:r>
      <w:r w:rsidR="005229E3" w:rsidRPr="00CA1ACD">
        <w:t>é</w:t>
      </w:r>
      <w:r w:rsidRPr="00CA1ACD">
        <w:t xml:space="preserve"> a humanitn</w:t>
      </w:r>
      <w:r w:rsidR="005229E3" w:rsidRPr="00CA1ACD">
        <w:t>é</w:t>
      </w:r>
      <w:r w:rsidRPr="00CA1ACD">
        <w:t xml:space="preserve"> odbor</w:t>
      </w:r>
      <w:r w:rsidR="005229E3" w:rsidRPr="00CA1ACD">
        <w:t>y</w:t>
      </w:r>
      <w:r w:rsidRPr="00CA1ACD">
        <w:t>, pre ktor</w:t>
      </w:r>
      <w:r w:rsidR="009454CA">
        <w:t>é</w:t>
      </w:r>
      <w:r w:rsidRPr="00CA1ACD">
        <w:t xml:space="preserve"> však nie je dostatočné uplatnenie na trhu práce. V záujme zvýšenia záujmu o odborné technické vzdelávanie a atraktivity stredných odborných škôl je potrebné klásť väčší dôraz na vyučovanie matematiky, prírodovedných a technických odborov s ich priemetom na využitie v praxi a zefektívniť sú</w:t>
      </w:r>
      <w:r w:rsidR="005229E3" w:rsidRPr="00CA1ACD">
        <w:t>l</w:t>
      </w:r>
      <w:r w:rsidRPr="00CA1ACD">
        <w:t>ad obsahu vzdelávania s reálnymi potrebami trhu práce formou duálneho vzdelávania.</w:t>
      </w:r>
      <w:r w:rsidR="00134F8E">
        <w:t xml:space="preserve"> </w:t>
      </w:r>
      <w:r w:rsidRPr="00CA1ACD">
        <w:t>Podporu profesijnej orientácie študentov je potrebné zavádzať už na základných školách prostredníctvom rozvoja polytechnickej výchovy a rozvoja pracovných zručností v spolupráci s efektívnym pôsobením výchovných poradcov a pedagogických pracovníkov, ktorí dokážu pružne reflektovať požiadavky trhu práce. Zároveň je potrebné iniciovať a koordinovať informačné kampane a programy zamerané na motiváciu mladých ľudí k podnikavosti a zvyšovanie povedomia o ochrane duševného vlastníctva, a to na všetkých stupňoch štúdia.</w:t>
      </w:r>
      <w:r w:rsidR="00395DA4" w:rsidRPr="00CA1ACD">
        <w:t xml:space="preserve"> </w:t>
      </w:r>
    </w:p>
    <w:p w:rsidR="003F7412" w:rsidRDefault="00971659" w:rsidP="00971659">
      <w:pPr>
        <w:pStyle w:val="Nadpis1"/>
      </w:pPr>
      <w:r>
        <w:br w:type="page"/>
      </w:r>
      <w:r w:rsidR="00631911">
        <w:lastRenderedPageBreak/>
        <w:t xml:space="preserve"> </w:t>
      </w:r>
      <w:bookmarkStart w:id="165" w:name="_TOC_250006"/>
      <w:bookmarkStart w:id="166" w:name="_Toc360576022"/>
      <w:bookmarkStart w:id="167" w:name="_Toc365831817"/>
      <w:bookmarkStart w:id="168" w:name="_Toc365832009"/>
      <w:bookmarkStart w:id="169" w:name="_Toc366744175"/>
      <w:r w:rsidR="00631911" w:rsidRPr="00DF7A23">
        <w:t>SWOT analýza</w:t>
      </w:r>
      <w:bookmarkEnd w:id="165"/>
      <w:bookmarkEnd w:id="166"/>
      <w:bookmarkEnd w:id="167"/>
      <w:bookmarkEnd w:id="168"/>
      <w:bookmarkEnd w:id="169"/>
    </w:p>
    <w:p w:rsidR="00C63341" w:rsidRPr="00E17D9A" w:rsidRDefault="00C63341" w:rsidP="00C63341">
      <w:pPr>
        <w:pStyle w:val="Nadpis2"/>
        <w:numPr>
          <w:ilvl w:val="1"/>
          <w:numId w:val="37"/>
        </w:numPr>
      </w:pPr>
      <w:bookmarkStart w:id="170" w:name="_Toc366744176"/>
      <w:r>
        <w:t>SWOT Analýza</w:t>
      </w:r>
      <w:bookmarkEnd w:id="170"/>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1"/>
      </w:tblGrid>
      <w:tr w:rsidR="00631911" w:rsidTr="006B2B18">
        <w:trPr>
          <w:trHeight w:val="524"/>
        </w:trPr>
        <w:tc>
          <w:tcPr>
            <w:tcW w:w="9605"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rsidR="00631911" w:rsidRPr="00C26875" w:rsidRDefault="00631911" w:rsidP="006B2B18">
            <w:pPr>
              <w:pStyle w:val="Hlavika"/>
              <w:spacing w:line="276" w:lineRule="auto"/>
              <w:jc w:val="center"/>
              <w:rPr>
                <w:rFonts w:cs="Calibri"/>
                <w:b/>
                <w:sz w:val="22"/>
              </w:rPr>
            </w:pPr>
            <w:r w:rsidRPr="00C26875">
              <w:rPr>
                <w:rFonts w:cs="Calibri"/>
                <w:b/>
                <w:sz w:val="24"/>
                <w:lang w:eastAsia="sk-SK"/>
              </w:rPr>
              <w:t xml:space="preserve">SWOT analýza </w:t>
            </w:r>
            <w:r>
              <w:rPr>
                <w:rFonts w:cs="Calibri"/>
                <w:b/>
                <w:sz w:val="24"/>
                <w:lang w:eastAsia="sk-SK"/>
              </w:rPr>
              <w:t xml:space="preserve">RIS3 </w:t>
            </w:r>
            <w:r w:rsidRPr="00C26875">
              <w:rPr>
                <w:rFonts w:cs="Calibri"/>
                <w:b/>
                <w:sz w:val="24"/>
                <w:lang w:eastAsia="sk-SK"/>
              </w:rPr>
              <w:t>Slovenskej republiky</w:t>
            </w:r>
          </w:p>
        </w:tc>
      </w:tr>
      <w:tr w:rsidR="00631911" w:rsidTr="006B2B18">
        <w:trPr>
          <w:trHeight w:val="416"/>
        </w:trPr>
        <w:tc>
          <w:tcPr>
            <w:tcW w:w="4644" w:type="dxa"/>
            <w:tcBorders>
              <w:top w:val="single" w:sz="4" w:space="0" w:color="auto"/>
              <w:left w:val="single" w:sz="4" w:space="0" w:color="auto"/>
              <w:bottom w:val="single" w:sz="4" w:space="0" w:color="auto"/>
              <w:right w:val="single" w:sz="4" w:space="0" w:color="auto"/>
            </w:tcBorders>
            <w:shd w:val="clear" w:color="auto" w:fill="8DB3E2"/>
            <w:vAlign w:val="center"/>
          </w:tcPr>
          <w:p w:rsidR="00631911" w:rsidRPr="00C26875" w:rsidRDefault="00631911" w:rsidP="006B2B18">
            <w:pPr>
              <w:pStyle w:val="Hlavika"/>
              <w:spacing w:line="276" w:lineRule="auto"/>
              <w:jc w:val="center"/>
              <w:rPr>
                <w:rFonts w:cs="Calibri"/>
                <w:b/>
                <w:sz w:val="22"/>
              </w:rPr>
            </w:pPr>
            <w:r w:rsidRPr="00C26875">
              <w:rPr>
                <w:rFonts w:cs="Calibri"/>
                <w:b/>
                <w:sz w:val="22"/>
                <w:lang w:eastAsia="sk-SK"/>
              </w:rPr>
              <w:t>Silné stránky</w:t>
            </w:r>
          </w:p>
        </w:tc>
        <w:tc>
          <w:tcPr>
            <w:tcW w:w="4961" w:type="dxa"/>
            <w:tcBorders>
              <w:top w:val="single" w:sz="4" w:space="0" w:color="auto"/>
              <w:left w:val="single" w:sz="4" w:space="0" w:color="auto"/>
              <w:bottom w:val="single" w:sz="4" w:space="0" w:color="auto"/>
              <w:right w:val="single" w:sz="4" w:space="0" w:color="auto"/>
            </w:tcBorders>
            <w:shd w:val="clear" w:color="auto" w:fill="8DB3E2"/>
            <w:vAlign w:val="center"/>
          </w:tcPr>
          <w:p w:rsidR="00631911" w:rsidRPr="00BC57A7" w:rsidRDefault="00631911" w:rsidP="006B2B18">
            <w:pPr>
              <w:pStyle w:val="Hlavika"/>
              <w:spacing w:line="276" w:lineRule="auto"/>
              <w:jc w:val="center"/>
              <w:rPr>
                <w:rFonts w:cs="Calibri"/>
                <w:b/>
                <w:sz w:val="22"/>
              </w:rPr>
            </w:pPr>
            <w:r w:rsidRPr="00C26875">
              <w:rPr>
                <w:rFonts w:cs="Calibri"/>
                <w:b/>
                <w:sz w:val="22"/>
                <w:lang w:eastAsia="sk-SK"/>
              </w:rPr>
              <w:t>Slabé stránky</w:t>
            </w:r>
          </w:p>
        </w:tc>
      </w:tr>
      <w:tr w:rsidR="00631911" w:rsidTr="006B2B18">
        <w:tc>
          <w:tcPr>
            <w:tcW w:w="4644" w:type="dxa"/>
            <w:tcBorders>
              <w:top w:val="single" w:sz="4" w:space="0" w:color="auto"/>
              <w:left w:val="single" w:sz="4" w:space="0" w:color="auto"/>
              <w:bottom w:val="single" w:sz="4" w:space="0" w:color="auto"/>
              <w:right w:val="single" w:sz="4" w:space="0" w:color="auto"/>
            </w:tcBorders>
          </w:tcPr>
          <w:p w:rsidR="00631911" w:rsidRPr="00453377" w:rsidRDefault="00631911" w:rsidP="006B2B18">
            <w:pPr>
              <w:numPr>
                <w:ilvl w:val="0"/>
                <w:numId w:val="23"/>
              </w:numPr>
              <w:spacing w:after="0" w:line="240" w:lineRule="auto"/>
              <w:jc w:val="left"/>
              <w:rPr>
                <w:bCs/>
                <w:sz w:val="18"/>
                <w:szCs w:val="18"/>
              </w:rPr>
            </w:pPr>
            <w:r w:rsidRPr="00453377">
              <w:rPr>
                <w:bCs/>
                <w:sz w:val="18"/>
                <w:szCs w:val="18"/>
              </w:rPr>
              <w:t xml:space="preserve">Kľúčové priemyselné odvetvia zastúpené </w:t>
            </w:r>
            <w:r>
              <w:rPr>
                <w:bCs/>
                <w:sz w:val="18"/>
                <w:szCs w:val="18"/>
              </w:rPr>
              <w:t>v MNS</w:t>
            </w:r>
            <w:r w:rsidRPr="00453377">
              <w:rPr>
                <w:bCs/>
                <w:sz w:val="18"/>
                <w:szCs w:val="18"/>
              </w:rPr>
              <w:t xml:space="preserve"> </w:t>
            </w:r>
          </w:p>
          <w:p w:rsidR="00631911" w:rsidRPr="00453377" w:rsidRDefault="00631911" w:rsidP="006B2B18">
            <w:pPr>
              <w:numPr>
                <w:ilvl w:val="0"/>
                <w:numId w:val="23"/>
              </w:numPr>
              <w:spacing w:after="0" w:line="240" w:lineRule="auto"/>
              <w:jc w:val="left"/>
              <w:rPr>
                <w:sz w:val="18"/>
                <w:szCs w:val="18"/>
              </w:rPr>
            </w:pPr>
            <w:r w:rsidRPr="00453377">
              <w:rPr>
                <w:bCs/>
                <w:sz w:val="18"/>
                <w:szCs w:val="18"/>
              </w:rPr>
              <w:t>Konkurenčne schopná</w:t>
            </w:r>
            <w:r>
              <w:rPr>
                <w:bCs/>
                <w:sz w:val="18"/>
                <w:szCs w:val="18"/>
              </w:rPr>
              <w:t xml:space="preserve"> </w:t>
            </w:r>
            <w:r w:rsidRPr="00453377">
              <w:rPr>
                <w:bCs/>
                <w:sz w:val="18"/>
                <w:szCs w:val="18"/>
              </w:rPr>
              <w:t>technologická a výrobková úroveň v exportných odvetviach</w:t>
            </w:r>
          </w:p>
          <w:p w:rsidR="00631911" w:rsidRPr="00453377" w:rsidRDefault="00631911" w:rsidP="006B2B18">
            <w:pPr>
              <w:numPr>
                <w:ilvl w:val="0"/>
                <w:numId w:val="23"/>
              </w:numPr>
              <w:spacing w:after="0" w:line="240" w:lineRule="auto"/>
              <w:jc w:val="left"/>
              <w:rPr>
                <w:sz w:val="18"/>
                <w:szCs w:val="18"/>
              </w:rPr>
            </w:pPr>
            <w:r w:rsidRPr="00453377">
              <w:rPr>
                <w:bCs/>
                <w:sz w:val="18"/>
                <w:szCs w:val="18"/>
              </w:rPr>
              <w:t>Zvyšujúci sa záujem</w:t>
            </w:r>
            <w:r>
              <w:rPr>
                <w:bCs/>
                <w:sz w:val="18"/>
                <w:szCs w:val="18"/>
              </w:rPr>
              <w:t xml:space="preserve"> </w:t>
            </w:r>
            <w:r w:rsidRPr="00453377">
              <w:rPr>
                <w:bCs/>
                <w:sz w:val="18"/>
                <w:szCs w:val="18"/>
              </w:rPr>
              <w:t>podnikov a priemyselných zoskupení</w:t>
            </w:r>
            <w:r>
              <w:rPr>
                <w:bCs/>
                <w:sz w:val="18"/>
                <w:szCs w:val="18"/>
              </w:rPr>
              <w:t xml:space="preserve"> </w:t>
            </w:r>
            <w:r w:rsidRPr="00453377">
              <w:rPr>
                <w:bCs/>
                <w:sz w:val="18"/>
                <w:szCs w:val="18"/>
              </w:rPr>
              <w:t>o znovuvybudovanie podnikových</w:t>
            </w:r>
            <w:r>
              <w:rPr>
                <w:bCs/>
                <w:sz w:val="18"/>
                <w:szCs w:val="18"/>
              </w:rPr>
              <w:t xml:space="preserve"> </w:t>
            </w:r>
            <w:r w:rsidRPr="00453377">
              <w:rPr>
                <w:bCs/>
                <w:sz w:val="18"/>
                <w:szCs w:val="18"/>
              </w:rPr>
              <w:t>VaI štruktúr (entít)</w:t>
            </w:r>
          </w:p>
          <w:p w:rsidR="00631911" w:rsidRPr="00453377" w:rsidRDefault="00631911" w:rsidP="006B2B18">
            <w:pPr>
              <w:numPr>
                <w:ilvl w:val="0"/>
                <w:numId w:val="23"/>
              </w:numPr>
              <w:spacing w:after="0" w:line="240" w:lineRule="auto"/>
              <w:jc w:val="left"/>
              <w:rPr>
                <w:bCs/>
                <w:sz w:val="18"/>
                <w:szCs w:val="18"/>
              </w:rPr>
            </w:pPr>
            <w:r w:rsidRPr="00453377">
              <w:rPr>
                <w:bCs/>
                <w:sz w:val="18"/>
                <w:szCs w:val="18"/>
              </w:rPr>
              <w:t>Rastúci podiel informačných služieb na exporte služieb</w:t>
            </w:r>
          </w:p>
          <w:p w:rsidR="00631911" w:rsidRPr="00453377" w:rsidRDefault="00631911" w:rsidP="006B2B18">
            <w:pPr>
              <w:numPr>
                <w:ilvl w:val="0"/>
                <w:numId w:val="23"/>
              </w:numPr>
              <w:spacing w:after="0" w:line="240" w:lineRule="auto"/>
              <w:jc w:val="left"/>
              <w:rPr>
                <w:sz w:val="18"/>
                <w:szCs w:val="18"/>
              </w:rPr>
            </w:pPr>
            <w:r w:rsidRPr="00453377">
              <w:rPr>
                <w:sz w:val="18"/>
                <w:szCs w:val="18"/>
              </w:rPr>
              <w:t>Dobré výsledky vo vybraných vedných a technologických disciplínach, s koncentrovanými výskumnými tímami a pracoviskami (materiály a nanotechnológie;</w:t>
            </w:r>
            <w:r>
              <w:rPr>
                <w:sz w:val="18"/>
                <w:szCs w:val="18"/>
              </w:rPr>
              <w:t>IKT</w:t>
            </w:r>
            <w:r w:rsidRPr="00453377">
              <w:rPr>
                <w:sz w:val="18"/>
                <w:szCs w:val="18"/>
              </w:rPr>
              <w:t>; biomedicína a biotechnológie; priemyselné technológie; energetika a energie; životné prostredie a pôdohospodárstvo; spoločenské a humanitné vedy )</w:t>
            </w:r>
          </w:p>
          <w:p w:rsidR="00631911" w:rsidRPr="00453377" w:rsidRDefault="00631911" w:rsidP="006B2B18">
            <w:pPr>
              <w:numPr>
                <w:ilvl w:val="0"/>
                <w:numId w:val="23"/>
              </w:numPr>
              <w:spacing w:after="0" w:line="240" w:lineRule="auto"/>
              <w:jc w:val="left"/>
              <w:rPr>
                <w:sz w:val="18"/>
                <w:szCs w:val="18"/>
              </w:rPr>
            </w:pPr>
            <w:r w:rsidRPr="00453377">
              <w:rPr>
                <w:sz w:val="18"/>
                <w:szCs w:val="18"/>
              </w:rPr>
              <w:t>Dynamický rast využívania IKT vo všetkých podnikateľských procesoch</w:t>
            </w:r>
          </w:p>
          <w:p w:rsidR="00631911" w:rsidRPr="00453377" w:rsidRDefault="00631911" w:rsidP="006B2B18">
            <w:pPr>
              <w:numPr>
                <w:ilvl w:val="0"/>
                <w:numId w:val="23"/>
              </w:numPr>
              <w:spacing w:after="0" w:line="240" w:lineRule="auto"/>
              <w:jc w:val="left"/>
              <w:rPr>
                <w:sz w:val="18"/>
                <w:szCs w:val="18"/>
              </w:rPr>
            </w:pPr>
            <w:r w:rsidRPr="00453377">
              <w:rPr>
                <w:sz w:val="18"/>
                <w:szCs w:val="18"/>
              </w:rPr>
              <w:t>Kvalitné ľudské zdroje v konkurenčne schopných výrobných odvetviach vyplývajúce z tradícií</w:t>
            </w:r>
          </w:p>
          <w:p w:rsidR="00631911" w:rsidRPr="00453377" w:rsidRDefault="00631911" w:rsidP="006B2B18">
            <w:pPr>
              <w:spacing w:after="0" w:line="240" w:lineRule="auto"/>
              <w:ind w:left="360"/>
              <w:jc w:val="left"/>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631911" w:rsidRPr="00453377" w:rsidRDefault="00631911" w:rsidP="006B2B18">
            <w:pPr>
              <w:numPr>
                <w:ilvl w:val="0"/>
                <w:numId w:val="24"/>
              </w:numPr>
              <w:spacing w:after="0" w:line="240" w:lineRule="auto"/>
              <w:jc w:val="left"/>
              <w:rPr>
                <w:bCs/>
                <w:sz w:val="18"/>
                <w:szCs w:val="18"/>
              </w:rPr>
            </w:pPr>
            <w:r w:rsidRPr="00453377">
              <w:rPr>
                <w:bCs/>
                <w:sz w:val="18"/>
                <w:szCs w:val="18"/>
              </w:rPr>
              <w:t>Nedostatočný podiel vlastných (slovenských) VaI aktivít v exportných odvetviach na Slovensku</w:t>
            </w:r>
          </w:p>
          <w:p w:rsidR="00631911" w:rsidRPr="00453377" w:rsidRDefault="00631911" w:rsidP="006B2B18">
            <w:pPr>
              <w:numPr>
                <w:ilvl w:val="0"/>
                <w:numId w:val="24"/>
              </w:numPr>
              <w:spacing w:after="0" w:line="240" w:lineRule="auto"/>
              <w:jc w:val="left"/>
              <w:rPr>
                <w:bCs/>
                <w:sz w:val="18"/>
                <w:szCs w:val="18"/>
              </w:rPr>
            </w:pPr>
            <w:r w:rsidRPr="00453377">
              <w:rPr>
                <w:bCs/>
                <w:sz w:val="18"/>
                <w:szCs w:val="18"/>
              </w:rPr>
              <w:t>Absencia podnikového priemyselného výskumu na Slovensku</w:t>
            </w:r>
          </w:p>
          <w:p w:rsidR="00631911" w:rsidRPr="00453377" w:rsidRDefault="00631911" w:rsidP="006B2B18">
            <w:pPr>
              <w:numPr>
                <w:ilvl w:val="0"/>
                <w:numId w:val="24"/>
              </w:numPr>
              <w:spacing w:after="0" w:line="240" w:lineRule="auto"/>
              <w:jc w:val="left"/>
              <w:rPr>
                <w:bCs/>
                <w:sz w:val="18"/>
                <w:szCs w:val="18"/>
              </w:rPr>
            </w:pPr>
            <w:r w:rsidRPr="00453377">
              <w:rPr>
                <w:bCs/>
                <w:sz w:val="18"/>
                <w:szCs w:val="18"/>
              </w:rPr>
              <w:t xml:space="preserve">Nedostatočné zapojenie domácich podnikateľských subjektov do subdodávateľských reťazcov </w:t>
            </w:r>
            <w:r>
              <w:rPr>
                <w:bCs/>
                <w:sz w:val="18"/>
                <w:szCs w:val="18"/>
              </w:rPr>
              <w:t>MNS</w:t>
            </w:r>
          </w:p>
          <w:p w:rsidR="00631911" w:rsidRPr="00453377" w:rsidRDefault="00631911" w:rsidP="006B2B18">
            <w:pPr>
              <w:numPr>
                <w:ilvl w:val="0"/>
                <w:numId w:val="24"/>
              </w:numPr>
              <w:spacing w:after="0" w:line="240" w:lineRule="auto"/>
              <w:jc w:val="left"/>
              <w:rPr>
                <w:bCs/>
                <w:sz w:val="18"/>
                <w:szCs w:val="18"/>
              </w:rPr>
            </w:pPr>
            <w:r w:rsidRPr="00453377">
              <w:rPr>
                <w:bCs/>
                <w:sz w:val="18"/>
                <w:szCs w:val="18"/>
              </w:rPr>
              <w:t>Podfinancovanie podnikateľských subjektov spojen</w:t>
            </w:r>
            <w:r>
              <w:rPr>
                <w:bCs/>
                <w:sz w:val="18"/>
                <w:szCs w:val="18"/>
              </w:rPr>
              <w:t>é</w:t>
            </w:r>
            <w:r w:rsidRPr="00453377">
              <w:rPr>
                <w:bCs/>
                <w:sz w:val="18"/>
                <w:szCs w:val="18"/>
              </w:rPr>
              <w:t xml:space="preserve"> s</w:t>
            </w:r>
            <w:r>
              <w:rPr>
                <w:bCs/>
                <w:sz w:val="18"/>
                <w:szCs w:val="18"/>
              </w:rPr>
              <w:t> </w:t>
            </w:r>
            <w:r w:rsidRPr="00453377">
              <w:rPr>
                <w:bCs/>
                <w:sz w:val="18"/>
                <w:szCs w:val="18"/>
              </w:rPr>
              <w:t>nízkou inovačnou výkonnosťou, najmä MSP</w:t>
            </w:r>
          </w:p>
          <w:p w:rsidR="00631911" w:rsidRPr="00453377" w:rsidRDefault="00631911" w:rsidP="006B2B18">
            <w:pPr>
              <w:numPr>
                <w:ilvl w:val="0"/>
                <w:numId w:val="24"/>
              </w:numPr>
              <w:spacing w:after="0" w:line="240" w:lineRule="auto"/>
              <w:jc w:val="left"/>
              <w:rPr>
                <w:bCs/>
                <w:sz w:val="18"/>
                <w:szCs w:val="18"/>
              </w:rPr>
            </w:pPr>
            <w:r w:rsidRPr="00453377">
              <w:rPr>
                <w:bCs/>
                <w:sz w:val="18"/>
                <w:szCs w:val="18"/>
              </w:rPr>
              <w:t>Marginálna aplikácia revolvingových schém vrátane rizikového kapitálu na podporu VaI a absencia systému aplikácie rizikového kapitálu</w:t>
            </w:r>
          </w:p>
          <w:p w:rsidR="00631911" w:rsidRPr="00453377" w:rsidRDefault="00631911" w:rsidP="006B2B18">
            <w:pPr>
              <w:numPr>
                <w:ilvl w:val="0"/>
                <w:numId w:val="24"/>
              </w:numPr>
              <w:spacing w:after="0" w:line="240" w:lineRule="auto"/>
              <w:jc w:val="left"/>
              <w:rPr>
                <w:bCs/>
                <w:sz w:val="18"/>
                <w:szCs w:val="18"/>
              </w:rPr>
            </w:pPr>
            <w:r w:rsidRPr="00453377">
              <w:rPr>
                <w:bCs/>
                <w:sz w:val="18"/>
                <w:szCs w:val="18"/>
              </w:rPr>
              <w:t>Nízka vlastná pridaná hodnota produkcie domácich podnikateľských subjektov</w:t>
            </w:r>
          </w:p>
          <w:p w:rsidR="00631911" w:rsidRPr="00453377" w:rsidRDefault="00631911" w:rsidP="006B2B18">
            <w:pPr>
              <w:numPr>
                <w:ilvl w:val="0"/>
                <w:numId w:val="24"/>
              </w:numPr>
              <w:spacing w:after="0" w:line="240" w:lineRule="auto"/>
              <w:jc w:val="left"/>
              <w:rPr>
                <w:sz w:val="18"/>
                <w:szCs w:val="18"/>
              </w:rPr>
            </w:pPr>
            <w:r w:rsidRPr="00453377">
              <w:rPr>
                <w:sz w:val="18"/>
                <w:szCs w:val="18"/>
              </w:rPr>
              <w:t>Absencia komplexnej stratégie VaI a jej implementácie</w:t>
            </w:r>
          </w:p>
          <w:p w:rsidR="00631911" w:rsidRPr="00453377" w:rsidRDefault="00631911" w:rsidP="006B2B18">
            <w:pPr>
              <w:numPr>
                <w:ilvl w:val="0"/>
                <w:numId w:val="24"/>
              </w:numPr>
              <w:spacing w:after="0" w:line="240" w:lineRule="auto"/>
              <w:jc w:val="left"/>
              <w:rPr>
                <w:sz w:val="18"/>
                <w:szCs w:val="18"/>
              </w:rPr>
            </w:pPr>
            <w:r w:rsidRPr="00453377">
              <w:rPr>
                <w:sz w:val="18"/>
                <w:szCs w:val="18"/>
              </w:rPr>
              <w:t>Nadmerný počet široko definovaných priorít štátnej politiky v oblasti vedy</w:t>
            </w:r>
          </w:p>
          <w:p w:rsidR="00631911" w:rsidRPr="00453377" w:rsidRDefault="00631911" w:rsidP="006B2B18">
            <w:pPr>
              <w:numPr>
                <w:ilvl w:val="0"/>
                <w:numId w:val="24"/>
              </w:numPr>
              <w:spacing w:after="0" w:line="240" w:lineRule="auto"/>
              <w:jc w:val="left"/>
              <w:rPr>
                <w:sz w:val="18"/>
                <w:szCs w:val="18"/>
              </w:rPr>
            </w:pPr>
            <w:r w:rsidRPr="00453377">
              <w:rPr>
                <w:sz w:val="18"/>
                <w:szCs w:val="18"/>
              </w:rPr>
              <w:t>Fragmentácia zdrojov budovania infraštruktúry VaI na národnej úrovni (ŠR, ŠF)</w:t>
            </w:r>
          </w:p>
          <w:p w:rsidR="00631911" w:rsidRPr="00453377" w:rsidRDefault="00631911" w:rsidP="006B2B18">
            <w:pPr>
              <w:numPr>
                <w:ilvl w:val="0"/>
                <w:numId w:val="24"/>
              </w:numPr>
              <w:spacing w:after="0" w:line="240" w:lineRule="auto"/>
              <w:jc w:val="left"/>
              <w:rPr>
                <w:sz w:val="18"/>
                <w:szCs w:val="18"/>
              </w:rPr>
            </w:pPr>
            <w:r w:rsidRPr="00453377">
              <w:rPr>
                <w:sz w:val="18"/>
                <w:szCs w:val="18"/>
              </w:rPr>
              <w:t>Extenzívne budovaná infraštruktúra Va</w:t>
            </w:r>
            <w:r>
              <w:rPr>
                <w:sz w:val="18"/>
                <w:szCs w:val="18"/>
              </w:rPr>
              <w:t>I</w:t>
            </w:r>
          </w:p>
          <w:p w:rsidR="00631911" w:rsidRPr="00453377" w:rsidRDefault="00631911" w:rsidP="006B2B18">
            <w:pPr>
              <w:numPr>
                <w:ilvl w:val="0"/>
                <w:numId w:val="24"/>
              </w:numPr>
              <w:spacing w:after="0" w:line="240" w:lineRule="auto"/>
              <w:jc w:val="left"/>
              <w:rPr>
                <w:sz w:val="18"/>
                <w:szCs w:val="18"/>
              </w:rPr>
            </w:pPr>
            <w:r w:rsidRPr="00453377">
              <w:rPr>
                <w:sz w:val="18"/>
                <w:szCs w:val="18"/>
              </w:rPr>
              <w:t>Bariéry prístupu firiem k infraštruktúre verejných VaI pracovísk</w:t>
            </w:r>
          </w:p>
          <w:p w:rsidR="00631911" w:rsidRPr="00453377" w:rsidRDefault="00631911" w:rsidP="006B2B18">
            <w:pPr>
              <w:numPr>
                <w:ilvl w:val="0"/>
                <w:numId w:val="24"/>
              </w:numPr>
              <w:spacing w:after="0" w:line="240" w:lineRule="auto"/>
              <w:jc w:val="left"/>
              <w:rPr>
                <w:sz w:val="18"/>
                <w:szCs w:val="18"/>
              </w:rPr>
            </w:pPr>
            <w:r w:rsidRPr="00453377">
              <w:rPr>
                <w:sz w:val="18"/>
                <w:szCs w:val="18"/>
              </w:rPr>
              <w:t>Administratívne bariéry</w:t>
            </w:r>
            <w:r>
              <w:rPr>
                <w:sz w:val="18"/>
                <w:szCs w:val="18"/>
              </w:rPr>
              <w:t xml:space="preserve"> </w:t>
            </w:r>
            <w:r w:rsidRPr="00453377">
              <w:rPr>
                <w:sz w:val="18"/>
                <w:szCs w:val="18"/>
              </w:rPr>
              <w:t>implementácie</w:t>
            </w:r>
            <w:r>
              <w:rPr>
                <w:sz w:val="18"/>
                <w:szCs w:val="18"/>
              </w:rPr>
              <w:t xml:space="preserve"> </w:t>
            </w:r>
            <w:r w:rsidRPr="00453377">
              <w:rPr>
                <w:sz w:val="18"/>
                <w:szCs w:val="18"/>
              </w:rPr>
              <w:t>projektov financovaných zo štrukturálnych fondov EÚ do praxe</w:t>
            </w:r>
          </w:p>
          <w:p w:rsidR="00631911" w:rsidRPr="00453377" w:rsidRDefault="00631911" w:rsidP="006B2B18">
            <w:pPr>
              <w:numPr>
                <w:ilvl w:val="0"/>
                <w:numId w:val="24"/>
              </w:numPr>
              <w:spacing w:after="0" w:line="240" w:lineRule="auto"/>
              <w:jc w:val="left"/>
              <w:rPr>
                <w:sz w:val="18"/>
                <w:szCs w:val="18"/>
              </w:rPr>
            </w:pPr>
            <w:r w:rsidRPr="00453377">
              <w:rPr>
                <w:sz w:val="18"/>
                <w:szCs w:val="18"/>
              </w:rPr>
              <w:t>Nízka úroveň spolupráce medzi akademickým sektorom a priemyslom</w:t>
            </w:r>
          </w:p>
          <w:p w:rsidR="00631911" w:rsidRPr="00453377" w:rsidRDefault="00631911" w:rsidP="006B2B18">
            <w:pPr>
              <w:numPr>
                <w:ilvl w:val="0"/>
                <w:numId w:val="24"/>
              </w:numPr>
              <w:spacing w:after="0" w:line="240" w:lineRule="auto"/>
              <w:jc w:val="left"/>
              <w:rPr>
                <w:sz w:val="18"/>
                <w:szCs w:val="18"/>
              </w:rPr>
            </w:pPr>
            <w:r w:rsidRPr="00453377">
              <w:rPr>
                <w:sz w:val="18"/>
                <w:szCs w:val="18"/>
              </w:rPr>
              <w:t>Nízky podiel národných zdrojov na financovanie</w:t>
            </w:r>
            <w:r>
              <w:rPr>
                <w:sz w:val="18"/>
                <w:szCs w:val="18"/>
              </w:rPr>
              <w:t xml:space="preserve"> </w:t>
            </w:r>
            <w:r w:rsidRPr="00453377">
              <w:rPr>
                <w:sz w:val="18"/>
                <w:szCs w:val="18"/>
              </w:rPr>
              <w:t>VaI</w:t>
            </w:r>
          </w:p>
          <w:p w:rsidR="00631911" w:rsidRPr="00993458" w:rsidRDefault="00631911" w:rsidP="006B2B18">
            <w:pPr>
              <w:numPr>
                <w:ilvl w:val="0"/>
                <w:numId w:val="24"/>
              </w:numPr>
              <w:spacing w:after="0" w:line="240" w:lineRule="auto"/>
              <w:jc w:val="left"/>
              <w:rPr>
                <w:sz w:val="18"/>
                <w:szCs w:val="18"/>
              </w:rPr>
            </w:pPr>
            <w:r w:rsidRPr="00993458">
              <w:rPr>
                <w:sz w:val="18"/>
                <w:szCs w:val="18"/>
              </w:rPr>
              <w:t xml:space="preserve">Nízke zapojenie slovenských subjektov do 7. rámcového programu </w:t>
            </w:r>
            <w:r>
              <w:rPr>
                <w:sz w:val="18"/>
                <w:szCs w:val="18"/>
              </w:rPr>
              <w:t xml:space="preserve">EÚ. </w:t>
            </w:r>
            <w:r w:rsidRPr="00993458">
              <w:rPr>
                <w:sz w:val="18"/>
                <w:szCs w:val="18"/>
              </w:rPr>
              <w:t>Nedostatočná konkurencieschopnosť slovenských organizácií VaI v rámci EU</w:t>
            </w:r>
          </w:p>
          <w:p w:rsidR="00631911" w:rsidRPr="00453377" w:rsidRDefault="00631911" w:rsidP="006B2B18">
            <w:pPr>
              <w:numPr>
                <w:ilvl w:val="0"/>
                <w:numId w:val="24"/>
              </w:numPr>
              <w:spacing w:after="0" w:line="240" w:lineRule="auto"/>
              <w:jc w:val="left"/>
              <w:rPr>
                <w:sz w:val="18"/>
                <w:szCs w:val="18"/>
              </w:rPr>
            </w:pPr>
            <w:r w:rsidRPr="00453377">
              <w:rPr>
                <w:sz w:val="18"/>
                <w:szCs w:val="18"/>
              </w:rPr>
              <w:t>Nefunkčný národný inovačný systém</w:t>
            </w:r>
          </w:p>
          <w:p w:rsidR="00631911" w:rsidRPr="00453377" w:rsidRDefault="00631911" w:rsidP="006B2B18">
            <w:pPr>
              <w:numPr>
                <w:ilvl w:val="0"/>
                <w:numId w:val="24"/>
              </w:numPr>
              <w:spacing w:after="0" w:line="240" w:lineRule="auto"/>
              <w:jc w:val="left"/>
              <w:rPr>
                <w:sz w:val="18"/>
                <w:szCs w:val="18"/>
              </w:rPr>
            </w:pPr>
            <w:r w:rsidRPr="00453377">
              <w:rPr>
                <w:sz w:val="18"/>
                <w:szCs w:val="18"/>
              </w:rPr>
              <w:t>Bariéry využívania ochrany práv duševného vlastníctva</w:t>
            </w:r>
          </w:p>
          <w:p w:rsidR="00631911" w:rsidRPr="00453377" w:rsidRDefault="00631911" w:rsidP="006B2B18">
            <w:pPr>
              <w:numPr>
                <w:ilvl w:val="0"/>
                <w:numId w:val="24"/>
              </w:numPr>
              <w:spacing w:after="0" w:line="240" w:lineRule="auto"/>
              <w:jc w:val="left"/>
              <w:rPr>
                <w:sz w:val="18"/>
                <w:szCs w:val="18"/>
              </w:rPr>
            </w:pPr>
            <w:r w:rsidRPr="00453377">
              <w:rPr>
                <w:sz w:val="18"/>
                <w:szCs w:val="18"/>
              </w:rPr>
              <w:t>Neefektívne využitie zdrojov pre transfer poznatkov a technológií do praxe</w:t>
            </w:r>
          </w:p>
          <w:p w:rsidR="00631911" w:rsidRPr="00453377" w:rsidRDefault="00631911" w:rsidP="006B2B18">
            <w:pPr>
              <w:numPr>
                <w:ilvl w:val="0"/>
                <w:numId w:val="24"/>
              </w:numPr>
              <w:spacing w:after="0" w:line="240" w:lineRule="auto"/>
              <w:jc w:val="left"/>
              <w:rPr>
                <w:sz w:val="18"/>
                <w:szCs w:val="18"/>
              </w:rPr>
            </w:pPr>
            <w:r w:rsidRPr="00453377">
              <w:rPr>
                <w:sz w:val="18"/>
                <w:szCs w:val="18"/>
              </w:rPr>
              <w:t>Absencia nepriamych nástrojov a motivačného prostredia na podporu VaI</w:t>
            </w:r>
          </w:p>
          <w:p w:rsidR="00631911" w:rsidRPr="00453377" w:rsidRDefault="00631911" w:rsidP="006B2B18">
            <w:pPr>
              <w:numPr>
                <w:ilvl w:val="0"/>
                <w:numId w:val="24"/>
              </w:numPr>
              <w:spacing w:after="0" w:line="240" w:lineRule="auto"/>
              <w:jc w:val="left"/>
              <w:rPr>
                <w:sz w:val="18"/>
                <w:szCs w:val="18"/>
              </w:rPr>
            </w:pPr>
            <w:r w:rsidRPr="00453377">
              <w:rPr>
                <w:sz w:val="18"/>
                <w:szCs w:val="18"/>
              </w:rPr>
              <w:t>Nízka vymožiteľnosť práva</w:t>
            </w:r>
          </w:p>
          <w:p w:rsidR="00631911" w:rsidRPr="00453377" w:rsidRDefault="00631911" w:rsidP="006B2B18">
            <w:pPr>
              <w:numPr>
                <w:ilvl w:val="0"/>
                <w:numId w:val="24"/>
              </w:numPr>
              <w:spacing w:after="0" w:line="240" w:lineRule="auto"/>
              <w:jc w:val="left"/>
              <w:rPr>
                <w:sz w:val="18"/>
                <w:szCs w:val="18"/>
              </w:rPr>
            </w:pPr>
            <w:r w:rsidRPr="00453377">
              <w:rPr>
                <w:sz w:val="18"/>
                <w:szCs w:val="18"/>
              </w:rPr>
              <w:t>Absencia legislatívy stimulujúcej obstarávanie inovatívnych produktov</w:t>
            </w:r>
          </w:p>
          <w:p w:rsidR="00631911" w:rsidRPr="00453377" w:rsidRDefault="00631911" w:rsidP="006B2B18">
            <w:pPr>
              <w:numPr>
                <w:ilvl w:val="0"/>
                <w:numId w:val="24"/>
              </w:numPr>
              <w:spacing w:after="0" w:line="240" w:lineRule="auto"/>
              <w:jc w:val="left"/>
              <w:rPr>
                <w:sz w:val="18"/>
                <w:szCs w:val="18"/>
              </w:rPr>
            </w:pPr>
            <w:r w:rsidRPr="00453377">
              <w:rPr>
                <w:sz w:val="18"/>
                <w:szCs w:val="18"/>
              </w:rPr>
              <w:t xml:space="preserve">Systém vzdelávania </w:t>
            </w:r>
            <w:r>
              <w:rPr>
                <w:sz w:val="18"/>
                <w:szCs w:val="18"/>
              </w:rPr>
              <w:t>ne</w:t>
            </w:r>
            <w:r w:rsidRPr="00453377">
              <w:rPr>
                <w:sz w:val="18"/>
                <w:szCs w:val="18"/>
              </w:rPr>
              <w:t>previazaný s potrebami praxe osobitne v oblasti technických a prírodných vied</w:t>
            </w:r>
          </w:p>
          <w:p w:rsidR="00631911" w:rsidRPr="00453377" w:rsidRDefault="00631911" w:rsidP="006B2B18">
            <w:pPr>
              <w:numPr>
                <w:ilvl w:val="0"/>
                <w:numId w:val="24"/>
              </w:numPr>
              <w:spacing w:after="0" w:line="240" w:lineRule="auto"/>
              <w:jc w:val="left"/>
              <w:rPr>
                <w:sz w:val="18"/>
                <w:szCs w:val="18"/>
              </w:rPr>
            </w:pPr>
            <w:r w:rsidRPr="00453377">
              <w:rPr>
                <w:sz w:val="18"/>
                <w:szCs w:val="18"/>
              </w:rPr>
              <w:t>Absencia systému a podpory podnikateľského vzdelávania a rozvoja kreativity vo vzdelávacom procese</w:t>
            </w:r>
          </w:p>
          <w:p w:rsidR="00631911" w:rsidRPr="00453377" w:rsidRDefault="00631911" w:rsidP="006B2B18">
            <w:pPr>
              <w:numPr>
                <w:ilvl w:val="0"/>
                <w:numId w:val="24"/>
              </w:numPr>
              <w:spacing w:after="0" w:line="240" w:lineRule="auto"/>
              <w:jc w:val="left"/>
            </w:pPr>
            <w:r w:rsidRPr="00453377">
              <w:rPr>
                <w:sz w:val="18"/>
                <w:szCs w:val="18"/>
              </w:rPr>
              <w:t>Nízky počet výkonných VaI pracovníkov orientovaných na praktické využitie výsledkov</w:t>
            </w:r>
          </w:p>
        </w:tc>
      </w:tr>
      <w:tr w:rsidR="00631911" w:rsidTr="006B2B18">
        <w:trPr>
          <w:trHeight w:val="425"/>
        </w:trPr>
        <w:tc>
          <w:tcPr>
            <w:tcW w:w="4644" w:type="dxa"/>
            <w:tcBorders>
              <w:top w:val="single" w:sz="4" w:space="0" w:color="auto"/>
              <w:left w:val="single" w:sz="4" w:space="0" w:color="auto"/>
              <w:bottom w:val="single" w:sz="4" w:space="0" w:color="auto"/>
              <w:right w:val="single" w:sz="4" w:space="0" w:color="auto"/>
            </w:tcBorders>
            <w:shd w:val="clear" w:color="auto" w:fill="8DB3E2"/>
            <w:vAlign w:val="center"/>
          </w:tcPr>
          <w:p w:rsidR="00631911" w:rsidRPr="00C26875" w:rsidRDefault="00631911" w:rsidP="006B2B18">
            <w:pPr>
              <w:pStyle w:val="Hlavika"/>
              <w:spacing w:line="276" w:lineRule="auto"/>
              <w:jc w:val="center"/>
              <w:rPr>
                <w:rFonts w:cs="Calibri"/>
                <w:sz w:val="18"/>
                <w:szCs w:val="18"/>
              </w:rPr>
            </w:pPr>
            <w:r w:rsidRPr="00C26875">
              <w:rPr>
                <w:rFonts w:cs="Calibri"/>
                <w:sz w:val="18"/>
                <w:szCs w:val="18"/>
                <w:lang w:eastAsia="sk-SK"/>
              </w:rPr>
              <w:t>Príležitosti</w:t>
            </w:r>
          </w:p>
        </w:tc>
        <w:tc>
          <w:tcPr>
            <w:tcW w:w="4961" w:type="dxa"/>
            <w:tcBorders>
              <w:top w:val="single" w:sz="4" w:space="0" w:color="auto"/>
              <w:left w:val="single" w:sz="4" w:space="0" w:color="auto"/>
              <w:bottom w:val="single" w:sz="4" w:space="0" w:color="auto"/>
              <w:right w:val="single" w:sz="4" w:space="0" w:color="auto"/>
            </w:tcBorders>
            <w:shd w:val="clear" w:color="auto" w:fill="8DB3E2"/>
            <w:vAlign w:val="center"/>
          </w:tcPr>
          <w:p w:rsidR="00631911" w:rsidRPr="00C26875" w:rsidRDefault="00631911" w:rsidP="006B2B18">
            <w:pPr>
              <w:pStyle w:val="Hlavika"/>
              <w:spacing w:line="276" w:lineRule="auto"/>
              <w:jc w:val="center"/>
              <w:rPr>
                <w:rFonts w:cs="Calibri"/>
                <w:lang w:val="en-US"/>
              </w:rPr>
            </w:pPr>
            <w:r w:rsidRPr="00C26875">
              <w:rPr>
                <w:rFonts w:cs="Calibri"/>
                <w:lang w:eastAsia="sk-SK"/>
              </w:rPr>
              <w:t>Hrozby</w:t>
            </w:r>
          </w:p>
        </w:tc>
      </w:tr>
      <w:tr w:rsidR="00631911" w:rsidTr="006B2B18">
        <w:tc>
          <w:tcPr>
            <w:tcW w:w="4644" w:type="dxa"/>
            <w:tcBorders>
              <w:top w:val="single" w:sz="4" w:space="0" w:color="auto"/>
              <w:left w:val="single" w:sz="4" w:space="0" w:color="auto"/>
              <w:bottom w:val="single" w:sz="4" w:space="0" w:color="auto"/>
              <w:right w:val="single" w:sz="4" w:space="0" w:color="auto"/>
            </w:tcBorders>
          </w:tcPr>
          <w:p w:rsidR="00631911" w:rsidRPr="00453377" w:rsidRDefault="00631911" w:rsidP="006B2B18">
            <w:pPr>
              <w:numPr>
                <w:ilvl w:val="0"/>
                <w:numId w:val="23"/>
              </w:numPr>
              <w:spacing w:after="0" w:line="240" w:lineRule="auto"/>
              <w:jc w:val="left"/>
              <w:rPr>
                <w:bCs/>
                <w:sz w:val="18"/>
                <w:szCs w:val="18"/>
              </w:rPr>
            </w:pPr>
            <w:r w:rsidRPr="00453377">
              <w:rPr>
                <w:bCs/>
                <w:sz w:val="18"/>
                <w:szCs w:val="18"/>
              </w:rPr>
              <w:t>Rozšírenie zapojenia domácich subdodávateľov do globálnych dodávateľských reťazcov MN</w:t>
            </w:r>
            <w:r>
              <w:rPr>
                <w:bCs/>
                <w:sz w:val="18"/>
                <w:szCs w:val="18"/>
              </w:rPr>
              <w:t>S</w:t>
            </w:r>
          </w:p>
          <w:p w:rsidR="00631911" w:rsidRPr="00453377" w:rsidRDefault="00631911" w:rsidP="006B2B18">
            <w:pPr>
              <w:numPr>
                <w:ilvl w:val="0"/>
                <w:numId w:val="23"/>
              </w:numPr>
              <w:spacing w:after="0" w:line="240" w:lineRule="auto"/>
              <w:jc w:val="left"/>
              <w:rPr>
                <w:bCs/>
                <w:sz w:val="18"/>
                <w:szCs w:val="18"/>
              </w:rPr>
            </w:pPr>
            <w:r w:rsidRPr="00453377">
              <w:rPr>
                <w:bCs/>
                <w:sz w:val="18"/>
                <w:szCs w:val="18"/>
              </w:rPr>
              <w:t xml:space="preserve">Vytvorenie prepojení VaI </w:t>
            </w:r>
            <w:r>
              <w:rPr>
                <w:bCs/>
                <w:sz w:val="18"/>
                <w:szCs w:val="18"/>
              </w:rPr>
              <w:t>MNS</w:t>
            </w:r>
            <w:r w:rsidRPr="00453377">
              <w:rPr>
                <w:bCs/>
                <w:sz w:val="18"/>
                <w:szCs w:val="18"/>
              </w:rPr>
              <w:t xml:space="preserve"> spoločností do spolupráce s domácimi podnikateľskými VaI štruktúrami</w:t>
            </w:r>
          </w:p>
          <w:p w:rsidR="00631911" w:rsidRPr="00453377" w:rsidRDefault="00631911" w:rsidP="006B2B18">
            <w:pPr>
              <w:numPr>
                <w:ilvl w:val="0"/>
                <w:numId w:val="23"/>
              </w:numPr>
              <w:spacing w:after="0" w:line="240" w:lineRule="auto"/>
              <w:jc w:val="left"/>
              <w:rPr>
                <w:bCs/>
                <w:sz w:val="18"/>
                <w:szCs w:val="18"/>
              </w:rPr>
            </w:pPr>
            <w:r w:rsidRPr="00453377">
              <w:rPr>
                <w:bCs/>
                <w:sz w:val="18"/>
                <w:szCs w:val="18"/>
              </w:rPr>
              <w:t>Koncentrácia VaI centier na limitovaný počet prioritných oblastí RIS3</w:t>
            </w:r>
          </w:p>
          <w:p w:rsidR="00631911" w:rsidRPr="00453377" w:rsidRDefault="00631911" w:rsidP="006B2B18">
            <w:pPr>
              <w:numPr>
                <w:ilvl w:val="0"/>
                <w:numId w:val="23"/>
              </w:numPr>
              <w:spacing w:after="0" w:line="240" w:lineRule="auto"/>
              <w:jc w:val="left"/>
              <w:rPr>
                <w:bCs/>
                <w:sz w:val="18"/>
                <w:szCs w:val="18"/>
              </w:rPr>
            </w:pPr>
            <w:r>
              <w:rPr>
                <w:bCs/>
                <w:sz w:val="18"/>
                <w:szCs w:val="18"/>
              </w:rPr>
              <w:lastRenderedPageBreak/>
              <w:t>Prehĺbenie trialógu akademickej sféry, podnikateľského sektora a verejnej správy</w:t>
            </w:r>
          </w:p>
          <w:p w:rsidR="00631911" w:rsidRPr="00453377" w:rsidRDefault="00631911" w:rsidP="006B2B18">
            <w:pPr>
              <w:numPr>
                <w:ilvl w:val="0"/>
                <w:numId w:val="23"/>
              </w:numPr>
              <w:spacing w:after="0" w:line="240" w:lineRule="auto"/>
              <w:jc w:val="left"/>
              <w:rPr>
                <w:bCs/>
                <w:sz w:val="18"/>
                <w:szCs w:val="18"/>
              </w:rPr>
            </w:pPr>
            <w:r w:rsidRPr="00453377">
              <w:rPr>
                <w:bCs/>
                <w:sz w:val="18"/>
                <w:szCs w:val="18"/>
              </w:rPr>
              <w:t>Potenciál využívania pôdneho fondu a domácich strategických prírodných zdrojov (voda, drevo, magnezit) v inovatívnom</w:t>
            </w:r>
            <w:r>
              <w:rPr>
                <w:bCs/>
                <w:sz w:val="18"/>
                <w:szCs w:val="18"/>
              </w:rPr>
              <w:t xml:space="preserve"> </w:t>
            </w:r>
            <w:r w:rsidRPr="00453377">
              <w:rPr>
                <w:bCs/>
                <w:sz w:val="18"/>
                <w:szCs w:val="18"/>
              </w:rPr>
              <w:t>hospodárstve</w:t>
            </w:r>
          </w:p>
          <w:p w:rsidR="00631911" w:rsidRPr="00453377" w:rsidRDefault="00631911" w:rsidP="006B2B18">
            <w:pPr>
              <w:numPr>
                <w:ilvl w:val="0"/>
                <w:numId w:val="23"/>
              </w:numPr>
              <w:spacing w:after="0" w:line="240" w:lineRule="auto"/>
              <w:jc w:val="left"/>
              <w:rPr>
                <w:bCs/>
                <w:sz w:val="18"/>
                <w:szCs w:val="18"/>
              </w:rPr>
            </w:pPr>
            <w:r w:rsidRPr="00453377">
              <w:rPr>
                <w:bCs/>
                <w:sz w:val="18"/>
                <w:szCs w:val="18"/>
              </w:rPr>
              <w:t xml:space="preserve">Podpora prechodu na zelené technológie, </w:t>
            </w:r>
            <w:r>
              <w:rPr>
                <w:bCs/>
                <w:sz w:val="18"/>
                <w:szCs w:val="18"/>
              </w:rPr>
              <w:t xml:space="preserve">materiály a </w:t>
            </w:r>
            <w:r w:rsidRPr="00AB6F2E">
              <w:rPr>
                <w:bCs/>
                <w:sz w:val="18"/>
                <w:szCs w:val="18"/>
              </w:rPr>
              <w:t>produkty vyplývajúce</w:t>
            </w:r>
            <w:r w:rsidRPr="00453377">
              <w:rPr>
                <w:bCs/>
                <w:sz w:val="18"/>
                <w:szCs w:val="18"/>
              </w:rPr>
              <w:t xml:space="preserve"> z nežiaducich ekologických zmien a</w:t>
            </w:r>
            <w:r w:rsidR="00C5561D">
              <w:rPr>
                <w:bCs/>
                <w:sz w:val="18"/>
                <w:szCs w:val="18"/>
              </w:rPr>
              <w:t> podpora legislatívnych zmien</w:t>
            </w:r>
          </w:p>
          <w:p w:rsidR="00631911" w:rsidRPr="00453377" w:rsidRDefault="00631911" w:rsidP="006B2B18">
            <w:pPr>
              <w:numPr>
                <w:ilvl w:val="0"/>
                <w:numId w:val="23"/>
              </w:numPr>
              <w:spacing w:after="0" w:line="240" w:lineRule="auto"/>
              <w:jc w:val="left"/>
              <w:rPr>
                <w:sz w:val="18"/>
                <w:szCs w:val="18"/>
              </w:rPr>
            </w:pPr>
            <w:r w:rsidRPr="00453377">
              <w:rPr>
                <w:sz w:val="18"/>
                <w:szCs w:val="18"/>
              </w:rPr>
              <w:t>Nová "Priemyselná stratégia EÚ (Industry 2020)" smerujúca k revitalizácii európskeho priemyslu</w:t>
            </w:r>
          </w:p>
          <w:p w:rsidR="00631911" w:rsidRPr="00453377" w:rsidRDefault="00631911" w:rsidP="006B2B18">
            <w:pPr>
              <w:numPr>
                <w:ilvl w:val="0"/>
                <w:numId w:val="23"/>
              </w:numPr>
              <w:spacing w:after="0" w:line="240" w:lineRule="auto"/>
              <w:jc w:val="left"/>
              <w:rPr>
                <w:sz w:val="18"/>
                <w:szCs w:val="18"/>
              </w:rPr>
            </w:pPr>
            <w:r w:rsidRPr="00453377">
              <w:rPr>
                <w:sz w:val="18"/>
                <w:szCs w:val="18"/>
              </w:rPr>
              <w:t>Odstránenie bariér spolupráce (zlepšenie koherencie) prostredníctvom štvorpartity (quadruplehelix) ako základného princípu verejnej správy (governance) VaI</w:t>
            </w:r>
          </w:p>
          <w:p w:rsidR="00631911" w:rsidRPr="00453377" w:rsidRDefault="00631911" w:rsidP="006B2B18">
            <w:pPr>
              <w:numPr>
                <w:ilvl w:val="0"/>
                <w:numId w:val="23"/>
              </w:numPr>
              <w:spacing w:after="0" w:line="240" w:lineRule="auto"/>
              <w:jc w:val="left"/>
              <w:rPr>
                <w:sz w:val="18"/>
                <w:szCs w:val="18"/>
              </w:rPr>
            </w:pPr>
            <w:r w:rsidRPr="00453377">
              <w:rPr>
                <w:sz w:val="18"/>
                <w:szCs w:val="18"/>
              </w:rPr>
              <w:t>Podpora VaI projektov v rámci krajín V4 a Dunajskej stratégie a spájanie v rámci ERA aj s využitím potenciálu regiónu Centrope (Bratislava-Brno-Viedeň)</w:t>
            </w:r>
          </w:p>
          <w:p w:rsidR="00631911" w:rsidRPr="00453377" w:rsidRDefault="00631911" w:rsidP="006B2B18">
            <w:pPr>
              <w:numPr>
                <w:ilvl w:val="0"/>
                <w:numId w:val="23"/>
              </w:numPr>
              <w:spacing w:after="0" w:line="240" w:lineRule="auto"/>
              <w:jc w:val="left"/>
              <w:rPr>
                <w:sz w:val="18"/>
                <w:szCs w:val="18"/>
              </w:rPr>
            </w:pPr>
            <w:r w:rsidRPr="00453377">
              <w:rPr>
                <w:sz w:val="18"/>
                <w:szCs w:val="18"/>
              </w:rPr>
              <w:t>Lepšie využívanie komunitárnych programov, najmä Horizon 2020 a systému programov a projektov ESFRI</w:t>
            </w:r>
          </w:p>
          <w:p w:rsidR="00631911" w:rsidRPr="00453377" w:rsidRDefault="00631911" w:rsidP="006B2B18">
            <w:pPr>
              <w:numPr>
                <w:ilvl w:val="0"/>
                <w:numId w:val="23"/>
              </w:numPr>
              <w:spacing w:after="0" w:line="240" w:lineRule="auto"/>
              <w:jc w:val="left"/>
              <w:rPr>
                <w:sz w:val="18"/>
                <w:szCs w:val="18"/>
              </w:rPr>
            </w:pPr>
            <w:r w:rsidRPr="00453377">
              <w:rPr>
                <w:sz w:val="18"/>
                <w:szCs w:val="18"/>
              </w:rPr>
              <w:t>Využitie Európskych technologických platforiem zapojením národných technologických platforiem do ich činnosti</w:t>
            </w:r>
          </w:p>
          <w:p w:rsidR="00631911" w:rsidRPr="00453377" w:rsidRDefault="00631911" w:rsidP="006B2B18">
            <w:pPr>
              <w:numPr>
                <w:ilvl w:val="0"/>
                <w:numId w:val="23"/>
              </w:numPr>
              <w:spacing w:after="0" w:line="240" w:lineRule="auto"/>
              <w:jc w:val="left"/>
              <w:rPr>
                <w:sz w:val="18"/>
                <w:szCs w:val="18"/>
              </w:rPr>
            </w:pPr>
            <w:r w:rsidRPr="00453377">
              <w:rPr>
                <w:sz w:val="18"/>
                <w:szCs w:val="18"/>
              </w:rPr>
              <w:t xml:space="preserve">Širšie využitie znalostí SR v bezuhlíkovej energetike, vrátane </w:t>
            </w:r>
            <w:r>
              <w:rPr>
                <w:sz w:val="18"/>
                <w:szCs w:val="18"/>
              </w:rPr>
              <w:t xml:space="preserve">jej </w:t>
            </w:r>
            <w:r w:rsidRPr="00453377">
              <w:rPr>
                <w:sz w:val="18"/>
                <w:szCs w:val="18"/>
              </w:rPr>
              <w:t>bezpečnosti, akceptovan</w:t>
            </w:r>
            <w:r>
              <w:rPr>
                <w:sz w:val="18"/>
                <w:szCs w:val="18"/>
              </w:rPr>
              <w:t>ej</w:t>
            </w:r>
            <w:r w:rsidRPr="00453377">
              <w:rPr>
                <w:sz w:val="18"/>
                <w:szCs w:val="18"/>
              </w:rPr>
              <w:t xml:space="preserve"> spoločnosťou</w:t>
            </w:r>
          </w:p>
          <w:p w:rsidR="00631911" w:rsidRPr="00453377" w:rsidRDefault="00631911" w:rsidP="006B2B18">
            <w:pPr>
              <w:numPr>
                <w:ilvl w:val="0"/>
                <w:numId w:val="23"/>
              </w:numPr>
              <w:spacing w:after="0" w:line="240" w:lineRule="auto"/>
              <w:jc w:val="left"/>
              <w:rPr>
                <w:bCs/>
                <w:sz w:val="18"/>
                <w:szCs w:val="18"/>
              </w:rPr>
            </w:pPr>
            <w:r w:rsidRPr="00453377">
              <w:rPr>
                <w:sz w:val="18"/>
                <w:szCs w:val="18"/>
              </w:rPr>
              <w:t>Nedostatočne využitý potenciál pôdohospodárstva a vodného hospodárstva</w:t>
            </w:r>
          </w:p>
          <w:p w:rsidR="00631911" w:rsidRPr="00453377" w:rsidRDefault="00631911" w:rsidP="006B2B18">
            <w:pPr>
              <w:numPr>
                <w:ilvl w:val="0"/>
                <w:numId w:val="23"/>
              </w:numPr>
              <w:spacing w:after="0" w:line="240" w:lineRule="auto"/>
              <w:jc w:val="left"/>
              <w:rPr>
                <w:sz w:val="18"/>
                <w:szCs w:val="18"/>
              </w:rPr>
            </w:pPr>
            <w:r w:rsidRPr="00453377">
              <w:rPr>
                <w:sz w:val="18"/>
                <w:szCs w:val="18"/>
              </w:rPr>
              <w:t>Rozvoj sociálnych inovácií a kreatívneho priemyslu</w:t>
            </w:r>
          </w:p>
          <w:p w:rsidR="00631911" w:rsidRPr="00453377" w:rsidRDefault="00631911" w:rsidP="006B2B18">
            <w:pPr>
              <w:numPr>
                <w:ilvl w:val="0"/>
                <w:numId w:val="23"/>
              </w:numPr>
              <w:spacing w:after="0" w:line="240" w:lineRule="auto"/>
              <w:jc w:val="left"/>
              <w:rPr>
                <w:sz w:val="18"/>
                <w:szCs w:val="18"/>
              </w:rPr>
            </w:pPr>
            <w:r w:rsidRPr="00453377">
              <w:rPr>
                <w:sz w:val="18"/>
                <w:szCs w:val="18"/>
              </w:rPr>
              <w:t>Vstup národných inovatívnych firiem na globálne trhy</w:t>
            </w:r>
          </w:p>
          <w:p w:rsidR="00631911" w:rsidRPr="00453377" w:rsidRDefault="00631911" w:rsidP="006B2B18">
            <w:pPr>
              <w:numPr>
                <w:ilvl w:val="0"/>
                <w:numId w:val="23"/>
              </w:numPr>
              <w:spacing w:after="0" w:line="240" w:lineRule="auto"/>
              <w:jc w:val="left"/>
              <w:rPr>
                <w:sz w:val="18"/>
                <w:szCs w:val="18"/>
              </w:rPr>
            </w:pPr>
            <w:r w:rsidRPr="00453377">
              <w:rPr>
                <w:sz w:val="18"/>
                <w:szCs w:val="18"/>
              </w:rPr>
              <w:t>Podpora vzniku a rozvoja inovatívnych Spin-off a Start-up firiem</w:t>
            </w:r>
          </w:p>
          <w:p w:rsidR="00631911" w:rsidRPr="00453377" w:rsidRDefault="00631911" w:rsidP="006B2B18">
            <w:pPr>
              <w:numPr>
                <w:ilvl w:val="0"/>
                <w:numId w:val="23"/>
              </w:numPr>
              <w:spacing w:after="0" w:line="240" w:lineRule="auto"/>
              <w:jc w:val="left"/>
              <w:rPr>
                <w:sz w:val="18"/>
                <w:szCs w:val="18"/>
              </w:rPr>
            </w:pPr>
            <w:r w:rsidRPr="00453377">
              <w:rPr>
                <w:sz w:val="18"/>
                <w:szCs w:val="18"/>
              </w:rPr>
              <w:t>Využitie potenciálu sieťovania (podniky, VaI štruktúry)</w:t>
            </w:r>
          </w:p>
          <w:p w:rsidR="00631911" w:rsidRPr="00453377" w:rsidRDefault="00631911" w:rsidP="006B2B18">
            <w:pPr>
              <w:numPr>
                <w:ilvl w:val="0"/>
                <w:numId w:val="23"/>
              </w:numPr>
              <w:spacing w:after="0" w:line="240" w:lineRule="auto"/>
              <w:jc w:val="left"/>
              <w:rPr>
                <w:sz w:val="18"/>
                <w:szCs w:val="18"/>
              </w:rPr>
            </w:pPr>
            <w:r>
              <w:rPr>
                <w:sz w:val="18"/>
                <w:szCs w:val="18"/>
              </w:rPr>
              <w:t>Motivácia podnikateľských subjektov k podpore inovácií a technologických transferov f</w:t>
            </w:r>
            <w:r w:rsidRPr="00453377">
              <w:rPr>
                <w:sz w:val="18"/>
                <w:szCs w:val="18"/>
              </w:rPr>
              <w:t>inančnými nástrojmi (inovačné vouchery, fondy rizikového kapitálu)</w:t>
            </w:r>
          </w:p>
          <w:p w:rsidR="00631911" w:rsidRPr="00453377" w:rsidRDefault="00631911" w:rsidP="006B2B18">
            <w:pPr>
              <w:numPr>
                <w:ilvl w:val="0"/>
                <w:numId w:val="23"/>
              </w:numPr>
              <w:spacing w:after="0" w:line="240" w:lineRule="auto"/>
              <w:jc w:val="left"/>
              <w:rPr>
                <w:sz w:val="18"/>
                <w:szCs w:val="18"/>
              </w:rPr>
            </w:pPr>
            <w:r w:rsidRPr="00453377">
              <w:rPr>
                <w:sz w:val="18"/>
                <w:szCs w:val="18"/>
              </w:rPr>
              <w:t>Využitie potenciálu služieb a produktov v oblasti IKT v</w:t>
            </w:r>
            <w:r>
              <w:rPr>
                <w:sz w:val="18"/>
                <w:szCs w:val="18"/>
              </w:rPr>
              <w:t> </w:t>
            </w:r>
            <w:r w:rsidRPr="00453377">
              <w:rPr>
                <w:sz w:val="18"/>
                <w:szCs w:val="18"/>
              </w:rPr>
              <w:t xml:space="preserve">kontexte Digitálnej agendy </w:t>
            </w:r>
            <w:r>
              <w:rPr>
                <w:sz w:val="18"/>
                <w:szCs w:val="18"/>
              </w:rPr>
              <w:t xml:space="preserve">EÚ </w:t>
            </w:r>
            <w:r w:rsidRPr="00453377">
              <w:rPr>
                <w:sz w:val="18"/>
                <w:szCs w:val="18"/>
              </w:rPr>
              <w:t>2020</w:t>
            </w:r>
          </w:p>
          <w:p w:rsidR="00631911" w:rsidRPr="00453377" w:rsidRDefault="00631911" w:rsidP="006B2B18">
            <w:pPr>
              <w:numPr>
                <w:ilvl w:val="0"/>
                <w:numId w:val="23"/>
              </w:numPr>
              <w:spacing w:after="0" w:line="240" w:lineRule="auto"/>
              <w:jc w:val="left"/>
              <w:rPr>
                <w:sz w:val="18"/>
                <w:szCs w:val="18"/>
              </w:rPr>
            </w:pPr>
            <w:r w:rsidRPr="00453377">
              <w:rPr>
                <w:sz w:val="18"/>
                <w:szCs w:val="18"/>
              </w:rPr>
              <w:t>Obnovenie tradície odborného a technického vzdelávania</w:t>
            </w:r>
          </w:p>
          <w:p w:rsidR="00631911" w:rsidRPr="00453377" w:rsidRDefault="00631911" w:rsidP="006B2B18">
            <w:pPr>
              <w:numPr>
                <w:ilvl w:val="0"/>
                <w:numId w:val="23"/>
              </w:numPr>
              <w:spacing w:after="0" w:line="240" w:lineRule="auto"/>
              <w:jc w:val="left"/>
              <w:rPr>
                <w:sz w:val="18"/>
                <w:szCs w:val="18"/>
              </w:rPr>
            </w:pPr>
            <w:r w:rsidRPr="00453377">
              <w:rPr>
                <w:sz w:val="18"/>
                <w:szCs w:val="18"/>
              </w:rPr>
              <w:t>Vytvorenie podmienok pre návrat občanov SR pôsobiacich v zahraničných VaI štruktúrach</w:t>
            </w:r>
          </w:p>
          <w:p w:rsidR="00631911" w:rsidRPr="00453377" w:rsidRDefault="00631911" w:rsidP="006B2B18">
            <w:pPr>
              <w:numPr>
                <w:ilvl w:val="0"/>
                <w:numId w:val="23"/>
              </w:numPr>
              <w:spacing w:after="0" w:line="240" w:lineRule="auto"/>
              <w:jc w:val="left"/>
              <w:rPr>
                <w:sz w:val="18"/>
                <w:szCs w:val="18"/>
              </w:rPr>
            </w:pPr>
            <w:r w:rsidRPr="00453377">
              <w:rPr>
                <w:sz w:val="18"/>
                <w:szCs w:val="18"/>
              </w:rPr>
              <w:t>Podpora prílevu zahraničných VaI pracovníkov a štúdia zahraničných študentov na Slovensk</w:t>
            </w:r>
            <w:r>
              <w:rPr>
                <w:sz w:val="18"/>
                <w:szCs w:val="18"/>
              </w:rPr>
              <w:t>u</w:t>
            </w:r>
          </w:p>
          <w:p w:rsidR="00631911" w:rsidRPr="00453377" w:rsidRDefault="00631911" w:rsidP="006B2B18">
            <w:pPr>
              <w:numPr>
                <w:ilvl w:val="0"/>
                <w:numId w:val="23"/>
              </w:numPr>
              <w:spacing w:after="0" w:line="240" w:lineRule="auto"/>
              <w:jc w:val="left"/>
              <w:rPr>
                <w:bCs/>
                <w:sz w:val="18"/>
                <w:szCs w:val="18"/>
              </w:rPr>
            </w:pPr>
            <w:r w:rsidRPr="00453377">
              <w:rPr>
                <w:sz w:val="18"/>
                <w:szCs w:val="18"/>
              </w:rPr>
              <w:t xml:space="preserve">Zapojenie mladých VaI pracovníkov </w:t>
            </w:r>
            <w:r>
              <w:rPr>
                <w:sz w:val="18"/>
                <w:szCs w:val="18"/>
              </w:rPr>
              <w:t>do</w:t>
            </w:r>
            <w:r w:rsidRPr="00453377">
              <w:rPr>
                <w:sz w:val="18"/>
                <w:szCs w:val="18"/>
              </w:rPr>
              <w:t xml:space="preserve"> riešen</w:t>
            </w:r>
            <w:r>
              <w:rPr>
                <w:sz w:val="18"/>
                <w:szCs w:val="18"/>
              </w:rPr>
              <w:t>ia</w:t>
            </w:r>
            <w:r w:rsidRPr="00453377">
              <w:rPr>
                <w:sz w:val="18"/>
                <w:szCs w:val="18"/>
              </w:rPr>
              <w:t xml:space="preserve"> praktických podnikových problémov</w:t>
            </w:r>
          </w:p>
        </w:tc>
        <w:tc>
          <w:tcPr>
            <w:tcW w:w="4961" w:type="dxa"/>
            <w:tcBorders>
              <w:top w:val="single" w:sz="4" w:space="0" w:color="auto"/>
              <w:left w:val="single" w:sz="4" w:space="0" w:color="auto"/>
              <w:bottom w:val="single" w:sz="4" w:space="0" w:color="auto"/>
              <w:right w:val="single" w:sz="4" w:space="0" w:color="auto"/>
            </w:tcBorders>
          </w:tcPr>
          <w:p w:rsidR="00631911" w:rsidRPr="002A7B0D" w:rsidRDefault="00631911" w:rsidP="006B2B18">
            <w:pPr>
              <w:numPr>
                <w:ilvl w:val="0"/>
                <w:numId w:val="23"/>
              </w:numPr>
              <w:spacing w:after="0" w:line="240" w:lineRule="auto"/>
              <w:jc w:val="left"/>
              <w:rPr>
                <w:bCs/>
                <w:sz w:val="18"/>
                <w:szCs w:val="18"/>
              </w:rPr>
            </w:pPr>
            <w:r w:rsidRPr="002A7B0D">
              <w:rPr>
                <w:bCs/>
                <w:sz w:val="18"/>
                <w:szCs w:val="18"/>
              </w:rPr>
              <w:lastRenderedPageBreak/>
              <w:t>Presun investorov do teritórií s inými komparatívnymi výhodami ako SR</w:t>
            </w:r>
            <w:r>
              <w:rPr>
                <w:bCs/>
                <w:sz w:val="18"/>
                <w:szCs w:val="18"/>
              </w:rPr>
              <w:t xml:space="preserve"> </w:t>
            </w:r>
            <w:r w:rsidRPr="002A7B0D">
              <w:rPr>
                <w:bCs/>
                <w:sz w:val="18"/>
                <w:szCs w:val="18"/>
              </w:rPr>
              <w:t>(EÚ)</w:t>
            </w:r>
          </w:p>
          <w:p w:rsidR="00631911" w:rsidRPr="002A7B0D" w:rsidRDefault="00631911" w:rsidP="006B2B18">
            <w:pPr>
              <w:numPr>
                <w:ilvl w:val="0"/>
                <w:numId w:val="23"/>
              </w:numPr>
              <w:spacing w:after="0" w:line="240" w:lineRule="auto"/>
              <w:jc w:val="left"/>
              <w:rPr>
                <w:bCs/>
                <w:sz w:val="18"/>
                <w:szCs w:val="18"/>
              </w:rPr>
            </w:pPr>
            <w:r w:rsidRPr="002A7B0D">
              <w:rPr>
                <w:bCs/>
                <w:sz w:val="18"/>
                <w:szCs w:val="18"/>
              </w:rPr>
              <w:t>Nedostatok investícií do produktov a technológií založených na znalostiach aj v dôsledku nepreviazanosti MNS na lokálnu infraštruktúru VaI</w:t>
            </w:r>
          </w:p>
          <w:p w:rsidR="00631911" w:rsidRPr="002A7B0D" w:rsidRDefault="00631911" w:rsidP="006B2B18">
            <w:pPr>
              <w:numPr>
                <w:ilvl w:val="0"/>
                <w:numId w:val="23"/>
              </w:numPr>
              <w:spacing w:after="0" w:line="240" w:lineRule="auto"/>
              <w:jc w:val="left"/>
              <w:rPr>
                <w:bCs/>
                <w:sz w:val="18"/>
                <w:szCs w:val="18"/>
              </w:rPr>
            </w:pPr>
            <w:r w:rsidRPr="002A7B0D">
              <w:rPr>
                <w:bCs/>
                <w:sz w:val="18"/>
                <w:szCs w:val="18"/>
              </w:rPr>
              <w:t>Neochota podnikateľských subjektov investovať do VaI na Slovensku</w:t>
            </w:r>
          </w:p>
          <w:p w:rsidR="00631911" w:rsidRPr="002A7B0D" w:rsidRDefault="00631911" w:rsidP="006B2B18">
            <w:pPr>
              <w:numPr>
                <w:ilvl w:val="0"/>
                <w:numId w:val="23"/>
              </w:numPr>
              <w:spacing w:after="0" w:line="240" w:lineRule="auto"/>
              <w:jc w:val="left"/>
              <w:rPr>
                <w:sz w:val="18"/>
                <w:szCs w:val="18"/>
              </w:rPr>
            </w:pPr>
            <w:r w:rsidRPr="002A7B0D">
              <w:rPr>
                <w:sz w:val="18"/>
                <w:szCs w:val="18"/>
              </w:rPr>
              <w:lastRenderedPageBreak/>
              <w:t>Obmedzenie žiaducej finančnej podpory VaI systému v B</w:t>
            </w:r>
            <w:r>
              <w:rPr>
                <w:sz w:val="18"/>
                <w:szCs w:val="18"/>
              </w:rPr>
              <w:t>ratislavskom</w:t>
            </w:r>
            <w:r w:rsidRPr="002A7B0D">
              <w:rPr>
                <w:sz w:val="18"/>
                <w:szCs w:val="18"/>
              </w:rPr>
              <w:t xml:space="preserve"> kraji</w:t>
            </w:r>
          </w:p>
          <w:p w:rsidR="00631911" w:rsidRPr="00453377" w:rsidRDefault="00631911" w:rsidP="006B2B18">
            <w:pPr>
              <w:numPr>
                <w:ilvl w:val="0"/>
                <w:numId w:val="23"/>
              </w:numPr>
              <w:spacing w:after="0" w:line="240" w:lineRule="auto"/>
              <w:jc w:val="left"/>
              <w:rPr>
                <w:sz w:val="18"/>
                <w:szCs w:val="18"/>
              </w:rPr>
            </w:pPr>
            <w:r w:rsidRPr="00453377">
              <w:rPr>
                <w:sz w:val="18"/>
                <w:szCs w:val="18"/>
              </w:rPr>
              <w:t>Autonómne pôsobenie sektorov vzdelávania,</w:t>
            </w:r>
            <w:r>
              <w:rPr>
                <w:sz w:val="18"/>
                <w:szCs w:val="18"/>
              </w:rPr>
              <w:t xml:space="preserve"> </w:t>
            </w:r>
            <w:r w:rsidRPr="00453377">
              <w:rPr>
                <w:sz w:val="18"/>
                <w:szCs w:val="18"/>
              </w:rPr>
              <w:t>VaI a podnikateľskej praxe, ktorého dôsledkom je rozdielne chápanie VaI</w:t>
            </w:r>
          </w:p>
          <w:p w:rsidR="00631911" w:rsidRPr="00453377" w:rsidRDefault="00631911" w:rsidP="006B2B18">
            <w:pPr>
              <w:numPr>
                <w:ilvl w:val="0"/>
                <w:numId w:val="23"/>
              </w:numPr>
              <w:spacing w:after="0" w:line="240" w:lineRule="auto"/>
              <w:jc w:val="left"/>
              <w:rPr>
                <w:sz w:val="18"/>
                <w:szCs w:val="18"/>
              </w:rPr>
            </w:pPr>
            <w:r w:rsidRPr="00453377">
              <w:rPr>
                <w:sz w:val="18"/>
                <w:szCs w:val="18"/>
              </w:rPr>
              <w:t>Meniaca sa štruktúra obyvateľstva so vzrastajúcim podielom obyvateľstva s nedostatočnou kvalitou vzdelania a nízkymi pracovnými zručnosťami</w:t>
            </w:r>
          </w:p>
          <w:p w:rsidR="00631911" w:rsidRPr="00453377" w:rsidRDefault="00631911" w:rsidP="006B2B18">
            <w:pPr>
              <w:numPr>
                <w:ilvl w:val="0"/>
                <w:numId w:val="23"/>
              </w:numPr>
              <w:spacing w:after="0" w:line="240" w:lineRule="auto"/>
              <w:jc w:val="left"/>
              <w:rPr>
                <w:sz w:val="18"/>
                <w:szCs w:val="18"/>
              </w:rPr>
            </w:pPr>
            <w:r w:rsidRPr="00453377">
              <w:rPr>
                <w:sz w:val="18"/>
                <w:szCs w:val="18"/>
              </w:rPr>
              <w:t>Pretrvávajúca orientácia vzdelávania do oblastí nekorešpondujúcich s</w:t>
            </w:r>
            <w:r>
              <w:rPr>
                <w:sz w:val="18"/>
                <w:szCs w:val="18"/>
              </w:rPr>
              <w:t xml:space="preserve"> </w:t>
            </w:r>
            <w:r w:rsidRPr="00453377">
              <w:rPr>
                <w:sz w:val="18"/>
                <w:szCs w:val="18"/>
              </w:rPr>
              <w:t>potrebami hospodárskej praxe a znalostnej spoločnosti</w:t>
            </w:r>
          </w:p>
          <w:p w:rsidR="00631911" w:rsidRPr="00453377" w:rsidRDefault="00631911" w:rsidP="006B2B18">
            <w:pPr>
              <w:numPr>
                <w:ilvl w:val="0"/>
                <w:numId w:val="23"/>
              </w:numPr>
              <w:spacing w:after="0" w:line="240" w:lineRule="auto"/>
              <w:jc w:val="left"/>
              <w:rPr>
                <w:sz w:val="18"/>
                <w:szCs w:val="18"/>
              </w:rPr>
            </w:pPr>
            <w:r w:rsidRPr="00453377">
              <w:rPr>
                <w:sz w:val="18"/>
                <w:szCs w:val="18"/>
              </w:rPr>
              <w:t>Zhoršujúca sa štruktúra</w:t>
            </w:r>
            <w:r>
              <w:rPr>
                <w:sz w:val="18"/>
                <w:szCs w:val="18"/>
              </w:rPr>
              <w:t xml:space="preserve"> a </w:t>
            </w:r>
            <w:r w:rsidRPr="00453377">
              <w:rPr>
                <w:sz w:val="18"/>
                <w:szCs w:val="18"/>
              </w:rPr>
              <w:t>kvalita absolventov vzdelávacieho procesu. Chýbajúci absolventi najmä v technických</w:t>
            </w:r>
            <w:r>
              <w:rPr>
                <w:sz w:val="18"/>
                <w:szCs w:val="18"/>
              </w:rPr>
              <w:t xml:space="preserve"> </w:t>
            </w:r>
            <w:r w:rsidRPr="00453377">
              <w:rPr>
                <w:sz w:val="18"/>
                <w:szCs w:val="18"/>
              </w:rPr>
              <w:t>a prírodovedných smeroch</w:t>
            </w:r>
          </w:p>
          <w:p w:rsidR="00631911" w:rsidRPr="00453377" w:rsidRDefault="00631911" w:rsidP="006B2B18">
            <w:pPr>
              <w:numPr>
                <w:ilvl w:val="0"/>
                <w:numId w:val="23"/>
              </w:numPr>
              <w:spacing w:after="0" w:line="240" w:lineRule="auto"/>
              <w:jc w:val="left"/>
              <w:rPr>
                <w:sz w:val="18"/>
                <w:szCs w:val="18"/>
              </w:rPr>
            </w:pPr>
            <w:r w:rsidRPr="00453377">
              <w:rPr>
                <w:sz w:val="18"/>
                <w:szCs w:val="18"/>
              </w:rPr>
              <w:t>Pretrvávajúci odliv talentov do zahraničia</w:t>
            </w:r>
          </w:p>
          <w:p w:rsidR="00631911" w:rsidRPr="00453377" w:rsidRDefault="00631911" w:rsidP="006B2B18">
            <w:pPr>
              <w:numPr>
                <w:ilvl w:val="0"/>
                <w:numId w:val="23"/>
              </w:numPr>
              <w:spacing w:after="0" w:line="240" w:lineRule="auto"/>
              <w:jc w:val="left"/>
              <w:rPr>
                <w:sz w:val="18"/>
                <w:szCs w:val="18"/>
              </w:rPr>
            </w:pPr>
            <w:r w:rsidRPr="00453377">
              <w:rPr>
                <w:sz w:val="18"/>
                <w:szCs w:val="18"/>
              </w:rPr>
              <w:t>Nevyváženosť vekovej štruktúry zamestnancov</w:t>
            </w:r>
          </w:p>
          <w:p w:rsidR="00631911" w:rsidRPr="00453377" w:rsidRDefault="00631911" w:rsidP="006B2B18">
            <w:pPr>
              <w:spacing w:after="0" w:line="240" w:lineRule="auto"/>
              <w:ind w:left="360"/>
              <w:jc w:val="left"/>
              <w:rPr>
                <w:bCs/>
              </w:rPr>
            </w:pPr>
          </w:p>
        </w:tc>
      </w:tr>
    </w:tbl>
    <w:p w:rsidR="00631911" w:rsidRPr="00631911" w:rsidRDefault="00631911" w:rsidP="00631911"/>
    <w:p w:rsidR="009659FB" w:rsidRPr="00CA1ACD" w:rsidRDefault="009659FB" w:rsidP="00993458">
      <w:pPr>
        <w:pStyle w:val="Odsekzoznamu1"/>
        <w:spacing w:after="0"/>
        <w:ind w:left="714"/>
      </w:pPr>
    </w:p>
    <w:p w:rsidR="003F7412" w:rsidRPr="00CA1ACD" w:rsidRDefault="003F7412" w:rsidP="003F7412">
      <w:pPr>
        <w:spacing w:before="240"/>
        <w:rPr>
          <w:b/>
        </w:rPr>
        <w:sectPr w:rsidR="003F7412" w:rsidRPr="00CA1ACD" w:rsidSect="003F7412">
          <w:headerReference w:type="default" r:id="rId22"/>
          <w:footerReference w:type="default" r:id="rId23"/>
          <w:pgSz w:w="11906" w:h="16838"/>
          <w:pgMar w:top="1418" w:right="1418" w:bottom="1418" w:left="1418" w:header="709" w:footer="709" w:gutter="0"/>
          <w:cols w:space="282"/>
          <w:docGrid w:linePitch="360"/>
        </w:sectPr>
      </w:pPr>
    </w:p>
    <w:p w:rsidR="009B4A3B" w:rsidRPr="00DF7A23" w:rsidRDefault="00631911" w:rsidP="00791A72">
      <w:pPr>
        <w:pStyle w:val="Nadpis1"/>
        <w:numPr>
          <w:ilvl w:val="0"/>
          <w:numId w:val="37"/>
        </w:numPr>
      </w:pPr>
      <w:bookmarkStart w:id="171" w:name="_Toc366744177"/>
      <w:r w:rsidRPr="00DF7A23">
        <w:lastRenderedPageBreak/>
        <w:t>Identifikácia oblastí špecializácie SR pre RIS3</w:t>
      </w:r>
      <w:bookmarkEnd w:id="171"/>
    </w:p>
    <w:p w:rsidR="00631911" w:rsidRPr="00CA1ACD" w:rsidRDefault="00631911" w:rsidP="00AB6F2E">
      <w:pPr>
        <w:spacing w:after="0"/>
        <w:ind w:firstLine="426"/>
      </w:pPr>
      <w:r w:rsidRPr="00CA1ACD">
        <w:t>Na základe analýzy vývoja ekonomiky Slovenskej republiky</w:t>
      </w:r>
      <w:r>
        <w:t xml:space="preserve"> </w:t>
      </w:r>
      <w:r w:rsidRPr="00CA1ACD">
        <w:t xml:space="preserve">boli identifikované </w:t>
      </w:r>
      <w:r w:rsidRPr="00CA1ACD">
        <w:rPr>
          <w:b/>
          <w:bCs/>
        </w:rPr>
        <w:t xml:space="preserve">oblasti špecializácie </w:t>
      </w:r>
      <w:r w:rsidRPr="00CA1ACD">
        <w:rPr>
          <w:bCs/>
        </w:rPr>
        <w:t>vychádzajúce z ukotvených tradičných hospodárskych odvetví a</w:t>
      </w:r>
      <w:r w:rsidRPr="00CA1ACD">
        <w:t xml:space="preserve"> </w:t>
      </w:r>
      <w:r w:rsidRPr="00CA1ACD">
        <w:rPr>
          <w:b/>
          <w:bCs/>
        </w:rPr>
        <w:t>perspektívne oblasti špecializácie</w:t>
      </w:r>
      <w:r w:rsidRPr="00CA1ACD">
        <w:rPr>
          <w:bCs/>
        </w:rPr>
        <w:t xml:space="preserve"> z rýchlo rastúcich odvetví na Slovensku, ktoré ukazujú vysoký potenciál rozvoja pre </w:t>
      </w:r>
      <w:r>
        <w:rPr>
          <w:bCs/>
        </w:rPr>
        <w:t>s</w:t>
      </w:r>
      <w:r w:rsidRPr="00CA1ACD">
        <w:rPr>
          <w:bCs/>
        </w:rPr>
        <w:t>lovenskú ekonomiku. Základom pre špecializáciu je analýza vývoja ekonomiky, infraštruktúry a </w:t>
      </w:r>
      <w:r w:rsidRPr="008F2D85">
        <w:rPr>
          <w:bCs/>
        </w:rPr>
        <w:t>kapacít VaI</w:t>
      </w:r>
      <w:r w:rsidRPr="00CA1ACD">
        <w:rPr>
          <w:b/>
          <w:bCs/>
        </w:rPr>
        <w:t xml:space="preserve"> </w:t>
      </w:r>
      <w:r w:rsidRPr="00CA1ACD">
        <w:rPr>
          <w:bCs/>
        </w:rPr>
        <w:t>a ich vzájomné prepojenie. Alokácia priemyslu na Slovensku nie je vždy paralelne rozložená ako VaI kapacity. Preto je potrebné pre využitie oboch potenciálov na jednej strane vytvoriť možnosti VaI pre existujúce podniky a na druhej vytvoriť prostredie pre vznik podnikov využívajúcich už vybudované kapacity VaI</w:t>
      </w:r>
      <w:r w:rsidRPr="003C713F">
        <w:rPr>
          <w:bCs/>
        </w:rPr>
        <w:t xml:space="preserve">. Pre čo najlepšie využitie celkového potenciálu a synergií je potrebné, aby prioritné oblasti boli v čo najlepšom vzájomnom pozitívnom efekte </w:t>
      </w:r>
      <w:r w:rsidRPr="00A105D0">
        <w:rPr>
          <w:bCs/>
        </w:rPr>
        <w:t xml:space="preserve">vo vzťahu k </w:t>
      </w:r>
      <w:r w:rsidRPr="003C713F">
        <w:rPr>
          <w:bCs/>
        </w:rPr>
        <w:t xml:space="preserve"> okolité</w:t>
      </w:r>
      <w:r w:rsidRPr="00A105D0">
        <w:rPr>
          <w:bCs/>
        </w:rPr>
        <w:t>mu</w:t>
      </w:r>
      <w:r w:rsidRPr="003C713F">
        <w:rPr>
          <w:bCs/>
        </w:rPr>
        <w:t xml:space="preserve"> prostredi</w:t>
      </w:r>
      <w:r w:rsidRPr="00A105D0">
        <w:rPr>
          <w:bCs/>
        </w:rPr>
        <w:t>u</w:t>
      </w:r>
      <w:r w:rsidRPr="003C713F">
        <w:rPr>
          <w:bCs/>
        </w:rPr>
        <w:t xml:space="preserve"> a spoločnos</w:t>
      </w:r>
      <w:r w:rsidRPr="00A105D0">
        <w:rPr>
          <w:bCs/>
        </w:rPr>
        <w:t>ti</w:t>
      </w:r>
      <w:r w:rsidRPr="003C713F">
        <w:rPr>
          <w:bCs/>
        </w:rPr>
        <w:t xml:space="preserve">. Tým by sa dosiahla národná a hlavne regionálna konkurencieschopnosť podnikateľských subjektov nielen na lokálnom, ale aj na globálnom trhu, čo prispeje k zvýšeniu celkovej konkurencieschopnosti Európskej </w:t>
      </w:r>
      <w:r w:rsidRPr="00A105D0">
        <w:rPr>
          <w:bCs/>
        </w:rPr>
        <w:t>ú</w:t>
      </w:r>
      <w:r w:rsidR="00AB6F2E">
        <w:rPr>
          <w:bCs/>
        </w:rPr>
        <w:t>nie</w:t>
      </w:r>
      <w:r w:rsidRPr="003C713F">
        <w:rPr>
          <w:bCs/>
        </w:rPr>
        <w:t>.</w:t>
      </w:r>
    </w:p>
    <w:p w:rsidR="00631911" w:rsidRPr="00CA1ACD" w:rsidRDefault="003875FC" w:rsidP="00631911">
      <w:pPr>
        <w:pStyle w:val="Nadpis2"/>
        <w:numPr>
          <w:ilvl w:val="1"/>
          <w:numId w:val="37"/>
        </w:numPr>
      </w:pPr>
      <w:bookmarkStart w:id="172" w:name="_Toc366744178"/>
      <w:r>
        <w:t>O</w:t>
      </w:r>
      <w:r w:rsidR="00631911" w:rsidRPr="00CA1ACD">
        <w:t>blasti</w:t>
      </w:r>
      <w:r w:rsidR="00631911">
        <w:t xml:space="preserve"> </w:t>
      </w:r>
      <w:r w:rsidR="00631911" w:rsidRPr="00CA1ACD">
        <w:t>hospodárskej špecializácie</w:t>
      </w:r>
      <w:bookmarkEnd w:id="172"/>
    </w:p>
    <w:p w:rsidR="00631911" w:rsidRPr="00CA1ACD" w:rsidRDefault="00631911" w:rsidP="00631911">
      <w:pPr>
        <w:pStyle w:val="Odsekzoznamu1"/>
        <w:numPr>
          <w:ilvl w:val="0"/>
          <w:numId w:val="16"/>
        </w:numPr>
        <w:spacing w:after="0" w:line="240" w:lineRule="auto"/>
      </w:pPr>
      <w:r w:rsidRPr="00CA1ACD">
        <w:t>Automobilový priemysel a strojárstvo</w:t>
      </w:r>
    </w:p>
    <w:p w:rsidR="00631911" w:rsidRPr="00CA1ACD" w:rsidRDefault="00631911" w:rsidP="00631911">
      <w:pPr>
        <w:pStyle w:val="Odsekzoznamu1"/>
        <w:numPr>
          <w:ilvl w:val="0"/>
          <w:numId w:val="16"/>
        </w:numPr>
        <w:spacing w:after="0" w:line="240" w:lineRule="auto"/>
      </w:pPr>
      <w:r w:rsidRPr="00CA1ACD">
        <w:t>Spotrebná elektronika a elektrické prístroje</w:t>
      </w:r>
    </w:p>
    <w:p w:rsidR="00631911" w:rsidRPr="00CA1ACD" w:rsidRDefault="00631911" w:rsidP="00631911">
      <w:pPr>
        <w:pStyle w:val="Odsekzoznamu1"/>
        <w:numPr>
          <w:ilvl w:val="0"/>
          <w:numId w:val="16"/>
        </w:numPr>
        <w:spacing w:after="0" w:line="240" w:lineRule="auto"/>
      </w:pPr>
      <w:r>
        <w:t>I</w:t>
      </w:r>
      <w:r w:rsidRPr="00CA1ACD">
        <w:t>nformačné</w:t>
      </w:r>
      <w:r>
        <w:t xml:space="preserve"> a komunikačné produkty a </w:t>
      </w:r>
      <w:r w:rsidRPr="00CA1ACD">
        <w:t>služby</w:t>
      </w:r>
    </w:p>
    <w:p w:rsidR="00631911" w:rsidRPr="00CA1ACD" w:rsidRDefault="00631911" w:rsidP="00631911">
      <w:pPr>
        <w:pStyle w:val="Odsekzoznamu1"/>
        <w:numPr>
          <w:ilvl w:val="0"/>
          <w:numId w:val="16"/>
        </w:numPr>
        <w:spacing w:after="0" w:line="240" w:lineRule="auto"/>
      </w:pPr>
      <w:r w:rsidRPr="00CA1ACD">
        <w:t>Výroba a spracovanie železa a ocele</w:t>
      </w:r>
    </w:p>
    <w:p w:rsidR="00631911" w:rsidRPr="00CA1ACD" w:rsidRDefault="00631911" w:rsidP="00631911">
      <w:pPr>
        <w:tabs>
          <w:tab w:val="left" w:pos="1534"/>
        </w:tabs>
        <w:spacing w:after="0" w:line="240" w:lineRule="auto"/>
      </w:pPr>
      <w:r>
        <w:tab/>
      </w:r>
    </w:p>
    <w:p w:rsidR="00631911" w:rsidRPr="00CA1ACD" w:rsidRDefault="00631911" w:rsidP="00631911">
      <w:pPr>
        <w:pStyle w:val="Odsekzoznamu1"/>
        <w:spacing w:line="240" w:lineRule="auto"/>
        <w:ind w:left="0"/>
        <w:rPr>
          <w:b/>
        </w:rPr>
      </w:pPr>
      <w:r w:rsidRPr="00CA1ACD">
        <w:rPr>
          <w:b/>
        </w:rPr>
        <w:t>Rozvojové tendencie pre oblasti hospodárskej</w:t>
      </w:r>
      <w:r>
        <w:rPr>
          <w:b/>
        </w:rPr>
        <w:t xml:space="preserve"> </w:t>
      </w:r>
      <w:r w:rsidRPr="00CA1ACD">
        <w:rPr>
          <w:b/>
        </w:rPr>
        <w:t>špecializácie ekonomiky</w:t>
      </w:r>
      <w:r>
        <w:rPr>
          <w:b/>
        </w:rPr>
        <w:t>:</w:t>
      </w:r>
    </w:p>
    <w:p w:rsidR="00631911" w:rsidRPr="00CA1ACD" w:rsidRDefault="00631911" w:rsidP="00631911">
      <w:pPr>
        <w:pStyle w:val="Odsekzoznamu1"/>
        <w:numPr>
          <w:ilvl w:val="0"/>
          <w:numId w:val="17"/>
        </w:numPr>
        <w:tabs>
          <w:tab w:val="clear" w:pos="720"/>
        </w:tabs>
        <w:spacing w:after="0" w:line="240" w:lineRule="auto"/>
        <w:ind w:left="540"/>
      </w:pPr>
      <w:r w:rsidRPr="00CA1ACD">
        <w:t>zvyšovanie domácej pridanej hodnoty produktov, najmä efektívnym transferom technológií a výsledkov vedy a výskumu do výrobného procesu</w:t>
      </w:r>
      <w:r>
        <w:t>,</w:t>
      </w:r>
    </w:p>
    <w:p w:rsidR="00631911" w:rsidRDefault="00631911" w:rsidP="00631911">
      <w:pPr>
        <w:pStyle w:val="Odsekzoznamu1"/>
        <w:numPr>
          <w:ilvl w:val="0"/>
          <w:numId w:val="17"/>
        </w:numPr>
        <w:tabs>
          <w:tab w:val="clear" w:pos="720"/>
        </w:tabs>
        <w:spacing w:after="0" w:line="240" w:lineRule="auto"/>
        <w:ind w:left="540"/>
      </w:pPr>
      <w:r w:rsidRPr="00CA1ACD">
        <w:t>rozvoj výrobných postupov v priemysle orientovaných na lepšie využívanie</w:t>
      </w:r>
      <w:r>
        <w:t xml:space="preserve"> </w:t>
      </w:r>
      <w:r w:rsidRPr="00CA1ACD">
        <w:t xml:space="preserve">dostupných zdrojov, vyššiu mieru recyklácie a využívanie materiálov priateľských k životnému prostrediu </w:t>
      </w:r>
      <w:r>
        <w:t xml:space="preserve">využitím </w:t>
      </w:r>
      <w:r w:rsidRPr="00CA1ACD">
        <w:t>vedecko-technologického rozvoja a</w:t>
      </w:r>
      <w:r>
        <w:t> </w:t>
      </w:r>
      <w:r w:rsidRPr="00CA1ACD">
        <w:t>inovácií</w:t>
      </w:r>
      <w:r>
        <w:t>,</w:t>
      </w:r>
    </w:p>
    <w:p w:rsidR="00631911" w:rsidRPr="00C708EE" w:rsidRDefault="00631911" w:rsidP="00631911">
      <w:pPr>
        <w:pStyle w:val="Odsekzoznamu1"/>
        <w:numPr>
          <w:ilvl w:val="0"/>
          <w:numId w:val="17"/>
        </w:numPr>
        <w:tabs>
          <w:tab w:val="clear" w:pos="720"/>
        </w:tabs>
        <w:spacing w:after="0" w:line="240" w:lineRule="auto"/>
        <w:ind w:left="540"/>
      </w:pPr>
      <w:r w:rsidRPr="00C708EE">
        <w:t>využívanie, nasadenie a nahrádzanie doposiaľ používaných materiálov za materiály moderné s novým a vyšším komplexom úžitkových vlastností, včítane technologickej spracovateľnosti (obrábanie, tvárnenie, spájanie</w:t>
      </w:r>
      <w:r>
        <w:t>),</w:t>
      </w:r>
    </w:p>
    <w:p w:rsidR="00631911" w:rsidRPr="00C708EE" w:rsidRDefault="00631911" w:rsidP="00631911">
      <w:pPr>
        <w:pStyle w:val="Odsekzoznamu1"/>
        <w:numPr>
          <w:ilvl w:val="0"/>
          <w:numId w:val="17"/>
        </w:numPr>
        <w:tabs>
          <w:tab w:val="clear" w:pos="720"/>
        </w:tabs>
        <w:spacing w:after="0" w:line="240" w:lineRule="auto"/>
        <w:ind w:left="540"/>
      </w:pPr>
      <w:r w:rsidRPr="00C708EE">
        <w:t>rozvoj technologických investičných celkov, najmä v o</w:t>
      </w:r>
      <w:r w:rsidR="00A833DE">
        <w:t>blasti hutníctva, strojárenstva</w:t>
      </w:r>
      <w:r w:rsidRPr="00C708EE">
        <w:t>, energetiky a integrovaných priemyselných zariadení, s ohľadom na aplikáciu a použitie ľahkých kovov a moderných materiálov vo výrobe dopravnej a stavebnej techniky s cieľom znižovania celkovej hmotnosti a príspevku k zelenej ekonomike</w:t>
      </w:r>
      <w:r>
        <w:t xml:space="preserve">, </w:t>
      </w:r>
      <w:r w:rsidRPr="00C708EE">
        <w:t>vývoj a aplikačné využitie kompozitných materiálov</w:t>
      </w:r>
      <w:r>
        <w:t>,</w:t>
      </w:r>
      <w:r w:rsidRPr="00C708EE">
        <w:t xml:space="preserve"> </w:t>
      </w:r>
    </w:p>
    <w:p w:rsidR="00631911" w:rsidRPr="00CA1ACD" w:rsidRDefault="00631911" w:rsidP="00631911">
      <w:pPr>
        <w:pStyle w:val="Odsekzoznamu1"/>
        <w:numPr>
          <w:ilvl w:val="0"/>
          <w:numId w:val="17"/>
        </w:numPr>
        <w:tabs>
          <w:tab w:val="clear" w:pos="720"/>
        </w:tabs>
        <w:spacing w:after="0" w:line="240" w:lineRule="auto"/>
        <w:ind w:left="540"/>
      </w:pPr>
      <w:r w:rsidRPr="00C708EE">
        <w:t>rozvoj technologických</w:t>
      </w:r>
      <w:r w:rsidRPr="00CA1ACD">
        <w:t xml:space="preserve"> investičných celkov, najmä v oblasti energetiky a priemyselných zariadení, s ohľadom na internacionalizáciu aktivít a rozvoj tzv</w:t>
      </w:r>
      <w:r w:rsidRPr="003C713F">
        <w:t>. „emerging countries“,</w:t>
      </w:r>
    </w:p>
    <w:p w:rsidR="00631911" w:rsidRPr="00CA1ACD" w:rsidRDefault="00631911" w:rsidP="00631911">
      <w:pPr>
        <w:pStyle w:val="Odsekzoznamu1"/>
        <w:numPr>
          <w:ilvl w:val="0"/>
          <w:numId w:val="17"/>
        </w:numPr>
        <w:tabs>
          <w:tab w:val="clear" w:pos="720"/>
        </w:tabs>
        <w:spacing w:after="0" w:line="240" w:lineRule="auto"/>
        <w:ind w:left="540"/>
      </w:pPr>
      <w:r w:rsidRPr="00CA1ACD">
        <w:t>zefektívnenie produkčných a logistických procesov</w:t>
      </w:r>
      <w:r>
        <w:t>,</w:t>
      </w:r>
    </w:p>
    <w:p w:rsidR="00631911" w:rsidRPr="00CA1ACD" w:rsidRDefault="00631911" w:rsidP="00631911">
      <w:pPr>
        <w:pStyle w:val="Odsekzoznamu1"/>
        <w:numPr>
          <w:ilvl w:val="0"/>
          <w:numId w:val="17"/>
        </w:numPr>
        <w:tabs>
          <w:tab w:val="clear" w:pos="720"/>
        </w:tabs>
        <w:spacing w:after="0" w:line="240" w:lineRule="auto"/>
        <w:ind w:left="540"/>
      </w:pPr>
      <w:r w:rsidRPr="00CA1ACD">
        <w:t>použitie robotizácie a IKT vo výrobných procesoch</w:t>
      </w:r>
      <w:r>
        <w:t>,</w:t>
      </w:r>
    </w:p>
    <w:p w:rsidR="00631911" w:rsidRPr="00CA1ACD" w:rsidRDefault="00631911" w:rsidP="00631911">
      <w:pPr>
        <w:pStyle w:val="Odsekzoznamu1"/>
        <w:numPr>
          <w:ilvl w:val="0"/>
          <w:numId w:val="17"/>
        </w:numPr>
        <w:tabs>
          <w:tab w:val="clear" w:pos="720"/>
        </w:tabs>
        <w:spacing w:after="0" w:line="240" w:lineRule="auto"/>
        <w:ind w:left="540"/>
      </w:pPr>
      <w:r w:rsidRPr="00CA1ACD">
        <w:t xml:space="preserve">zapojenie sa do dodávateľských reťazcov a internacionalizácia </w:t>
      </w:r>
      <w:r>
        <w:t>(</w:t>
      </w:r>
      <w:r w:rsidRPr="00CA1ACD">
        <w:t>„aj nákup kooperácie je nákupom“</w:t>
      </w:r>
      <w:r>
        <w:t>)</w:t>
      </w:r>
    </w:p>
    <w:p w:rsidR="00631911" w:rsidRPr="00CA1ACD" w:rsidRDefault="00631911" w:rsidP="00631911">
      <w:pPr>
        <w:pStyle w:val="Odsekzoznamu1"/>
        <w:numPr>
          <w:ilvl w:val="0"/>
          <w:numId w:val="17"/>
        </w:numPr>
        <w:tabs>
          <w:tab w:val="clear" w:pos="720"/>
        </w:tabs>
        <w:spacing w:after="0" w:line="240" w:lineRule="auto"/>
        <w:ind w:left="540"/>
      </w:pPr>
      <w:r w:rsidRPr="00CA1ACD">
        <w:t>transfer know-how od veľkých k malým a naopak v rámci kooperačných vzťahov</w:t>
      </w:r>
      <w:r>
        <w:t>,</w:t>
      </w:r>
    </w:p>
    <w:p w:rsidR="00631911" w:rsidRPr="00CA1ACD" w:rsidRDefault="00631911" w:rsidP="00631911">
      <w:pPr>
        <w:pStyle w:val="Odsekzoznamu1"/>
        <w:numPr>
          <w:ilvl w:val="0"/>
          <w:numId w:val="17"/>
        </w:numPr>
        <w:tabs>
          <w:tab w:val="clear" w:pos="720"/>
        </w:tabs>
        <w:spacing w:after="0" w:line="240" w:lineRule="auto"/>
        <w:ind w:left="540"/>
      </w:pPr>
      <w:r w:rsidRPr="00CA1ACD">
        <w:t>energetická efektívnosť a obnoviteľné zdroje energií</w:t>
      </w:r>
      <w:r>
        <w:t>.</w:t>
      </w:r>
    </w:p>
    <w:p w:rsidR="00631911" w:rsidRPr="00CA1ACD" w:rsidRDefault="003875FC" w:rsidP="00631911">
      <w:pPr>
        <w:pStyle w:val="Nadpis2"/>
        <w:numPr>
          <w:ilvl w:val="1"/>
          <w:numId w:val="37"/>
        </w:numPr>
      </w:pPr>
      <w:bookmarkStart w:id="173" w:name="_Toc366744179"/>
      <w:r>
        <w:t>P</w:t>
      </w:r>
      <w:r w:rsidR="00631911" w:rsidRPr="00CA1ACD">
        <w:t>erspektívne oblasti špecializácie</w:t>
      </w:r>
      <w:bookmarkEnd w:id="173"/>
    </w:p>
    <w:p w:rsidR="00631911" w:rsidRPr="00CA1ACD" w:rsidRDefault="00631911" w:rsidP="00631911">
      <w:pPr>
        <w:pStyle w:val="Odsekzoznamu1"/>
        <w:numPr>
          <w:ilvl w:val="0"/>
          <w:numId w:val="16"/>
        </w:numPr>
        <w:spacing w:after="0" w:line="240" w:lineRule="auto"/>
      </w:pPr>
      <w:r w:rsidRPr="00CA1ACD">
        <w:t>Automatizácia, robotika a digitálne technológie</w:t>
      </w:r>
    </w:p>
    <w:p w:rsidR="00631911" w:rsidRPr="00CA1ACD" w:rsidRDefault="00631911" w:rsidP="00631911">
      <w:pPr>
        <w:pStyle w:val="Odsekzoznamu1"/>
        <w:numPr>
          <w:ilvl w:val="0"/>
          <w:numId w:val="16"/>
        </w:numPr>
        <w:spacing w:after="0" w:line="240" w:lineRule="auto"/>
      </w:pPr>
      <w:r w:rsidRPr="00CA1ACD">
        <w:t>Spracovanie a zhodnotenie ľahkých kovov a ich zliatin</w:t>
      </w:r>
    </w:p>
    <w:p w:rsidR="00631911" w:rsidRPr="00CA1ACD" w:rsidRDefault="00631911" w:rsidP="00631911">
      <w:pPr>
        <w:pStyle w:val="Odsekzoznamu1"/>
        <w:numPr>
          <w:ilvl w:val="0"/>
          <w:numId w:val="16"/>
        </w:numPr>
        <w:spacing w:after="0" w:line="240" w:lineRule="auto"/>
      </w:pPr>
      <w:r w:rsidRPr="00CA1ACD">
        <w:t>Výroba a spracovanie plastov</w:t>
      </w:r>
    </w:p>
    <w:p w:rsidR="00631911" w:rsidRDefault="00631911" w:rsidP="00631911">
      <w:pPr>
        <w:pStyle w:val="Odsekzoznamu1"/>
        <w:numPr>
          <w:ilvl w:val="0"/>
          <w:numId w:val="16"/>
        </w:numPr>
        <w:spacing w:after="0" w:line="240" w:lineRule="auto"/>
      </w:pPr>
      <w:r w:rsidRPr="00CA1ACD">
        <w:t>Kreatívny priemysel</w:t>
      </w:r>
    </w:p>
    <w:p w:rsidR="00631911" w:rsidRPr="00CA1ACD" w:rsidRDefault="00631911" w:rsidP="00631911">
      <w:pPr>
        <w:pStyle w:val="Odsekzoznamu1"/>
        <w:numPr>
          <w:ilvl w:val="0"/>
          <w:numId w:val="16"/>
        </w:numPr>
        <w:spacing w:after="0" w:line="240" w:lineRule="auto"/>
      </w:pPr>
      <w:r>
        <w:t>Zhodnocovanie domácej surovinovej základne</w:t>
      </w:r>
    </w:p>
    <w:p w:rsidR="00631911" w:rsidRPr="00CA1ACD" w:rsidRDefault="00631911" w:rsidP="00631911">
      <w:pPr>
        <w:pStyle w:val="Odsekzoznamu1"/>
        <w:spacing w:after="0" w:line="240" w:lineRule="auto"/>
        <w:ind w:left="360"/>
      </w:pPr>
    </w:p>
    <w:p w:rsidR="00631911" w:rsidRPr="00CA1ACD" w:rsidRDefault="00631911" w:rsidP="00631911">
      <w:pPr>
        <w:pStyle w:val="Odsekzoznamu1"/>
        <w:spacing w:line="240" w:lineRule="auto"/>
        <w:ind w:left="0"/>
        <w:rPr>
          <w:b/>
        </w:rPr>
      </w:pPr>
      <w:r w:rsidRPr="00CA1ACD">
        <w:rPr>
          <w:b/>
        </w:rPr>
        <w:t>Rozvojové tendencie v perspektívnych oblastiach špecializácie</w:t>
      </w:r>
      <w:r>
        <w:rPr>
          <w:b/>
        </w:rPr>
        <w:t>:</w:t>
      </w:r>
    </w:p>
    <w:p w:rsidR="00631911" w:rsidRPr="00CA1ACD" w:rsidRDefault="00631911" w:rsidP="00631911">
      <w:pPr>
        <w:pStyle w:val="Odsekzoznamu1"/>
        <w:numPr>
          <w:ilvl w:val="0"/>
          <w:numId w:val="17"/>
        </w:numPr>
        <w:tabs>
          <w:tab w:val="clear" w:pos="720"/>
        </w:tabs>
        <w:spacing w:after="0" w:line="240" w:lineRule="auto"/>
        <w:ind w:left="540"/>
      </w:pPr>
      <w:r w:rsidRPr="00CA1ACD">
        <w:t>nové technológie umožňujúce prenos, spracovanie a uchovávanie dát</w:t>
      </w:r>
      <w:r>
        <w:t>,</w:t>
      </w:r>
    </w:p>
    <w:p w:rsidR="00631911" w:rsidRPr="00CA1ACD" w:rsidRDefault="00631911" w:rsidP="00631911">
      <w:pPr>
        <w:pStyle w:val="Odsekzoznamu1"/>
        <w:numPr>
          <w:ilvl w:val="0"/>
          <w:numId w:val="17"/>
        </w:numPr>
        <w:tabs>
          <w:tab w:val="clear" w:pos="720"/>
        </w:tabs>
        <w:spacing w:after="0" w:line="240" w:lineRule="auto"/>
        <w:ind w:left="540"/>
      </w:pPr>
      <w:r w:rsidRPr="00CA1ACD">
        <w:t>inteligentné produkčné systémy</w:t>
      </w:r>
      <w:r>
        <w:t>,</w:t>
      </w:r>
    </w:p>
    <w:p w:rsidR="00631911" w:rsidRPr="00CA1ACD" w:rsidRDefault="00631911" w:rsidP="00631911">
      <w:pPr>
        <w:pStyle w:val="Odsekzoznamu1"/>
        <w:numPr>
          <w:ilvl w:val="0"/>
          <w:numId w:val="17"/>
        </w:numPr>
        <w:tabs>
          <w:tab w:val="clear" w:pos="720"/>
        </w:tabs>
        <w:spacing w:after="0" w:line="240" w:lineRule="auto"/>
        <w:ind w:left="540"/>
      </w:pPr>
      <w:r w:rsidRPr="00CA1ACD">
        <w:t>inteligentná a priemyselná doprava</w:t>
      </w:r>
      <w:r>
        <w:t>,</w:t>
      </w:r>
    </w:p>
    <w:p w:rsidR="00631911" w:rsidRPr="00CA1ACD" w:rsidRDefault="00631911" w:rsidP="00631911">
      <w:pPr>
        <w:pStyle w:val="Odsekzoznamu1"/>
        <w:numPr>
          <w:ilvl w:val="0"/>
          <w:numId w:val="17"/>
        </w:numPr>
        <w:tabs>
          <w:tab w:val="clear" w:pos="720"/>
        </w:tabs>
        <w:spacing w:after="0" w:line="240" w:lineRule="auto"/>
        <w:ind w:left="540"/>
      </w:pPr>
      <w:r w:rsidRPr="00CA1ACD">
        <w:t>technológie pre inteligentný manažment spotreby smart produktov</w:t>
      </w:r>
      <w:r>
        <w:t>,</w:t>
      </w:r>
    </w:p>
    <w:p w:rsidR="00631911" w:rsidRDefault="00631911" w:rsidP="00631911">
      <w:pPr>
        <w:pStyle w:val="Odsekzoznamu1"/>
        <w:numPr>
          <w:ilvl w:val="0"/>
          <w:numId w:val="17"/>
        </w:numPr>
        <w:tabs>
          <w:tab w:val="clear" w:pos="720"/>
        </w:tabs>
        <w:spacing w:after="0" w:line="240" w:lineRule="auto"/>
        <w:ind w:left="540"/>
      </w:pPr>
      <w:r w:rsidRPr="00CA1ACD">
        <w:t xml:space="preserve">technológie a služby </w:t>
      </w:r>
      <w:r>
        <w:t xml:space="preserve">pre </w:t>
      </w:r>
      <w:r w:rsidRPr="00CA1ACD">
        <w:t>aktívny život a starnutie, t.j. pre zdravotnú starostlivosť, diagnostiku a</w:t>
      </w:r>
      <w:r>
        <w:t> </w:t>
      </w:r>
      <w:r w:rsidRPr="00CA1ACD">
        <w:t>wellness</w:t>
      </w:r>
      <w:r>
        <w:t>,</w:t>
      </w:r>
    </w:p>
    <w:p w:rsidR="00631911" w:rsidRPr="00CA1ACD" w:rsidRDefault="00631911" w:rsidP="00631911">
      <w:pPr>
        <w:pStyle w:val="Odsekzoznamu1"/>
        <w:numPr>
          <w:ilvl w:val="0"/>
          <w:numId w:val="17"/>
        </w:numPr>
        <w:tabs>
          <w:tab w:val="clear" w:pos="720"/>
        </w:tabs>
        <w:spacing w:after="0" w:line="240" w:lineRule="auto"/>
        <w:ind w:left="540"/>
      </w:pPr>
      <w:r w:rsidRPr="00B766D6">
        <w:lastRenderedPageBreak/>
        <w:t xml:space="preserve">podpory </w:t>
      </w:r>
      <w:r>
        <w:t xml:space="preserve">inteligentných technológií </w:t>
      </w:r>
      <w:r w:rsidRPr="00B766D6">
        <w:t xml:space="preserve">v oblasti spracovania </w:t>
      </w:r>
      <w:r>
        <w:t xml:space="preserve">surovín </w:t>
      </w:r>
      <w:r w:rsidRPr="00B766D6">
        <w:t>v</w:t>
      </w:r>
      <w:r>
        <w:t> </w:t>
      </w:r>
      <w:r w:rsidRPr="00B766D6">
        <w:t>región</w:t>
      </w:r>
      <w:r>
        <w:t>och výskytu.</w:t>
      </w:r>
    </w:p>
    <w:p w:rsidR="00631911" w:rsidRPr="00665E4D" w:rsidRDefault="00631911" w:rsidP="00665E4D">
      <w:pPr>
        <w:pStyle w:val="Odsekzoznamu1"/>
        <w:spacing w:before="240" w:after="0" w:line="240" w:lineRule="auto"/>
        <w:ind w:left="0"/>
        <w:rPr>
          <w:iCs/>
        </w:rPr>
      </w:pPr>
      <w:r w:rsidRPr="00E81CEB">
        <w:rPr>
          <w:i/>
          <w:iCs/>
        </w:rPr>
        <w:t>Niektoré identifikované oblasti špecializácie majú čiastočne vytvorené podmienky zvyšovania svojej ekonomickej výkonnosti a konkurencieschopnosti prostredníctvom realizácie VaI aktivít aj v spolupráci s VaI organizáciami s infraštruktúrnymi kapacitami. Pre zefektívnenie ich činnosti však bude potrebné dobudovať potrebnú štruktúru, mechanizmy a</w:t>
      </w:r>
      <w:r>
        <w:rPr>
          <w:iCs/>
        </w:rPr>
        <w:t> </w:t>
      </w:r>
      <w:r w:rsidRPr="00E81CEB">
        <w:rPr>
          <w:i/>
          <w:iCs/>
        </w:rPr>
        <w:t>väzby</w:t>
      </w:r>
      <w:r w:rsidRPr="00A105D0">
        <w:rPr>
          <w:i/>
          <w:iCs/>
        </w:rPr>
        <w:t>,</w:t>
      </w:r>
      <w:r w:rsidRPr="00E81CEB">
        <w:rPr>
          <w:i/>
          <w:iCs/>
        </w:rPr>
        <w:t xml:space="preserve"> ktoré prispejú k zvýšeniu ich inovačnej výkonnosti</w:t>
      </w:r>
      <w:r w:rsidRPr="00A105D0">
        <w:rPr>
          <w:iCs/>
        </w:rPr>
        <w:t xml:space="preserve">. </w:t>
      </w:r>
    </w:p>
    <w:p w:rsidR="00631911" w:rsidRPr="00E17D9A" w:rsidRDefault="003875FC" w:rsidP="00631911">
      <w:pPr>
        <w:pStyle w:val="Nadpis2"/>
        <w:numPr>
          <w:ilvl w:val="1"/>
          <w:numId w:val="37"/>
        </w:numPr>
      </w:pPr>
      <w:bookmarkStart w:id="174" w:name="_Toc366744180"/>
      <w:r>
        <w:t>O</w:t>
      </w:r>
      <w:r w:rsidR="00631911" w:rsidRPr="00E17D9A">
        <w:t>blasti špecializácie z hľadiska dostupných</w:t>
      </w:r>
      <w:r w:rsidR="00631911">
        <w:t xml:space="preserve"> vedeckých a výskumných kapacít</w:t>
      </w:r>
      <w:bookmarkEnd w:id="174"/>
    </w:p>
    <w:p w:rsidR="00631911" w:rsidRDefault="00631911" w:rsidP="00631911">
      <w:pPr>
        <w:pStyle w:val="Odsekzoznamu1"/>
        <w:numPr>
          <w:ilvl w:val="0"/>
          <w:numId w:val="16"/>
        </w:numPr>
        <w:spacing w:after="0" w:line="240" w:lineRule="auto"/>
      </w:pPr>
      <w:r>
        <w:t>m</w:t>
      </w:r>
      <w:r w:rsidRPr="00E17D9A">
        <w:t>ateriálový výskum a</w:t>
      </w:r>
      <w:r>
        <w:t> </w:t>
      </w:r>
      <w:r w:rsidRPr="00E17D9A">
        <w:t>nanotechnológie</w:t>
      </w:r>
      <w:r>
        <w:t xml:space="preserve">, </w:t>
      </w:r>
    </w:p>
    <w:p w:rsidR="00631911" w:rsidRPr="00E17D9A" w:rsidRDefault="00665E4D" w:rsidP="00631911">
      <w:pPr>
        <w:pStyle w:val="Odsekzoznamu1"/>
        <w:numPr>
          <w:ilvl w:val="0"/>
          <w:numId w:val="16"/>
        </w:numPr>
        <w:spacing w:after="0" w:line="240" w:lineRule="auto"/>
      </w:pPr>
      <w:r>
        <w:t>informačno-</w:t>
      </w:r>
      <w:r w:rsidR="00631911">
        <w:t>komunikačné technológie,</w:t>
      </w:r>
    </w:p>
    <w:p w:rsidR="00631911" w:rsidRPr="0057461B" w:rsidRDefault="00631911" w:rsidP="00631911">
      <w:pPr>
        <w:pStyle w:val="Odsekzoznamu1"/>
        <w:numPr>
          <w:ilvl w:val="0"/>
          <w:numId w:val="16"/>
        </w:numPr>
        <w:spacing w:after="0" w:line="240" w:lineRule="auto"/>
      </w:pPr>
      <w:r w:rsidRPr="0057461B">
        <w:t>biomedicína a</w:t>
      </w:r>
      <w:r>
        <w:t> </w:t>
      </w:r>
      <w:r w:rsidRPr="0057461B">
        <w:t>biotechnológie</w:t>
      </w:r>
      <w:r>
        <w:t xml:space="preserve">, </w:t>
      </w:r>
    </w:p>
    <w:p w:rsidR="00631911" w:rsidRPr="0057461B" w:rsidRDefault="00631911" w:rsidP="00631911">
      <w:pPr>
        <w:pStyle w:val="Odsekzoznamu1"/>
        <w:numPr>
          <w:ilvl w:val="0"/>
          <w:numId w:val="16"/>
        </w:numPr>
        <w:spacing w:after="0" w:line="240" w:lineRule="auto"/>
      </w:pPr>
      <w:r w:rsidRPr="0057461B">
        <w:t>životné prostredie a pôdohospodárstvo ,</w:t>
      </w:r>
    </w:p>
    <w:p w:rsidR="00631911" w:rsidRPr="0057461B" w:rsidRDefault="00631911" w:rsidP="00631911">
      <w:pPr>
        <w:pStyle w:val="Odsekzoznamu1"/>
        <w:numPr>
          <w:ilvl w:val="0"/>
          <w:numId w:val="16"/>
        </w:numPr>
        <w:spacing w:after="0" w:line="240" w:lineRule="auto"/>
      </w:pPr>
      <w:r w:rsidRPr="0057461B">
        <w:t>udržateľná energetika a energie</w:t>
      </w:r>
      <w:r>
        <w:t>.</w:t>
      </w:r>
      <w:r w:rsidRPr="0057461B">
        <w:t xml:space="preserve"> </w:t>
      </w:r>
    </w:p>
    <w:p w:rsidR="00631911" w:rsidRDefault="00631911" w:rsidP="00631911">
      <w:pPr>
        <w:pStyle w:val="Odsekzoznamu1"/>
        <w:spacing w:after="0" w:line="240" w:lineRule="auto"/>
        <w:ind w:left="0"/>
        <w:rPr>
          <w:b/>
          <w:color w:val="0070C0"/>
        </w:rPr>
      </w:pPr>
    </w:p>
    <w:p w:rsidR="00631911" w:rsidRPr="00CA1ACD" w:rsidRDefault="00631911" w:rsidP="00631911">
      <w:pPr>
        <w:pStyle w:val="Odsekzoznamu1"/>
        <w:spacing w:line="240" w:lineRule="auto"/>
        <w:ind w:left="0"/>
        <w:rPr>
          <w:b/>
        </w:rPr>
      </w:pPr>
      <w:r w:rsidRPr="00CA1ACD">
        <w:rPr>
          <w:b/>
        </w:rPr>
        <w:t>Rozvojové tendencie na základe dostupných VaI kapacít</w:t>
      </w:r>
      <w:r>
        <w:rPr>
          <w:b/>
        </w:rPr>
        <w:t>:</w:t>
      </w:r>
    </w:p>
    <w:p w:rsidR="00631911" w:rsidRPr="00FE3527" w:rsidRDefault="00631911" w:rsidP="00631911">
      <w:pPr>
        <w:pStyle w:val="Odsekzoznamu1"/>
        <w:numPr>
          <w:ilvl w:val="0"/>
          <w:numId w:val="17"/>
        </w:numPr>
        <w:tabs>
          <w:tab w:val="clear" w:pos="720"/>
        </w:tabs>
        <w:spacing w:after="0" w:line="240" w:lineRule="auto"/>
        <w:ind w:left="540"/>
      </w:pPr>
      <w:r w:rsidRPr="00EB4296">
        <w:t>VaI v oblasti nových materiál</w:t>
      </w:r>
      <w:r>
        <w:t>ov, ich komponentov</w:t>
      </w:r>
      <w:r w:rsidRPr="00EB4296">
        <w:t xml:space="preserve"> a ich využitia  v</w:t>
      </w:r>
      <w:r w:rsidRPr="007E4D5A">
        <w:t> </w:t>
      </w:r>
      <w:r w:rsidRPr="004A09B3">
        <w:t>praxi</w:t>
      </w:r>
      <w:r w:rsidRPr="003818F2">
        <w:t>,</w:t>
      </w:r>
      <w:r w:rsidRPr="00FE3527">
        <w:t xml:space="preserve"> </w:t>
      </w:r>
    </w:p>
    <w:p w:rsidR="00631911" w:rsidRPr="00185C90" w:rsidRDefault="00631911" w:rsidP="00631911">
      <w:pPr>
        <w:pStyle w:val="Odsekzoznamu1"/>
        <w:numPr>
          <w:ilvl w:val="0"/>
          <w:numId w:val="17"/>
        </w:numPr>
        <w:tabs>
          <w:tab w:val="clear" w:pos="720"/>
        </w:tabs>
        <w:spacing w:after="0" w:line="240" w:lineRule="auto"/>
        <w:ind w:left="540"/>
      </w:pPr>
      <w:r w:rsidRPr="00FB0966">
        <w:t>VaI</w:t>
      </w:r>
      <w:r w:rsidRPr="006958A8">
        <w:t xml:space="preserve"> v oblasti spájania dynamických častí strojov a mechanizmov za účelom zvyšovania životnosti a výkonnosti zariadení, </w:t>
      </w:r>
    </w:p>
    <w:p w:rsidR="00631911" w:rsidRPr="007E4D5A" w:rsidRDefault="00631911" w:rsidP="00631911">
      <w:pPr>
        <w:pStyle w:val="Odsekzoznamu1"/>
        <w:numPr>
          <w:ilvl w:val="0"/>
          <w:numId w:val="17"/>
        </w:numPr>
        <w:tabs>
          <w:tab w:val="clear" w:pos="720"/>
        </w:tabs>
        <w:spacing w:after="0" w:line="240" w:lineRule="auto"/>
        <w:ind w:left="540"/>
      </w:pPr>
      <w:r w:rsidRPr="00185C90">
        <w:t>v </w:t>
      </w:r>
      <w:r w:rsidRPr="00EB4296">
        <w:t>oblasti plastov výskum orientovaný napr. na využívanie recyklovateľnosti a biodegradovateľných plastov v špecifických aplikáciách so zníženou záťažou na životné prostredie po ukončení doby životnosti</w:t>
      </w:r>
      <w:r w:rsidRPr="007E4D5A">
        <w:t>,</w:t>
      </w:r>
    </w:p>
    <w:p w:rsidR="00631911" w:rsidRPr="00185C90" w:rsidRDefault="00631911" w:rsidP="00631911">
      <w:pPr>
        <w:pStyle w:val="Odsekzoznamu1"/>
        <w:numPr>
          <w:ilvl w:val="0"/>
          <w:numId w:val="17"/>
        </w:numPr>
        <w:tabs>
          <w:tab w:val="clear" w:pos="720"/>
        </w:tabs>
        <w:spacing w:after="0" w:line="240" w:lineRule="auto"/>
        <w:ind w:left="540"/>
      </w:pPr>
      <w:r w:rsidRPr="00FB0966">
        <w:t xml:space="preserve">VaI v oblasti zvárania, </w:t>
      </w:r>
      <w:r w:rsidRPr="006958A8">
        <w:t>navárania  a aj netradičného spájania komponentov</w:t>
      </w:r>
      <w:r w:rsidRPr="00185C90">
        <w:t>,</w:t>
      </w:r>
    </w:p>
    <w:p w:rsidR="00631911" w:rsidRPr="00EB4296" w:rsidRDefault="00631911" w:rsidP="00631911">
      <w:pPr>
        <w:pStyle w:val="Odsekzoznamu1"/>
        <w:numPr>
          <w:ilvl w:val="0"/>
          <w:numId w:val="17"/>
        </w:numPr>
        <w:tabs>
          <w:tab w:val="clear" w:pos="720"/>
        </w:tabs>
        <w:spacing w:after="0" w:line="240" w:lineRule="auto"/>
        <w:ind w:left="540"/>
      </w:pPr>
      <w:r w:rsidRPr="00EB4296">
        <w:t xml:space="preserve">v oblasti VaI technológií  pre prieskum a ťažbu surovín,  </w:t>
      </w:r>
    </w:p>
    <w:p w:rsidR="00631911" w:rsidRPr="00EB4296" w:rsidRDefault="00631911" w:rsidP="00631911">
      <w:pPr>
        <w:pStyle w:val="Odsekzoznamu1"/>
        <w:numPr>
          <w:ilvl w:val="0"/>
          <w:numId w:val="17"/>
        </w:numPr>
        <w:tabs>
          <w:tab w:val="clear" w:pos="720"/>
        </w:tabs>
        <w:spacing w:after="0" w:line="240" w:lineRule="auto"/>
        <w:ind w:left="540"/>
      </w:pPr>
      <w:r w:rsidRPr="00EB4296">
        <w:t>VaI technológií získavania elektrickej energie a tepla z obnoviteľných zdrojov (voda, slnko, vietor, biomasa a geotermálnej energie),</w:t>
      </w:r>
    </w:p>
    <w:p w:rsidR="00631911" w:rsidRPr="00CA1ACD" w:rsidRDefault="00631911" w:rsidP="00631911">
      <w:pPr>
        <w:pStyle w:val="Odsekzoznamu1"/>
        <w:numPr>
          <w:ilvl w:val="0"/>
          <w:numId w:val="17"/>
        </w:numPr>
        <w:tabs>
          <w:tab w:val="clear" w:pos="720"/>
        </w:tabs>
        <w:spacing w:after="0" w:line="240" w:lineRule="auto"/>
        <w:ind w:left="540"/>
      </w:pPr>
      <w:r w:rsidRPr="007E4D5A">
        <w:t>výskum v jadrovej energetike so zameraním</w:t>
      </w:r>
      <w:r w:rsidRPr="00CA1ACD">
        <w:t xml:space="preserve"> na bezpečnosť</w:t>
      </w:r>
      <w:r>
        <w:t>,</w:t>
      </w:r>
      <w:r w:rsidRPr="00CA1ACD">
        <w:t xml:space="preserve"> uloženie vyhoreného paliva; výskum reaktorov štvrtej generácie a problematiky jadrovej fúzie</w:t>
      </w:r>
      <w:r>
        <w:t>,</w:t>
      </w:r>
      <w:r w:rsidRPr="00CA1ACD">
        <w:t xml:space="preserve"> účasť Slovenska v globálnych projektoch</w:t>
      </w:r>
      <w:r>
        <w:t>,</w:t>
      </w:r>
      <w:r w:rsidRPr="00CA1ACD">
        <w:t xml:space="preserve"> </w:t>
      </w:r>
    </w:p>
    <w:p w:rsidR="00631911" w:rsidRDefault="00631911" w:rsidP="00631911">
      <w:pPr>
        <w:pStyle w:val="Odsekzoznamu1"/>
        <w:numPr>
          <w:ilvl w:val="0"/>
          <w:numId w:val="17"/>
        </w:numPr>
        <w:tabs>
          <w:tab w:val="clear" w:pos="720"/>
        </w:tabs>
        <w:spacing w:after="0" w:line="240" w:lineRule="auto"/>
        <w:ind w:left="540"/>
      </w:pPr>
      <w:r w:rsidRPr="00CA1ACD">
        <w:t xml:space="preserve">vývoj </w:t>
      </w:r>
      <w:r>
        <w:t xml:space="preserve">v oblasti zlepšovania účinnosti </w:t>
      </w:r>
      <w:r w:rsidRPr="00CA1ACD">
        <w:t>systémov prenosu energie</w:t>
      </w:r>
      <w:r>
        <w:t>,</w:t>
      </w:r>
    </w:p>
    <w:p w:rsidR="00631911" w:rsidRPr="00665E4D" w:rsidRDefault="00631911" w:rsidP="00665E4D">
      <w:pPr>
        <w:pStyle w:val="Odsekzoznamu1"/>
        <w:numPr>
          <w:ilvl w:val="0"/>
          <w:numId w:val="17"/>
        </w:numPr>
        <w:tabs>
          <w:tab w:val="clear" w:pos="720"/>
        </w:tabs>
        <w:spacing w:line="240" w:lineRule="auto"/>
        <w:ind w:left="540"/>
      </w:pPr>
      <w:r>
        <w:t xml:space="preserve">vývoj riešení v kontexte adaptácie na zmenu klímy a posilňovania vnútornej bezpečnosti. </w:t>
      </w:r>
    </w:p>
    <w:p w:rsidR="00631911" w:rsidRPr="008F2D85" w:rsidRDefault="00631911" w:rsidP="00631911">
      <w:pPr>
        <w:pStyle w:val="Odsekzoznamu1"/>
        <w:ind w:left="0" w:firstLine="426"/>
        <w:rPr>
          <w:i/>
          <w:iCs/>
        </w:rPr>
      </w:pPr>
      <w:r w:rsidRPr="008F2D85">
        <w:rPr>
          <w:i/>
          <w:iCs/>
        </w:rPr>
        <w:t>Uvedené perspektívne oblasti v súčasnej dobe nemajú v rámci Slovenskej republiky vytvorené dostatočné podmienky pre ekonomické zhodnotenie</w:t>
      </w:r>
      <w:r>
        <w:rPr>
          <w:i/>
          <w:iCs/>
        </w:rPr>
        <w:t>,</w:t>
      </w:r>
      <w:r w:rsidRPr="008F2D85">
        <w:rPr>
          <w:i/>
          <w:iCs/>
        </w:rPr>
        <w:t xml:space="preserve"> a preto bude potrebné dobudovať väzby medzi vedecko-výskumnými pracoviskami a podnikateľským sektorom, ako aj mechanizmy priameho ekonomického zhodnocovania. </w:t>
      </w:r>
    </w:p>
    <w:p w:rsidR="00631911" w:rsidRPr="00CA1ACD" w:rsidRDefault="00631911" w:rsidP="00631911">
      <w:pPr>
        <w:ind w:firstLine="360"/>
        <w:rPr>
          <w:lang w:eastAsia="sk-SK"/>
        </w:rPr>
      </w:pPr>
      <w:r w:rsidRPr="00CA1ACD">
        <w:rPr>
          <w:lang w:eastAsia="sk-SK"/>
        </w:rPr>
        <w:t>Podporou uvedených identifikovaných prioritných oblastí sa dosiahne pozitívny efekt pri riešení celospoločenských tém</w:t>
      </w:r>
      <w:r>
        <w:rPr>
          <w:lang w:eastAsia="sk-SK"/>
        </w:rPr>
        <w:t>, akými sú</w:t>
      </w:r>
      <w:r w:rsidRPr="00CA1ACD">
        <w:rPr>
          <w:lang w:eastAsia="sk-SK"/>
        </w:rPr>
        <w:t>:</w:t>
      </w:r>
    </w:p>
    <w:p w:rsidR="00631911" w:rsidRPr="00CA1ACD" w:rsidRDefault="00631911" w:rsidP="00631911">
      <w:pPr>
        <w:pStyle w:val="Odsekzoznamu1"/>
        <w:numPr>
          <w:ilvl w:val="0"/>
          <w:numId w:val="2"/>
        </w:numPr>
        <w:spacing w:after="0"/>
        <w:ind w:left="714" w:hanging="357"/>
      </w:pPr>
      <w:r>
        <w:t>u</w:t>
      </w:r>
      <w:r w:rsidRPr="00CA1ACD">
        <w:t>platnenie mladých ľudí v meniacich sa podmienkach</w:t>
      </w:r>
      <w:r>
        <w:t>,</w:t>
      </w:r>
      <w:r w:rsidRPr="00CA1ACD">
        <w:t xml:space="preserve"> </w:t>
      </w:r>
    </w:p>
    <w:p w:rsidR="00631911" w:rsidRPr="00CA1ACD" w:rsidRDefault="00631911" w:rsidP="00631911">
      <w:pPr>
        <w:pStyle w:val="Odsekzoznamu1"/>
        <w:numPr>
          <w:ilvl w:val="0"/>
          <w:numId w:val="2"/>
        </w:numPr>
        <w:spacing w:after="0"/>
        <w:ind w:left="714" w:hanging="357"/>
      </w:pPr>
      <w:r>
        <w:t>s</w:t>
      </w:r>
      <w:r w:rsidRPr="00CA1ACD">
        <w:t>tarnutie populácie a kvalita života</w:t>
      </w:r>
      <w:r>
        <w:t>,</w:t>
      </w:r>
    </w:p>
    <w:p w:rsidR="00631911" w:rsidRPr="00CA1ACD" w:rsidRDefault="00631911" w:rsidP="00631911">
      <w:pPr>
        <w:pStyle w:val="Odsekzoznamu1"/>
        <w:numPr>
          <w:ilvl w:val="0"/>
          <w:numId w:val="2"/>
        </w:numPr>
        <w:spacing w:after="0"/>
        <w:ind w:left="714" w:hanging="357"/>
      </w:pPr>
      <w:r>
        <w:t>m</w:t>
      </w:r>
      <w:r w:rsidRPr="00CA1ACD">
        <w:t>arginalizované skupiny a sociálna inklúzia</w:t>
      </w:r>
      <w:r>
        <w:t>,</w:t>
      </w:r>
    </w:p>
    <w:p w:rsidR="00631911" w:rsidRDefault="00631911" w:rsidP="00631911">
      <w:pPr>
        <w:pStyle w:val="Odsekzoznamu1"/>
        <w:numPr>
          <w:ilvl w:val="0"/>
          <w:numId w:val="2"/>
        </w:numPr>
        <w:spacing w:after="0"/>
        <w:ind w:left="714" w:hanging="357"/>
      </w:pPr>
      <w:r>
        <w:t>z</w:t>
      </w:r>
      <w:r w:rsidRPr="00CA1ACD">
        <w:t>nižovanie emisií, ochrana a lepšie využívanie prírodných zdrojov (hlavne vody, pôdy a lesov)</w:t>
      </w:r>
      <w:r>
        <w:t>,</w:t>
      </w:r>
    </w:p>
    <w:p w:rsidR="00631911" w:rsidRDefault="00631911" w:rsidP="00631911">
      <w:pPr>
        <w:pStyle w:val="Odsekzoznamu1"/>
        <w:numPr>
          <w:ilvl w:val="0"/>
          <w:numId w:val="2"/>
        </w:numPr>
        <w:spacing w:after="0"/>
        <w:ind w:left="714" w:hanging="357"/>
      </w:pPr>
      <w:r>
        <w:t xml:space="preserve">adaptácia na zmenu klímy, </w:t>
      </w:r>
    </w:p>
    <w:p w:rsidR="00631911" w:rsidRPr="00CA1ACD" w:rsidRDefault="00631911" w:rsidP="00631911">
      <w:pPr>
        <w:pStyle w:val="Odsekzoznamu1"/>
        <w:spacing w:after="0"/>
        <w:ind w:left="714"/>
      </w:pPr>
      <w:r>
        <w:t>atď.</w:t>
      </w:r>
      <w:r w:rsidRPr="00CA1ACD">
        <w:t xml:space="preserve"> </w:t>
      </w:r>
    </w:p>
    <w:p w:rsidR="00631911" w:rsidRPr="00631911" w:rsidRDefault="00631911" w:rsidP="00631911">
      <w:pPr>
        <w:rPr>
          <w:highlight w:val="yellow"/>
        </w:rPr>
      </w:pPr>
    </w:p>
    <w:p w:rsidR="00F87C5A" w:rsidRDefault="00F87C5A" w:rsidP="00DE6157">
      <w:pPr>
        <w:rPr>
          <w:b/>
          <w:color w:val="0070C0"/>
        </w:rPr>
      </w:pPr>
    </w:p>
    <w:p w:rsidR="00BB1CED" w:rsidRPr="00621249" w:rsidRDefault="00F87C5A" w:rsidP="00791A72">
      <w:pPr>
        <w:pStyle w:val="Nadpis1"/>
        <w:numPr>
          <w:ilvl w:val="0"/>
          <w:numId w:val="37"/>
        </w:numPr>
      </w:pPr>
      <w:r>
        <w:rPr>
          <w:b/>
          <w:color w:val="0070C0"/>
        </w:rPr>
        <w:br w:type="page"/>
      </w:r>
      <w:bookmarkStart w:id="175" w:name="_Toc365831818"/>
      <w:bookmarkStart w:id="176" w:name="_Toc365832010"/>
      <w:bookmarkStart w:id="177" w:name="_Toc366744181"/>
      <w:r w:rsidR="00BB1CED" w:rsidRPr="00621249">
        <w:lastRenderedPageBreak/>
        <w:t>VEREJNÁ SPRÁVA (GOVERNANCE) RIADENIA PROCESOV TVORBY A IMPLEMENTÁCIE RIS3</w:t>
      </w:r>
      <w:bookmarkEnd w:id="175"/>
      <w:bookmarkEnd w:id="176"/>
      <w:bookmarkEnd w:id="177"/>
    </w:p>
    <w:p w:rsidR="00BB1CED" w:rsidRPr="00621249" w:rsidRDefault="00BB1CED" w:rsidP="008F2D85">
      <w:pPr>
        <w:ind w:firstLine="426"/>
      </w:pPr>
      <w:r w:rsidRPr="00621249">
        <w:t>Tvorba stratégie pre inteligentnú špecializáciu</w:t>
      </w:r>
      <w:r>
        <w:t xml:space="preserve"> Slovenskej republiky vychádza</w:t>
      </w:r>
      <w:r w:rsidRPr="00621249">
        <w:t xml:space="preserve"> zo základných dokumentov EÚ</w:t>
      </w:r>
      <w:r w:rsidRPr="00621249">
        <w:rPr>
          <w:vertAlign w:val="superscript"/>
        </w:rPr>
        <w:footnoteReference w:id="9"/>
      </w:r>
      <w:r w:rsidRPr="00621249">
        <w:t xml:space="preserve"> a základnej metodiky tvorby RIS3</w:t>
      </w:r>
      <w:r w:rsidRPr="00621249">
        <w:rPr>
          <w:vertAlign w:val="superscript"/>
        </w:rPr>
        <w:footnoteReference w:id="10"/>
      </w:r>
      <w:r w:rsidRPr="00621249">
        <w:t xml:space="preserve"> a</w:t>
      </w:r>
      <w:r w:rsidR="0082731D">
        <w:t xml:space="preserve"> z praktických </w:t>
      </w:r>
      <w:r w:rsidRPr="00621249">
        <w:t>skúsenost</w:t>
      </w:r>
      <w:r w:rsidR="0082731D">
        <w:t>í</w:t>
      </w:r>
      <w:r w:rsidRPr="00621249">
        <w:t xml:space="preserve"> pri spracovaní </w:t>
      </w:r>
      <w:r w:rsidR="0082731D">
        <w:t xml:space="preserve">komplexných strategických </w:t>
      </w:r>
      <w:r w:rsidRPr="00621249">
        <w:t>dokumentov v</w:t>
      </w:r>
      <w:r w:rsidR="00ED79A9">
        <w:t xml:space="preserve"> poslednom </w:t>
      </w:r>
      <w:r w:rsidRPr="00621249">
        <w:t xml:space="preserve"> období v SR</w:t>
      </w:r>
      <w:r w:rsidRPr="00621249">
        <w:rPr>
          <w:vertAlign w:val="superscript"/>
        </w:rPr>
        <w:footnoteReference w:id="11"/>
      </w:r>
      <w:r w:rsidRPr="00621249">
        <w:t xml:space="preserve">. </w:t>
      </w:r>
      <w:r>
        <w:t>Do spracovania boli</w:t>
      </w:r>
      <w:r w:rsidR="00134F8E">
        <w:t xml:space="preserve"> </w:t>
      </w:r>
      <w:r>
        <w:t>zapojení všetci rozhodujúci účastníci</w:t>
      </w:r>
      <w:r w:rsidRPr="00621249">
        <w:t xml:space="preserve"> (</w:t>
      </w:r>
      <w:r w:rsidR="007B2390">
        <w:t xml:space="preserve">stakeholders) </w:t>
      </w:r>
      <w:r w:rsidRPr="00621249">
        <w:t>ovplyvňujúci tvorbu</w:t>
      </w:r>
      <w:r w:rsidR="0082731D">
        <w:t xml:space="preserve"> </w:t>
      </w:r>
      <w:r w:rsidRPr="00621249">
        <w:t>aj implementáciu stratégie na princípe štvorpartity (</w:t>
      </w:r>
      <w:r w:rsidRPr="0091095D">
        <w:rPr>
          <w:i/>
        </w:rPr>
        <w:t>quadruple</w:t>
      </w:r>
      <w:r w:rsidR="003C713F">
        <w:rPr>
          <w:i/>
        </w:rPr>
        <w:t xml:space="preserve"> </w:t>
      </w:r>
      <w:r w:rsidRPr="0091095D">
        <w:rPr>
          <w:i/>
        </w:rPr>
        <w:t>helix</w:t>
      </w:r>
      <w:r w:rsidR="00ED79A9">
        <w:rPr>
          <w:i/>
        </w:rPr>
        <w:t>)</w:t>
      </w:r>
      <w:r w:rsidRPr="00621249">
        <w:t xml:space="preserve">. </w:t>
      </w:r>
      <w:r w:rsidR="0081519E">
        <w:t>Výsledkom je dokument,</w:t>
      </w:r>
      <w:r w:rsidR="00134F8E">
        <w:t xml:space="preserve"> </w:t>
      </w:r>
      <w:r w:rsidR="0081519E">
        <w:t>ktorý je kon</w:t>
      </w:r>
      <w:r w:rsidR="004A1523">
        <w:t>s</w:t>
      </w:r>
      <w:r w:rsidR="0081519E">
        <w:t xml:space="preserve">enzom </w:t>
      </w:r>
      <w:r w:rsidRPr="00621249">
        <w:t>vytvorený</w:t>
      </w:r>
      <w:r w:rsidR="0081519E">
        <w:t>m</w:t>
      </w:r>
      <w:r w:rsidRPr="00621249">
        <w:t xml:space="preserve"> za účasti vedcov, </w:t>
      </w:r>
      <w:r w:rsidR="0050087D">
        <w:t>podnikateľov</w:t>
      </w:r>
      <w:r w:rsidR="004A1523">
        <w:t xml:space="preserve"> (vrátane MSP)</w:t>
      </w:r>
      <w:r w:rsidR="003C713F">
        <w:t>,</w:t>
      </w:r>
      <w:r w:rsidR="004A1523">
        <w:t xml:space="preserve"> podnikateľských klastrov,</w:t>
      </w:r>
      <w:r w:rsidRPr="00621249">
        <w:t xml:space="preserve"> </w:t>
      </w:r>
      <w:r w:rsidR="0050087D">
        <w:t>akademickej sféry</w:t>
      </w:r>
      <w:r w:rsidRPr="00621249">
        <w:t>, regionálnych samosprávnych štruktúr, občianskych štruktúr, za systematickej konzultácie so zahraničnými expertmi</w:t>
      </w:r>
      <w:r w:rsidR="0050087D">
        <w:t xml:space="preserve"> z EK</w:t>
      </w:r>
      <w:r w:rsidRPr="00621249">
        <w:t xml:space="preserve">. </w:t>
      </w:r>
    </w:p>
    <w:p w:rsidR="00BB1CED" w:rsidRPr="005924D9" w:rsidRDefault="000A00CD" w:rsidP="00791A72">
      <w:pPr>
        <w:pStyle w:val="Nadpis2"/>
        <w:numPr>
          <w:ilvl w:val="1"/>
          <w:numId w:val="37"/>
        </w:numPr>
      </w:pPr>
      <w:bookmarkStart w:id="178" w:name="_Toc365831819"/>
      <w:bookmarkStart w:id="179" w:name="_Toc365832011"/>
      <w:bookmarkStart w:id="180" w:name="_Toc366744182"/>
      <w:r>
        <w:t>Tvorba</w:t>
      </w:r>
      <w:r w:rsidR="00134F8E">
        <w:t xml:space="preserve"> </w:t>
      </w:r>
      <w:r w:rsidR="00BB1CED" w:rsidRPr="005924D9">
        <w:t>RIS3</w:t>
      </w:r>
      <w:bookmarkEnd w:id="178"/>
      <w:bookmarkEnd w:id="179"/>
      <w:bookmarkEnd w:id="180"/>
    </w:p>
    <w:p w:rsidR="00BB1CED" w:rsidRDefault="00BB1CED" w:rsidP="008F2D85">
      <w:pPr>
        <w:ind w:firstLine="426"/>
      </w:pPr>
      <w:r>
        <w:t xml:space="preserve">Práce na spracovaní RIS3 sa nepriamo začali v polovici roku 2012 prípravou dvoch </w:t>
      </w:r>
      <w:r w:rsidR="0081519E">
        <w:t>stratégií SR:</w:t>
      </w:r>
      <w:r w:rsidR="00134F8E">
        <w:t xml:space="preserve"> </w:t>
      </w:r>
      <w:r w:rsidR="0081519E">
        <w:t>S</w:t>
      </w:r>
      <w:r>
        <w:t>trategické smerovani</w:t>
      </w:r>
      <w:r w:rsidR="0081519E">
        <w:t>e</w:t>
      </w:r>
      <w:r>
        <w:t xml:space="preserve"> vedy v SR a </w:t>
      </w:r>
      <w:r w:rsidR="0081519E">
        <w:t>I</w:t>
      </w:r>
      <w:r>
        <w:t>novačn</w:t>
      </w:r>
      <w:r w:rsidR="0081519E">
        <w:t>á</w:t>
      </w:r>
      <w:r>
        <w:t xml:space="preserve"> stratégi</w:t>
      </w:r>
      <w:r w:rsidR="0081519E">
        <w:t>a SR,</w:t>
      </w:r>
      <w:r w:rsidR="00134F8E">
        <w:t xml:space="preserve"> </w:t>
      </w:r>
      <w:r>
        <w:t>obidve v horizonte do roku 2020.</w:t>
      </w:r>
      <w:r w:rsidR="00134F8E">
        <w:t xml:space="preserve"> </w:t>
      </w:r>
      <w:r>
        <w:t xml:space="preserve">Hlavné medzníky spracovania RIS3 sú znázornené na obrázku 1. </w:t>
      </w:r>
    </w:p>
    <w:p w:rsidR="008F2D85" w:rsidRPr="008F2D85" w:rsidRDefault="008F2D85" w:rsidP="008F2D85">
      <w:pPr>
        <w:pStyle w:val="Popis"/>
        <w:rPr>
          <w:i/>
          <w:caps w:val="0"/>
          <w:color w:val="000000"/>
          <w:sz w:val="20"/>
          <w:szCs w:val="20"/>
        </w:rPr>
      </w:pPr>
      <w:r w:rsidRPr="008F2D85">
        <w:rPr>
          <w:i/>
          <w:caps w:val="0"/>
          <w:color w:val="000000"/>
          <w:sz w:val="20"/>
          <w:szCs w:val="20"/>
        </w:rPr>
        <w:t xml:space="preserve">Obrázok </w:t>
      </w:r>
      <w:r w:rsidR="00340117" w:rsidRPr="008F2D85">
        <w:rPr>
          <w:i/>
          <w:caps w:val="0"/>
          <w:color w:val="000000"/>
          <w:sz w:val="20"/>
          <w:szCs w:val="20"/>
        </w:rPr>
        <w:fldChar w:fldCharType="begin"/>
      </w:r>
      <w:r w:rsidRPr="008F2D85">
        <w:rPr>
          <w:i/>
          <w:caps w:val="0"/>
          <w:color w:val="000000"/>
          <w:sz w:val="20"/>
          <w:szCs w:val="20"/>
        </w:rPr>
        <w:instrText xml:space="preserve"> SEQ Obrázok \* ARABIC </w:instrText>
      </w:r>
      <w:r w:rsidR="00340117" w:rsidRPr="008F2D85">
        <w:rPr>
          <w:i/>
          <w:caps w:val="0"/>
          <w:color w:val="000000"/>
          <w:sz w:val="20"/>
          <w:szCs w:val="20"/>
        </w:rPr>
        <w:fldChar w:fldCharType="separate"/>
      </w:r>
      <w:r w:rsidR="000D4A62">
        <w:rPr>
          <w:i/>
          <w:caps w:val="0"/>
          <w:noProof/>
          <w:color w:val="000000"/>
          <w:sz w:val="20"/>
          <w:szCs w:val="20"/>
        </w:rPr>
        <w:t>1</w:t>
      </w:r>
      <w:r w:rsidR="00340117" w:rsidRPr="008F2D85">
        <w:rPr>
          <w:i/>
          <w:caps w:val="0"/>
          <w:color w:val="000000"/>
          <w:sz w:val="20"/>
          <w:szCs w:val="20"/>
        </w:rPr>
        <w:fldChar w:fldCharType="end"/>
      </w:r>
      <w:r w:rsidRPr="008F2D85">
        <w:rPr>
          <w:i/>
          <w:caps w:val="0"/>
          <w:color w:val="000000"/>
          <w:sz w:val="20"/>
          <w:szCs w:val="20"/>
        </w:rPr>
        <w:t xml:space="preserve"> </w:t>
      </w:r>
      <w:r w:rsidRPr="008F2D85">
        <w:rPr>
          <w:b w:val="0"/>
          <w:i/>
          <w:caps w:val="0"/>
          <w:color w:val="000000"/>
          <w:sz w:val="20"/>
          <w:szCs w:val="20"/>
        </w:rPr>
        <w:t>Hlavné medzníky spracovania RIS3</w:t>
      </w:r>
    </w:p>
    <w:p w:rsidR="00BB1CED" w:rsidRDefault="00CD6B77" w:rsidP="00BB1CED">
      <w:pPr>
        <w:keepNext/>
        <w:jc w:val="center"/>
      </w:pPr>
      <w:r>
        <w:rPr>
          <w:noProof/>
          <w:lang w:eastAsia="sk-SK"/>
        </w:rPr>
        <w:drawing>
          <wp:inline distT="0" distB="0" distL="0" distR="0" wp14:anchorId="5802CD7A" wp14:editId="7E9197B6">
            <wp:extent cx="3992343" cy="3010619"/>
            <wp:effectExtent l="19050" t="0" r="8157" b="0"/>
            <wp:docPr id="11"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2590" cy="3010806"/>
                    </a:xfrm>
                    <a:prstGeom prst="rect">
                      <a:avLst/>
                    </a:prstGeom>
                    <a:noFill/>
                    <a:ln>
                      <a:noFill/>
                    </a:ln>
                  </pic:spPr>
                </pic:pic>
              </a:graphicData>
            </a:graphic>
          </wp:inline>
        </w:drawing>
      </w:r>
    </w:p>
    <w:p w:rsidR="00BB1CED" w:rsidRDefault="00BB1CED" w:rsidP="008F2D85">
      <w:pPr>
        <w:ind w:firstLine="425"/>
      </w:pPr>
      <w:r w:rsidRPr="00621249">
        <w:t>Hlavnými</w:t>
      </w:r>
      <w:r w:rsidR="00134F8E">
        <w:t xml:space="preserve"> </w:t>
      </w:r>
      <w:r w:rsidR="00950799">
        <w:t>koordinátormi</w:t>
      </w:r>
      <w:r w:rsidR="00134F8E">
        <w:t xml:space="preserve"> </w:t>
      </w:r>
      <w:r w:rsidRPr="00621249">
        <w:t>a organizátormi</w:t>
      </w:r>
      <w:r w:rsidR="00134F8E">
        <w:t xml:space="preserve"> </w:t>
      </w:r>
      <w:r w:rsidR="00950799">
        <w:t>tvorby</w:t>
      </w:r>
      <w:r w:rsidR="00134F8E">
        <w:t xml:space="preserve"> </w:t>
      </w:r>
      <w:r>
        <w:t xml:space="preserve">RIS3 </w:t>
      </w:r>
      <w:r w:rsidR="00307AD2">
        <w:t xml:space="preserve">boli a sú </w:t>
      </w:r>
      <w:r w:rsidR="0081519E">
        <w:t xml:space="preserve">(aj v zmysle kompetenčného zákona) </w:t>
      </w:r>
      <w:r w:rsidR="00307AD2">
        <w:t xml:space="preserve">MŠVVaŠ SR </w:t>
      </w:r>
      <w:r w:rsidR="0081519E">
        <w:t xml:space="preserve">(kompetencie v oblasti vedy) </w:t>
      </w:r>
      <w:r w:rsidR="00307AD2">
        <w:t>a MH</w:t>
      </w:r>
      <w:r w:rsidR="00134F8E">
        <w:t xml:space="preserve"> </w:t>
      </w:r>
      <w:r>
        <w:t>SR</w:t>
      </w:r>
      <w:r w:rsidR="0081519E">
        <w:t xml:space="preserve"> (kompetencie v oblasti inovácií)</w:t>
      </w:r>
      <w:r>
        <w:t xml:space="preserve">. Novovytvorená </w:t>
      </w:r>
      <w:r w:rsidRPr="00621249">
        <w:rPr>
          <w:b/>
        </w:rPr>
        <w:t>Rada vlády SR</w:t>
      </w:r>
      <w:r w:rsidR="00134F8E">
        <w:rPr>
          <w:b/>
        </w:rPr>
        <w:t xml:space="preserve"> </w:t>
      </w:r>
      <w:r w:rsidRPr="00621249">
        <w:rPr>
          <w:b/>
        </w:rPr>
        <w:t>pre vedu, techniku a inovácie</w:t>
      </w:r>
      <w:r w:rsidR="007B2390">
        <w:t xml:space="preserve"> (</w:t>
      </w:r>
      <w:r w:rsidRPr="00621249">
        <w:t xml:space="preserve">ďalej </w:t>
      </w:r>
      <w:r w:rsidR="00D90CDA">
        <w:t>aj „</w:t>
      </w:r>
      <w:r w:rsidRPr="00621249">
        <w:t>RVTI</w:t>
      </w:r>
      <w:r w:rsidR="00D90CDA">
        <w:t>“</w:t>
      </w:r>
      <w:r w:rsidRPr="00621249">
        <w:t>) prevzala funkciu hlavného riadiaceho článku pri tvorbe RIS3. RVTI je</w:t>
      </w:r>
      <w:r w:rsidR="00134F8E">
        <w:t xml:space="preserve"> </w:t>
      </w:r>
      <w:r w:rsidRPr="00621249">
        <w:t>poradným orgánom vlády SR,</w:t>
      </w:r>
      <w:r w:rsidR="00134F8E">
        <w:t xml:space="preserve"> </w:t>
      </w:r>
      <w:r w:rsidRPr="00621249">
        <w:t>ktorému predsedá predseda vlády SR, jej podpredsedami sú ministri školstva, vedy</w:t>
      </w:r>
      <w:r w:rsidR="00D90CDA">
        <w:t>, výskumu</w:t>
      </w:r>
      <w:r w:rsidRPr="00621249">
        <w:t xml:space="preserve"> a športu a hospodárstva a predseda Slovenskej akadémie vied, členmi sú zástupcovia univerzít, občianskych združení, priemyslu. Radou RVTI bola vytvorená </w:t>
      </w:r>
      <w:r w:rsidR="007B2390">
        <w:rPr>
          <w:b/>
        </w:rPr>
        <w:t>K</w:t>
      </w:r>
      <w:r w:rsidRPr="00621249">
        <w:rPr>
          <w:b/>
        </w:rPr>
        <w:t>oordinačná skupina</w:t>
      </w:r>
      <w:r w:rsidRPr="00621249">
        <w:t xml:space="preserve"> </w:t>
      </w:r>
      <w:r w:rsidRPr="00621249">
        <w:rPr>
          <w:b/>
        </w:rPr>
        <w:t>pre spracovanie RIS3</w:t>
      </w:r>
      <w:r w:rsidRPr="00621249">
        <w:t xml:space="preserve"> zo zástupcov ministerstiev, Slovenskej akadémie vied,</w:t>
      </w:r>
      <w:r w:rsidR="00134F8E">
        <w:t xml:space="preserve"> </w:t>
      </w:r>
      <w:r w:rsidRPr="00621249">
        <w:t>univerzít, občianskych združení, priemyslu. Rada schválila</w:t>
      </w:r>
      <w:r w:rsidR="00134F8E">
        <w:t xml:space="preserve"> </w:t>
      </w:r>
      <w:r w:rsidRPr="00621249">
        <w:t>detailný harmonogram spracovania so zodpovednosťou za jednotlivé činnosti pre spracovanie RIS3. Základnou metódou práce sa stal iteračný postup</w:t>
      </w:r>
      <w:r w:rsidR="00134F8E">
        <w:t xml:space="preserve"> </w:t>
      </w:r>
      <w:r w:rsidRPr="00621249">
        <w:t>zapojenia širokého okruhu špecialistov účastníkov spracovania RIS3 z jednotlivých oblastí</w:t>
      </w:r>
      <w:r w:rsidR="00134F8E">
        <w:t xml:space="preserve"> </w:t>
      </w:r>
      <w:r w:rsidRPr="00621249">
        <w:t xml:space="preserve">SR formou </w:t>
      </w:r>
      <w:r w:rsidRPr="00621249">
        <w:rPr>
          <w:b/>
        </w:rPr>
        <w:t>jednorazových</w:t>
      </w:r>
      <w:r w:rsidRPr="00621249">
        <w:t xml:space="preserve">, ale aj </w:t>
      </w:r>
      <w:r w:rsidRPr="00621249">
        <w:rPr>
          <w:b/>
        </w:rPr>
        <w:t xml:space="preserve">dlhodobých pracovných a expertných </w:t>
      </w:r>
      <w:r w:rsidRPr="00621249">
        <w:rPr>
          <w:b/>
        </w:rPr>
        <w:lastRenderedPageBreak/>
        <w:t>skupín</w:t>
      </w:r>
      <w:r w:rsidRPr="00621249">
        <w:t xml:space="preserve"> do tohto procesu.</w:t>
      </w:r>
      <w:r w:rsidR="008034C7">
        <w:rPr>
          <w:rStyle w:val="Odkaznapoznmkupodiarou"/>
        </w:rPr>
        <w:footnoteRef/>
      </w:r>
      <w:r w:rsidR="008034C7">
        <w:t xml:space="preserve"> Na prácach v</w:t>
      </w:r>
      <w:r w:rsidR="00134F8E">
        <w:t xml:space="preserve"> </w:t>
      </w:r>
      <w:r w:rsidR="008034C7">
        <w:t>jednotlivých oblastiach sa</w:t>
      </w:r>
      <w:r w:rsidR="00134F8E">
        <w:t xml:space="preserve"> </w:t>
      </w:r>
      <w:r w:rsidR="008034C7">
        <w:t>zúčastnilo viac ako 120 odborníkov, ktor</w:t>
      </w:r>
      <w:r w:rsidR="00D90CDA">
        <w:t>í</w:t>
      </w:r>
      <w:r w:rsidR="008034C7">
        <w:t xml:space="preserve"> spracovali sumárny dokument za svoju oblasť, obsahujúci analýzu svetových tendencií v danej vednej a inovačnej oblasti, stav v SR s identifikáciou kritickej masy vo vede a inováciách v SR, potreby SR z pohľadu inteligentnej špecializácie.</w:t>
      </w:r>
      <w:r w:rsidRPr="00621249">
        <w:t xml:space="preserve"> </w:t>
      </w:r>
      <w:r w:rsidRPr="003C713F">
        <w:t>Výraznou mierou boli využívané tímy zo Slovenskej akadémie vied a univerzít SR</w:t>
      </w:r>
      <w:r w:rsidR="003B5469">
        <w:t>, ako aj</w:t>
      </w:r>
      <w:r w:rsidR="007B2390">
        <w:t xml:space="preserve"> zástu</w:t>
      </w:r>
      <w:r w:rsidRPr="003C713F">
        <w:t>p</w:t>
      </w:r>
      <w:r w:rsidR="00A105D0" w:rsidRPr="00A105D0">
        <w:t xml:space="preserve">covia </w:t>
      </w:r>
      <w:r w:rsidRPr="003C713F">
        <w:t>obči</w:t>
      </w:r>
      <w:r w:rsidR="007B2390">
        <w:t>anskych združení a priemyslu (Obrázok</w:t>
      </w:r>
      <w:r w:rsidRPr="003C713F">
        <w:t xml:space="preserve"> 1)</w:t>
      </w:r>
      <w:r w:rsidR="007B2390">
        <w:t>.</w:t>
      </w:r>
      <w:r w:rsidR="00134F8E" w:rsidRPr="003C713F">
        <w:t xml:space="preserve"> </w:t>
      </w:r>
      <w:r w:rsidRPr="003C713F">
        <w:t>Riešenia</w:t>
      </w:r>
      <w:r w:rsidRPr="00621249">
        <w:t xml:space="preserve"> bo</w:t>
      </w:r>
      <w:r w:rsidR="007B2390">
        <w:t>li v týchto skupinách, vrátane K</w:t>
      </w:r>
      <w:r w:rsidRPr="00621249">
        <w:t>oordinačnej skupiny pre spracovanie RIS3, prijímané konsenzuálne. Pre objasnenie cieľov RIS3</w:t>
      </w:r>
      <w:r w:rsidR="00D90CDA">
        <w:t xml:space="preserve"> a</w:t>
      </w:r>
      <w:r w:rsidRPr="00621249">
        <w:t xml:space="preserve"> postupu jej</w:t>
      </w:r>
      <w:r w:rsidR="00134F8E">
        <w:t xml:space="preserve"> </w:t>
      </w:r>
      <w:r w:rsidRPr="00621249">
        <w:t>spracovania boli uskutočnené odborné semináre a pracovné stretnutia za širokej účasti zástupcov podnikateľskej sféry, univerzít, regionálny</w:t>
      </w:r>
      <w:r w:rsidR="00D90CDA">
        <w:t>ch</w:t>
      </w:r>
      <w:r w:rsidRPr="00621249">
        <w:t xml:space="preserve"> samosprávnych krajov, miest a obcí.</w:t>
      </w:r>
      <w:r w:rsidR="00134F8E">
        <w:t xml:space="preserve"> </w:t>
      </w:r>
      <w:r w:rsidRPr="00621249">
        <w:t>Priemyselná bipartita ako orgán sociálneho dialógu zorganizovala semin</w:t>
      </w:r>
      <w:r>
        <w:t xml:space="preserve">ár na tému „Veda ako biznis“ </w:t>
      </w:r>
      <w:r w:rsidRPr="00621249">
        <w:t>za účasti pod</w:t>
      </w:r>
      <w:r>
        <w:t>predsedu EK a predsedu vlády SR a ministrov školstva, vedy, výskumu a športu a ministra hospodárstva SR</w:t>
      </w:r>
      <w:r w:rsidR="00D90CDA">
        <w:t xml:space="preserve">, na ktorom </w:t>
      </w:r>
      <w:r>
        <w:t xml:space="preserve"> bol prediskutovaný postup tvorby, ale najmä spôsob implementácie RIS3</w:t>
      </w:r>
      <w:r w:rsidRPr="00453377">
        <w:t>.</w:t>
      </w:r>
      <w:r w:rsidR="000F1A0E" w:rsidRPr="00453377" w:rsidDel="000F1A0E">
        <w:t xml:space="preserve"> </w:t>
      </w:r>
    </w:p>
    <w:p w:rsidR="00BB1CED" w:rsidRPr="00621249" w:rsidRDefault="00E94FCE" w:rsidP="008F2D85">
      <w:pPr>
        <w:ind w:firstLine="425"/>
      </w:pPr>
      <w:r>
        <w:t xml:space="preserve">Zvolený systém prípravy </w:t>
      </w:r>
      <w:r w:rsidR="00BB1CED" w:rsidRPr="00621249">
        <w:t>RIS3 vytvoril základný predpoklad, aby</w:t>
      </w:r>
      <w:r w:rsidR="00134F8E">
        <w:t xml:space="preserve"> </w:t>
      </w:r>
      <w:r w:rsidR="00BB1CED" w:rsidRPr="00621249">
        <w:t>dokument bol výslednicou</w:t>
      </w:r>
      <w:r w:rsidR="00134F8E">
        <w:t xml:space="preserve"> </w:t>
      </w:r>
      <w:r w:rsidR="00BB1CED" w:rsidRPr="00621249">
        <w:t>širokej spoločenskej zhody na strategick</w:t>
      </w:r>
      <w:r w:rsidR="00D90CDA">
        <w:t>om</w:t>
      </w:r>
      <w:r w:rsidR="00BB1CED" w:rsidRPr="00621249">
        <w:t xml:space="preserve"> smerovan</w:t>
      </w:r>
      <w:r w:rsidR="00D90CDA">
        <w:t>í</w:t>
      </w:r>
      <w:r w:rsidR="00BB1CED" w:rsidRPr="00621249">
        <w:t xml:space="preserve"> k špecializácii SR prostredníctvom vedy a inovácií v budúcom období</w:t>
      </w:r>
      <w:r w:rsidR="00BB1CED">
        <w:t>, najmä v jej implementácii</w:t>
      </w:r>
      <w:r w:rsidR="00BB1CED" w:rsidRPr="00621249">
        <w:t>. Postup práce na princípe štvorpartity (</w:t>
      </w:r>
      <w:r w:rsidR="00BB1CED" w:rsidRPr="0091095D">
        <w:rPr>
          <w:i/>
        </w:rPr>
        <w:t>quadruple helix</w:t>
      </w:r>
      <w:r w:rsidR="00BB1CED" w:rsidRPr="00621249">
        <w:t>) preukázal svoje prednosti. Účasť</w:t>
      </w:r>
      <w:r w:rsidR="00BB1CED">
        <w:t>ou</w:t>
      </w:r>
      <w:r w:rsidR="00BB1CED" w:rsidRPr="00621249">
        <w:t xml:space="preserve"> všetkých zainteresovaných na </w:t>
      </w:r>
      <w:r w:rsidR="00BB1CED">
        <w:t xml:space="preserve">tvorbe </w:t>
      </w:r>
      <w:r w:rsidR="00BB1CED" w:rsidRPr="00621249">
        <w:t xml:space="preserve">inteligentnej špecializácie SR prostredníctvom vedy a inovácií </w:t>
      </w:r>
      <w:r w:rsidR="00BB1CED">
        <w:t>sa vytvorili</w:t>
      </w:r>
      <w:r w:rsidR="00134F8E">
        <w:t xml:space="preserve"> </w:t>
      </w:r>
      <w:r w:rsidR="00BB1CED" w:rsidRPr="00621249">
        <w:t>podmienky pre vznik neformalizovaných sietí doterajších vedeckých tímov, s inovačnými tímami v</w:t>
      </w:r>
      <w:r w:rsidR="00BB1CED">
        <w:t> </w:t>
      </w:r>
      <w:r w:rsidR="00BB1CED" w:rsidRPr="00621249">
        <w:t>priemysle</w:t>
      </w:r>
      <w:r w:rsidR="00BB1CED">
        <w:t xml:space="preserve">, vrátane kľúčových </w:t>
      </w:r>
      <w:r w:rsidR="003B35FF">
        <w:t>MNS</w:t>
      </w:r>
      <w:r w:rsidR="00BB1CED">
        <w:t xml:space="preserve"> v SR</w:t>
      </w:r>
      <w:r w:rsidR="00BB1CED" w:rsidRPr="00621249">
        <w:t xml:space="preserve"> a</w:t>
      </w:r>
      <w:r w:rsidR="00BB1CED">
        <w:t xml:space="preserve"> v</w:t>
      </w:r>
      <w:r w:rsidR="00134F8E">
        <w:t xml:space="preserve"> </w:t>
      </w:r>
      <w:r w:rsidR="00BB1CED" w:rsidRPr="00621249">
        <w:t xml:space="preserve">malom a strednom podnikaní. </w:t>
      </w:r>
      <w:r w:rsidR="00BB1CED">
        <w:t>Tieto širokospektrálne diskusie, dialóg a práca multirezortných pracovných skupín</w:t>
      </w:r>
      <w:r w:rsidR="00134F8E">
        <w:t xml:space="preserve"> </w:t>
      </w:r>
      <w:r w:rsidR="00BB1CED">
        <w:t>vyústili do formulovania</w:t>
      </w:r>
      <w:r w:rsidR="00BB1CED" w:rsidRPr="00621249">
        <w:t xml:space="preserve"> spôsobu verejnej správy (</w:t>
      </w:r>
      <w:r w:rsidR="00BB1CED" w:rsidRPr="0091095D">
        <w:t xml:space="preserve">governance) </w:t>
      </w:r>
      <w:r w:rsidR="00BB1CED" w:rsidRPr="00621249">
        <w:t xml:space="preserve">riadenia procesov </w:t>
      </w:r>
      <w:r w:rsidR="00BB1CED">
        <w:t>implementácie</w:t>
      </w:r>
      <w:r w:rsidR="00BB1CED" w:rsidRPr="00621249">
        <w:t xml:space="preserve"> RIS3.</w:t>
      </w:r>
      <w:r w:rsidR="00BB1CED">
        <w:t xml:space="preserve"> Odstránili sa bariéry pre úzko skupinový pohľad na riadenie vedy a inovácií v SR.</w:t>
      </w:r>
      <w:r w:rsidR="00134F8E">
        <w:t xml:space="preserve"> </w:t>
      </w:r>
      <w:r w:rsidR="00BB1CED" w:rsidRPr="00621249">
        <w:t>Vytv</w:t>
      </w:r>
      <w:r w:rsidR="001A5B5D">
        <w:t>orili</w:t>
      </w:r>
      <w:r w:rsidR="00134F8E">
        <w:t xml:space="preserve"> </w:t>
      </w:r>
      <w:r w:rsidR="00BB1CED" w:rsidRPr="00621249">
        <w:t>sa tak predpoklad</w:t>
      </w:r>
      <w:r w:rsidR="00BB1CED">
        <w:t>y</w:t>
      </w:r>
      <w:r w:rsidR="00BB1CED" w:rsidRPr="00621249">
        <w:t xml:space="preserve">, </w:t>
      </w:r>
      <w:r w:rsidR="001A5B5D">
        <w:t xml:space="preserve">aby </w:t>
      </w:r>
      <w:r w:rsidR="00BB1CED" w:rsidRPr="00621249">
        <w:t>Stratégia</w:t>
      </w:r>
      <w:r w:rsidR="00134F8E">
        <w:t xml:space="preserve"> </w:t>
      </w:r>
      <w:r w:rsidR="00BB1CED" w:rsidRPr="00621249">
        <w:t xml:space="preserve">pre inteligentnú špecializáciu </w:t>
      </w:r>
      <w:r w:rsidR="00D90CDA">
        <w:t xml:space="preserve">SR </w:t>
      </w:r>
      <w:r w:rsidR="00BB1CED" w:rsidRPr="00621249">
        <w:t>b</w:t>
      </w:r>
      <w:r w:rsidR="001A5B5D">
        <w:t>ola</w:t>
      </w:r>
      <w:r w:rsidR="00BB1CED" w:rsidRPr="00621249">
        <w:t xml:space="preserve"> </w:t>
      </w:r>
      <w:r w:rsidR="009459CA">
        <w:t xml:space="preserve">základným </w:t>
      </w:r>
      <w:r w:rsidR="00BB1CED" w:rsidRPr="00621249">
        <w:t>a efektívnym nástrojom pre urýchlenie konvergenčných procesov v SR a zvýšeni</w:t>
      </w:r>
      <w:r w:rsidR="001A5B5D">
        <w:t>e</w:t>
      </w:r>
      <w:r w:rsidR="00BB1CED" w:rsidRPr="00621249">
        <w:t xml:space="preserve"> úrovne za</w:t>
      </w:r>
      <w:r w:rsidR="00BB1CED">
        <w:t>mestnanosti v strednodobom horizonte.</w:t>
      </w:r>
    </w:p>
    <w:p w:rsidR="00BB1CED" w:rsidRPr="00621249" w:rsidRDefault="009459CA" w:rsidP="00791A72">
      <w:pPr>
        <w:pStyle w:val="Nadpis2"/>
        <w:numPr>
          <w:ilvl w:val="1"/>
          <w:numId w:val="37"/>
        </w:numPr>
      </w:pPr>
      <w:bookmarkStart w:id="181" w:name="_Toc360576024"/>
      <w:bookmarkStart w:id="182" w:name="_Toc365831820"/>
      <w:bookmarkStart w:id="183" w:name="_Toc365832012"/>
      <w:bookmarkStart w:id="184" w:name="_Toc366744183"/>
      <w:r>
        <w:t>Inštitucionálna štruktúra</w:t>
      </w:r>
      <w:r w:rsidR="00BB1CED" w:rsidRPr="00621249">
        <w:t xml:space="preserve"> implementácie </w:t>
      </w:r>
      <w:r>
        <w:t>S</w:t>
      </w:r>
      <w:r w:rsidR="00BB1CED" w:rsidRPr="00621249">
        <w:t>tratégie pre inteligentnú špecializáciu</w:t>
      </w:r>
      <w:bookmarkEnd w:id="181"/>
      <w:bookmarkEnd w:id="182"/>
      <w:bookmarkEnd w:id="183"/>
      <w:bookmarkEnd w:id="184"/>
    </w:p>
    <w:p w:rsidR="00BB1CED" w:rsidRDefault="00BB1CED" w:rsidP="008F2D85">
      <w:pPr>
        <w:ind w:firstLine="426"/>
      </w:pPr>
      <w:r w:rsidRPr="00621249">
        <w:t xml:space="preserve">Implementácia </w:t>
      </w:r>
      <w:r w:rsidR="004A09B3">
        <w:t xml:space="preserve">Stratégie inteligentnej špecializácie </w:t>
      </w:r>
      <w:r w:rsidRPr="00621249">
        <w:t xml:space="preserve">v programovom období </w:t>
      </w:r>
      <w:r>
        <w:t>2014 – 2020 je komplexný proces. P</w:t>
      </w:r>
      <w:r w:rsidRPr="00621249">
        <w:t xml:space="preserve">resahuje </w:t>
      </w:r>
      <w:r>
        <w:t xml:space="preserve">čiastkové </w:t>
      </w:r>
      <w:r w:rsidRPr="00621249">
        <w:t xml:space="preserve">kompetencie jednotlivých ministerstiev, regionálnych, mestských a obecných samospráv, občianskych </w:t>
      </w:r>
      <w:r w:rsidR="00A94941">
        <w:t>združení, podnikateľskej sféry.</w:t>
      </w:r>
      <w:r w:rsidR="00D90CDA">
        <w:t xml:space="preserve"> </w:t>
      </w:r>
      <w:r w:rsidRPr="00621249">
        <w:t xml:space="preserve">Jej efekt je založený na integrácii vedy s inováciami, výskumných inštitúcií s priemyselnou praxou, </w:t>
      </w:r>
      <w:r w:rsidR="00D90CDA">
        <w:t xml:space="preserve">a to </w:t>
      </w:r>
      <w:r w:rsidRPr="00621249">
        <w:t>vytváraním optimálnych podmienok v regionálnom a sektorovom p</w:t>
      </w:r>
      <w:r>
        <w:t>riestore.</w:t>
      </w:r>
      <w:r w:rsidR="00134F8E">
        <w:t xml:space="preserve"> </w:t>
      </w:r>
    </w:p>
    <w:p w:rsidR="00BB1CED" w:rsidRDefault="00BB1CED" w:rsidP="008F2D85">
      <w:pPr>
        <w:ind w:firstLine="426"/>
      </w:pPr>
      <w:r>
        <w:t xml:space="preserve">Ako vyplýva zo SWOT analýzy, </w:t>
      </w:r>
      <w:r w:rsidR="00D90CDA">
        <w:t xml:space="preserve">v SR </w:t>
      </w:r>
      <w:r>
        <w:t>je potrebné vytvoriť také inovačné prostredie,</w:t>
      </w:r>
      <w:r w:rsidR="00D14DF5">
        <w:t xml:space="preserve"> ktoré odstráni slabé stránky v</w:t>
      </w:r>
      <w:r>
        <w:t xml:space="preserve"> oblasti v</w:t>
      </w:r>
      <w:r w:rsidR="00347B6B">
        <w:t>ýskumu</w:t>
      </w:r>
      <w:r w:rsidR="00134F8E">
        <w:t xml:space="preserve"> </w:t>
      </w:r>
      <w:r>
        <w:t>a</w:t>
      </w:r>
      <w:r w:rsidR="00A94941">
        <w:t> </w:t>
      </w:r>
      <w:r>
        <w:t>inovácií</w:t>
      </w:r>
      <w:r w:rsidR="00A94941">
        <w:t>,</w:t>
      </w:r>
      <w:r>
        <w:t xml:space="preserve"> zníži nebezpečenstvo hrozieb a rozvinie najmä silné stránky, príležitosti, ktoré vytvoria podmienky pre zásadné zlepšenie inovačného prostredia. </w:t>
      </w:r>
      <w:r w:rsidRPr="00060224">
        <w:rPr>
          <w:b/>
        </w:rPr>
        <w:t>Kritickým činiteľom</w:t>
      </w:r>
      <w:r>
        <w:t xml:space="preserve"> vyplývajúcim zo SWOT analýzy je predovšetkým „</w:t>
      </w:r>
      <w:r w:rsidR="00D14DF5">
        <w:rPr>
          <w:i/>
        </w:rPr>
        <w:t>a</w:t>
      </w:r>
      <w:r>
        <w:rPr>
          <w:i/>
        </w:rPr>
        <w:t>utonómne pôsobenie sektorov vzdelávania, VaI, a podnikateľskej praxe, ktorého dôsledkom je rozdielne chápanie VaI“</w:t>
      </w:r>
      <w:r>
        <w:t xml:space="preserve">. </w:t>
      </w:r>
      <w:r w:rsidRPr="006B5F4B">
        <w:rPr>
          <w:b/>
        </w:rPr>
        <w:t>Kľ</w:t>
      </w:r>
      <w:r>
        <w:rPr>
          <w:b/>
        </w:rPr>
        <w:t>účovými činiteľmi</w:t>
      </w:r>
      <w:r w:rsidR="00134F8E">
        <w:rPr>
          <w:b/>
        </w:rPr>
        <w:t xml:space="preserve"> </w:t>
      </w:r>
      <w:r>
        <w:t>vyplývajúcim zo SWOT analýzy sú predovšetkým „</w:t>
      </w:r>
      <w:r w:rsidRPr="006B5F4B">
        <w:rPr>
          <w:i/>
        </w:rPr>
        <w:t>vytvorenie prepojení</w:t>
      </w:r>
      <w:r>
        <w:t xml:space="preserve"> </w:t>
      </w:r>
      <w:r w:rsidRPr="006B5F4B">
        <w:rPr>
          <w:i/>
        </w:rPr>
        <w:t>VaI MN</w:t>
      </w:r>
      <w:r w:rsidR="00D90CDA">
        <w:rPr>
          <w:i/>
        </w:rPr>
        <w:t>S</w:t>
      </w:r>
      <w:r w:rsidRPr="006B5F4B">
        <w:rPr>
          <w:i/>
        </w:rPr>
        <w:t xml:space="preserve"> spoločností do spolupráce s domácimi podnikateľskými VaI štruktúrami</w:t>
      </w:r>
      <w:r>
        <w:rPr>
          <w:i/>
        </w:rPr>
        <w:t>“</w:t>
      </w:r>
      <w:r>
        <w:t xml:space="preserve"> a </w:t>
      </w:r>
      <w:r w:rsidR="00885CA6">
        <w:t>„</w:t>
      </w:r>
      <w:r>
        <w:rPr>
          <w:i/>
        </w:rPr>
        <w:t>zvyšujúci sa záujem podnikov a priemyselných zoskupení o znovuvybudovanie podnikových VaI štruktúr (entít)“.</w:t>
      </w:r>
      <w:r w:rsidR="00A94941">
        <w:rPr>
          <w:rStyle w:val="Odkaznapoznmkupodiarou"/>
          <w:i/>
        </w:rPr>
        <w:footnoteReference w:id="12"/>
      </w:r>
      <w:r>
        <w:rPr>
          <w:i/>
        </w:rPr>
        <w:t xml:space="preserve"> </w:t>
      </w:r>
      <w:r w:rsidRPr="00621249">
        <w:t>Skúsenosti s tvorbou RIS3 preukázali, že úspešná implementácia RIS3 stratégie si vyžaduje štrukturálnu zmenu</w:t>
      </w:r>
      <w:r w:rsidR="00134F8E">
        <w:t xml:space="preserve"> </w:t>
      </w:r>
      <w:r w:rsidRPr="00621249">
        <w:t>súčasných</w:t>
      </w:r>
      <w:r w:rsidR="00134F8E">
        <w:t xml:space="preserve"> </w:t>
      </w:r>
      <w:r w:rsidRPr="00621249">
        <w:t>kompetencií</w:t>
      </w:r>
      <w:r>
        <w:t xml:space="preserve"> v riadení v</w:t>
      </w:r>
      <w:r w:rsidR="00347B6B">
        <w:t>ýskumu</w:t>
      </w:r>
      <w:r w:rsidR="00134F8E">
        <w:t xml:space="preserve"> </w:t>
      </w:r>
      <w:r>
        <w:t>a inovácií v SR a  zásadný manéver v zmene doterajšej kultúry pre inovačné prostredie</w:t>
      </w:r>
      <w:r w:rsidRPr="00621249">
        <w:t xml:space="preserve">. </w:t>
      </w:r>
      <w:r>
        <w:t>Vyžaduje si to zmenu riadiacich procesov tak</w:t>
      </w:r>
      <w:r w:rsidR="00D90CDA">
        <w:t>,</w:t>
      </w:r>
      <w:r>
        <w:t xml:space="preserve"> aby ciele a priority RIS3 boli </w:t>
      </w:r>
      <w:r w:rsidRPr="00621249">
        <w:t>dosiahnut</w:t>
      </w:r>
      <w:r w:rsidR="00D90CDA">
        <w:t>é</w:t>
      </w:r>
      <w:r w:rsidRPr="00621249">
        <w:t xml:space="preserve"> efektívnou verejnou správou (</w:t>
      </w:r>
      <w:r w:rsidRPr="00304099">
        <w:t>governance</w:t>
      </w:r>
      <w:r w:rsidRPr="00621249">
        <w:t>) procesov</w:t>
      </w:r>
      <w:r>
        <w:t>. Tá v prvom rade musí riešiť kritické a kľúčové činite</w:t>
      </w:r>
      <w:r w:rsidR="00885CA6">
        <w:t>le vyplývajúce zo SWOT analýzy.</w:t>
      </w:r>
      <w:r w:rsidR="00D90CDA">
        <w:t xml:space="preserve"> </w:t>
      </w:r>
      <w:r>
        <w:t>Efektívna verejná správa musí radikálne zlepšiť</w:t>
      </w:r>
      <w:r w:rsidRPr="00621249">
        <w:t xml:space="preserve"> využitie </w:t>
      </w:r>
      <w:r>
        <w:t xml:space="preserve">súčasných a budúcich </w:t>
      </w:r>
      <w:r w:rsidRPr="00621249">
        <w:t>ľudských, hmotných, nehm</w:t>
      </w:r>
      <w:r>
        <w:t>otných a finančných zdrojov</w:t>
      </w:r>
      <w:r w:rsidR="00134F8E">
        <w:t xml:space="preserve"> </w:t>
      </w:r>
      <w:r>
        <w:t xml:space="preserve">SR. </w:t>
      </w:r>
      <w:r w:rsidR="00CA27F5">
        <w:t xml:space="preserve">Bude </w:t>
      </w:r>
      <w:r>
        <w:t xml:space="preserve">vytvorené také inštitucionálne prostredie, ktoré zabezpečí cielené sústredenie všetkých zdrojov na dosiahnutie cieľov RIS3 prostredníctvom reálne </w:t>
      </w:r>
      <w:r w:rsidR="008A7812">
        <w:t xml:space="preserve">splniteľných </w:t>
      </w:r>
      <w:r>
        <w:t>vytýčených priorít.</w:t>
      </w:r>
      <w:r w:rsidRPr="00621249">
        <w:t xml:space="preserve"> </w:t>
      </w:r>
      <w:r>
        <w:t>Riadiace procesy budú nastavené tak, aby sústredené ľ</w:t>
      </w:r>
      <w:r w:rsidRPr="00621249">
        <w:t>udské, hmotné, nehmotné a finančné zdroje vo verejnom a neverejnom sektore boli</w:t>
      </w:r>
      <w:r>
        <w:t xml:space="preserve"> hlavným nástrojom pre</w:t>
      </w:r>
      <w:r w:rsidR="00134F8E">
        <w:t xml:space="preserve"> </w:t>
      </w:r>
      <w:r w:rsidRPr="00621249">
        <w:t>rýchlejšiu konvergenciu SR a rast zamestnanosti</w:t>
      </w:r>
      <w:r>
        <w:t xml:space="preserve"> v SR</w:t>
      </w:r>
      <w:r w:rsidRPr="00621249">
        <w:t>.</w:t>
      </w:r>
      <w:r w:rsidR="00134F8E">
        <w:t xml:space="preserve"> </w:t>
      </w:r>
    </w:p>
    <w:p w:rsidR="0077222B" w:rsidRDefault="0077222B" w:rsidP="008F2D85">
      <w:pPr>
        <w:ind w:firstLine="426"/>
      </w:pPr>
      <w:r>
        <w:lastRenderedPageBreak/>
        <w:t xml:space="preserve">Extenzívne budovanie verejnej infraštruktúry </w:t>
      </w:r>
      <w:r w:rsidR="00E1625F">
        <w:t xml:space="preserve">výskumu a vývoja </w:t>
      </w:r>
      <w:r>
        <w:t>bez vzájomnej a centralizovanej koordinácie viedlo k budovaniu duplicitných infraštruktúr v rovnakých tematických prioritách. Nav</w:t>
      </w:r>
      <w:r w:rsidR="00D90CDA">
        <w:t>yše</w:t>
      </w:r>
      <w:r>
        <w:t xml:space="preserve"> nastavenie základných podmienok využívania infraštruktúry budovanej z prostriedkov EU priamo vylučuje jej komerčné využitie v prospech aplikovaného výskumu a inovácií. Preto budú vytvorené legislatívne predpoklady tak, aby SAV a univerzity mohli využívať svoje kapacity pre účely aplikovaného výskumu, na základe konkrétnych zadaní a požiadaviek zo strany aplikačnej praxe a za odplatu.</w:t>
      </w:r>
      <w:r w:rsidR="00134F8E">
        <w:t xml:space="preserve"> </w:t>
      </w:r>
      <w:r w:rsidR="00D90CDA">
        <w:t>B</w:t>
      </w:r>
      <w:r>
        <w:t xml:space="preserve">udovanie infraštruktúry základného a aplikovaného výskumu si vyžaduje vytvorenie funkčného, úzkeho, centralizovaného riadiaceho modelu tak pre základný ako aj aplikovaný výskum po vzore </w:t>
      </w:r>
      <w:r w:rsidRPr="005E3AD3">
        <w:rPr>
          <w:i/>
        </w:rPr>
        <w:t>best practices</w:t>
      </w:r>
      <w:r>
        <w:t xml:space="preserve"> členských krajín EU. </w:t>
      </w:r>
    </w:p>
    <w:p w:rsidR="00BB1CED" w:rsidRDefault="00BB1CED" w:rsidP="008F2D85">
      <w:pPr>
        <w:ind w:firstLine="426"/>
      </w:pPr>
      <w:r w:rsidRPr="00936E56">
        <w:rPr>
          <w:b/>
        </w:rPr>
        <w:t>Implementácia priorít RIS3</w:t>
      </w:r>
      <w:r w:rsidRPr="00936E56">
        <w:t xml:space="preserve"> </w:t>
      </w:r>
      <w:r>
        <w:t xml:space="preserve">bude </w:t>
      </w:r>
      <w:r w:rsidRPr="00936E56">
        <w:t>dosiahnutá</w:t>
      </w:r>
      <w:r>
        <w:t xml:space="preserve"> takými procesmi, ktoré</w:t>
      </w:r>
      <w:r>
        <w:rPr>
          <w:i/>
        </w:rPr>
        <w:t xml:space="preserve"> zladia</w:t>
      </w:r>
      <w:r w:rsidRPr="00621249">
        <w:rPr>
          <w:i/>
        </w:rPr>
        <w:t xml:space="preserve"> a vzájomne zosynchron</w:t>
      </w:r>
      <w:r>
        <w:rPr>
          <w:i/>
        </w:rPr>
        <w:t>izujú programy, plány, projekty, akcie a výzvy priorít RIS3</w:t>
      </w:r>
      <w:r w:rsidR="00134F8E">
        <w:rPr>
          <w:i/>
        </w:rPr>
        <w:t xml:space="preserve"> </w:t>
      </w:r>
      <w:r w:rsidRPr="00621249">
        <w:rPr>
          <w:i/>
        </w:rPr>
        <w:t xml:space="preserve">z hľadiska </w:t>
      </w:r>
      <w:r w:rsidRPr="00A824D7">
        <w:rPr>
          <w:b/>
          <w:i/>
        </w:rPr>
        <w:t>času ich realizácie</w:t>
      </w:r>
      <w:r>
        <w:rPr>
          <w:i/>
        </w:rPr>
        <w:t xml:space="preserve">, </w:t>
      </w:r>
      <w:r w:rsidRPr="00A824D7">
        <w:rPr>
          <w:b/>
          <w:i/>
        </w:rPr>
        <w:t>koncentrovaného</w:t>
      </w:r>
      <w:r>
        <w:rPr>
          <w:i/>
        </w:rPr>
        <w:t xml:space="preserve"> využitia</w:t>
      </w:r>
      <w:r w:rsidRPr="00621249">
        <w:rPr>
          <w:i/>
        </w:rPr>
        <w:t xml:space="preserve"> </w:t>
      </w:r>
      <w:r w:rsidRPr="00A824D7">
        <w:rPr>
          <w:b/>
          <w:i/>
        </w:rPr>
        <w:t>všetkých druhov zdrojov</w:t>
      </w:r>
      <w:r w:rsidRPr="00621249">
        <w:rPr>
          <w:i/>
        </w:rPr>
        <w:t>, v priestorovom regionálnom rozmere a</w:t>
      </w:r>
      <w:r w:rsidR="00D90CDA">
        <w:rPr>
          <w:i/>
        </w:rPr>
        <w:t xml:space="preserve"> v </w:t>
      </w:r>
      <w:r w:rsidRPr="00621249">
        <w:rPr>
          <w:i/>
        </w:rPr>
        <w:t>konkurenčne schopných sektoroch hospodárstva</w:t>
      </w:r>
      <w:r w:rsidR="00940AE8">
        <w:rPr>
          <w:i/>
        </w:rPr>
        <w:t>.</w:t>
      </w:r>
      <w:r w:rsidRPr="00621249">
        <w:t xml:space="preserve"> </w:t>
      </w:r>
      <w:r w:rsidR="00CA27F5">
        <w:t xml:space="preserve">Transformácia, zlúčenie súčasnej rozdrobenej riadiacej štruktúry a zavedenie jasných </w:t>
      </w:r>
      <w:r w:rsidR="009E20DB">
        <w:t xml:space="preserve">a koordinovaných </w:t>
      </w:r>
      <w:r w:rsidR="00CA27F5">
        <w:t>rozhodovacích procesov zabezpečí, aby v</w:t>
      </w:r>
      <w:r w:rsidRPr="00621249">
        <w:t xml:space="preserve">ykonávacie programy, plány, akcie, výzvy vyplývajúce z jednotlivých priorít </w:t>
      </w:r>
      <w:r w:rsidR="00CA27F5">
        <w:t xml:space="preserve">boli </w:t>
      </w:r>
      <w:r w:rsidRPr="00621249">
        <w:t>vzájomne zosúladené a vybilancované tak,</w:t>
      </w:r>
      <w:r w:rsidR="00134F8E">
        <w:t xml:space="preserve"> </w:t>
      </w:r>
      <w:r w:rsidRPr="00621249">
        <w:t>aby zvyšovali synergický efekt pre hospodárstvo a znalostný rozvoj Slovenskej republiky</w:t>
      </w:r>
      <w:r w:rsidR="00D90CDA">
        <w:t xml:space="preserve">, </w:t>
      </w:r>
      <w:r w:rsidR="009E20DB">
        <w:t xml:space="preserve"> ako aj lepšie využitie </w:t>
      </w:r>
      <w:r w:rsidR="009E20DB" w:rsidRPr="009E20DB">
        <w:rPr>
          <w:b/>
        </w:rPr>
        <w:t>finančných zdrojov</w:t>
      </w:r>
      <w:r w:rsidR="009E20DB">
        <w:t xml:space="preserve"> pre výskum a inovácie (</w:t>
      </w:r>
      <w:r w:rsidR="009E20DB" w:rsidRPr="00621249">
        <w:t xml:space="preserve">zdroje z podnikateľskej sféry, z verejných rozpočtov SR, štrukturálnych </w:t>
      </w:r>
      <w:r w:rsidR="00D90CDA">
        <w:t xml:space="preserve">investičných </w:t>
      </w:r>
      <w:r w:rsidR="009E20DB" w:rsidRPr="00621249">
        <w:t xml:space="preserve">fondov EÚ, </w:t>
      </w:r>
      <w:r w:rsidR="00D90CDA">
        <w:t xml:space="preserve">programu </w:t>
      </w:r>
      <w:r w:rsidR="00940AE8">
        <w:t>Horizon</w:t>
      </w:r>
      <w:r w:rsidR="009E20DB" w:rsidRPr="00621249">
        <w:t xml:space="preserve"> 2020, bánk, inštitucionálnych investorov, rizikového kapitálu. Z verejných </w:t>
      </w:r>
      <w:r w:rsidR="009E20DB">
        <w:t xml:space="preserve">národných </w:t>
      </w:r>
      <w:r w:rsidR="009E20DB" w:rsidRPr="00621249">
        <w:t>zdrojov sú to predovšetkým financie na štátne programy VEGA a KEGA, stimuly na podporu výskumu a inovácií, spoluúčasť na financovaní programov štrukturálnych fondov EÚ, financovanie výskumu v SAV a</w:t>
      </w:r>
      <w:r w:rsidR="00940AE8">
        <w:t> </w:t>
      </w:r>
      <w:r w:rsidR="009E20DB" w:rsidRPr="00621249">
        <w:t>univerzitách</w:t>
      </w:r>
      <w:r w:rsidRPr="00621249">
        <w:t>.</w:t>
      </w:r>
      <w:r w:rsidR="00940AE8">
        <w:t>)</w:t>
      </w:r>
      <w:r w:rsidRPr="00621249">
        <w:t xml:space="preserve"> </w:t>
      </w:r>
      <w:r w:rsidR="003E530E">
        <w:t xml:space="preserve"> </w:t>
      </w:r>
      <w:r w:rsidRPr="00621249">
        <w:t xml:space="preserve">Zvyšovanie potenciálu </w:t>
      </w:r>
      <w:r w:rsidRPr="00A824D7">
        <w:rPr>
          <w:b/>
        </w:rPr>
        <w:t>ľudských zdrojov</w:t>
      </w:r>
      <w:r w:rsidRPr="00621249">
        <w:t xml:space="preserve"> a</w:t>
      </w:r>
      <w:r w:rsidR="003E530E">
        <w:t xml:space="preserve"> s </w:t>
      </w:r>
      <w:r w:rsidRPr="00621249">
        <w:t>tým spojeného rastu znalostného potenciálu SR je možné dosiahnuť ich efektívnym zapojením do Európskeho vedeckého a inovačného priestoru prostredníctvom vstupu do európskych vedeckých riešiteľských siet</w:t>
      </w:r>
      <w:r w:rsidR="003E530E">
        <w:t>í</w:t>
      </w:r>
      <w:r w:rsidR="00134F8E">
        <w:t xml:space="preserve"> </w:t>
      </w:r>
      <w:r w:rsidRPr="00621249">
        <w:t xml:space="preserve">a podieľaním sa na inováciách a priemyselnom výskume nadnárodných spoločností podnikajúcich v SR. Tým je možné získať rýchlejší rast nehmotných, hmotných a finančných zdrojov nevyhnutných na trvalo udržateľný rast vedeckého a inovačného potenciálu SR. </w:t>
      </w:r>
    </w:p>
    <w:p w:rsidR="00EF25B8" w:rsidRPr="00621249" w:rsidRDefault="00EF25B8" w:rsidP="008F2D85">
      <w:pPr>
        <w:ind w:firstLine="426"/>
      </w:pPr>
      <w:r>
        <w:t xml:space="preserve">Slovenská republika </w:t>
      </w:r>
      <w:r w:rsidR="003E530E">
        <w:t xml:space="preserve">v spolupráci s EK </w:t>
      </w:r>
      <w:r>
        <w:t>vynaloží všetko úsilie pre maximálnu aplikáciu flexibilít všeobecnej legislatívy k využitiu Európskych štrukturálnych a investičných fondov,</w:t>
      </w:r>
      <w:r w:rsidR="00134F8E">
        <w:t xml:space="preserve"> </w:t>
      </w:r>
      <w:r>
        <w:t>pre využitie potenciálu Bratislavského regiónu, v ktorom je alokovaných viac ako 50</w:t>
      </w:r>
      <w:r w:rsidR="003E530E">
        <w:t xml:space="preserve"> </w:t>
      </w:r>
      <w:r>
        <w:t>% personálnych a technických kapacít v oblasti výskumu a vývoja. Bratislavský región a jeho inštitúcie</w:t>
      </w:r>
      <w:r w:rsidR="00134F8E">
        <w:t xml:space="preserve"> </w:t>
      </w:r>
      <w:r>
        <w:t>prinášajú prospech v zvyšovaní konkurencieschopnosti menej rozvinutých regiónov SK, saturuje</w:t>
      </w:r>
      <w:r w:rsidR="00134F8E">
        <w:t xml:space="preserve"> </w:t>
      </w:r>
      <w:r>
        <w:t>tiež dopyt</w:t>
      </w:r>
      <w:r w:rsidR="00134F8E">
        <w:t xml:space="preserve"> </w:t>
      </w:r>
      <w:r>
        <w:t>po akademickom vzdelaní</w:t>
      </w:r>
      <w:r w:rsidR="00134F8E">
        <w:t xml:space="preserve"> </w:t>
      </w:r>
      <w:r>
        <w:t xml:space="preserve">z menej rozvinutých regiónov apod. </w:t>
      </w:r>
    </w:p>
    <w:p w:rsidR="00453377" w:rsidRPr="00FF69DC" w:rsidRDefault="0062464B" w:rsidP="008F2D85">
      <w:pPr>
        <w:ind w:firstLine="426"/>
        <w:rPr>
          <w:b/>
        </w:rPr>
      </w:pPr>
      <w:r w:rsidRPr="00453377">
        <w:t>Jeden z dôležitých nástrojov</w:t>
      </w:r>
      <w:r w:rsidR="003E530E">
        <w:t xml:space="preserve">, </w:t>
      </w:r>
      <w:r w:rsidRPr="00453377">
        <w:t xml:space="preserve"> ako</w:t>
      </w:r>
      <w:r w:rsidR="00134F8E">
        <w:t xml:space="preserve"> </w:t>
      </w:r>
      <w:r w:rsidRPr="00453377">
        <w:t>podporiť hlavne podnikateľskú sféru investovať do VaI na Slovensku</w:t>
      </w:r>
      <w:r w:rsidR="003E530E">
        <w:t>,</w:t>
      </w:r>
      <w:r w:rsidRPr="00453377">
        <w:t xml:space="preserve"> je zmena daňovej legislatívy. Slovensko ako jediná krajina OECD nemá nepriame podporné nástroje, ktoré motivujú podnikateľov využívať domáce výskumné kapacity a vytvárať </w:t>
      </w:r>
      <w:r w:rsidRPr="00B93292">
        <w:rPr>
          <w:i/>
        </w:rPr>
        <w:t>in</w:t>
      </w:r>
      <w:r w:rsidR="00B93292" w:rsidRPr="00B93292">
        <w:rPr>
          <w:i/>
        </w:rPr>
        <w:t xml:space="preserve"> </w:t>
      </w:r>
      <w:r w:rsidRPr="00B93292">
        <w:rPr>
          <w:i/>
        </w:rPr>
        <w:t>house</w:t>
      </w:r>
      <w:r w:rsidRPr="00453377">
        <w:t xml:space="preserve"> inovácie. </w:t>
      </w:r>
      <w:r w:rsidR="00AC70BA" w:rsidRPr="00453377">
        <w:t>Reorganizácia systému VaI – výraznejšie uplatnenie výsledkov v hospodárskej praxi má viesť k zmen</w:t>
      </w:r>
      <w:r w:rsidR="003E530E">
        <w:t>e</w:t>
      </w:r>
      <w:r w:rsidR="00AC70BA" w:rsidRPr="00453377">
        <w:t xml:space="preserve"> podielu aplikovaného a základného výskumu na: </w:t>
      </w:r>
      <w:r w:rsidR="00AC70BA" w:rsidRPr="00FF69DC">
        <w:rPr>
          <w:b/>
        </w:rPr>
        <w:t xml:space="preserve">70% aplikovaný výskum a 30% základný výskum. </w:t>
      </w:r>
    </w:p>
    <w:p w:rsidR="00AC70BA" w:rsidRPr="00453377" w:rsidRDefault="00453377" w:rsidP="008F2D85">
      <w:pPr>
        <w:ind w:firstLine="426"/>
      </w:pPr>
      <w:r>
        <w:t>Potrebné kroky na dosiahnutie stanoveného cieľa:</w:t>
      </w:r>
    </w:p>
    <w:p w:rsidR="00AC70BA" w:rsidRPr="00453377" w:rsidRDefault="003E530E" w:rsidP="00791A72">
      <w:pPr>
        <w:numPr>
          <w:ilvl w:val="0"/>
          <w:numId w:val="17"/>
        </w:numPr>
        <w:spacing w:after="0"/>
      </w:pPr>
      <w:r>
        <w:t>r</w:t>
      </w:r>
      <w:r w:rsidR="00AC70BA" w:rsidRPr="00453377">
        <w:t xml:space="preserve">eorganizácia univerzít, </w:t>
      </w:r>
      <w:r w:rsidR="001D620C">
        <w:t xml:space="preserve">transformácia </w:t>
      </w:r>
      <w:r w:rsidR="00AC70BA" w:rsidRPr="00453377">
        <w:t>SAV</w:t>
      </w:r>
      <w:r w:rsidR="001D620C" w:rsidRPr="001D620C">
        <w:t xml:space="preserve"> </w:t>
      </w:r>
      <w:r w:rsidR="001D620C" w:rsidRPr="00453377">
        <w:t>na verejnú výskumnú inštitúciu</w:t>
      </w:r>
      <w:r w:rsidR="00AC70BA" w:rsidRPr="00453377">
        <w:t>, rezortných výskumných ústavov</w:t>
      </w:r>
      <w:r>
        <w:t>,</w:t>
      </w:r>
    </w:p>
    <w:p w:rsidR="008F2D85" w:rsidRDefault="003E530E" w:rsidP="00791A72">
      <w:pPr>
        <w:numPr>
          <w:ilvl w:val="0"/>
          <w:numId w:val="17"/>
        </w:numPr>
        <w:spacing w:after="0"/>
      </w:pPr>
      <w:r>
        <w:t>n</w:t>
      </w:r>
      <w:r w:rsidR="00AC70BA" w:rsidRPr="00453377">
        <w:t xml:space="preserve">astavenie </w:t>
      </w:r>
      <w:r w:rsidR="00382D9C">
        <w:t>systému</w:t>
      </w:r>
      <w:r w:rsidR="00E13039">
        <w:t xml:space="preserve"> </w:t>
      </w:r>
      <w:r w:rsidR="00453377" w:rsidRPr="00453377">
        <w:t>pre</w:t>
      </w:r>
      <w:r w:rsidR="00134F8E">
        <w:t xml:space="preserve"> </w:t>
      </w:r>
      <w:r w:rsidR="00382D9C">
        <w:t>dosiahnutie š</w:t>
      </w:r>
      <w:r w:rsidR="00B93292">
        <w:t>t</w:t>
      </w:r>
      <w:r w:rsidR="00382D9C">
        <w:t>atisticky evidovaných výdavkov</w:t>
      </w:r>
      <w:r w:rsidR="00E13039">
        <w:t xml:space="preserve"> </w:t>
      </w:r>
      <w:r w:rsidR="001409C1">
        <w:t>na</w:t>
      </w:r>
      <w:r w:rsidR="00E13039">
        <w:t xml:space="preserve"> </w:t>
      </w:r>
      <w:r w:rsidR="00453377" w:rsidRPr="00453377">
        <w:t>výskum a vývoj</w:t>
      </w:r>
      <w:r w:rsidR="00E13039">
        <w:t xml:space="preserve"> </w:t>
      </w:r>
      <w:r w:rsidR="00382D9C">
        <w:t>do roku 2020</w:t>
      </w:r>
      <w:r w:rsidR="00E13039">
        <w:t xml:space="preserve"> </w:t>
      </w:r>
      <w:r w:rsidR="00382D9C">
        <w:t>v pomere 1 : 2</w:t>
      </w:r>
      <w:r w:rsidR="00E13039">
        <w:t xml:space="preserve"> </w:t>
      </w:r>
      <w:r w:rsidR="00B93292">
        <w:t>(</w:t>
      </w:r>
      <w:r w:rsidR="00382D9C">
        <w:t xml:space="preserve">verejné zdroje, </w:t>
      </w:r>
      <w:r w:rsidR="000D2D9B">
        <w:t>súkromné zdroje</w:t>
      </w:r>
      <w:r w:rsidR="00FF69DC">
        <w:t>)</w:t>
      </w:r>
      <w:r>
        <w:t>,</w:t>
      </w:r>
    </w:p>
    <w:p w:rsidR="00AC70BA" w:rsidRPr="00453377" w:rsidRDefault="003E530E" w:rsidP="00791A72">
      <w:pPr>
        <w:numPr>
          <w:ilvl w:val="0"/>
          <w:numId w:val="17"/>
        </w:numPr>
        <w:spacing w:after="0"/>
      </w:pPr>
      <w:r>
        <w:t>z</w:t>
      </w:r>
      <w:r w:rsidR="00AC70BA" w:rsidRPr="00453377">
        <w:t xml:space="preserve">výšenie podielu financovania </w:t>
      </w:r>
      <w:r w:rsidR="00453377" w:rsidRPr="00453377">
        <w:t>VaI</w:t>
      </w:r>
      <w:r w:rsidR="00AC70BA" w:rsidRPr="00453377">
        <w:t xml:space="preserve"> zo súkromných zdrojov</w:t>
      </w:r>
      <w:r>
        <w:t>,</w:t>
      </w:r>
    </w:p>
    <w:p w:rsidR="00453377" w:rsidRPr="00453377" w:rsidRDefault="003E530E" w:rsidP="00791A72">
      <w:pPr>
        <w:numPr>
          <w:ilvl w:val="0"/>
          <w:numId w:val="17"/>
        </w:numPr>
        <w:spacing w:after="0"/>
      </w:pPr>
      <w:r>
        <w:t>z</w:t>
      </w:r>
      <w:r w:rsidR="00453377" w:rsidRPr="00453377">
        <w:t xml:space="preserve">efektívnenie činnosti </w:t>
      </w:r>
      <w:r w:rsidR="001D620C">
        <w:t>agentúr v oblasti VaI</w:t>
      </w:r>
      <w:r>
        <w:t>,</w:t>
      </w:r>
    </w:p>
    <w:p w:rsidR="001D620C" w:rsidRPr="00453377" w:rsidRDefault="003E530E" w:rsidP="00791A72">
      <w:pPr>
        <w:numPr>
          <w:ilvl w:val="0"/>
          <w:numId w:val="17"/>
        </w:numPr>
        <w:spacing w:after="0"/>
      </w:pPr>
      <w:r>
        <w:t>l</w:t>
      </w:r>
      <w:r w:rsidR="00453377">
        <w:t>egislatívne zmeny (</w:t>
      </w:r>
      <w:r>
        <w:t>k</w:t>
      </w:r>
      <w:r w:rsidR="00AC70BA" w:rsidRPr="00453377">
        <w:t>omplexn</w:t>
      </w:r>
      <w:r w:rsidR="00453377">
        <w:t>é</w:t>
      </w:r>
      <w:r w:rsidR="00AC70BA" w:rsidRPr="00453377">
        <w:t xml:space="preserve"> novel</w:t>
      </w:r>
      <w:r w:rsidR="00453377">
        <w:t>y</w:t>
      </w:r>
      <w:r w:rsidR="00AC70BA" w:rsidRPr="00453377">
        <w:t xml:space="preserve"> zákona č. 172/2005 Z.z. o organizácii štátnej podpory </w:t>
      </w:r>
      <w:r w:rsidR="002217E0">
        <w:t>výskumu a vývoja</w:t>
      </w:r>
      <w:r w:rsidR="00453377">
        <w:t>,</w:t>
      </w:r>
      <w:r w:rsidR="00453377" w:rsidRPr="00453377">
        <w:t xml:space="preserve"> </w:t>
      </w:r>
      <w:r w:rsidR="00453377">
        <w:t>z</w:t>
      </w:r>
      <w:r w:rsidR="00453377" w:rsidRPr="00453377">
        <w:t>ákon</w:t>
      </w:r>
      <w:r w:rsidR="00453377">
        <w:t>a</w:t>
      </w:r>
      <w:r w:rsidR="00453377" w:rsidRPr="00453377">
        <w:t xml:space="preserve"> č. 523/2004 Z. z. o rozpočtových pravidlách</w:t>
      </w:r>
      <w:r w:rsidR="00453377">
        <w:t xml:space="preserve">, </w:t>
      </w:r>
      <w:r w:rsidR="00453377" w:rsidRPr="00453377">
        <w:t>zákona č. 185/2009 Z.z. o stimuloch pre výskum a</w:t>
      </w:r>
      <w:r w:rsidR="00453377">
        <w:t> </w:t>
      </w:r>
      <w:r w:rsidR="00453377" w:rsidRPr="00453377">
        <w:t>vývoj</w:t>
      </w:r>
      <w:r w:rsidR="00453377">
        <w:t>, z</w:t>
      </w:r>
      <w:r w:rsidR="00453377" w:rsidRPr="00453377">
        <w:t>ákon</w:t>
      </w:r>
      <w:r w:rsidR="00453377">
        <w:t>a</w:t>
      </w:r>
      <w:r w:rsidR="00453377" w:rsidRPr="00453377">
        <w:t xml:space="preserve"> č. 595/2003 Z. z o dani z</w:t>
      </w:r>
      <w:r>
        <w:t> </w:t>
      </w:r>
      <w:r w:rsidR="00453377" w:rsidRPr="00453377">
        <w:t>príjmov</w:t>
      </w:r>
      <w:r>
        <w:t xml:space="preserve"> </w:t>
      </w:r>
      <w:r w:rsidR="00453377" w:rsidRPr="00453377">
        <w:t>– zavedenie daňových úľav pre výskum a</w:t>
      </w:r>
      <w:r w:rsidR="001D620C">
        <w:t> </w:t>
      </w:r>
      <w:r w:rsidR="00453377" w:rsidRPr="00453377">
        <w:t>vývoj</w:t>
      </w:r>
      <w:r w:rsidR="001D620C">
        <w:t>, z</w:t>
      </w:r>
      <w:r w:rsidR="00453377" w:rsidRPr="00453377">
        <w:t>ákon</w:t>
      </w:r>
      <w:r w:rsidR="001D620C">
        <w:t>a</w:t>
      </w:r>
      <w:r w:rsidR="00453377" w:rsidRPr="00453377">
        <w:t xml:space="preserve"> č. 133/2002 Z. z. o</w:t>
      </w:r>
      <w:r w:rsidR="001D620C">
        <w:t> </w:t>
      </w:r>
      <w:r w:rsidR="00453377" w:rsidRPr="00453377">
        <w:t>SAV</w:t>
      </w:r>
      <w:r w:rsidR="001D620C">
        <w:t>,</w:t>
      </w:r>
      <w:r w:rsidR="001D620C" w:rsidRPr="001D620C">
        <w:t xml:space="preserve"> </w:t>
      </w:r>
      <w:r w:rsidR="001D620C">
        <w:t>z</w:t>
      </w:r>
      <w:r w:rsidR="001D620C" w:rsidRPr="00453377">
        <w:t>ákon</w:t>
      </w:r>
      <w:r w:rsidR="001D620C">
        <w:t>a</w:t>
      </w:r>
      <w:r w:rsidR="001D620C" w:rsidRPr="00453377">
        <w:t xml:space="preserve"> č. 528/2008 Z. z. o pomoci a podpore poskytovanej z fondov Európskeho spoločenstva</w:t>
      </w:r>
      <w:r w:rsidR="001D620C">
        <w:t>, z</w:t>
      </w:r>
      <w:r w:rsidR="001D620C" w:rsidRPr="00453377">
        <w:t>ákon</w:t>
      </w:r>
      <w:r w:rsidR="001D620C">
        <w:t>a</w:t>
      </w:r>
      <w:r w:rsidR="001D620C" w:rsidRPr="00453377">
        <w:t xml:space="preserve"> č. 131/2002.Z.z. o vysokých školách</w:t>
      </w:r>
      <w:r w:rsidR="001D620C">
        <w:t>,</w:t>
      </w:r>
      <w:r w:rsidR="00E13039">
        <w:t xml:space="preserve"> </w:t>
      </w:r>
      <w:r w:rsidR="006715D9">
        <w:t>zákon</w:t>
      </w:r>
      <w:r>
        <w:t>a</w:t>
      </w:r>
      <w:r w:rsidR="006715D9">
        <w:t xml:space="preserve"> o štátnej štatistike č. 540/2001 Z.z., zákon</w:t>
      </w:r>
      <w:r>
        <w:t>a</w:t>
      </w:r>
      <w:r w:rsidR="006715D9">
        <w:t xml:space="preserve"> o organizácii činnosti vlády a organizácii ústrednej štátnej správy štátnej správy č. 575/2001 Z.z.</w:t>
      </w:r>
      <w:r w:rsidR="00C014B8">
        <w:t xml:space="preserve"> </w:t>
      </w:r>
      <w:r w:rsidR="001D620C">
        <w:t>ai)</w:t>
      </w:r>
      <w:r>
        <w:t>,</w:t>
      </w:r>
    </w:p>
    <w:p w:rsidR="00AC70BA" w:rsidRPr="00453377" w:rsidRDefault="003E530E" w:rsidP="00791A72">
      <w:pPr>
        <w:numPr>
          <w:ilvl w:val="0"/>
          <w:numId w:val="17"/>
        </w:numPr>
        <w:spacing w:after="0"/>
      </w:pPr>
      <w:r>
        <w:t>p</w:t>
      </w:r>
      <w:r w:rsidR="00AC70BA" w:rsidRPr="00453377">
        <w:t>odpora transferu technológií a rozvoja ľudských zdrojov</w:t>
      </w:r>
      <w:r>
        <w:t>,</w:t>
      </w:r>
    </w:p>
    <w:p w:rsidR="008F2D85" w:rsidRPr="009623E8" w:rsidRDefault="003E530E" w:rsidP="00F87C5A">
      <w:pPr>
        <w:numPr>
          <w:ilvl w:val="0"/>
          <w:numId w:val="17"/>
        </w:numPr>
      </w:pPr>
      <w:r>
        <w:lastRenderedPageBreak/>
        <w:t>z</w:t>
      </w:r>
      <w:r w:rsidR="00AC70BA" w:rsidRPr="00453377">
        <w:t>avedenie záväzného ukazovateľa pre podporu Va</w:t>
      </w:r>
      <w:r w:rsidR="001D620C">
        <w:t>I</w:t>
      </w:r>
      <w:r w:rsidR="00AC70BA" w:rsidRPr="00453377">
        <w:t xml:space="preserve"> pri z</w:t>
      </w:r>
      <w:r w:rsidR="00A83364">
        <w:t>ostavovaní štátneho rozpočtu SR, ktorý bude definovať percentuálny podiel výdavkov na VaI voči HDP</w:t>
      </w:r>
      <w:r>
        <w:t>.</w:t>
      </w:r>
    </w:p>
    <w:p w:rsidR="00F87C5A" w:rsidRPr="008F2D85" w:rsidRDefault="00F87C5A" w:rsidP="00F87C5A">
      <w:pPr>
        <w:pStyle w:val="Popis"/>
        <w:rPr>
          <w:b w:val="0"/>
          <w:i/>
          <w:caps w:val="0"/>
          <w:color w:val="000000"/>
          <w:sz w:val="20"/>
          <w:szCs w:val="20"/>
        </w:rPr>
      </w:pPr>
      <w:r w:rsidRPr="008F2D85">
        <w:rPr>
          <w:i/>
          <w:caps w:val="0"/>
          <w:color w:val="000000"/>
          <w:sz w:val="20"/>
          <w:szCs w:val="20"/>
        </w:rPr>
        <w:t>Obr</w:t>
      </w:r>
      <w:r w:rsidR="008F2D85" w:rsidRPr="008F2D85">
        <w:rPr>
          <w:i/>
          <w:caps w:val="0"/>
          <w:color w:val="000000"/>
          <w:sz w:val="20"/>
          <w:szCs w:val="20"/>
        </w:rPr>
        <w:t>ázok</w:t>
      </w:r>
      <w:r w:rsidRPr="008F2D85">
        <w:rPr>
          <w:i/>
          <w:caps w:val="0"/>
          <w:color w:val="000000"/>
          <w:sz w:val="20"/>
          <w:szCs w:val="20"/>
        </w:rPr>
        <w:t xml:space="preserve"> </w:t>
      </w:r>
      <w:r w:rsidR="008F2D85" w:rsidRPr="008F2D85">
        <w:rPr>
          <w:i/>
          <w:caps w:val="0"/>
          <w:color w:val="000000"/>
          <w:sz w:val="20"/>
          <w:szCs w:val="20"/>
        </w:rPr>
        <w:t>2</w:t>
      </w:r>
      <w:r w:rsidRPr="008F2D85">
        <w:rPr>
          <w:b w:val="0"/>
          <w:i/>
          <w:color w:val="000000"/>
          <w:sz w:val="20"/>
          <w:szCs w:val="20"/>
        </w:rPr>
        <w:t xml:space="preserve"> </w:t>
      </w:r>
      <w:r w:rsidRPr="008F2D85">
        <w:rPr>
          <w:b w:val="0"/>
          <w:i/>
          <w:caps w:val="0"/>
          <w:color w:val="000000"/>
          <w:sz w:val="20"/>
          <w:szCs w:val="20"/>
        </w:rPr>
        <w:t>Organizačná schéma inštitucionálneho riadenia implementácie Stratégie pre inteligentnú špecializáciu v SR do roku 2020</w:t>
      </w:r>
    </w:p>
    <w:p w:rsidR="0077222B" w:rsidRDefault="001507F7" w:rsidP="001507F7">
      <w:pPr>
        <w:jc w:val="center"/>
      </w:pPr>
      <w:r>
        <w:object w:dxaOrig="10081" w:dyaOrig="6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5pt;height:296.35pt" o:ole="">
            <v:imagedata r:id="rId25" o:title=""/>
          </v:shape>
          <o:OLEObject Type="Embed" ProgID="Visio.Drawing.15" ShapeID="_x0000_i1025" DrawAspect="Content" ObjectID="_1440498856" r:id="rId26"/>
        </w:object>
      </w:r>
    </w:p>
    <w:p w:rsidR="00BB1CED" w:rsidRDefault="00BB1CED" w:rsidP="008F2D85">
      <w:pPr>
        <w:ind w:firstLine="426"/>
      </w:pPr>
      <w:r w:rsidRPr="00621249">
        <w:t xml:space="preserve">Pre dosiahnutie cieľov RIS3 </w:t>
      </w:r>
      <w:r w:rsidR="009E20DB">
        <w:t xml:space="preserve">sa </w:t>
      </w:r>
      <w:r w:rsidRPr="00621249">
        <w:t>zmen</w:t>
      </w:r>
      <w:r w:rsidR="009E20DB">
        <w:t>í</w:t>
      </w:r>
      <w:r w:rsidRPr="00621249">
        <w:t xml:space="preserve"> doterajš</w:t>
      </w:r>
      <w:r w:rsidR="009E20DB">
        <w:t>í</w:t>
      </w:r>
      <w:r w:rsidRPr="00621249">
        <w:t xml:space="preserve"> </w:t>
      </w:r>
      <w:r w:rsidR="009E20DB">
        <w:t xml:space="preserve">systém </w:t>
      </w:r>
      <w:r w:rsidRPr="00621249">
        <w:t>riadenia vedy a inovácií, ktor</w:t>
      </w:r>
      <w:r w:rsidR="009E20DB">
        <w:t>ý v súčasnosti pôsobí</w:t>
      </w:r>
      <w:r w:rsidRPr="00621249">
        <w:t> mnohokrát divergentne, nekoncentrova</w:t>
      </w:r>
      <w:r w:rsidR="009E20DB">
        <w:t>ne</w:t>
      </w:r>
      <w:r w:rsidRPr="00621249">
        <w:t xml:space="preserve"> na kľúčové oblasti rozvoja SR</w:t>
      </w:r>
      <w:r w:rsidR="009E20DB">
        <w:t xml:space="preserve"> a </w:t>
      </w:r>
      <w:r w:rsidRPr="00621249">
        <w:t>autonómne. Pre implementáciu RIS3 sa vytvorí inštitucionálna schéma riadenia, ktoré výraznejšie posilní strategický postup riadenia ve</w:t>
      </w:r>
      <w:r w:rsidR="009623E8">
        <w:t>dy a inovácií v SR (O</w:t>
      </w:r>
      <w:r>
        <w:t>brázok 2</w:t>
      </w:r>
      <w:r w:rsidRPr="00621249">
        <w:t xml:space="preserve">). Kľúčovým orgánom pre riadenie implementácie RIS3 </w:t>
      </w:r>
      <w:r w:rsidR="00BF2449">
        <w:t xml:space="preserve">je </w:t>
      </w:r>
      <w:r w:rsidRPr="00621249">
        <w:rPr>
          <w:b/>
        </w:rPr>
        <w:t xml:space="preserve">RADA VLÁDY SR PRE VEDU, TECHNIKU A INOVÁCIE, </w:t>
      </w:r>
      <w:r w:rsidRPr="00621249">
        <w:t>ktorá</w:t>
      </w:r>
      <w:r w:rsidR="00134F8E">
        <w:t xml:space="preserve"> </w:t>
      </w:r>
      <w:r w:rsidR="00347B6B">
        <w:t>zriadi</w:t>
      </w:r>
      <w:r w:rsidR="00134F8E">
        <w:t xml:space="preserve"> </w:t>
      </w:r>
      <w:r w:rsidR="00347B6B">
        <w:t>stálu</w:t>
      </w:r>
      <w:r w:rsidR="00134F8E">
        <w:t xml:space="preserve"> </w:t>
      </w:r>
      <w:r w:rsidRPr="00621249">
        <w:t xml:space="preserve">riadiacu skupinu ako </w:t>
      </w:r>
      <w:r w:rsidRPr="00621249">
        <w:rPr>
          <w:b/>
        </w:rPr>
        <w:t>STÁLY VÝBOR RADY VLÁDY SR PRE VEDU, TECHNIKU A INOVÁCIE PRE IMPLEMENTÁCIU RIS3 (SV RVTI RIS3).</w:t>
      </w:r>
      <w:r w:rsidR="003E530E">
        <w:rPr>
          <w:b/>
        </w:rPr>
        <w:t xml:space="preserve"> </w:t>
      </w:r>
      <w:r w:rsidR="00A105D0" w:rsidRPr="00A105D0">
        <w:t xml:space="preserve">V záujme odstránenia doterajšej fragmentácie a dosiahnutia synergických efektov </w:t>
      </w:r>
      <w:r w:rsidR="001507F7">
        <w:t xml:space="preserve">sa </w:t>
      </w:r>
      <w:r w:rsidR="003818F2">
        <w:t xml:space="preserve">zrealizuje </w:t>
      </w:r>
      <w:r w:rsidR="003C6A51">
        <w:t>transformá</w:t>
      </w:r>
      <w:r w:rsidR="000C2BC1">
        <w:t xml:space="preserve">cia </w:t>
      </w:r>
      <w:r w:rsidR="003C6A51">
        <w:t xml:space="preserve"> jestvujúc</w:t>
      </w:r>
      <w:r w:rsidR="000C2BC1">
        <w:t>ej</w:t>
      </w:r>
      <w:r w:rsidR="003C6A51">
        <w:t xml:space="preserve"> sie</w:t>
      </w:r>
      <w:r w:rsidR="000C2BC1">
        <w:t>te</w:t>
      </w:r>
      <w:r w:rsidR="003C6A51">
        <w:t xml:space="preserve"> implementačných inštitúcií do</w:t>
      </w:r>
      <w:r w:rsidR="00134F8E">
        <w:t xml:space="preserve"> </w:t>
      </w:r>
      <w:r w:rsidRPr="00621249">
        <w:t>dv</w:t>
      </w:r>
      <w:r w:rsidR="003C6A51">
        <w:t>och</w:t>
      </w:r>
      <w:r w:rsidRPr="00621249">
        <w:t xml:space="preserve"> samostatn</w:t>
      </w:r>
      <w:r w:rsidR="003C6A51">
        <w:t>ých</w:t>
      </w:r>
      <w:r w:rsidR="00134F8E">
        <w:t xml:space="preserve"> </w:t>
      </w:r>
      <w:r w:rsidRPr="00621249">
        <w:t>agentúr</w:t>
      </w:r>
      <w:r w:rsidR="00AB5C6C">
        <w:t>:</w:t>
      </w:r>
      <w:r w:rsidRPr="00621249">
        <w:t xml:space="preserve"> </w:t>
      </w:r>
      <w:r w:rsidR="003C713F">
        <w:rPr>
          <w:b/>
        </w:rPr>
        <w:t xml:space="preserve">VÝSKUMNÁ </w:t>
      </w:r>
      <w:r w:rsidRPr="00621249">
        <w:rPr>
          <w:b/>
        </w:rPr>
        <w:t>AGENTÚRA</w:t>
      </w:r>
      <w:r w:rsidR="00134F8E">
        <w:rPr>
          <w:b/>
        </w:rPr>
        <w:t xml:space="preserve"> </w:t>
      </w:r>
      <w:r w:rsidRPr="00621249">
        <w:rPr>
          <w:b/>
        </w:rPr>
        <w:t>a TECHNOLOGICKÁ AGENTÚRA</w:t>
      </w:r>
      <w:r w:rsidRPr="00621249">
        <w:t xml:space="preserve"> v pôsobnosti ministerstiev Ministerstva školstva, vedy, výskumu a</w:t>
      </w:r>
      <w:r w:rsidR="003E530E">
        <w:t> </w:t>
      </w:r>
      <w:r w:rsidRPr="00621249">
        <w:t>športu</w:t>
      </w:r>
      <w:r w:rsidR="003E530E">
        <w:t xml:space="preserve"> SR</w:t>
      </w:r>
      <w:r w:rsidRPr="00621249">
        <w:t xml:space="preserve"> a Ministerstva hospodárstva </w:t>
      </w:r>
      <w:r w:rsidR="003E530E">
        <w:t xml:space="preserve">SR. </w:t>
      </w:r>
      <w:r w:rsidR="00134F8E">
        <w:t xml:space="preserve"> </w:t>
      </w:r>
      <w:r w:rsidR="003E530E">
        <w:t>M</w:t>
      </w:r>
      <w:r w:rsidRPr="00621249">
        <w:t xml:space="preserve">etodicky budú usmerňované SV RVTI RIS3 </w:t>
      </w:r>
      <w:r w:rsidR="00787B1C">
        <w:t>a budú zabezpečovať implementáciu RIS3.</w:t>
      </w:r>
    </w:p>
    <w:p w:rsidR="00E72347" w:rsidRPr="00621249" w:rsidRDefault="00E72347" w:rsidP="008F2D85">
      <w:pPr>
        <w:ind w:firstLine="426"/>
      </w:pPr>
      <w:r w:rsidRPr="008A7A33">
        <w:t>Jednou z príčin neefektívneho využívania finančných zdrojov do vedy v SR a vytvárania predpokladov</w:t>
      </w:r>
      <w:r w:rsidR="00134F8E">
        <w:t xml:space="preserve"> </w:t>
      </w:r>
      <w:r w:rsidRPr="008A7A33">
        <w:t xml:space="preserve">pre ich vyšší objem prostredníctvom verejného a súkromného partnerstva v inovačnom prostredí SR je predovšetkým doterajší roztrieštený a príliš atomizovaný systém verejných projektov a ich </w:t>
      </w:r>
      <w:r>
        <w:t>využitie v súkromnom podnikateľskom</w:t>
      </w:r>
      <w:r w:rsidRPr="008A7A33">
        <w:t xml:space="preserve"> sektor</w:t>
      </w:r>
      <w:r>
        <w:t>e</w:t>
      </w:r>
      <w:r w:rsidRPr="008A7A33">
        <w:t>. Tak sa</w:t>
      </w:r>
      <w:r w:rsidR="00134F8E">
        <w:t xml:space="preserve"> </w:t>
      </w:r>
      <w:r w:rsidRPr="008A7A33">
        <w:t>nevytvára kritická masa ľudského a materiálneho potenciálu pre inovácie v hospodárstve SR prostredníctvom riešiteľských sietí.</w:t>
      </w:r>
      <w:r w:rsidR="00134F8E">
        <w:t xml:space="preserve"> </w:t>
      </w:r>
      <w:r w:rsidRPr="008A7A33">
        <w:t xml:space="preserve">Trieštenie priorít, ich časové, vecné, personálne nezosúladenie </w:t>
      </w:r>
      <w:r w:rsidR="003E530E">
        <w:t xml:space="preserve">spôsobuje </w:t>
      </w:r>
      <w:r w:rsidRPr="008A7A33">
        <w:t>rozdrobovanie finančných zdrojov bez priame</w:t>
      </w:r>
      <w:r>
        <w:t>ho</w:t>
      </w:r>
      <w:r w:rsidRPr="008A7A33">
        <w:t xml:space="preserve"> </w:t>
      </w:r>
      <w:r w:rsidRPr="00F74300">
        <w:t>synergického efektu v</w:t>
      </w:r>
      <w:r w:rsidR="003E530E">
        <w:t> </w:t>
      </w:r>
      <w:r w:rsidRPr="00F74300">
        <w:t>praxi</w:t>
      </w:r>
      <w:r w:rsidR="003E530E">
        <w:t>.</w:t>
      </w:r>
    </w:p>
    <w:p w:rsidR="00BB1CED" w:rsidRDefault="00BB1CED" w:rsidP="00BB1CED">
      <w:r w:rsidRPr="00621249">
        <w:t>Hlavné poslanie a úlohy týchto inštitucionálnych zložiek riadenia implementácie RIS 3</w:t>
      </w:r>
      <w:r w:rsidR="001D620C">
        <w:t xml:space="preserve"> sú</w:t>
      </w:r>
      <w:r w:rsidRPr="00621249">
        <w:t>:</w:t>
      </w:r>
    </w:p>
    <w:p w:rsidR="00BB1CED" w:rsidRPr="00621249" w:rsidRDefault="00BB1CED" w:rsidP="00BB1CED">
      <w:pPr>
        <w:rPr>
          <w:b/>
        </w:rPr>
      </w:pPr>
      <w:r w:rsidRPr="00621249">
        <w:rPr>
          <w:b/>
        </w:rPr>
        <w:t>RADA VLÁDY SR PRE VEDU, TECHNIKU A INOVÁCIE</w:t>
      </w:r>
    </w:p>
    <w:p w:rsidR="00BB1CED" w:rsidRPr="00621249" w:rsidRDefault="00BB1CED" w:rsidP="00791A72">
      <w:pPr>
        <w:numPr>
          <w:ilvl w:val="0"/>
          <w:numId w:val="20"/>
        </w:numPr>
        <w:spacing w:after="0"/>
      </w:pPr>
      <w:r w:rsidRPr="00621249">
        <w:t>je riadiacim orgánom implementácie RIS3 v</w:t>
      </w:r>
      <w:r w:rsidR="006B1399">
        <w:t> </w:t>
      </w:r>
      <w:r w:rsidRPr="00621249">
        <w:t>SR</w:t>
      </w:r>
      <w:r w:rsidR="006B1399">
        <w:t xml:space="preserve"> kreovaným na princípe partnerstva </w:t>
      </w:r>
      <w:r w:rsidR="00AB5C6C">
        <w:t>(štát reprezentovaný mi</w:t>
      </w:r>
      <w:r w:rsidR="001507F7">
        <w:t>nisterstvami, akademický sektor,</w:t>
      </w:r>
      <w:r w:rsidR="00AB5C6C">
        <w:t xml:space="preserve"> univerzity, SAV, súkromný sektor, zamestnávateľské zväzy a združenia)</w:t>
      </w:r>
      <w:r w:rsidR="003E530E">
        <w:t>,</w:t>
      </w:r>
      <w:r w:rsidR="00AB5C6C">
        <w:t xml:space="preserve"> </w:t>
      </w:r>
    </w:p>
    <w:p w:rsidR="00BB1CED" w:rsidRPr="00621249" w:rsidRDefault="00BB1CED" w:rsidP="00791A72">
      <w:pPr>
        <w:numPr>
          <w:ilvl w:val="0"/>
          <w:numId w:val="20"/>
        </w:numPr>
        <w:spacing w:after="0"/>
      </w:pPr>
      <w:r w:rsidRPr="00621249">
        <w:t>je poradným orgánom vlády SR pre problematiku vedy a</w:t>
      </w:r>
      <w:r w:rsidR="003E530E">
        <w:t> </w:t>
      </w:r>
      <w:r w:rsidRPr="00621249">
        <w:t>inovácií</w:t>
      </w:r>
      <w:r w:rsidR="003E530E">
        <w:t>,</w:t>
      </w:r>
    </w:p>
    <w:p w:rsidR="00BB1CED" w:rsidRPr="00621249" w:rsidRDefault="00F55D37" w:rsidP="00791A72">
      <w:pPr>
        <w:numPr>
          <w:ilvl w:val="0"/>
          <w:numId w:val="20"/>
        </w:numPr>
        <w:spacing w:after="0"/>
      </w:pPr>
      <w:r>
        <w:lastRenderedPageBreak/>
        <w:t>schvaľuje</w:t>
      </w:r>
      <w:r w:rsidR="00E13039">
        <w:t xml:space="preserve"> </w:t>
      </w:r>
      <w:r w:rsidR="00BB1CED" w:rsidRPr="00621249">
        <w:t>program</w:t>
      </w:r>
      <w:r>
        <w:t>y</w:t>
      </w:r>
      <w:r w:rsidR="00BB1CED" w:rsidRPr="00621249">
        <w:t>, projekt</w:t>
      </w:r>
      <w:r>
        <w:t>y</w:t>
      </w:r>
      <w:r w:rsidR="003E530E">
        <w:t>,</w:t>
      </w:r>
      <w:r w:rsidR="00E13039">
        <w:t xml:space="preserve"> </w:t>
      </w:r>
      <w:r w:rsidR="001F5301">
        <w:t>akčn</w:t>
      </w:r>
      <w:r>
        <w:t>é</w:t>
      </w:r>
      <w:r w:rsidR="00134F8E">
        <w:t xml:space="preserve"> </w:t>
      </w:r>
      <w:r w:rsidR="00BB1CED" w:rsidRPr="00621249">
        <w:t>plán</w:t>
      </w:r>
      <w:r>
        <w:t xml:space="preserve">y </w:t>
      </w:r>
      <w:r w:rsidR="00BB1CED" w:rsidRPr="00621249">
        <w:t>rozpracovania implementácie RIS3 v jednotlivých</w:t>
      </w:r>
      <w:r w:rsidR="00134F8E">
        <w:t xml:space="preserve"> </w:t>
      </w:r>
      <w:r w:rsidR="00BB1CED" w:rsidRPr="00621249">
        <w:t>rokoch</w:t>
      </w:r>
      <w:r w:rsidR="003E530E">
        <w:t>,</w:t>
      </w:r>
    </w:p>
    <w:p w:rsidR="00F55D37" w:rsidRDefault="00F55D37" w:rsidP="00791A72">
      <w:pPr>
        <w:numPr>
          <w:ilvl w:val="0"/>
          <w:numId w:val="20"/>
        </w:numPr>
        <w:spacing w:after="0"/>
      </w:pPr>
      <w:r>
        <w:t>kontroluje</w:t>
      </w:r>
      <w:r w:rsidR="00E13039">
        <w:t xml:space="preserve"> </w:t>
      </w:r>
      <w:r>
        <w:t>vykonávanie</w:t>
      </w:r>
      <w:r w:rsidR="00E13039">
        <w:t xml:space="preserve"> </w:t>
      </w:r>
      <w:r w:rsidR="00BB1CED" w:rsidRPr="00621249">
        <w:t>program</w:t>
      </w:r>
      <w:r>
        <w:t>ov</w:t>
      </w:r>
      <w:r w:rsidR="00BB1CED" w:rsidRPr="00621249">
        <w:t>, projekt</w:t>
      </w:r>
      <w:r>
        <w:t>ov</w:t>
      </w:r>
      <w:r w:rsidR="00BB1CED" w:rsidRPr="00621249">
        <w:t>, plán</w:t>
      </w:r>
      <w:r>
        <w:t>ov</w:t>
      </w:r>
      <w:r w:rsidR="00BB1CED" w:rsidRPr="00621249">
        <w:t>, akci</w:t>
      </w:r>
      <w:r>
        <w:t>í</w:t>
      </w:r>
      <w:r w:rsidR="00BB1CED" w:rsidRPr="00621249">
        <w:t xml:space="preserve"> a</w:t>
      </w:r>
      <w:r>
        <w:t> </w:t>
      </w:r>
      <w:r w:rsidR="00BB1CED" w:rsidRPr="00621249">
        <w:t>výz</w:t>
      </w:r>
      <w:r>
        <w:t>iev</w:t>
      </w:r>
      <w:r w:rsidR="00E13039">
        <w:t xml:space="preserve"> </w:t>
      </w:r>
      <w:r w:rsidR="00BB1CED" w:rsidRPr="00621249">
        <w:t>implementácie RIS3</w:t>
      </w:r>
      <w:r w:rsidR="003E530E">
        <w:t>,</w:t>
      </w:r>
      <w:r w:rsidR="00E13039">
        <w:t xml:space="preserve"> </w:t>
      </w:r>
    </w:p>
    <w:p w:rsidR="0078037E" w:rsidRPr="00621249" w:rsidRDefault="0078037E" w:rsidP="00791A72">
      <w:pPr>
        <w:numPr>
          <w:ilvl w:val="0"/>
          <w:numId w:val="20"/>
        </w:numPr>
        <w:spacing w:after="0"/>
      </w:pPr>
      <w:r>
        <w:t>schvaľuje plán monitorovania implementácie RIS3</w:t>
      </w:r>
      <w:r w:rsidR="003E530E">
        <w:t>,</w:t>
      </w:r>
    </w:p>
    <w:p w:rsidR="00BB1CED" w:rsidRPr="00621249" w:rsidRDefault="00BB1CED" w:rsidP="00791A72">
      <w:pPr>
        <w:numPr>
          <w:ilvl w:val="0"/>
          <w:numId w:val="20"/>
        </w:numPr>
        <w:spacing w:after="0"/>
      </w:pPr>
      <w:r w:rsidRPr="00621249">
        <w:t>vyhodnocuje plnenie programov, projektov, plánov, akcií a výziev implementácie RIS3</w:t>
      </w:r>
      <w:r w:rsidR="003E530E">
        <w:t>,</w:t>
      </w:r>
    </w:p>
    <w:p w:rsidR="00BB1CED" w:rsidRPr="00BC1E54" w:rsidRDefault="00D051B5" w:rsidP="00791A72">
      <w:pPr>
        <w:numPr>
          <w:ilvl w:val="0"/>
          <w:numId w:val="20"/>
        </w:numPr>
        <w:spacing w:after="0"/>
      </w:pPr>
      <w:r w:rsidRPr="00BC1E54">
        <w:t xml:space="preserve">prerokúva </w:t>
      </w:r>
      <w:r w:rsidR="00BB1CED" w:rsidRPr="00BC1E54">
        <w:t xml:space="preserve"> dokumenty, rozhodnutia, nariadenia vlády SR a zákony</w:t>
      </w:r>
      <w:r w:rsidR="00134F8E" w:rsidRPr="00BC1E54">
        <w:t xml:space="preserve"> </w:t>
      </w:r>
      <w:r w:rsidR="00BB1CED" w:rsidRPr="00BC1E54">
        <w:t xml:space="preserve">týkajúce sa </w:t>
      </w:r>
      <w:r w:rsidRPr="00BC1E54">
        <w:t>výskumu, vývoja,</w:t>
      </w:r>
      <w:r w:rsidR="00BB1CED" w:rsidRPr="00BC1E54">
        <w:t> inovácií</w:t>
      </w:r>
      <w:r w:rsidRPr="00BC1E54">
        <w:t xml:space="preserve"> a súvisiacich oblastí  relevantných pre RIS3 (vzdelávanie, ľudské zdroje, informatizácia)</w:t>
      </w:r>
      <w:r w:rsidR="003E530E">
        <w:t>,</w:t>
      </w:r>
    </w:p>
    <w:p w:rsidR="00BF0E3F" w:rsidRPr="00BC1E54" w:rsidRDefault="00BB1CED" w:rsidP="00402EF8">
      <w:pPr>
        <w:numPr>
          <w:ilvl w:val="0"/>
          <w:numId w:val="20"/>
        </w:numPr>
        <w:spacing w:after="0"/>
      </w:pPr>
      <w:r w:rsidRPr="00BC1E54">
        <w:t>predkladá vláde SR návrhy</w:t>
      </w:r>
      <w:r w:rsidR="00BF0E3F" w:rsidRPr="00BC1E54">
        <w:t>,</w:t>
      </w:r>
      <w:r w:rsidR="00607276" w:rsidRPr="00BC1E54">
        <w:t xml:space="preserve"> </w:t>
      </w:r>
      <w:r w:rsidR="00BF0E3F" w:rsidRPr="00BC1E54">
        <w:t>odporúčania</w:t>
      </w:r>
      <w:r w:rsidR="00E13039" w:rsidRPr="00BC1E54">
        <w:t xml:space="preserve"> </w:t>
      </w:r>
      <w:r w:rsidR="00BF0E3F" w:rsidRPr="00BC1E54">
        <w:t>týkajúce sa vykonávania RIS3 a jej hodnotenia</w:t>
      </w:r>
      <w:r w:rsidR="003E530E">
        <w:t xml:space="preserve">, </w:t>
      </w:r>
      <w:r w:rsidR="00BF0E3F" w:rsidRPr="00BC1E54">
        <w:t xml:space="preserve"> odporúčania na zabezpečenie trvalo udržateľného rastu v</w:t>
      </w:r>
      <w:r w:rsidR="001507F7">
        <w:t>ýskumu</w:t>
      </w:r>
      <w:r w:rsidR="00402EF8" w:rsidRPr="00BC1E54">
        <w:t>, vývoja, </w:t>
      </w:r>
      <w:r w:rsidR="001507F7">
        <w:t>inovácií</w:t>
      </w:r>
      <w:r w:rsidR="00402EF8" w:rsidRPr="00BC1E54">
        <w:t xml:space="preserve"> a súvisiacich oblastí  relevantných pre RIS3 (vzdelávanie,</w:t>
      </w:r>
      <w:r w:rsidR="001507F7">
        <w:t xml:space="preserve"> ľudské zdroje, informatizácia)</w:t>
      </w:r>
      <w:r w:rsidR="00402EF8" w:rsidRPr="00BC1E54">
        <w:t xml:space="preserve"> </w:t>
      </w:r>
      <w:r w:rsidR="00BF0E3F" w:rsidRPr="00BC1E54">
        <w:t>v SR a ich podielu na urýchľovan</w:t>
      </w:r>
      <w:r w:rsidR="003E530E">
        <w:t>í</w:t>
      </w:r>
      <w:r w:rsidR="00BF0E3F" w:rsidRPr="00BC1E54">
        <w:t xml:space="preserve"> konvergencie a rast</w:t>
      </w:r>
      <w:r w:rsidR="001507F7">
        <w:t>u</w:t>
      </w:r>
      <w:r w:rsidR="00BF0E3F" w:rsidRPr="00BC1E54">
        <w:t xml:space="preserve"> zamestnanosti</w:t>
      </w:r>
      <w:r w:rsidR="003E530E">
        <w:t>,</w:t>
      </w:r>
    </w:p>
    <w:p w:rsidR="00BF0E3F" w:rsidRPr="00621249" w:rsidRDefault="00BF0E3F" w:rsidP="00791A72">
      <w:pPr>
        <w:numPr>
          <w:ilvl w:val="0"/>
          <w:numId w:val="20"/>
        </w:numPr>
        <w:spacing w:after="0"/>
      </w:pPr>
      <w:r>
        <w:t>monitoruje činnosti vykonané v nadväznosti na jej odporúčania</w:t>
      </w:r>
      <w:r w:rsidR="003E530E">
        <w:t>,</w:t>
      </w:r>
    </w:p>
    <w:p w:rsidR="00BB1CED" w:rsidRDefault="00BB1CED" w:rsidP="00791A72">
      <w:pPr>
        <w:numPr>
          <w:ilvl w:val="0"/>
          <w:numId w:val="20"/>
        </w:numPr>
        <w:spacing w:after="0"/>
      </w:pPr>
      <w:r w:rsidRPr="00621249">
        <w:t>posudzuje stav integrácie</w:t>
      </w:r>
      <w:r w:rsidR="007D0B1E">
        <w:t xml:space="preserve"> slovenských</w:t>
      </w:r>
      <w:r w:rsidRPr="00621249">
        <w:t xml:space="preserve"> </w:t>
      </w:r>
      <w:r w:rsidR="009314B2">
        <w:t>výskumných a inovačných entít d</w:t>
      </w:r>
      <w:r w:rsidRPr="00621249">
        <w:t>o Európskeho výskumného a inovačného priestoru</w:t>
      </w:r>
      <w:r w:rsidR="003E530E">
        <w:t>.</w:t>
      </w:r>
    </w:p>
    <w:p w:rsidR="00BB1CED" w:rsidRPr="00621249" w:rsidRDefault="00BB1CED" w:rsidP="00BB1CED">
      <w:pPr>
        <w:spacing w:after="0"/>
        <w:ind w:left="720"/>
      </w:pPr>
    </w:p>
    <w:p w:rsidR="00BB1CED" w:rsidRPr="00621249" w:rsidRDefault="00BB1CED" w:rsidP="00BB1CED">
      <w:pPr>
        <w:rPr>
          <w:b/>
        </w:rPr>
      </w:pPr>
      <w:r w:rsidRPr="00621249">
        <w:rPr>
          <w:b/>
        </w:rPr>
        <w:t>STÁLY VÝBOR RADY VLÁDY SR PRE VEDU, TECHNIKU A INOVÁCIE PRE IMPLEMENTÁCIU RIS3 (SV RVTI RIS3)</w:t>
      </w:r>
    </w:p>
    <w:p w:rsidR="00BB1CED" w:rsidRPr="00BC1E54" w:rsidRDefault="00BB1CED" w:rsidP="00791A72">
      <w:pPr>
        <w:numPr>
          <w:ilvl w:val="0"/>
          <w:numId w:val="21"/>
        </w:numPr>
        <w:spacing w:after="0"/>
      </w:pPr>
      <w:r w:rsidRPr="00BC1E54">
        <w:t>je prierezovým</w:t>
      </w:r>
      <w:r w:rsidR="006F535F" w:rsidRPr="00BC1E54">
        <w:t xml:space="preserve"> pracovným koordinačný</w:t>
      </w:r>
      <w:r w:rsidR="004C73D9">
        <w:t>m</w:t>
      </w:r>
      <w:r w:rsidR="006F535F" w:rsidRPr="00BC1E54">
        <w:t xml:space="preserve"> </w:t>
      </w:r>
      <w:r w:rsidR="004C73D9">
        <w:t>orgánom R</w:t>
      </w:r>
      <w:r w:rsidR="00347084" w:rsidRPr="00BC1E54">
        <w:t>VTI kreovaným na princípe partnerstva</w:t>
      </w:r>
      <w:r w:rsidR="003E530E">
        <w:t>,</w:t>
      </w:r>
    </w:p>
    <w:p w:rsidR="00476DE1" w:rsidRPr="00BC1E54" w:rsidRDefault="00476DE1" w:rsidP="00791A72">
      <w:pPr>
        <w:numPr>
          <w:ilvl w:val="0"/>
          <w:numId w:val="21"/>
        </w:numPr>
        <w:spacing w:after="0" w:line="240" w:lineRule="auto"/>
      </w:pPr>
      <w:r w:rsidRPr="00BC1E54">
        <w:t xml:space="preserve">zastúpenie majú odborníci akademickej sféry, podnikateľskej sféry a zástupcov relevantných orgánov štátnej správy </w:t>
      </w:r>
      <w:r w:rsidR="006F535F" w:rsidRPr="00BC1E54">
        <w:t>reprezentujúcich štátne politiky v oblasti vzdelávania, ľudských zdrojov, výskumu, vývoja, inovácií a</w:t>
      </w:r>
      <w:r w:rsidR="003E530E">
        <w:t> </w:t>
      </w:r>
      <w:r w:rsidR="006F535F" w:rsidRPr="00BC1E54">
        <w:t>informatizácie</w:t>
      </w:r>
      <w:r w:rsidR="003E530E">
        <w:t>,</w:t>
      </w:r>
      <w:r w:rsidR="006F535F" w:rsidRPr="00BC1E54">
        <w:t xml:space="preserve"> </w:t>
      </w:r>
    </w:p>
    <w:p w:rsidR="00CF101A" w:rsidRPr="00621249" w:rsidRDefault="00CF101A" w:rsidP="00791A72">
      <w:pPr>
        <w:numPr>
          <w:ilvl w:val="0"/>
          <w:numId w:val="21"/>
        </w:numPr>
        <w:spacing w:after="0"/>
      </w:pPr>
      <w:r>
        <w:t xml:space="preserve">spracúva metodiku riadenia </w:t>
      </w:r>
      <w:r w:rsidR="004C73D9">
        <w:t>výskumnej</w:t>
      </w:r>
      <w:r>
        <w:t xml:space="preserve"> a technologickej agentúry a predkladá ju na schválenie RVTI</w:t>
      </w:r>
      <w:r w:rsidR="003E530E">
        <w:t>,</w:t>
      </w:r>
      <w:r>
        <w:t xml:space="preserve"> </w:t>
      </w:r>
    </w:p>
    <w:p w:rsidR="00BB1CED" w:rsidRPr="00621249" w:rsidRDefault="00BB1CED" w:rsidP="00791A72">
      <w:pPr>
        <w:numPr>
          <w:ilvl w:val="0"/>
          <w:numId w:val="21"/>
        </w:numPr>
        <w:spacing w:after="0"/>
      </w:pPr>
      <w:r w:rsidRPr="00621249">
        <w:t>koordinuje spracovanie programov, projektov, plánov, akcií, výziev a</w:t>
      </w:r>
      <w:r w:rsidR="00134F8E">
        <w:t xml:space="preserve"> </w:t>
      </w:r>
      <w:r w:rsidR="004C73D9">
        <w:t>predkladá ich R</w:t>
      </w:r>
      <w:r w:rsidRPr="00621249">
        <w:t>VTI</w:t>
      </w:r>
      <w:r w:rsidR="003E530E">
        <w:t>,</w:t>
      </w:r>
    </w:p>
    <w:p w:rsidR="00BB1CED" w:rsidRPr="00621249" w:rsidRDefault="00BB1CED" w:rsidP="00791A72">
      <w:pPr>
        <w:numPr>
          <w:ilvl w:val="0"/>
          <w:numId w:val="21"/>
        </w:numPr>
        <w:spacing w:after="0"/>
      </w:pPr>
      <w:r w:rsidRPr="00621249">
        <w:t>koordinuje vyhodnotenie plnenia programov, projektov, plánov, akcií a výziev implementácie RIS3</w:t>
      </w:r>
      <w:r w:rsidR="003E530E">
        <w:t>,</w:t>
      </w:r>
    </w:p>
    <w:p w:rsidR="00BB1CED" w:rsidRPr="00621249" w:rsidRDefault="00BB1CED" w:rsidP="00791A72">
      <w:pPr>
        <w:numPr>
          <w:ilvl w:val="0"/>
          <w:numId w:val="21"/>
        </w:numPr>
        <w:spacing w:after="0"/>
      </w:pPr>
      <w:r w:rsidRPr="00621249">
        <w:t>koordinuje rozpracovanie dokumentov, rozhodnutí a nariadení vlády SR a zákon</w:t>
      </w:r>
      <w:r w:rsidR="003E530E">
        <w:t>ov</w:t>
      </w:r>
      <w:r w:rsidRPr="00621249">
        <w:t xml:space="preserve"> týkajúc</w:t>
      </w:r>
      <w:r w:rsidR="003E530E">
        <w:t>ich</w:t>
      </w:r>
      <w:r w:rsidRPr="00621249">
        <w:t xml:space="preserve"> sa vedy a inovácií v</w:t>
      </w:r>
      <w:r w:rsidR="003E530E">
        <w:t> </w:t>
      </w:r>
      <w:r w:rsidRPr="00621249">
        <w:t>SR</w:t>
      </w:r>
      <w:r w:rsidR="003E530E">
        <w:t>,</w:t>
      </w:r>
    </w:p>
    <w:p w:rsidR="00BB1CED" w:rsidRPr="00621249" w:rsidRDefault="00BB1CED" w:rsidP="00791A72">
      <w:pPr>
        <w:numPr>
          <w:ilvl w:val="0"/>
          <w:numId w:val="21"/>
        </w:numPr>
        <w:spacing w:after="0"/>
      </w:pPr>
      <w:r w:rsidRPr="00621249">
        <w:t>monitoruje stav integrácie slovenskej vedy do Európskeho výskumného a inovačného priestoru</w:t>
      </w:r>
      <w:r w:rsidR="003E530E">
        <w:t>,</w:t>
      </w:r>
      <w:r w:rsidRPr="00621249">
        <w:t xml:space="preserve"> </w:t>
      </w:r>
    </w:p>
    <w:p w:rsidR="00BB1CED" w:rsidRPr="00621249" w:rsidRDefault="00BB1CED" w:rsidP="00791A72">
      <w:pPr>
        <w:numPr>
          <w:ilvl w:val="0"/>
          <w:numId w:val="21"/>
        </w:numPr>
        <w:spacing w:after="0"/>
      </w:pPr>
      <w:r w:rsidRPr="00621249">
        <w:t xml:space="preserve">monitoruje stav účasti slovenskej vedy </w:t>
      </w:r>
      <w:r w:rsidR="003E530E" w:rsidRPr="003C713F">
        <w:t>zameranej na</w:t>
      </w:r>
      <w:r w:rsidR="003E530E">
        <w:t xml:space="preserve"> </w:t>
      </w:r>
      <w:r w:rsidRPr="00621249">
        <w:t>priemysel na inovačných programoch nadnárodných zoskupení pôsobiacich v</w:t>
      </w:r>
      <w:r w:rsidR="003E530E">
        <w:t> </w:t>
      </w:r>
      <w:r w:rsidRPr="00621249">
        <w:t>SR</w:t>
      </w:r>
      <w:r w:rsidR="003E530E">
        <w:t>,</w:t>
      </w:r>
    </w:p>
    <w:p w:rsidR="00BB1CED" w:rsidRDefault="00BB1CED" w:rsidP="00791A72">
      <w:pPr>
        <w:numPr>
          <w:ilvl w:val="0"/>
          <w:numId w:val="21"/>
        </w:numPr>
        <w:spacing w:after="0"/>
      </w:pPr>
      <w:r w:rsidRPr="00621249">
        <w:t>monitoruje stav excelentného a</w:t>
      </w:r>
      <w:r w:rsidR="00134F8E">
        <w:t xml:space="preserve"> </w:t>
      </w:r>
      <w:r w:rsidRPr="00621249">
        <w:t>priemyselného výskumu v</w:t>
      </w:r>
      <w:r w:rsidR="003E530E">
        <w:t> </w:t>
      </w:r>
      <w:r w:rsidRPr="00621249">
        <w:t>SR</w:t>
      </w:r>
      <w:r w:rsidR="003E530E">
        <w:t>,</w:t>
      </w:r>
      <w:r w:rsidR="00134F8E">
        <w:t xml:space="preserve"> </w:t>
      </w:r>
    </w:p>
    <w:p w:rsidR="00B0128F" w:rsidRPr="00B0128F" w:rsidRDefault="00BD1F53" w:rsidP="00791A72">
      <w:pPr>
        <w:numPr>
          <w:ilvl w:val="0"/>
          <w:numId w:val="21"/>
        </w:numPr>
        <w:spacing w:after="0"/>
      </w:pPr>
      <w:r>
        <w:t>posudzuje</w:t>
      </w:r>
      <w:r w:rsidR="00134F8E">
        <w:t xml:space="preserve"> </w:t>
      </w:r>
      <w:r w:rsidR="00B0128F" w:rsidRPr="00B0128F">
        <w:t xml:space="preserve">investície do infraštruktúry verejnej </w:t>
      </w:r>
      <w:r w:rsidR="00B0128F" w:rsidRPr="003C713F">
        <w:t>VaV</w:t>
      </w:r>
      <w:r w:rsidR="00B0128F" w:rsidRPr="00B0128F">
        <w:t xml:space="preserve"> infraštruktúry tak, aby sa zabezpečila účelnosť vynakladaných prostriedkov s cieľom zabráneniu duplicitným investíciám do infraštruktúry</w:t>
      </w:r>
      <w:r w:rsidR="00462721">
        <w:t>,</w:t>
      </w:r>
    </w:p>
    <w:p w:rsidR="00B0128F" w:rsidRPr="00B0128F" w:rsidRDefault="00C16632" w:rsidP="00791A72">
      <w:pPr>
        <w:numPr>
          <w:ilvl w:val="0"/>
          <w:numId w:val="21"/>
        </w:numPr>
        <w:spacing w:after="0"/>
      </w:pPr>
      <w:r>
        <w:t>zabezpečuje</w:t>
      </w:r>
      <w:r w:rsidR="00B0128F" w:rsidRPr="00B0128F">
        <w:t xml:space="preserve"> špecializácie verejných </w:t>
      </w:r>
      <w:r w:rsidR="00B0128F" w:rsidRPr="003C713F">
        <w:t>VaV</w:t>
      </w:r>
      <w:r w:rsidR="00B0128F" w:rsidRPr="00B0128F">
        <w:t xml:space="preserve"> inštitúcií</w:t>
      </w:r>
      <w:r w:rsidR="00462721">
        <w:t>.</w:t>
      </w:r>
    </w:p>
    <w:p w:rsidR="00B0128F" w:rsidRPr="00621249" w:rsidRDefault="00B0128F" w:rsidP="00B0128F">
      <w:pPr>
        <w:spacing w:after="0"/>
        <w:ind w:left="360"/>
      </w:pPr>
    </w:p>
    <w:p w:rsidR="00BB1CED" w:rsidRPr="00621249" w:rsidRDefault="00BB1CED" w:rsidP="00BB1CED">
      <w:pPr>
        <w:rPr>
          <w:b/>
        </w:rPr>
      </w:pPr>
      <w:r w:rsidRPr="00621249">
        <w:rPr>
          <w:b/>
        </w:rPr>
        <w:t>V</w:t>
      </w:r>
      <w:r w:rsidR="00853E7A">
        <w:rPr>
          <w:b/>
        </w:rPr>
        <w:t xml:space="preserve">ÝSKUMNÁ </w:t>
      </w:r>
      <w:r w:rsidRPr="00621249">
        <w:rPr>
          <w:b/>
        </w:rPr>
        <w:t>AGENTÚRA</w:t>
      </w:r>
    </w:p>
    <w:p w:rsidR="00BB1CED" w:rsidRDefault="00BB1CED" w:rsidP="00791A72">
      <w:pPr>
        <w:numPr>
          <w:ilvl w:val="0"/>
          <w:numId w:val="22"/>
        </w:numPr>
        <w:spacing w:after="0"/>
      </w:pPr>
      <w:r w:rsidRPr="00621249">
        <w:t xml:space="preserve">je metodicky </w:t>
      </w:r>
      <w:r w:rsidR="001C0734">
        <w:t>usmerňovaná</w:t>
      </w:r>
      <w:r w:rsidRPr="00621249">
        <w:t xml:space="preserve"> </w:t>
      </w:r>
      <w:r w:rsidR="00A105D0" w:rsidRPr="00A105D0">
        <w:t>SV RVTI RIS3</w:t>
      </w:r>
      <w:r w:rsidR="00134F8E">
        <w:rPr>
          <w:b/>
        </w:rPr>
        <w:t xml:space="preserve"> </w:t>
      </w:r>
      <w:r w:rsidRPr="00621249">
        <w:t>a organizačne je súčasťou MŠVVaŠ SR</w:t>
      </w:r>
      <w:r w:rsidR="00462721">
        <w:t>,</w:t>
      </w:r>
    </w:p>
    <w:p w:rsidR="003F6583" w:rsidRDefault="00C16632" w:rsidP="00791A72">
      <w:pPr>
        <w:numPr>
          <w:ilvl w:val="0"/>
          <w:numId w:val="22"/>
        </w:numPr>
        <w:spacing w:after="0"/>
      </w:pPr>
      <w:r>
        <w:t>zabezpečuje implementáciu RIS</w:t>
      </w:r>
      <w:r w:rsidR="003F6583">
        <w:t>3</w:t>
      </w:r>
      <w:r w:rsidR="00462721">
        <w:t>,</w:t>
      </w:r>
    </w:p>
    <w:p w:rsidR="00024F55" w:rsidRPr="00024F55" w:rsidRDefault="00024F55" w:rsidP="00791A72">
      <w:pPr>
        <w:numPr>
          <w:ilvl w:val="0"/>
          <w:numId w:val="22"/>
        </w:numPr>
        <w:spacing w:after="0"/>
      </w:pPr>
      <w:r w:rsidRPr="00024F55">
        <w:t>predsedníctvo agentúry bude zo</w:t>
      </w:r>
      <w:r>
        <w:t>stavované na princípe partnerstva aka</w:t>
      </w:r>
      <w:r w:rsidR="00A83364">
        <w:t>demickej a podnikateľskej sféry</w:t>
      </w:r>
      <w:r w:rsidR="00462721">
        <w:t>,</w:t>
      </w:r>
    </w:p>
    <w:p w:rsidR="00BB1CED" w:rsidRPr="00621249" w:rsidRDefault="00BB1CED" w:rsidP="00791A72">
      <w:pPr>
        <w:numPr>
          <w:ilvl w:val="0"/>
          <w:numId w:val="22"/>
        </w:numPr>
        <w:spacing w:after="0"/>
        <w:rPr>
          <w:b/>
        </w:rPr>
      </w:pPr>
      <w:r w:rsidRPr="00621249">
        <w:t>koordinuje prípravu, vyhodnocovanie programov, plánov, akcií, výziev z oblasti excelentného výskumu</w:t>
      </w:r>
      <w:r w:rsidR="00462721">
        <w:t>,</w:t>
      </w:r>
    </w:p>
    <w:p w:rsidR="00BB1CED" w:rsidRPr="00621249" w:rsidRDefault="00BB1CED" w:rsidP="00791A72">
      <w:pPr>
        <w:numPr>
          <w:ilvl w:val="0"/>
          <w:numId w:val="22"/>
        </w:numPr>
        <w:spacing w:after="0"/>
        <w:rPr>
          <w:b/>
        </w:rPr>
      </w:pPr>
      <w:r w:rsidRPr="00621249">
        <w:t xml:space="preserve">vytvára inštitucionálne predpoklady pre vytváranie vedeckých tímov zložených zo </w:t>
      </w:r>
      <w:r w:rsidR="00462721">
        <w:t xml:space="preserve">zástupcov </w:t>
      </w:r>
      <w:r w:rsidRPr="00621249">
        <w:t>SAV, univerzít a priemyselnej sféry</w:t>
      </w:r>
      <w:r w:rsidR="00462721">
        <w:t>,</w:t>
      </w:r>
    </w:p>
    <w:p w:rsidR="00BB1CED" w:rsidRPr="00621249" w:rsidRDefault="00BB1CED" w:rsidP="00791A72">
      <w:pPr>
        <w:numPr>
          <w:ilvl w:val="0"/>
          <w:numId w:val="22"/>
        </w:numPr>
        <w:spacing w:after="0"/>
        <w:rPr>
          <w:b/>
        </w:rPr>
      </w:pPr>
      <w:r w:rsidRPr="00621249">
        <w:t>spoluorganizuje účasť vedeckých a inovačných tímov SAV a univerzít v Európskom výskumnom a inovačnom priestore, najmä prepojením na komunitárny program HORIZON 2020 a programov ESFRI</w:t>
      </w:r>
      <w:r w:rsidR="00462721">
        <w:t>,</w:t>
      </w:r>
    </w:p>
    <w:p w:rsidR="00BB1CED" w:rsidRPr="00621249" w:rsidRDefault="00BB1CED" w:rsidP="00791A72">
      <w:pPr>
        <w:numPr>
          <w:ilvl w:val="0"/>
          <w:numId w:val="22"/>
        </w:numPr>
        <w:spacing w:after="0"/>
        <w:rPr>
          <w:b/>
        </w:rPr>
      </w:pPr>
      <w:r w:rsidRPr="00621249">
        <w:t>koordinuje svoje programy, projekty, plány,</w:t>
      </w:r>
      <w:r w:rsidR="00134F8E">
        <w:t xml:space="preserve"> </w:t>
      </w:r>
      <w:r w:rsidRPr="00621249">
        <w:t>akcie a výzvy s </w:t>
      </w:r>
      <w:r w:rsidR="00A105D0" w:rsidRPr="00A105D0">
        <w:t>TECHNOLOGICKOU AGENTÚROU</w:t>
      </w:r>
      <w:r w:rsidRPr="00621249">
        <w:rPr>
          <w:b/>
        </w:rPr>
        <w:t xml:space="preserve"> </w:t>
      </w:r>
      <w:r w:rsidRPr="00621249">
        <w:t>tak, aby dochádzalo k synchronizácii postupu pri napĺňaní RIS3</w:t>
      </w:r>
      <w:r w:rsidR="00462721">
        <w:t>,</w:t>
      </w:r>
    </w:p>
    <w:p w:rsidR="00BB1CED" w:rsidRPr="00621249" w:rsidRDefault="00BB1CED" w:rsidP="00791A72">
      <w:pPr>
        <w:numPr>
          <w:ilvl w:val="0"/>
          <w:numId w:val="22"/>
        </w:numPr>
        <w:spacing w:after="0"/>
        <w:rPr>
          <w:b/>
        </w:rPr>
      </w:pPr>
      <w:r w:rsidRPr="00621249">
        <w:t>vyhľadáva možnosti využitia rizikového kapitálu v excelentnom a priemyselnom výskume</w:t>
      </w:r>
      <w:r w:rsidR="00462721">
        <w:t>.</w:t>
      </w:r>
    </w:p>
    <w:p w:rsidR="00BB1CED" w:rsidRPr="00621249" w:rsidRDefault="00BB1CED" w:rsidP="00BB1CED">
      <w:pPr>
        <w:spacing w:after="0"/>
        <w:ind w:left="720"/>
      </w:pPr>
    </w:p>
    <w:p w:rsidR="00BB1CED" w:rsidRPr="00621249" w:rsidRDefault="00BB1CED" w:rsidP="00BB1CED">
      <w:pPr>
        <w:rPr>
          <w:b/>
        </w:rPr>
      </w:pPr>
      <w:r w:rsidRPr="00621249">
        <w:rPr>
          <w:b/>
        </w:rPr>
        <w:t>TECHNOLOGICKÁ</w:t>
      </w:r>
      <w:r w:rsidR="00134F8E">
        <w:rPr>
          <w:b/>
        </w:rPr>
        <w:t xml:space="preserve"> </w:t>
      </w:r>
      <w:r w:rsidRPr="00621249">
        <w:rPr>
          <w:b/>
        </w:rPr>
        <w:t>AGENTÚRA</w:t>
      </w:r>
    </w:p>
    <w:p w:rsidR="00BB1CED" w:rsidRDefault="00BB1CED" w:rsidP="00791A72">
      <w:pPr>
        <w:numPr>
          <w:ilvl w:val="0"/>
          <w:numId w:val="22"/>
        </w:numPr>
        <w:spacing w:after="0"/>
      </w:pPr>
      <w:r w:rsidRPr="00621249">
        <w:t xml:space="preserve">je metodicky </w:t>
      </w:r>
      <w:r w:rsidR="00856CF5">
        <w:t xml:space="preserve">usmerňovaná </w:t>
      </w:r>
      <w:r w:rsidR="00A105D0" w:rsidRPr="00A105D0">
        <w:t>SV RVTI RIS3</w:t>
      </w:r>
      <w:r w:rsidR="00134F8E">
        <w:rPr>
          <w:b/>
        </w:rPr>
        <w:t xml:space="preserve"> </w:t>
      </w:r>
      <w:r w:rsidRPr="00621249">
        <w:t>a organizačne je súčasťou MH SR</w:t>
      </w:r>
      <w:r w:rsidR="00462721">
        <w:t>,</w:t>
      </w:r>
    </w:p>
    <w:p w:rsidR="003F6583" w:rsidRDefault="00C16632" w:rsidP="00791A72">
      <w:pPr>
        <w:numPr>
          <w:ilvl w:val="0"/>
          <w:numId w:val="22"/>
        </w:numPr>
        <w:spacing w:after="0"/>
      </w:pPr>
      <w:r>
        <w:t>zabezpečuje implementáciu RIS</w:t>
      </w:r>
      <w:r w:rsidR="003F6583">
        <w:t>3</w:t>
      </w:r>
      <w:r w:rsidR="00462721">
        <w:t>,</w:t>
      </w:r>
    </w:p>
    <w:p w:rsidR="00A83364" w:rsidRPr="00024F55" w:rsidRDefault="00A83364" w:rsidP="00791A72">
      <w:pPr>
        <w:numPr>
          <w:ilvl w:val="0"/>
          <w:numId w:val="22"/>
        </w:numPr>
        <w:spacing w:after="0"/>
      </w:pPr>
      <w:r w:rsidRPr="00024F55">
        <w:lastRenderedPageBreak/>
        <w:t>predsedníctvo agentúry bude zo</w:t>
      </w:r>
      <w:r>
        <w:t>stavované na princípe partnerstva akademickej a podnikateľskej sféry</w:t>
      </w:r>
      <w:r w:rsidR="00462721">
        <w:t>,</w:t>
      </w:r>
    </w:p>
    <w:p w:rsidR="00BB1CED" w:rsidRPr="00621249" w:rsidRDefault="004144DD" w:rsidP="00791A72">
      <w:pPr>
        <w:numPr>
          <w:ilvl w:val="0"/>
          <w:numId w:val="22"/>
        </w:numPr>
        <w:spacing w:after="0"/>
        <w:rPr>
          <w:b/>
        </w:rPr>
      </w:pPr>
      <w:r>
        <w:t xml:space="preserve">participuje na </w:t>
      </w:r>
      <w:r w:rsidR="00BB1CED" w:rsidRPr="00621249">
        <w:t xml:space="preserve"> príprav</w:t>
      </w:r>
      <w:r>
        <w:t>e</w:t>
      </w:r>
      <w:r w:rsidR="00BB1CED" w:rsidRPr="00621249">
        <w:t>, vyhodnocovan</w:t>
      </w:r>
      <w:r>
        <w:t>í</w:t>
      </w:r>
      <w:r w:rsidR="00BB1CED" w:rsidRPr="00621249">
        <w:t xml:space="preserve"> programov, plánov, akcií, výziev z oblasti priemyselného výskumu, najmä prepojením programov excelentného výskumu a inovačných programov a</w:t>
      </w:r>
      <w:r w:rsidR="00462721">
        <w:t> </w:t>
      </w:r>
      <w:r w:rsidR="00BB1CED" w:rsidRPr="00621249">
        <w:t>projektov</w:t>
      </w:r>
      <w:r w:rsidR="00462721">
        <w:t>,</w:t>
      </w:r>
    </w:p>
    <w:p w:rsidR="00BB1CED" w:rsidRPr="00621249" w:rsidRDefault="00BB1CED" w:rsidP="00791A72">
      <w:pPr>
        <w:numPr>
          <w:ilvl w:val="0"/>
          <w:numId w:val="22"/>
        </w:numPr>
        <w:spacing w:after="0"/>
        <w:rPr>
          <w:b/>
        </w:rPr>
      </w:pPr>
      <w:r w:rsidRPr="00621249">
        <w:t>svoju činnosť koordinuje s priemyslom SR najmä prostredníctvom S</w:t>
      </w:r>
      <w:r w:rsidR="00462721">
        <w:t>lovenskej obchodnej a priemyselnej komory</w:t>
      </w:r>
      <w:r w:rsidRPr="00621249">
        <w:t>,</w:t>
      </w:r>
      <w:r w:rsidR="00D862E4">
        <w:t xml:space="preserve"> zamestnávateľských organizácií</w:t>
      </w:r>
      <w:r w:rsidR="00462721">
        <w:t>,</w:t>
      </w:r>
    </w:p>
    <w:p w:rsidR="00BB1CED" w:rsidRPr="00621249" w:rsidRDefault="00BB1CED" w:rsidP="00791A72">
      <w:pPr>
        <w:numPr>
          <w:ilvl w:val="0"/>
          <w:numId w:val="22"/>
        </w:numPr>
        <w:spacing w:after="0"/>
        <w:rPr>
          <w:b/>
        </w:rPr>
      </w:pPr>
      <w:r w:rsidRPr="00621249">
        <w:t xml:space="preserve">vytvára inštitucionálne predpoklady pre </w:t>
      </w:r>
      <w:r w:rsidR="00462721">
        <w:t xml:space="preserve"> vznik </w:t>
      </w:r>
      <w:r w:rsidRPr="00621249">
        <w:t>vedeckých tímov zložených zo SAV, univerzít a priemyselnej sféry</w:t>
      </w:r>
      <w:r>
        <w:t xml:space="preserve">, </w:t>
      </w:r>
    </w:p>
    <w:p w:rsidR="00BB1CED" w:rsidRPr="00621249" w:rsidRDefault="00BB1CED" w:rsidP="00791A72">
      <w:pPr>
        <w:numPr>
          <w:ilvl w:val="0"/>
          <w:numId w:val="22"/>
        </w:numPr>
        <w:spacing w:after="0"/>
        <w:rPr>
          <w:b/>
        </w:rPr>
      </w:pPr>
      <w:r w:rsidRPr="00621249">
        <w:t>spoluorganizuje účasť vedeckých a inovačných tímov SAV a univerzít v Európskom výskumnom a inovačnom priestore, najmä prepojením s</w:t>
      </w:r>
      <w:r w:rsidR="003D473E">
        <w:t>a na komunitárny program Horizon</w:t>
      </w:r>
      <w:r w:rsidRPr="00621249">
        <w:t xml:space="preserve"> 2020</w:t>
      </w:r>
      <w:r w:rsidR="00462721">
        <w:t xml:space="preserve">, </w:t>
      </w:r>
    </w:p>
    <w:p w:rsidR="00BB1CED" w:rsidRPr="00621249" w:rsidRDefault="00BB1CED" w:rsidP="00791A72">
      <w:pPr>
        <w:numPr>
          <w:ilvl w:val="0"/>
          <w:numId w:val="22"/>
        </w:numPr>
        <w:spacing w:after="0"/>
        <w:rPr>
          <w:b/>
        </w:rPr>
      </w:pPr>
      <w:r w:rsidRPr="00621249">
        <w:t>koordinuje svoje programy, projekty, plány,</w:t>
      </w:r>
      <w:r w:rsidR="00134F8E">
        <w:t xml:space="preserve"> </w:t>
      </w:r>
      <w:r w:rsidRPr="00621249">
        <w:t>akcie a výzvy s</w:t>
      </w:r>
      <w:r w:rsidR="003C713F">
        <w:t> VÝSKU</w:t>
      </w:r>
      <w:r w:rsidR="003D473E">
        <w:t>MNOU</w:t>
      </w:r>
      <w:r w:rsidR="00A105D0" w:rsidRPr="00A105D0">
        <w:t xml:space="preserve"> AGENTÚROU</w:t>
      </w:r>
      <w:r w:rsidRPr="00621249">
        <w:rPr>
          <w:b/>
        </w:rPr>
        <w:t xml:space="preserve"> </w:t>
      </w:r>
      <w:r w:rsidRPr="00621249">
        <w:t>tak, aby dochádzalo k synchronizácii postupu pri napĺňaní RIS3</w:t>
      </w:r>
      <w:r w:rsidR="00462721">
        <w:t>,</w:t>
      </w:r>
    </w:p>
    <w:p w:rsidR="00BB1CED" w:rsidRPr="00621249" w:rsidRDefault="00BB1CED" w:rsidP="00791A72">
      <w:pPr>
        <w:numPr>
          <w:ilvl w:val="0"/>
          <w:numId w:val="22"/>
        </w:numPr>
        <w:spacing w:after="0"/>
        <w:rPr>
          <w:b/>
        </w:rPr>
      </w:pPr>
      <w:r w:rsidRPr="00621249">
        <w:t>monitoruje a identifikuje možnosti zapojenia  slovenského priemyselného výskumu do inovačných programov nadnárodných spoločností podnikajúcich v</w:t>
      </w:r>
      <w:r w:rsidR="00462721">
        <w:t> </w:t>
      </w:r>
      <w:r w:rsidRPr="00621249">
        <w:t>SR</w:t>
      </w:r>
      <w:r w:rsidR="00462721">
        <w:t>,</w:t>
      </w:r>
    </w:p>
    <w:p w:rsidR="00BB1CED" w:rsidRPr="00621249" w:rsidRDefault="00BB1CED" w:rsidP="00791A72">
      <w:pPr>
        <w:numPr>
          <w:ilvl w:val="0"/>
          <w:numId w:val="22"/>
        </w:numPr>
        <w:spacing w:after="0"/>
        <w:rPr>
          <w:b/>
        </w:rPr>
      </w:pPr>
      <w:r w:rsidRPr="00621249">
        <w:t>vyhľadáva možnosti využitia rizikového kapitálu v</w:t>
      </w:r>
      <w:r w:rsidR="00D862E4">
        <w:t>o</w:t>
      </w:r>
      <w:r w:rsidR="00134F8E">
        <w:t xml:space="preserve"> </w:t>
      </w:r>
      <w:r w:rsidRPr="00621249">
        <w:t>výskume</w:t>
      </w:r>
      <w:r w:rsidR="00462721">
        <w:t>,</w:t>
      </w:r>
    </w:p>
    <w:p w:rsidR="00BB1CED" w:rsidRPr="00621249" w:rsidRDefault="00BB1CED" w:rsidP="00791A72">
      <w:pPr>
        <w:numPr>
          <w:ilvl w:val="0"/>
          <w:numId w:val="22"/>
        </w:numPr>
        <w:spacing w:after="0"/>
        <w:rPr>
          <w:b/>
        </w:rPr>
      </w:pPr>
      <w:r w:rsidRPr="00621249">
        <w:t>spolupracuje s bankovým sektorom v ponukách na financovanie inovačných projektov a akcií, najmä so S</w:t>
      </w:r>
      <w:r w:rsidR="00462721">
        <w:t>lovenskou záručnou a</w:t>
      </w:r>
      <w:r w:rsidR="0027767B">
        <w:t xml:space="preserve"> rozvojovou </w:t>
      </w:r>
      <w:r w:rsidR="00462721">
        <w:t>bankou</w:t>
      </w:r>
      <w:r w:rsidRPr="00621249">
        <w:t xml:space="preserve"> a</w:t>
      </w:r>
      <w:r w:rsidR="00462721">
        <w:t> </w:t>
      </w:r>
      <w:r w:rsidRPr="00621249">
        <w:t>EXIMBANKOU</w:t>
      </w:r>
      <w:r w:rsidR="00462721">
        <w:t>,</w:t>
      </w:r>
    </w:p>
    <w:p w:rsidR="00BB1CED" w:rsidRPr="00621249" w:rsidRDefault="00BB1CED" w:rsidP="00791A72">
      <w:pPr>
        <w:numPr>
          <w:ilvl w:val="0"/>
          <w:numId w:val="22"/>
        </w:numPr>
        <w:spacing w:after="0"/>
        <w:rPr>
          <w:b/>
        </w:rPr>
      </w:pPr>
      <w:r w:rsidRPr="00621249">
        <w:t>optimalizuje multisektorové financovanie inovácií a priemyselného výskumu a jeho prepojenie na excelentný výskum prostredníctvom súkromných finančných zdrojov, najmä z podnikov, tvorby schém revolvingového financovania vedy a</w:t>
      </w:r>
      <w:r w:rsidR="0027767B">
        <w:t> </w:t>
      </w:r>
      <w:r w:rsidRPr="00621249">
        <w:t>inovácií</w:t>
      </w:r>
      <w:r w:rsidR="0027767B">
        <w:t>,</w:t>
      </w:r>
    </w:p>
    <w:p w:rsidR="008B0298" w:rsidRPr="003D473E" w:rsidRDefault="00BB1CED" w:rsidP="008B0298">
      <w:pPr>
        <w:numPr>
          <w:ilvl w:val="0"/>
          <w:numId w:val="22"/>
        </w:numPr>
        <w:spacing w:after="0"/>
        <w:rPr>
          <w:b/>
        </w:rPr>
      </w:pPr>
      <w:r w:rsidRPr="00621249">
        <w:t>spolupracuje s technologickými platformami vytvorenými na úrovni EÚ a v Slovenskej republike</w:t>
      </w:r>
      <w:r w:rsidR="0027767B">
        <w:t>.</w:t>
      </w:r>
    </w:p>
    <w:p w:rsidR="00BB1CED" w:rsidRDefault="00BB1CED" w:rsidP="00791A72">
      <w:pPr>
        <w:pStyle w:val="Nadpis2"/>
        <w:numPr>
          <w:ilvl w:val="1"/>
          <w:numId w:val="37"/>
        </w:numPr>
      </w:pPr>
      <w:bookmarkStart w:id="185" w:name="_Toc365831821"/>
      <w:bookmarkStart w:id="186" w:name="_Toc365832013"/>
      <w:bookmarkStart w:id="187" w:name="_Toc366744184"/>
      <w:r w:rsidRPr="00A32572">
        <w:t>P</w:t>
      </w:r>
      <w:r w:rsidR="003875FC">
        <w:t xml:space="preserve">rocesné zabezpečenie inštitucionálnej štruktúry implementácie </w:t>
      </w:r>
      <w:bookmarkEnd w:id="185"/>
      <w:bookmarkEnd w:id="186"/>
      <w:r w:rsidR="003875FC">
        <w:t>RIS3</w:t>
      </w:r>
      <w:bookmarkEnd w:id="187"/>
    </w:p>
    <w:p w:rsidR="0002212B" w:rsidRPr="00BE1F10" w:rsidRDefault="00B203E3" w:rsidP="008F2D85">
      <w:pPr>
        <w:ind w:firstLine="426"/>
      </w:pPr>
      <w:r>
        <w:rPr>
          <w:noProof/>
          <w:lang w:eastAsia="sk-SK"/>
        </w:rPr>
        <mc:AlternateContent>
          <mc:Choice Requires="wps">
            <w:drawing>
              <wp:anchor distT="0" distB="0" distL="114300" distR="114300" simplePos="0" relativeHeight="251657728" behindDoc="0" locked="0" layoutInCell="1" allowOverlap="1" wp14:anchorId="32760B84" wp14:editId="75A49E17">
                <wp:simplePos x="0" y="0"/>
                <wp:positionH relativeFrom="column">
                  <wp:posOffset>8174355</wp:posOffset>
                </wp:positionH>
                <wp:positionV relativeFrom="paragraph">
                  <wp:posOffset>43815</wp:posOffset>
                </wp:positionV>
                <wp:extent cx="1924050" cy="5534025"/>
                <wp:effectExtent l="0" t="0" r="19050" b="28575"/>
                <wp:wrapNone/>
                <wp:docPr id="16"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534025"/>
                        </a:xfrm>
                        <a:prstGeom prst="rect">
                          <a:avLst/>
                        </a:prstGeom>
                        <a:solidFill>
                          <a:srgbClr val="FFFFFF"/>
                        </a:solidFill>
                        <a:ln w="25400">
                          <a:solidFill>
                            <a:srgbClr val="F79646"/>
                          </a:solidFill>
                          <a:miter lim="800000"/>
                          <a:headEnd/>
                          <a:tailEnd/>
                        </a:ln>
                      </wps:spPr>
                      <wps:txbx>
                        <w:txbxContent>
                          <w:p w:rsidR="000D4A62" w:rsidRDefault="000D4A62" w:rsidP="00B26D60">
                            <w:pPr>
                              <w:jc w:val="center"/>
                              <w:rPr>
                                <w:b/>
                              </w:rPr>
                            </w:pPr>
                            <w:r>
                              <w:rPr>
                                <w:b/>
                              </w:rPr>
                              <w:t>Reorganizácia systému VaI – výraznejšie uplatnenie výsledkov v hospodárskej praxi</w:t>
                            </w:r>
                          </w:p>
                          <w:p w:rsidR="000D4A62" w:rsidRDefault="000D4A62" w:rsidP="00B26D60">
                            <w:pPr>
                              <w:jc w:val="center"/>
                              <w:rPr>
                                <w:b/>
                              </w:rPr>
                            </w:pPr>
                            <w:r>
                              <w:rPr>
                                <w:b/>
                              </w:rPr>
                              <w:t>Zmena podielu aplikovaného a základného výskumu na:</w:t>
                            </w:r>
                          </w:p>
                          <w:p w:rsidR="000D4A62" w:rsidRDefault="000D4A62" w:rsidP="00B26D60">
                            <w:pPr>
                              <w:jc w:val="center"/>
                              <w:rPr>
                                <w:b/>
                              </w:rPr>
                            </w:pPr>
                            <w:r>
                              <w:rPr>
                                <w:b/>
                              </w:rPr>
                              <w:t>70% aplikovaný výskum</w:t>
                            </w:r>
                          </w:p>
                          <w:p w:rsidR="000D4A62" w:rsidRDefault="000D4A62" w:rsidP="00B26D60">
                            <w:pPr>
                              <w:jc w:val="center"/>
                              <w:rPr>
                                <w:b/>
                              </w:rPr>
                            </w:pPr>
                            <w:r>
                              <w:rPr>
                                <w:b/>
                              </w:rPr>
                              <w:t>30% základný výskum</w:t>
                            </w:r>
                          </w:p>
                          <w:p w:rsidR="000D4A62" w:rsidRDefault="000D4A62" w:rsidP="00B26D60">
                            <w:pPr>
                              <w:jc w:val="center"/>
                              <w:rPr>
                                <w:b/>
                              </w:rPr>
                            </w:pPr>
                            <w:r>
                              <w:rPr>
                                <w:b/>
                              </w:rPr>
                              <w:t>Reorganizácia univerzít, SAV, rezortných výskumných ústavov</w:t>
                            </w:r>
                          </w:p>
                          <w:p w:rsidR="000D4A62" w:rsidRDefault="000D4A62" w:rsidP="00B26D60">
                            <w:pPr>
                              <w:jc w:val="center"/>
                              <w:rPr>
                                <w:b/>
                              </w:rPr>
                            </w:pPr>
                            <w:r>
                              <w:rPr>
                                <w:b/>
                              </w:rPr>
                              <w:t>Nastavenie kritérií podpory VaV pre zaistenie nákladov - štát 30%, 70% vlastné zdroje</w:t>
                            </w:r>
                          </w:p>
                          <w:p w:rsidR="000D4A62" w:rsidRDefault="000D4A62" w:rsidP="00B26D60">
                            <w:pPr>
                              <w:rPr>
                                <w:b/>
                              </w:rPr>
                            </w:pPr>
                            <w:r>
                              <w:rPr>
                                <w:b/>
                              </w:rPr>
                              <w:t>Zvýšenie podielu financovania VaI zo súkromných zdrojov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Obdĺžnik 5" o:spid="_x0000_s1026" style="position:absolute;left:0;text-align:left;margin-left:643.65pt;margin-top:3.45pt;width:151.5pt;height:4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" strokecolor="#f79646" strokeweight="2pt">
                <v:textbox>
                  <w:txbxContent>
                    <w:p w:rsidR="000D4A62" w:rsidRDefault="000D4A62" w:rsidP="00B26D60">
                      <w:pPr>
                        <w:jc w:val="center"/>
                        <w:rPr>
                          <w:b/>
                        </w:rPr>
                      </w:pPr>
                      <w:r>
                        <w:rPr>
                          <w:b/>
                        </w:rPr>
                        <w:t>Reorganizácia systému VaI – výraznejšie uplatnenie výsledkov v hospodárskej praxi</w:t>
                      </w:r>
                    </w:p>
                    <w:p w:rsidR="000D4A62" w:rsidRDefault="000D4A62" w:rsidP="00B26D60">
                      <w:pPr>
                        <w:jc w:val="center"/>
                        <w:rPr>
                          <w:b/>
                        </w:rPr>
                      </w:pPr>
                      <w:r>
                        <w:rPr>
                          <w:b/>
                        </w:rPr>
                        <w:t>Zmena podielu aplikovaného a základného výskumu na:</w:t>
                      </w:r>
                    </w:p>
                    <w:p w:rsidR="000D4A62" w:rsidRDefault="000D4A62" w:rsidP="00B26D60">
                      <w:pPr>
                        <w:jc w:val="center"/>
                        <w:rPr>
                          <w:b/>
                        </w:rPr>
                      </w:pPr>
                      <w:r>
                        <w:rPr>
                          <w:b/>
                        </w:rPr>
                        <w:t>70% aplikovaný výskum</w:t>
                      </w:r>
                    </w:p>
                    <w:p w:rsidR="000D4A62" w:rsidRDefault="000D4A62" w:rsidP="00B26D60">
                      <w:pPr>
                        <w:jc w:val="center"/>
                        <w:rPr>
                          <w:b/>
                        </w:rPr>
                      </w:pPr>
                      <w:r>
                        <w:rPr>
                          <w:b/>
                        </w:rPr>
                        <w:t>30% základný výskum</w:t>
                      </w:r>
                    </w:p>
                    <w:p w:rsidR="000D4A62" w:rsidRDefault="000D4A62" w:rsidP="00B26D60">
                      <w:pPr>
                        <w:jc w:val="center"/>
                        <w:rPr>
                          <w:b/>
                        </w:rPr>
                      </w:pPr>
                      <w:r>
                        <w:rPr>
                          <w:b/>
                        </w:rPr>
                        <w:t>Reorganizácia univerzít, SAV, rezortných výskumných ústavov</w:t>
                      </w:r>
                    </w:p>
                    <w:p w:rsidR="000D4A62" w:rsidRDefault="000D4A62" w:rsidP="00B26D60">
                      <w:pPr>
                        <w:jc w:val="center"/>
                        <w:rPr>
                          <w:b/>
                        </w:rPr>
                      </w:pPr>
                      <w:r>
                        <w:rPr>
                          <w:b/>
                        </w:rPr>
                        <w:t>Nastavenie kritérií podpory VaV pre zaistenie nákladov - štát 30%, 70% vlastné zdroje</w:t>
                      </w:r>
                    </w:p>
                    <w:p w:rsidR="000D4A62" w:rsidRDefault="000D4A62" w:rsidP="00B26D60">
                      <w:pPr>
                        <w:rPr>
                          <w:b/>
                        </w:rPr>
                      </w:pPr>
                      <w:r>
                        <w:rPr>
                          <w:b/>
                        </w:rPr>
                        <w:t>Zvýšenie podielu financovania VaI zo súkromných zdrojov</w:t>
                      </w:r>
                    </w:p>
                  </w:txbxContent>
                </v:textbox>
              </v:rect>
            </w:pict>
          </mc:Fallback>
        </mc:AlternateContent>
      </w:r>
      <w:r w:rsidR="00817EF8" w:rsidRPr="00621249">
        <w:t xml:space="preserve">Pre naplnenie </w:t>
      </w:r>
      <w:r w:rsidR="00817EF8">
        <w:t xml:space="preserve">navrhovanej </w:t>
      </w:r>
      <w:r w:rsidR="00817EF8" w:rsidRPr="00621249">
        <w:t>schémy riadenia implementácie RIS3 bude nevyhnutné uskutočniť zmeny</w:t>
      </w:r>
      <w:r w:rsidR="00134F8E">
        <w:t xml:space="preserve"> </w:t>
      </w:r>
      <w:r w:rsidR="00817EF8" w:rsidRPr="00621249">
        <w:t xml:space="preserve">v zákonodarstve SR, najmä zmeniť zákon o pôsobnosti ministerstiev a orgánov štátnej správy, upraviť štatút Rady vlády pre vedu, techniku a inovácie, vytvoriť Stály výbor RVTI pre implementáciu RIS3 a vytvoriť </w:t>
      </w:r>
      <w:r w:rsidR="003D473E">
        <w:t>Výskumnú</w:t>
      </w:r>
      <w:r w:rsidR="00817EF8">
        <w:t xml:space="preserve"> a Technologickú agentúru</w:t>
      </w:r>
      <w:r w:rsidR="003D473E">
        <w:t>.</w:t>
      </w:r>
      <w:r w:rsidR="00817EF8">
        <w:t xml:space="preserve"> Pri týchto legislatívnych zmenách bude nevyhnutné vychádzať z </w:t>
      </w:r>
      <w:r w:rsidR="00817EF8" w:rsidRPr="008A7A33">
        <w:rPr>
          <w:b/>
        </w:rPr>
        <w:t>procesnej stránky riadenia vedy a inovácií v SR</w:t>
      </w:r>
      <w:r w:rsidR="00817EF8">
        <w:t xml:space="preserve"> v zmysle cieľov a priorít RIS3.</w:t>
      </w:r>
    </w:p>
    <w:p w:rsidR="00BB1CED" w:rsidRPr="008F2D85" w:rsidRDefault="00BB1CED" w:rsidP="009459CA">
      <w:pPr>
        <w:ind w:firstLine="426"/>
      </w:pPr>
      <w:bookmarkStart w:id="188" w:name="_Toc365831822"/>
      <w:bookmarkStart w:id="189" w:name="_Toc365832014"/>
      <w:r w:rsidRPr="008F2D85">
        <w:t>Základným nástrojom</w:t>
      </w:r>
      <w:r w:rsidR="00134F8E" w:rsidRPr="008F2D85">
        <w:t xml:space="preserve"> </w:t>
      </w:r>
      <w:r w:rsidRPr="008F2D85">
        <w:t xml:space="preserve">pre efektívnu implementáciu RIS3 budú plánovacie procesy, procesy rozhodovania, organizovania, vedenia, monitorovania a kontroly. Základný rámec týchto procesov v inštitucionálnej štruktúre riadenia vedy a inovácii v SR pre naplnenie cieľov a priorít RIS3 je na </w:t>
      </w:r>
      <w:bookmarkEnd w:id="188"/>
      <w:bookmarkEnd w:id="189"/>
      <w:r w:rsidR="003D473E">
        <w:t>Obrázku 3.</w:t>
      </w:r>
    </w:p>
    <w:p w:rsidR="00163B88" w:rsidRDefault="00163B88" w:rsidP="00163B88">
      <w:pPr>
        <w:ind w:firstLine="426"/>
      </w:pPr>
      <w:r>
        <w:t xml:space="preserve">Z obrázku  je zreteľné postavenie, úloha a zodpovednosť za jednotlivé procesy jednotlivých organizačných štruktúr v riadení vedy a inovácií v SR. Kľúčovým prvkom riadenia bude plánovací proces v hierarchii PRIORITY RIS3 - programy – projekty – akcie, ktoré budú vzájomne previazané, zdrojovo a časovo vybilancované. K tomu bude uspôsobený systém monitorovania napĺňania cieľov a priorít RIS3, ktorá  bude rozpracovaná do programov a projektov na obdobie 2014 </w:t>
      </w:r>
      <w:r w:rsidRPr="003C713F">
        <w:t>až 2022</w:t>
      </w:r>
      <w:r>
        <w:t xml:space="preserve"> ako komplexný plánovací dokument. Ten bude ďalej rozpracovávaný do ročných plánov s výhľadom na ďalšie tri roky (1+3), pričom tieto ročné plány budú metódou kĺzavého plánovania pružne reagovať na postup v dosahovaní cieľov a priorít RIS3 a na zmeny vyplývajúce z riešenia projektov a na zmeny vonkajších podmienok.</w:t>
      </w:r>
    </w:p>
    <w:p w:rsidR="00F87C5A" w:rsidRPr="008F2D85" w:rsidRDefault="008F2D85" w:rsidP="00F87C5A">
      <w:pPr>
        <w:pStyle w:val="Popis"/>
        <w:rPr>
          <w:b w:val="0"/>
          <w:i/>
          <w:caps w:val="0"/>
          <w:color w:val="000000"/>
          <w:sz w:val="20"/>
          <w:szCs w:val="20"/>
        </w:rPr>
      </w:pPr>
      <w:r>
        <w:rPr>
          <w:i/>
          <w:caps w:val="0"/>
          <w:color w:val="000000"/>
          <w:sz w:val="20"/>
          <w:szCs w:val="20"/>
        </w:rPr>
        <w:br w:type="page"/>
      </w:r>
      <w:r w:rsidR="00F87C5A" w:rsidRPr="008F2D85">
        <w:rPr>
          <w:i/>
          <w:caps w:val="0"/>
          <w:color w:val="000000"/>
          <w:sz w:val="20"/>
          <w:szCs w:val="20"/>
        </w:rPr>
        <w:lastRenderedPageBreak/>
        <w:t>Obr</w:t>
      </w:r>
      <w:r w:rsidRPr="008F2D85">
        <w:rPr>
          <w:i/>
          <w:caps w:val="0"/>
          <w:color w:val="000000"/>
          <w:sz w:val="20"/>
          <w:szCs w:val="20"/>
        </w:rPr>
        <w:t xml:space="preserve">ázok </w:t>
      </w:r>
      <w:r w:rsidR="00D00787">
        <w:rPr>
          <w:i/>
          <w:caps w:val="0"/>
          <w:color w:val="000000"/>
          <w:sz w:val="20"/>
          <w:szCs w:val="20"/>
        </w:rPr>
        <w:t>3</w:t>
      </w:r>
      <w:r w:rsidR="00F87C5A" w:rsidRPr="008F2D85">
        <w:rPr>
          <w:b w:val="0"/>
          <w:i/>
          <w:caps w:val="0"/>
          <w:color w:val="000000"/>
          <w:sz w:val="20"/>
          <w:szCs w:val="20"/>
        </w:rPr>
        <w:t xml:space="preserve"> Základný rámec procesov riadenia vedy a inovácii v SR v novom inštitucionálnom usporiadaní</w:t>
      </w:r>
    </w:p>
    <w:p w:rsidR="002B4031" w:rsidRDefault="003F7197" w:rsidP="003F7197">
      <w:r>
        <w:rPr>
          <w:noProof/>
          <w:lang w:eastAsia="sk-SK"/>
        </w:rPr>
        <w:drawing>
          <wp:inline distT="0" distB="0" distL="0" distR="0" wp14:anchorId="4751E213" wp14:editId="2B5AC733">
            <wp:extent cx="5753735" cy="4088765"/>
            <wp:effectExtent l="1905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735" cy="4088765"/>
                    </a:xfrm>
                    <a:prstGeom prst="rect">
                      <a:avLst/>
                    </a:prstGeom>
                    <a:noFill/>
                    <a:ln>
                      <a:noFill/>
                    </a:ln>
                  </pic:spPr>
                </pic:pic>
              </a:graphicData>
            </a:graphic>
          </wp:inline>
        </w:drawing>
      </w:r>
    </w:p>
    <w:p w:rsidR="009B4A3B" w:rsidRPr="00D019F9" w:rsidRDefault="009B4A3B" w:rsidP="00791A72">
      <w:pPr>
        <w:pStyle w:val="Nadpis1"/>
        <w:numPr>
          <w:ilvl w:val="0"/>
          <w:numId w:val="33"/>
        </w:numPr>
      </w:pPr>
      <w:bookmarkStart w:id="190" w:name="_Toc360576025"/>
      <w:bookmarkStart w:id="191" w:name="_Toc365831823"/>
      <w:bookmarkStart w:id="192" w:name="_Toc365832015"/>
      <w:bookmarkStart w:id="193" w:name="_Toc366744185"/>
      <w:r w:rsidRPr="00D019F9">
        <w:t>Vízia a strategické ciele</w:t>
      </w:r>
      <w:bookmarkEnd w:id="4"/>
      <w:bookmarkEnd w:id="190"/>
      <w:bookmarkEnd w:id="191"/>
      <w:bookmarkEnd w:id="192"/>
      <w:bookmarkEnd w:id="193"/>
    </w:p>
    <w:p w:rsidR="00404906" w:rsidRDefault="00404906" w:rsidP="00496C65">
      <w:pPr>
        <w:spacing w:after="0" w:line="240" w:lineRule="auto"/>
      </w:pPr>
    </w:p>
    <w:p w:rsidR="001F56DF" w:rsidRPr="00927544" w:rsidRDefault="00FC659D" w:rsidP="003D473E">
      <w:pPr>
        <w:spacing w:after="0" w:line="240" w:lineRule="auto"/>
        <w:ind w:firstLine="426"/>
      </w:pPr>
      <w:r w:rsidRPr="007A100B">
        <w:rPr>
          <w:b/>
          <w:bCs/>
        </w:rPr>
        <w:t>S</w:t>
      </w:r>
      <w:r w:rsidR="00235FD8" w:rsidRPr="007A100B">
        <w:rPr>
          <w:b/>
          <w:bCs/>
        </w:rPr>
        <w:t>tratégia pre inteligentnú špecializáciu Slovenskej Republiky</w:t>
      </w:r>
      <w:r w:rsidR="00404906" w:rsidRPr="00927544">
        <w:t xml:space="preserve"> prostredníctvom</w:t>
      </w:r>
      <w:r w:rsidR="007A5C6C" w:rsidRPr="00927544">
        <w:t xml:space="preserve"> rozvoja</w:t>
      </w:r>
      <w:r w:rsidR="00404906" w:rsidRPr="00927544">
        <w:t xml:space="preserve"> inovácii, vedy a </w:t>
      </w:r>
      <w:r w:rsidR="007A5C6C" w:rsidRPr="00927544">
        <w:t>technológií</w:t>
      </w:r>
      <w:r w:rsidR="00134F8E">
        <w:t xml:space="preserve"> </w:t>
      </w:r>
      <w:r w:rsidR="00365212" w:rsidRPr="00927544">
        <w:t xml:space="preserve">v identifikovaných prioritných oblastiach </w:t>
      </w:r>
      <w:r w:rsidR="00404906" w:rsidRPr="00927544">
        <w:t>vytvára predpoklady pre trvalo udržateľný rast konkurenčnej schopnosti Slovenskej republiky</w:t>
      </w:r>
      <w:r w:rsidR="00927859" w:rsidRPr="00927544">
        <w:t xml:space="preserve"> a zároveň podporuje diverzifikáciu štruktúry slovenskej ekonomiky</w:t>
      </w:r>
      <w:r w:rsidR="00404906" w:rsidRPr="00927544">
        <w:t>.</w:t>
      </w:r>
      <w:bookmarkStart w:id="194" w:name="_Toc359862655"/>
    </w:p>
    <w:p w:rsidR="001F56DF" w:rsidRPr="00493CF5" w:rsidRDefault="001F56DF" w:rsidP="00791A72">
      <w:pPr>
        <w:pStyle w:val="Nadpis2"/>
        <w:numPr>
          <w:ilvl w:val="1"/>
          <w:numId w:val="38"/>
        </w:numPr>
      </w:pPr>
      <w:bookmarkStart w:id="195" w:name="_Toc365831824"/>
      <w:bookmarkStart w:id="196" w:name="_Toc365832016"/>
      <w:bookmarkStart w:id="197" w:name="_Toc366744186"/>
      <w:r w:rsidRPr="00493CF5">
        <w:t>Vízia</w:t>
      </w:r>
      <w:bookmarkEnd w:id="194"/>
      <w:bookmarkEnd w:id="195"/>
      <w:bookmarkEnd w:id="196"/>
      <w:bookmarkEnd w:id="197"/>
    </w:p>
    <w:p w:rsidR="00404906" w:rsidRPr="00927544" w:rsidRDefault="00404906" w:rsidP="00496C65">
      <w:pPr>
        <w:spacing w:after="0" w:line="240" w:lineRule="auto"/>
      </w:pPr>
    </w:p>
    <w:p w:rsidR="009B4A3B" w:rsidRPr="00927544" w:rsidRDefault="00404906" w:rsidP="008F2D85">
      <w:pPr>
        <w:spacing w:after="0" w:line="240" w:lineRule="auto"/>
        <w:ind w:firstLine="426"/>
        <w:rPr>
          <w:b/>
        </w:rPr>
      </w:pPr>
      <w:r w:rsidRPr="00927544">
        <w:rPr>
          <w:b/>
        </w:rPr>
        <w:t>„</w:t>
      </w:r>
      <w:r w:rsidR="009B4A3B" w:rsidRPr="00927544">
        <w:rPr>
          <w:b/>
        </w:rPr>
        <w:t xml:space="preserve">Podnecovať štrukturálnu zmenu slovenskej ekonomiky smerom k rastu založenému na zvyšovaní inovačnej schopnosti a excelentnosti vo </w:t>
      </w:r>
      <w:r w:rsidR="001F56DF" w:rsidRPr="00927544">
        <w:rPr>
          <w:b/>
        </w:rPr>
        <w:t xml:space="preserve">VaI </w:t>
      </w:r>
      <w:r w:rsidR="009B4A3B" w:rsidRPr="00927544">
        <w:rPr>
          <w:b/>
        </w:rPr>
        <w:t>s cieľom podporovať udržateľný rast príjmov, zamestnanosti a</w:t>
      </w:r>
      <w:r w:rsidR="00134F8E">
        <w:rPr>
          <w:b/>
        </w:rPr>
        <w:t xml:space="preserve"> </w:t>
      </w:r>
      <w:r w:rsidR="009B4A3B" w:rsidRPr="00927544">
        <w:rPr>
          <w:b/>
        </w:rPr>
        <w:t>kvality života</w:t>
      </w:r>
      <w:r w:rsidR="00730936">
        <w:rPr>
          <w:b/>
        </w:rPr>
        <w:t>“</w:t>
      </w:r>
    </w:p>
    <w:p w:rsidR="009B4A3B" w:rsidRPr="00927544" w:rsidRDefault="009B4A3B" w:rsidP="00496C65">
      <w:pPr>
        <w:pStyle w:val="Nadpis2"/>
        <w:numPr>
          <w:ilvl w:val="0"/>
          <w:numId w:val="0"/>
        </w:numPr>
        <w:spacing w:before="0" w:line="240" w:lineRule="auto"/>
        <w:jc w:val="both"/>
        <w:rPr>
          <w:sz w:val="20"/>
          <w:szCs w:val="20"/>
        </w:rPr>
      </w:pPr>
    </w:p>
    <w:p w:rsidR="009B4A3B" w:rsidRPr="00927544" w:rsidRDefault="001F56DF" w:rsidP="00BA5CBF">
      <w:pPr>
        <w:ind w:firstLine="425"/>
        <w:rPr>
          <w:lang w:eastAsia="sk-SK"/>
        </w:rPr>
      </w:pPr>
      <w:r w:rsidRPr="00927544">
        <w:rPr>
          <w:lang w:eastAsia="sk-SK"/>
        </w:rPr>
        <w:t>Naplnením vízie</w:t>
      </w:r>
      <w:r w:rsidR="00134F8E">
        <w:rPr>
          <w:lang w:eastAsia="sk-SK"/>
        </w:rPr>
        <w:t xml:space="preserve"> </w:t>
      </w:r>
      <w:r w:rsidRPr="00927544">
        <w:rPr>
          <w:lang w:eastAsia="sk-SK"/>
        </w:rPr>
        <w:t>d</w:t>
      </w:r>
      <w:r w:rsidR="009B4A3B" w:rsidRPr="00927544">
        <w:t xml:space="preserve">o roku 2020 dôjde k transformácii slovenskej ekonomiky smerom </w:t>
      </w:r>
      <w:r w:rsidRPr="00927544">
        <w:t xml:space="preserve">k </w:t>
      </w:r>
      <w:r w:rsidR="003D473E">
        <w:t>znalostnej ekonomike.</w:t>
      </w:r>
      <w:r w:rsidR="001D0D06">
        <w:t xml:space="preserve"> H</w:t>
      </w:r>
      <w:r w:rsidR="009B4A3B" w:rsidRPr="00927544">
        <w:t>lavn</w:t>
      </w:r>
      <w:r w:rsidR="001D0D06">
        <w:t>é</w:t>
      </w:r>
      <w:r w:rsidR="009B4A3B" w:rsidRPr="00927544">
        <w:t xml:space="preserve"> priemyseln</w:t>
      </w:r>
      <w:r w:rsidR="001D0D06">
        <w:t>é</w:t>
      </w:r>
      <w:r w:rsidR="009B4A3B" w:rsidRPr="00927544">
        <w:t xml:space="preserve"> odvetv</w:t>
      </w:r>
      <w:r w:rsidR="001D0D06">
        <w:t>ia budú reštrukturalizované smerom</w:t>
      </w:r>
      <w:r w:rsidR="009B4A3B" w:rsidRPr="00927544">
        <w:t xml:space="preserve"> k produkcii s vyššou pridanou hodnotou. Subdodávateľské firmy pôsobiace v automobilovom a elektrotechnickom priemysle, IKT a ostatných odvetviach na Slovensku budú reflektovať globálne trendy a dôjde k ich vyššiemu zapojeniu do spolupráce s </w:t>
      </w:r>
      <w:r w:rsidR="003B35FF">
        <w:t>MNS</w:t>
      </w:r>
      <w:r w:rsidR="009B4A3B" w:rsidRPr="00927544">
        <w:t xml:space="preserve"> a k určeniu nových strategických segmentov. Práve nová strategická segmentácia umožní prebudovať vlastné hodnotové reťazce a využitie nových trhových príležitostí (niche markets) a otvorenie nových trhov. Domáce </w:t>
      </w:r>
      <w:r w:rsidR="002217E0">
        <w:t>výskumno-vývojové</w:t>
      </w:r>
      <w:r w:rsidR="009B4A3B" w:rsidRPr="00927544">
        <w:t xml:space="preserve"> pracoviská budú stimulované k spolupráci s lokálnymi firmami pri realizácii ich vývojových a inovačných aktivít s cieľom zefektívniť produkčné a logistické procesy, ktoré budú rezultovať v znížení celkovej energetickej náročnosti a</w:t>
      </w:r>
      <w:r w:rsidR="001334C8">
        <w:t> </w:t>
      </w:r>
      <w:r w:rsidR="009B4A3B" w:rsidRPr="00927544">
        <w:t>v</w:t>
      </w:r>
      <w:r w:rsidR="001334C8">
        <w:t> </w:t>
      </w:r>
      <w:r w:rsidR="009B4A3B" w:rsidRPr="00927544">
        <w:t>neposlednom rade v implementácii informačno-komunikačných technológií do inteligentných aplikácií v</w:t>
      </w:r>
      <w:r w:rsidR="001334C8">
        <w:t> </w:t>
      </w:r>
      <w:r w:rsidR="009B4A3B" w:rsidRPr="00927544">
        <w:t xml:space="preserve">priemysle. Firmy budú taktiež realizovať </w:t>
      </w:r>
      <w:r w:rsidR="002217E0">
        <w:t>výskumné, vývojové a inovačné</w:t>
      </w:r>
      <w:r w:rsidR="009B4A3B" w:rsidRPr="00927544">
        <w:t xml:space="preserve"> aktivity v oblasti materiálového výskumu, najmä v oblasti kovov (oceľ a ľahké kovy a ich zliatiny), plastov a tvárnenia a spájania materiálov s</w:t>
      </w:r>
      <w:r w:rsidR="001334C8">
        <w:t> </w:t>
      </w:r>
      <w:r w:rsidR="009B4A3B" w:rsidRPr="00927544">
        <w:t xml:space="preserve">cieľom zlepšenia celkových vlastností produktov a zvýšenia kvality a životnosti produkovaných výrobkov. </w:t>
      </w:r>
      <w:r w:rsidR="002217E0">
        <w:t>Výskum a vývoj</w:t>
      </w:r>
      <w:r w:rsidR="009B4A3B" w:rsidRPr="00927544">
        <w:t xml:space="preserve"> bude realizovaný v nových firemných </w:t>
      </w:r>
      <w:r w:rsidR="002217E0">
        <w:t>výskumno-</w:t>
      </w:r>
      <w:r w:rsidR="002217E0">
        <w:lastRenderedPageBreak/>
        <w:t>vývojových</w:t>
      </w:r>
      <w:r w:rsidR="009B4A3B" w:rsidRPr="00927544">
        <w:t xml:space="preserve"> centrách. Výskum a vývoj ocelí v</w:t>
      </w:r>
      <w:r w:rsidR="001334C8">
        <w:t> </w:t>
      </w:r>
      <w:r w:rsidR="009B4A3B" w:rsidRPr="00927544">
        <w:t>spolupráci s producentmi bude orientovaný na zlepšovanie vlastností</w:t>
      </w:r>
      <w:r w:rsidR="003D473E">
        <w:t>,</w:t>
      </w:r>
      <w:r w:rsidR="001334C8">
        <w:t xml:space="preserve"> na </w:t>
      </w:r>
      <w:r w:rsidR="00E84129">
        <w:t>špecifick</w:t>
      </w:r>
      <w:r w:rsidR="001334C8">
        <w:t>é</w:t>
      </w:r>
      <w:r w:rsidR="00E84129">
        <w:t xml:space="preserve"> vlastnos</w:t>
      </w:r>
      <w:r w:rsidR="001334C8">
        <w:t>ti</w:t>
      </w:r>
      <w:r w:rsidR="00E84129">
        <w:t>,</w:t>
      </w:r>
      <w:r w:rsidR="009B4A3B" w:rsidRPr="00927544">
        <w:t xml:space="preserve"> lepš</w:t>
      </w:r>
      <w:r w:rsidR="001334C8">
        <w:t>iu</w:t>
      </w:r>
      <w:r w:rsidR="009B4A3B" w:rsidRPr="00927544">
        <w:t xml:space="preserve"> zv</w:t>
      </w:r>
      <w:r w:rsidR="00B60904">
        <w:t>a</w:t>
      </w:r>
      <w:r w:rsidR="009B4A3B" w:rsidRPr="00927544">
        <w:t>r</w:t>
      </w:r>
      <w:r w:rsidR="00CB29F1">
        <w:t>i</w:t>
      </w:r>
      <w:r w:rsidR="009B4A3B" w:rsidRPr="00927544">
        <w:t>teľnos</w:t>
      </w:r>
      <w:r w:rsidR="001334C8">
        <w:t>ť</w:t>
      </w:r>
      <w:r w:rsidR="009B4A3B" w:rsidRPr="00927544">
        <w:t xml:space="preserve"> </w:t>
      </w:r>
      <w:r w:rsidR="00B60904">
        <w:t>a</w:t>
      </w:r>
      <w:r w:rsidR="000D16F7">
        <w:t xml:space="preserve"> spájani</w:t>
      </w:r>
      <w:r w:rsidR="001334C8">
        <w:t>e</w:t>
      </w:r>
      <w:r w:rsidR="000D16F7">
        <w:t xml:space="preserve"> </w:t>
      </w:r>
      <w:r w:rsidR="009B4A3B" w:rsidRPr="00927544">
        <w:t>ocelí</w:t>
      </w:r>
      <w:r w:rsidR="00B60904">
        <w:t>.</w:t>
      </w:r>
      <w:r w:rsidR="009B4A3B" w:rsidRPr="00927544">
        <w:t xml:space="preserve"> V oblasti plastov bude realizovaný výskum orientovaný na využívanie napr. biodegradovateľných plastov, ktoré umožnia produkciu ekologických produktov so zníženou záťažou na životné prostredie po ukončení doby životnosti a nových druhov polymérnych materiálov pre špecifické aplikácie. </w:t>
      </w:r>
      <w:r w:rsidR="001334C8">
        <w:t xml:space="preserve"> </w:t>
      </w:r>
      <w:r w:rsidR="009B4A3B" w:rsidRPr="00927544">
        <w:t xml:space="preserve">Dôjde k rozvoju sektora automatizácie, robotiky a digitálnych technológií, ktorý využije nové materiály a IKT pre tvorbu nových inovatívnych riešení. </w:t>
      </w:r>
      <w:r w:rsidR="001334C8">
        <w:t xml:space="preserve"> </w:t>
      </w:r>
      <w:r w:rsidR="009B4A3B" w:rsidRPr="003C713F">
        <w:t>VaI</w:t>
      </w:r>
      <w:r w:rsidR="009B4A3B" w:rsidRPr="00927544">
        <w:t xml:space="preserve"> aktivity budú zamerané na automatické, resp. robotické rekonfigurovateľné a inteligentné výrobné systémy a logistické prostriedky</w:t>
      </w:r>
      <w:r w:rsidR="006565C1">
        <w:t>.</w:t>
      </w:r>
    </w:p>
    <w:p w:rsidR="009B4A3B" w:rsidRPr="00927544" w:rsidRDefault="009B4A3B" w:rsidP="00BA5CBF">
      <w:pPr>
        <w:autoSpaceDE w:val="0"/>
        <w:autoSpaceDN w:val="0"/>
        <w:adjustRightInd w:val="0"/>
        <w:ind w:firstLine="425"/>
      </w:pPr>
      <w:r w:rsidRPr="00927544">
        <w:t xml:space="preserve">Vďaka produktovým a procesným inováciám sa firmy stanú globálne konkurencieschopné a budú zapojené do dodávateľských reťazcov iných </w:t>
      </w:r>
      <w:r w:rsidR="003B35FF">
        <w:t>MNS</w:t>
      </w:r>
      <w:r w:rsidRPr="00927544">
        <w:t xml:space="preserve"> v širšom regióne, hlavne s výhľadom na rýchlo rastúce trhy. </w:t>
      </w:r>
      <w:r w:rsidR="001334C8">
        <w:t xml:space="preserve"> </w:t>
      </w:r>
      <w:r w:rsidRPr="00927544">
        <w:t xml:space="preserve">Posun v rámci hodnotových reťazcov </w:t>
      </w:r>
      <w:r w:rsidR="003B35FF">
        <w:t>MNS</w:t>
      </w:r>
      <w:r w:rsidRPr="00927544">
        <w:t xml:space="preserve"> vytvorí predpoklady pre lepšiu kooperáciu s </w:t>
      </w:r>
      <w:r w:rsidR="003B35FF">
        <w:t>MNS</w:t>
      </w:r>
      <w:r w:rsidRPr="00927544">
        <w:t xml:space="preserve"> pri realizácii inovačných riešení. Okrem toho firmy určia perspektívne strategické segmenty prostredníctvom spolupráce v klastroch, a tým dôjde k diverzifikácii produktových portfólií perspektívnych sektorov. </w:t>
      </w:r>
      <w:r w:rsidR="001334C8">
        <w:t xml:space="preserve"> </w:t>
      </w:r>
      <w:r w:rsidRPr="00927544">
        <w:t xml:space="preserve">Inovačné riešenia budú implementované nielen v priemysle, ale aj zhodnotené na globálnych trhoch. </w:t>
      </w:r>
      <w:r w:rsidR="001334C8">
        <w:t xml:space="preserve">Zvýši sa </w:t>
      </w:r>
      <w:r w:rsidRPr="00927544">
        <w:t>zamestnanos</w:t>
      </w:r>
      <w:r w:rsidR="001334C8">
        <w:t>ť</w:t>
      </w:r>
      <w:r w:rsidRPr="00927544">
        <w:t xml:space="preserve"> v sektore sofistikovaných výrob, IKT a znalostne intenzívnych služieb.</w:t>
      </w:r>
    </w:p>
    <w:p w:rsidR="009B4A3B" w:rsidRPr="00927544" w:rsidRDefault="009B4A3B" w:rsidP="00BA5CBF">
      <w:pPr>
        <w:autoSpaceDE w:val="0"/>
        <w:autoSpaceDN w:val="0"/>
        <w:adjustRightInd w:val="0"/>
        <w:ind w:firstLine="425"/>
      </w:pPr>
      <w:r w:rsidRPr="00927544">
        <w:t xml:space="preserve">V horizonte roku 2020 budú firmy využívať kapacity </w:t>
      </w:r>
      <w:r w:rsidR="002217E0">
        <w:t>výskumných, vývojových a inovačných</w:t>
      </w:r>
      <w:r w:rsidRPr="00927544">
        <w:t xml:space="preserve"> centier vybudovaných pre potreby sektorov inteligentnej špecializácie, ktoré budú vyvíjať nasledujúce generácie požadovaných produktov, technológií a materiálov. </w:t>
      </w:r>
    </w:p>
    <w:p w:rsidR="00163B88" w:rsidRDefault="009B4A3B" w:rsidP="00163B88">
      <w:pPr>
        <w:ind w:firstLine="425"/>
      </w:pPr>
      <w:r w:rsidRPr="00927544">
        <w:t xml:space="preserve">Budú implementované mechanizmy motivujúce technické univerzity a vybrané ústavy SAV spolupracovať s podnikateľskými subjektmi na inovatívnych riešeniach a tiež mechanizmy transferu znalostí. Najlepšie univerzity a ústavy SAV budú disponovať špičkovými technológiami, ktoré umožnia realizáciu vedy na svetovej úrovni a budú atraktorom pre high-tech firmy. </w:t>
      </w:r>
      <w:r w:rsidR="001334C8">
        <w:t xml:space="preserve"> </w:t>
      </w:r>
      <w:r w:rsidRPr="00927544">
        <w:t xml:space="preserve">V oblasti automatizácie, robotiky a digitálnych technológií budú vytvorené infraštruktúrne kapacity na </w:t>
      </w:r>
      <w:r w:rsidR="002217E0">
        <w:t>výskumno-vývojových</w:t>
      </w:r>
      <w:r w:rsidRPr="00927544">
        <w:t xml:space="preserve"> pracoviskách verejného i podnikateľského sektora využiteľné pre realizáciu inovatívnych riešení s nízkymi bariérami pre dosahovanie spill</w:t>
      </w:r>
      <w:r w:rsidR="006565C1">
        <w:t>-</w:t>
      </w:r>
      <w:r w:rsidRPr="00927544">
        <w:t xml:space="preserve">over efektov do alternatívnych aplikácií a sektorov. Kapacity budú taktiež využité na riešenie celospoločenských problémov spojených s aktívnym životom a starnutím a medicínskou diagnostikou. Práve v tejto oblasti dôjde k prieniku a využitiu výsledkov </w:t>
      </w:r>
      <w:r w:rsidR="002217E0">
        <w:t>výskumu a vývoja</w:t>
      </w:r>
      <w:r w:rsidRPr="00927544">
        <w:t xml:space="preserve"> realizovaných na dobudovaných centrách medicínskeho výskumu</w:t>
      </w:r>
      <w:r w:rsidR="009B462E">
        <w:t xml:space="preserve">, </w:t>
      </w:r>
      <w:r w:rsidRPr="00927544">
        <w:t>ako perspektívnej obla</w:t>
      </w:r>
      <w:r w:rsidR="009B462E">
        <w:t xml:space="preserve">sti inteligentnej špecializácie. </w:t>
      </w:r>
      <w:r w:rsidRPr="00927544">
        <w:t xml:space="preserve">Medicínsky výskum nájde uplatnenie v praxi transferom znalostí prostredníctvom predaja licencií a patentov, ale aj prostredníctvom priamej komercionalizácie zakladaním </w:t>
      </w:r>
      <w:r w:rsidR="001334C8">
        <w:t>s</w:t>
      </w:r>
      <w:r w:rsidRPr="00927544">
        <w:t xml:space="preserve">pin off a inovatívnych </w:t>
      </w:r>
      <w:r w:rsidR="001334C8">
        <w:t>s</w:t>
      </w:r>
      <w:r w:rsidR="003E4FD0">
        <w:t>tart-</w:t>
      </w:r>
      <w:r w:rsidRPr="00927544">
        <w:t xml:space="preserve">up firiem. Tento typ firiem bude jednou z foriem komercionalizácie výsledkov </w:t>
      </w:r>
      <w:r w:rsidR="002217E0">
        <w:t>výskumu a vývoja</w:t>
      </w:r>
      <w:r w:rsidRPr="00927544">
        <w:t xml:space="preserve"> aj v iných perspektívnych oblastiach. </w:t>
      </w:r>
      <w:r w:rsidR="00D73938" w:rsidRPr="00E84129">
        <w:t xml:space="preserve">Posilňovanie spolupráce medzi </w:t>
      </w:r>
      <w:r w:rsidR="002217E0">
        <w:t>výskumno-vývojovými</w:t>
      </w:r>
      <w:r w:rsidR="00D73938" w:rsidRPr="00E84129">
        <w:t xml:space="preserve"> organizáciami v oblasti pôdohospodárstva a životného prostredia s podnikateľskými subjektmi prispeje k zvýšeniu sebestačnosti v produkcii kvalitných potravín a kvality života. </w:t>
      </w:r>
      <w:r w:rsidR="003C1577" w:rsidRPr="00E84129">
        <w:t>Zároveň sa zlepší využívanie domácich prírodných zdrojov. Jednotlivé oblasti budú podporené aj novovyvinutými technológiami v oblasti produkcie a distribúcie energie.</w:t>
      </w:r>
      <w:r w:rsidR="003C1577" w:rsidRPr="00E24EFA">
        <w:rPr>
          <w:color w:val="548DD4"/>
        </w:rPr>
        <w:t xml:space="preserve"> </w:t>
      </w:r>
      <w:r w:rsidR="001334C8">
        <w:t xml:space="preserve">Rozvíjať sa budú aj iné sektory, </w:t>
      </w:r>
      <w:r w:rsidRPr="00927544">
        <w:t xml:space="preserve"> napr. kreatívny priemysel. Pre potreby rozvoja ekonomiky so zreteľom na sektory inteligentnej špecializácie </w:t>
      </w:r>
      <w:r w:rsidR="00365B9D">
        <w:t>sa vytvoria podmienky pre</w:t>
      </w:r>
      <w:r w:rsidR="00134F8E">
        <w:t xml:space="preserve"> </w:t>
      </w:r>
      <w:r w:rsidR="00365B9D">
        <w:t>akademický sektor aj</w:t>
      </w:r>
      <w:r w:rsidR="00134F8E">
        <w:t xml:space="preserve"> </w:t>
      </w:r>
      <w:r w:rsidRPr="00927544">
        <w:t>stredné školy</w:t>
      </w:r>
      <w:r w:rsidR="00365B9D">
        <w:t>, pre</w:t>
      </w:r>
      <w:r w:rsidR="00134F8E">
        <w:t xml:space="preserve"> </w:t>
      </w:r>
      <w:r w:rsidRPr="00927544">
        <w:t>rieš</w:t>
      </w:r>
      <w:r w:rsidR="00365B9D">
        <w:t>enie</w:t>
      </w:r>
      <w:r w:rsidRPr="00927544">
        <w:t xml:space="preserve"> vedeck</w:t>
      </w:r>
      <w:r w:rsidR="00365B9D">
        <w:t>ých</w:t>
      </w:r>
      <w:r w:rsidRPr="00927544">
        <w:t xml:space="preserve"> úloh aj v rámci medzinárodnej spolupráce</w:t>
      </w:r>
      <w:r w:rsidR="00770216">
        <w:t>, pri napĺňaní</w:t>
      </w:r>
      <w:r w:rsidR="00134F8E">
        <w:t xml:space="preserve"> </w:t>
      </w:r>
      <w:r w:rsidR="00770216">
        <w:t xml:space="preserve">cieľov Dunajskej stratégie a </w:t>
      </w:r>
      <w:r w:rsidR="00365B9D">
        <w:t>transnacio</w:t>
      </w:r>
      <w:r w:rsidR="00770216">
        <w:t>nál</w:t>
      </w:r>
      <w:r w:rsidR="00365B9D">
        <w:t>nych programo</w:t>
      </w:r>
      <w:r w:rsidR="00770216">
        <w:t>v</w:t>
      </w:r>
      <w:r w:rsidR="003D473E">
        <w:t>,</w:t>
      </w:r>
      <w:r w:rsidR="00770216">
        <w:t xml:space="preserve"> napr. OP</w:t>
      </w:r>
      <w:r w:rsidR="00340C34">
        <w:t xml:space="preserve"> </w:t>
      </w:r>
      <w:r w:rsidR="003D473E">
        <w:t>Stredná Európa</w:t>
      </w:r>
      <w:r w:rsidR="00770216">
        <w:t> </w:t>
      </w:r>
      <w:r w:rsidR="00770216" w:rsidRPr="00927544">
        <w:t>a</w:t>
      </w:r>
      <w:r w:rsidR="00770216">
        <w:t xml:space="preserve"> OP </w:t>
      </w:r>
      <w:r w:rsidR="003D473E">
        <w:t>Dunaj,</w:t>
      </w:r>
      <w:r w:rsidR="00770216">
        <w:t xml:space="preserve"> </w:t>
      </w:r>
      <w:r w:rsidRPr="00927544">
        <w:t>a</w:t>
      </w:r>
      <w:r w:rsidR="001334C8">
        <w:t xml:space="preserve"> pre </w:t>
      </w:r>
      <w:r w:rsidRPr="00927544">
        <w:t>produk</w:t>
      </w:r>
      <w:r w:rsidR="00365B9D">
        <w:t>ciu</w:t>
      </w:r>
      <w:r w:rsidR="00340C34">
        <w:t xml:space="preserve"> </w:t>
      </w:r>
      <w:r w:rsidRPr="00927544">
        <w:t>absolventov uplatniteľných v praxi so skrátenou dobou adaptácie do firemných procesov.</w:t>
      </w:r>
    </w:p>
    <w:p w:rsidR="00BA5CBF" w:rsidRDefault="008C4103" w:rsidP="003D473E">
      <w:pPr>
        <w:pStyle w:val="Nadpis2"/>
        <w:numPr>
          <w:ilvl w:val="1"/>
          <w:numId w:val="38"/>
        </w:numPr>
      </w:pPr>
      <w:bookmarkStart w:id="198" w:name="_Toc365831825"/>
      <w:bookmarkStart w:id="199" w:name="_Toc365832017"/>
      <w:bookmarkStart w:id="200" w:name="_Toc366744187"/>
      <w:r w:rsidRPr="00493CF5">
        <w:t>Strategické ciele</w:t>
      </w:r>
      <w:bookmarkEnd w:id="198"/>
      <w:bookmarkEnd w:id="199"/>
      <w:bookmarkEnd w:id="200"/>
    </w:p>
    <w:p w:rsidR="007A5C6C" w:rsidRPr="00927544" w:rsidRDefault="008055B7" w:rsidP="00BA5CBF">
      <w:pPr>
        <w:pStyle w:val="Odsekzoznamu1"/>
        <w:ind w:left="0" w:firstLine="426"/>
      </w:pPr>
      <w:r>
        <w:t>V</w:t>
      </w:r>
      <w:r w:rsidR="007A5C6C" w:rsidRPr="00927544">
        <w:t>ízia stratégie bude naplnená prostredníctvom strategických cieľov:</w:t>
      </w:r>
    </w:p>
    <w:p w:rsidR="00404906" w:rsidRPr="00927544" w:rsidRDefault="003D473E" w:rsidP="00CE4106">
      <w:pPr>
        <w:pStyle w:val="Odsekzoznamu1"/>
        <w:ind w:left="0"/>
        <w:rPr>
          <w:b/>
          <w:bCs/>
        </w:rPr>
      </w:pPr>
      <w:r>
        <w:rPr>
          <w:b/>
          <w:bCs/>
        </w:rPr>
        <w:t xml:space="preserve">1. </w:t>
      </w:r>
      <w:r w:rsidR="0027751C" w:rsidRPr="00AB036F">
        <w:rPr>
          <w:b/>
          <w:bCs/>
        </w:rPr>
        <w:t>Prehlbovať integráciu a ukotvenie</w:t>
      </w:r>
      <w:r w:rsidR="00927859" w:rsidRPr="00AB036F">
        <w:rPr>
          <w:b/>
          <w:bCs/>
        </w:rPr>
        <w:t xml:space="preserve"> kľúčových</w:t>
      </w:r>
      <w:r w:rsidR="00927859" w:rsidRPr="00927544">
        <w:rPr>
          <w:b/>
          <w:bCs/>
        </w:rPr>
        <w:t xml:space="preserve"> priemyselných odvetví, ktoré zvyšujú miestnu pridanú hodnotu, prostredníctvom spolupráce miestnych dodávateľských reťazcov a podporou ich vzájomného sieťovania.</w:t>
      </w:r>
    </w:p>
    <w:p w:rsidR="00927859" w:rsidRPr="00927544" w:rsidRDefault="008C4103" w:rsidP="00CE4106">
      <w:pPr>
        <w:pStyle w:val="Odsekzoznamu1"/>
        <w:ind w:left="0"/>
        <w:rPr>
          <w:b/>
          <w:bCs/>
        </w:rPr>
      </w:pPr>
      <w:r w:rsidRPr="00927544">
        <w:rPr>
          <w:b/>
          <w:bCs/>
        </w:rPr>
        <w:t>2</w:t>
      </w:r>
      <w:r w:rsidR="003D473E">
        <w:rPr>
          <w:b/>
          <w:bCs/>
        </w:rPr>
        <w:t>.</w:t>
      </w:r>
      <w:r w:rsidRPr="00927544">
        <w:rPr>
          <w:b/>
          <w:bCs/>
        </w:rPr>
        <w:t xml:space="preserve"> </w:t>
      </w:r>
      <w:r w:rsidR="0027751C" w:rsidRPr="00AB036F">
        <w:rPr>
          <w:b/>
          <w:bCs/>
        </w:rPr>
        <w:t>Zvýšiť príspevok</w:t>
      </w:r>
      <w:r w:rsidR="00927859" w:rsidRPr="00927544">
        <w:rPr>
          <w:b/>
          <w:bCs/>
        </w:rPr>
        <w:t xml:space="preserve"> výskumu k hospodárskemu rastu cestou globálnej excelentnosti a lokálnej relevantnosti</w:t>
      </w:r>
    </w:p>
    <w:p w:rsidR="007B358D" w:rsidRPr="00927544" w:rsidRDefault="007B358D" w:rsidP="00CE4106">
      <w:pPr>
        <w:pStyle w:val="Odsekzoznamu1"/>
        <w:ind w:left="0"/>
        <w:rPr>
          <w:b/>
          <w:bCs/>
        </w:rPr>
      </w:pPr>
      <w:r w:rsidRPr="00927544">
        <w:rPr>
          <w:b/>
          <w:bCs/>
        </w:rPr>
        <w:t xml:space="preserve">3. </w:t>
      </w:r>
      <w:r w:rsidR="0027751C" w:rsidRPr="00AB036F">
        <w:rPr>
          <w:b/>
          <w:bCs/>
        </w:rPr>
        <w:t>Vytvoriť</w:t>
      </w:r>
      <w:r w:rsidRPr="00AB036F">
        <w:rPr>
          <w:b/>
          <w:bCs/>
        </w:rPr>
        <w:t xml:space="preserve"> </w:t>
      </w:r>
      <w:r w:rsidRPr="00927544">
        <w:rPr>
          <w:b/>
          <w:bCs/>
        </w:rPr>
        <w:t>dynamickú, otvorenú a inkluzívnu inovatívnu spoločnosť</w:t>
      </w:r>
      <w:r w:rsidR="00501166" w:rsidRPr="00927544">
        <w:rPr>
          <w:b/>
          <w:bCs/>
        </w:rPr>
        <w:t xml:space="preserve"> ako jeden z predpokladov pre zlepšenie kvality života</w:t>
      </w:r>
    </w:p>
    <w:p w:rsidR="007B358D" w:rsidRPr="00927544" w:rsidRDefault="007B358D" w:rsidP="007B358D">
      <w:pPr>
        <w:rPr>
          <w:b/>
          <w:bCs/>
        </w:rPr>
      </w:pPr>
      <w:r w:rsidRPr="00927544">
        <w:rPr>
          <w:b/>
          <w:bCs/>
        </w:rPr>
        <w:lastRenderedPageBreak/>
        <w:t xml:space="preserve">4. </w:t>
      </w:r>
      <w:r w:rsidR="0027751C" w:rsidRPr="00AB036F">
        <w:rPr>
          <w:b/>
          <w:bCs/>
        </w:rPr>
        <w:t>Zlepšiť kvalitu</w:t>
      </w:r>
      <w:r w:rsidRPr="00927544">
        <w:rPr>
          <w:b/>
          <w:bCs/>
        </w:rPr>
        <w:t xml:space="preserve"> ľudských zdrojov pre inovatívne Slovensko</w:t>
      </w:r>
    </w:p>
    <w:p w:rsidR="00927544" w:rsidRPr="003D473E" w:rsidRDefault="00DC4875" w:rsidP="003D473E">
      <w:pPr>
        <w:pStyle w:val="Nadpis2"/>
        <w:numPr>
          <w:ilvl w:val="1"/>
          <w:numId w:val="38"/>
        </w:numPr>
      </w:pPr>
      <w:bookmarkStart w:id="201" w:name="_Toc365831826"/>
      <w:bookmarkStart w:id="202" w:name="_Toc365832018"/>
      <w:bookmarkStart w:id="203" w:name="_Toc366744188"/>
      <w:r w:rsidRPr="00493CF5">
        <w:t>Čiastkové ciele</w:t>
      </w:r>
      <w:r w:rsidR="009B4A3B" w:rsidRPr="00493CF5">
        <w:t xml:space="preserve"> </w:t>
      </w:r>
      <w:r w:rsidR="00493CF5">
        <w:t>a opatrenia</w:t>
      </w:r>
      <w:bookmarkEnd w:id="201"/>
      <w:bookmarkEnd w:id="202"/>
      <w:bookmarkEnd w:id="203"/>
    </w:p>
    <w:p w:rsidR="009B4A3B" w:rsidRDefault="008055B7" w:rsidP="003D473E">
      <w:pPr>
        <w:spacing w:after="0"/>
        <w:ind w:firstLine="426"/>
      </w:pPr>
      <w:r>
        <w:t>S</w:t>
      </w:r>
      <w:r w:rsidR="009B4A3B" w:rsidRPr="00927544">
        <w:t>trategick</w:t>
      </w:r>
      <w:r w:rsidR="00404906" w:rsidRPr="00927544">
        <w:t>é</w:t>
      </w:r>
      <w:r w:rsidR="009B4A3B" w:rsidRPr="00927544">
        <w:t xml:space="preserve"> cie</w:t>
      </w:r>
      <w:r w:rsidR="00404906" w:rsidRPr="00927544">
        <w:t>le</w:t>
      </w:r>
      <w:r w:rsidR="009B4A3B" w:rsidRPr="00927544">
        <w:t xml:space="preserve"> </w:t>
      </w:r>
      <w:r w:rsidR="00404906" w:rsidRPr="00927544">
        <w:t>vychádzajúce zo SWOT analýzy</w:t>
      </w:r>
      <w:r w:rsidR="009B4A3B" w:rsidRPr="00927544">
        <w:t xml:space="preserve"> </w:t>
      </w:r>
      <w:r w:rsidR="00404906" w:rsidRPr="00927544">
        <w:t>sú pretavené do</w:t>
      </w:r>
      <w:r w:rsidR="009B4A3B" w:rsidRPr="00927544">
        <w:t xml:space="preserve"> čiastkov</w:t>
      </w:r>
      <w:r w:rsidR="00404906" w:rsidRPr="00927544">
        <w:t>ých</w:t>
      </w:r>
      <w:r w:rsidR="009B4A3B" w:rsidRPr="00927544">
        <w:t xml:space="preserve"> merateľn</w:t>
      </w:r>
      <w:r w:rsidR="00404906" w:rsidRPr="00927544">
        <w:t>ých</w:t>
      </w:r>
      <w:r w:rsidR="009B4A3B" w:rsidRPr="00927544">
        <w:t xml:space="preserve"> cie</w:t>
      </w:r>
      <w:r w:rsidR="00404906" w:rsidRPr="00927544">
        <w:t>ľov</w:t>
      </w:r>
      <w:r w:rsidR="009B4A3B" w:rsidRPr="00927544">
        <w:t>. Každému strategickému cieľu sú priradené čiastkové ciele tak, aby boli splnené požiadavky na transformáciu štruktúry hospodárstva v Slovenskej republike.</w:t>
      </w:r>
    </w:p>
    <w:p w:rsidR="003D473E" w:rsidRPr="003D473E" w:rsidRDefault="003D473E" w:rsidP="003D473E">
      <w:pPr>
        <w:spacing w:after="0"/>
        <w:ind w:firstLine="426"/>
      </w:pPr>
    </w:p>
    <w:p w:rsidR="009B4A3B" w:rsidRDefault="00C34491" w:rsidP="00B607DA">
      <w:pPr>
        <w:rPr>
          <w:b/>
          <w:bCs/>
        </w:rPr>
      </w:pPr>
      <w:r w:rsidRPr="00927544">
        <w:rPr>
          <w:b/>
          <w:bCs/>
        </w:rPr>
        <w:t>Strategický cieľ</w:t>
      </w:r>
      <w:r w:rsidR="007B358D" w:rsidRPr="00927544">
        <w:rPr>
          <w:b/>
          <w:bCs/>
        </w:rPr>
        <w:t xml:space="preserve"> 1</w:t>
      </w:r>
      <w:r w:rsidRPr="00927544">
        <w:rPr>
          <w:b/>
          <w:bCs/>
        </w:rPr>
        <w:t>:</w:t>
      </w:r>
      <w:r w:rsidR="009B4A3B" w:rsidRPr="00927544">
        <w:rPr>
          <w:b/>
          <w:bCs/>
        </w:rPr>
        <w:t xml:space="preserve"> </w:t>
      </w:r>
      <w:r w:rsidR="007C2C8F" w:rsidRPr="005C1092">
        <w:rPr>
          <w:bCs/>
        </w:rPr>
        <w:t>Prehlbovať integráciu a ukotvenie</w:t>
      </w:r>
      <w:r w:rsidR="009B4A3B" w:rsidRPr="00927544">
        <w:rPr>
          <w:bCs/>
        </w:rPr>
        <w:t xml:space="preserve"> kľúčových priemyselných odvetví, ktoré zvyšujú miestnu pridanú hodnotu, prostredníctvom spolupráce miestnych dodávateľských reťazcov a podporou ich vzájomného sieťovania</w:t>
      </w:r>
    </w:p>
    <w:p w:rsidR="00927544" w:rsidRPr="001D3400" w:rsidRDefault="00927544" w:rsidP="00B607DA">
      <w:pPr>
        <w:rPr>
          <w:bCs/>
        </w:rPr>
      </w:pPr>
      <w:r w:rsidRPr="005E226E">
        <w:rPr>
          <w:bCs/>
          <w:i/>
        </w:rPr>
        <w:t xml:space="preserve">Slovenská ekonomika je ťahaná veľkými „kľúčovými“ </w:t>
      </w:r>
      <w:r w:rsidR="00417DB2" w:rsidRPr="005E226E">
        <w:rPr>
          <w:bCs/>
          <w:i/>
        </w:rPr>
        <w:t>nad</w:t>
      </w:r>
      <w:r w:rsidRPr="005E226E">
        <w:rPr>
          <w:bCs/>
          <w:i/>
        </w:rPr>
        <w:t xml:space="preserve">národnými spoločnosťami. </w:t>
      </w:r>
      <w:r w:rsidR="00FC4847" w:rsidRPr="005E226E">
        <w:rPr>
          <w:bCs/>
          <w:i/>
        </w:rPr>
        <w:t>Dôležitým faktorom</w:t>
      </w:r>
      <w:r w:rsidR="00417DB2" w:rsidRPr="005E226E">
        <w:rPr>
          <w:bCs/>
          <w:i/>
        </w:rPr>
        <w:t xml:space="preserve"> </w:t>
      </w:r>
      <w:r w:rsidR="004822EF">
        <w:rPr>
          <w:bCs/>
          <w:i/>
        </w:rPr>
        <w:t xml:space="preserve">je </w:t>
      </w:r>
      <w:r w:rsidR="00417DB2" w:rsidRPr="005E226E">
        <w:rPr>
          <w:bCs/>
          <w:i/>
        </w:rPr>
        <w:t>preto</w:t>
      </w:r>
      <w:r w:rsidR="00FC4847" w:rsidRPr="005E226E">
        <w:rPr>
          <w:bCs/>
          <w:i/>
        </w:rPr>
        <w:t xml:space="preserve"> podpora</w:t>
      </w:r>
      <w:r w:rsidRPr="005E226E">
        <w:rPr>
          <w:bCs/>
          <w:i/>
        </w:rPr>
        <w:t xml:space="preserve"> </w:t>
      </w:r>
      <w:r w:rsidR="00FC4847" w:rsidRPr="005E226E">
        <w:rPr>
          <w:bCs/>
          <w:i/>
        </w:rPr>
        <w:t>inovačných a výskumno-</w:t>
      </w:r>
      <w:r w:rsidRPr="005E226E">
        <w:rPr>
          <w:bCs/>
          <w:i/>
        </w:rPr>
        <w:t>vývojov</w:t>
      </w:r>
      <w:r w:rsidR="00FC4847" w:rsidRPr="005E226E">
        <w:rPr>
          <w:bCs/>
          <w:i/>
        </w:rPr>
        <w:t>ých</w:t>
      </w:r>
      <w:r w:rsidRPr="005E226E">
        <w:rPr>
          <w:bCs/>
          <w:i/>
        </w:rPr>
        <w:t xml:space="preserve"> aktiv</w:t>
      </w:r>
      <w:r w:rsidR="004822EF">
        <w:rPr>
          <w:bCs/>
          <w:i/>
        </w:rPr>
        <w:t>ít</w:t>
      </w:r>
      <w:r w:rsidRPr="005E226E">
        <w:rPr>
          <w:bCs/>
          <w:i/>
        </w:rPr>
        <w:t xml:space="preserve"> v</w:t>
      </w:r>
      <w:r w:rsidR="00417DB2" w:rsidRPr="005E226E">
        <w:rPr>
          <w:bCs/>
          <w:i/>
        </w:rPr>
        <w:t xml:space="preserve"> </w:t>
      </w:r>
      <w:r w:rsidR="009A2103" w:rsidRPr="005E226E">
        <w:rPr>
          <w:bCs/>
          <w:i/>
        </w:rPr>
        <w:t>domácich</w:t>
      </w:r>
      <w:r w:rsidR="00FC4847" w:rsidRPr="005E226E">
        <w:rPr>
          <w:bCs/>
          <w:i/>
        </w:rPr>
        <w:t> </w:t>
      </w:r>
      <w:r w:rsidRPr="005E226E">
        <w:rPr>
          <w:bCs/>
          <w:i/>
        </w:rPr>
        <w:t>podnikoch</w:t>
      </w:r>
      <w:r w:rsidR="00FC4847" w:rsidRPr="005E226E">
        <w:rPr>
          <w:bCs/>
          <w:i/>
        </w:rPr>
        <w:t xml:space="preserve"> </w:t>
      </w:r>
      <w:r w:rsidRPr="005E226E">
        <w:rPr>
          <w:bCs/>
          <w:i/>
        </w:rPr>
        <w:t xml:space="preserve">zaradených do dodávateľských reťazcov alebo </w:t>
      </w:r>
      <w:r w:rsidR="00FC4847" w:rsidRPr="005E226E">
        <w:rPr>
          <w:bCs/>
          <w:i/>
        </w:rPr>
        <w:t xml:space="preserve">s </w:t>
      </w:r>
      <w:r w:rsidRPr="005E226E">
        <w:rPr>
          <w:bCs/>
          <w:i/>
        </w:rPr>
        <w:t>potenciál</w:t>
      </w:r>
      <w:r w:rsidR="00FC4847" w:rsidRPr="005E226E">
        <w:rPr>
          <w:bCs/>
          <w:i/>
        </w:rPr>
        <w:t>om</w:t>
      </w:r>
      <w:r w:rsidRPr="005E226E">
        <w:rPr>
          <w:bCs/>
          <w:i/>
        </w:rPr>
        <w:t xml:space="preserve"> </w:t>
      </w:r>
      <w:r w:rsidR="00FC4847" w:rsidRPr="005E226E">
        <w:rPr>
          <w:bCs/>
          <w:i/>
        </w:rPr>
        <w:t>stať sa subdodávateľom</w:t>
      </w:r>
      <w:r w:rsidR="004822EF">
        <w:rPr>
          <w:bCs/>
          <w:i/>
        </w:rPr>
        <w:t xml:space="preserve"> dodávateľských reťazcov</w:t>
      </w:r>
      <w:r w:rsidRPr="001D3400">
        <w:rPr>
          <w:bCs/>
        </w:rPr>
        <w:t>.</w:t>
      </w:r>
    </w:p>
    <w:p w:rsidR="009B4A3B" w:rsidRPr="00927544" w:rsidRDefault="009B4A3B" w:rsidP="00561E9C">
      <w:pPr>
        <w:autoSpaceDE w:val="0"/>
        <w:autoSpaceDN w:val="0"/>
        <w:adjustRightInd w:val="0"/>
        <w:spacing w:line="240" w:lineRule="auto"/>
        <w:rPr>
          <w:b/>
          <w:bCs/>
        </w:rPr>
      </w:pPr>
      <w:r w:rsidRPr="00927544">
        <w:rPr>
          <w:b/>
          <w:bCs/>
        </w:rPr>
        <w:t>Čiastkové ciele pre dosiahnutie strategického cieľa</w:t>
      </w:r>
    </w:p>
    <w:p w:rsidR="008A7782" w:rsidRPr="003D473E" w:rsidRDefault="009B4A3B" w:rsidP="003D473E">
      <w:pPr>
        <w:pStyle w:val="Odsekzoznamu1"/>
        <w:numPr>
          <w:ilvl w:val="1"/>
          <w:numId w:val="3"/>
        </w:numPr>
        <w:autoSpaceDE w:val="0"/>
        <w:autoSpaceDN w:val="0"/>
        <w:adjustRightInd w:val="0"/>
        <w:spacing w:after="0" w:line="240" w:lineRule="auto"/>
        <w:jc w:val="left"/>
      </w:pPr>
      <w:r w:rsidRPr="00927544">
        <w:t>Do roku 2020 vytvoriť podmienky pre rast doma vytvorenej pridanej hodnoty na celkovom exporte o</w:t>
      </w:r>
      <w:r w:rsidR="004822EF">
        <w:t> </w:t>
      </w:r>
      <w:r w:rsidRPr="00927544">
        <w:t>5</w:t>
      </w:r>
      <w:r w:rsidR="004822EF">
        <w:t> </w:t>
      </w:r>
      <w:r w:rsidRPr="00927544">
        <w:t>% oproti súčasnému stavu</w:t>
      </w:r>
    </w:p>
    <w:p w:rsidR="009B4A3B" w:rsidRPr="00927544" w:rsidRDefault="009B4A3B" w:rsidP="00C04B91">
      <w:pPr>
        <w:pStyle w:val="Odsekzoznamu1"/>
        <w:autoSpaceDE w:val="0"/>
        <w:autoSpaceDN w:val="0"/>
        <w:adjustRightInd w:val="0"/>
        <w:spacing w:after="0" w:line="240" w:lineRule="auto"/>
        <w:ind w:left="360"/>
        <w:rPr>
          <w:i/>
          <w:iCs/>
        </w:rPr>
      </w:pPr>
      <w:r w:rsidRPr="00927544">
        <w:rPr>
          <w:i/>
          <w:iCs/>
        </w:rPr>
        <w:t xml:space="preserve">Pridaná hodnota na celkovom exporte bude podporená prostredníctvom reštrukturalizácie priemyselných odvetví identifikovaných </w:t>
      </w:r>
      <w:r w:rsidR="001D3400">
        <w:rPr>
          <w:i/>
          <w:iCs/>
        </w:rPr>
        <w:t xml:space="preserve">v rámci špecializácie ekonomiky, </w:t>
      </w:r>
      <w:r w:rsidR="002570C6">
        <w:rPr>
          <w:i/>
          <w:iCs/>
        </w:rPr>
        <w:t>hlavne v automobilovej výrobe</w:t>
      </w:r>
      <w:r w:rsidRPr="00927544">
        <w:rPr>
          <w:i/>
          <w:iCs/>
        </w:rPr>
        <w:t xml:space="preserve"> a výrob</w:t>
      </w:r>
      <w:r w:rsidR="002570C6">
        <w:rPr>
          <w:i/>
          <w:iCs/>
        </w:rPr>
        <w:t>e</w:t>
      </w:r>
      <w:r w:rsidRPr="00927544">
        <w:rPr>
          <w:i/>
          <w:iCs/>
        </w:rPr>
        <w:t xml:space="preserve"> spotrebnej e</w:t>
      </w:r>
      <w:r w:rsidR="001D3400">
        <w:rPr>
          <w:i/>
          <w:iCs/>
        </w:rPr>
        <w:t>lektroni</w:t>
      </w:r>
      <w:r w:rsidRPr="00927544">
        <w:rPr>
          <w:i/>
          <w:iCs/>
        </w:rPr>
        <w:t>k</w:t>
      </w:r>
      <w:r w:rsidR="001D3400">
        <w:rPr>
          <w:i/>
          <w:iCs/>
        </w:rPr>
        <w:t>y</w:t>
      </w:r>
      <w:r w:rsidRPr="00927544">
        <w:rPr>
          <w:i/>
          <w:iCs/>
        </w:rPr>
        <w:t xml:space="preserve">, </w:t>
      </w:r>
      <w:r w:rsidR="001D3400">
        <w:rPr>
          <w:i/>
          <w:iCs/>
        </w:rPr>
        <w:t>keďže</w:t>
      </w:r>
      <w:r w:rsidRPr="00927544">
        <w:rPr>
          <w:i/>
          <w:iCs/>
        </w:rPr>
        <w:t xml:space="preserve"> v týchto odvetviach dominuje vysoký stupeň medzispotreby </w:t>
      </w:r>
      <w:r w:rsidR="001D3400">
        <w:rPr>
          <w:i/>
          <w:iCs/>
        </w:rPr>
        <w:t>s</w:t>
      </w:r>
      <w:r w:rsidRPr="00927544">
        <w:rPr>
          <w:i/>
          <w:iCs/>
        </w:rPr>
        <w:t> nízkym stupňom pridanej hodnoty, a to prostredníctvom vytvorenia podmienok pre stimuláciu výskumno</w:t>
      </w:r>
      <w:r w:rsidR="004822EF">
        <w:rPr>
          <w:i/>
          <w:iCs/>
        </w:rPr>
        <w:t>-</w:t>
      </w:r>
      <w:r w:rsidRPr="00927544">
        <w:rPr>
          <w:i/>
          <w:iCs/>
        </w:rPr>
        <w:t>inovačných aktivít podnikov v spolupráci s akademickým a</w:t>
      </w:r>
      <w:r w:rsidR="002217E0">
        <w:rPr>
          <w:i/>
          <w:iCs/>
        </w:rPr>
        <w:t xml:space="preserve"> výskumno-vývojovým </w:t>
      </w:r>
      <w:r w:rsidRPr="00927544">
        <w:rPr>
          <w:i/>
          <w:iCs/>
        </w:rPr>
        <w:t>sektorom a</w:t>
      </w:r>
      <w:r w:rsidR="001D3400">
        <w:rPr>
          <w:i/>
          <w:iCs/>
        </w:rPr>
        <w:t xml:space="preserve"> pre</w:t>
      </w:r>
      <w:r w:rsidRPr="00927544">
        <w:rPr>
          <w:i/>
          <w:iCs/>
        </w:rPr>
        <w:t xml:space="preserve"> zavádzanie výsledkov </w:t>
      </w:r>
      <w:r w:rsidR="002217E0">
        <w:rPr>
          <w:i/>
          <w:iCs/>
        </w:rPr>
        <w:t>výskumu, vývoja a inovácií</w:t>
      </w:r>
      <w:r w:rsidRPr="00927544">
        <w:rPr>
          <w:i/>
          <w:iCs/>
        </w:rPr>
        <w:t xml:space="preserve"> do praxe.</w:t>
      </w:r>
    </w:p>
    <w:p w:rsidR="009B4A3B" w:rsidRPr="00927544" w:rsidRDefault="009B4A3B" w:rsidP="00C04B91">
      <w:pPr>
        <w:pStyle w:val="Odsekzoznamu1"/>
        <w:autoSpaceDE w:val="0"/>
        <w:autoSpaceDN w:val="0"/>
        <w:adjustRightInd w:val="0"/>
        <w:spacing w:after="0" w:line="240" w:lineRule="auto"/>
        <w:ind w:left="360"/>
        <w:rPr>
          <w:i/>
          <w:iCs/>
        </w:rPr>
      </w:pPr>
    </w:p>
    <w:p w:rsidR="009B4A3B" w:rsidRPr="00927544" w:rsidRDefault="009B4A3B" w:rsidP="00791A72">
      <w:pPr>
        <w:pStyle w:val="Odsekzoznamu1"/>
        <w:numPr>
          <w:ilvl w:val="1"/>
          <w:numId w:val="3"/>
        </w:numPr>
        <w:autoSpaceDE w:val="0"/>
        <w:autoSpaceDN w:val="0"/>
        <w:adjustRightInd w:val="0"/>
        <w:spacing w:after="0" w:line="240" w:lineRule="auto"/>
        <w:jc w:val="left"/>
      </w:pPr>
      <w:r w:rsidRPr="00927544">
        <w:t xml:space="preserve">Zvýšiť počet spoločností, ktoré sa posunú na vyššiu úroveň dodávateľského rebríčka </w:t>
      </w:r>
      <w:r w:rsidR="006C7ADA">
        <w:t>nadnárodných</w:t>
      </w:r>
      <w:r w:rsidRPr="00927544">
        <w:t xml:space="preserve"> spoločností</w:t>
      </w:r>
    </w:p>
    <w:p w:rsidR="009B4A3B" w:rsidRPr="00927544" w:rsidRDefault="009B4A3B" w:rsidP="00207B73">
      <w:pPr>
        <w:pStyle w:val="Odsekzoznamu1"/>
        <w:autoSpaceDE w:val="0"/>
        <w:autoSpaceDN w:val="0"/>
        <w:adjustRightInd w:val="0"/>
        <w:spacing w:after="0" w:line="240" w:lineRule="auto"/>
        <w:ind w:left="360"/>
        <w:rPr>
          <w:i/>
          <w:iCs/>
        </w:rPr>
      </w:pPr>
      <w:r w:rsidRPr="00927544">
        <w:rPr>
          <w:i/>
          <w:iCs/>
        </w:rPr>
        <w:t xml:space="preserve">Nízky počet spoločností vo vyšších úrovniach dodávateľských sietí je spôsobený </w:t>
      </w:r>
      <w:r w:rsidR="006C7ADA">
        <w:rPr>
          <w:i/>
          <w:iCs/>
        </w:rPr>
        <w:t xml:space="preserve">ich </w:t>
      </w:r>
      <w:r w:rsidRPr="00927544">
        <w:rPr>
          <w:i/>
          <w:iCs/>
        </w:rPr>
        <w:t xml:space="preserve">nedostatočnou </w:t>
      </w:r>
      <w:r w:rsidR="006C7ADA">
        <w:rPr>
          <w:i/>
          <w:iCs/>
        </w:rPr>
        <w:t>inovačnou aktivitou</w:t>
      </w:r>
      <w:r w:rsidRPr="00927544">
        <w:rPr>
          <w:i/>
          <w:iCs/>
        </w:rPr>
        <w:t xml:space="preserve">, čoho dôsledkom je </w:t>
      </w:r>
      <w:r w:rsidR="006C7ADA">
        <w:rPr>
          <w:i/>
          <w:iCs/>
        </w:rPr>
        <w:t xml:space="preserve">ich </w:t>
      </w:r>
      <w:r w:rsidRPr="00927544">
        <w:rPr>
          <w:i/>
          <w:iCs/>
        </w:rPr>
        <w:t xml:space="preserve">slabá konkurencieschopnosť. </w:t>
      </w:r>
      <w:r w:rsidR="006C7ADA">
        <w:rPr>
          <w:i/>
          <w:iCs/>
        </w:rPr>
        <w:t>B</w:t>
      </w:r>
      <w:r w:rsidR="006C7ADA" w:rsidRPr="00927544">
        <w:rPr>
          <w:i/>
          <w:iCs/>
        </w:rPr>
        <w:t xml:space="preserve">udú </w:t>
      </w:r>
      <w:r w:rsidRPr="00927544">
        <w:rPr>
          <w:i/>
          <w:iCs/>
        </w:rPr>
        <w:t xml:space="preserve">vytvorené podmienky pre zavádzanie </w:t>
      </w:r>
      <w:r w:rsidR="006C7ADA">
        <w:rPr>
          <w:i/>
          <w:iCs/>
        </w:rPr>
        <w:t>inovatívnych</w:t>
      </w:r>
      <w:r w:rsidRPr="00927544">
        <w:rPr>
          <w:i/>
          <w:iCs/>
        </w:rPr>
        <w:t xml:space="preserve"> technológií, no najmä stimuláci</w:t>
      </w:r>
      <w:r w:rsidR="004822EF">
        <w:rPr>
          <w:i/>
          <w:iCs/>
        </w:rPr>
        <w:t>u</w:t>
      </w:r>
      <w:r w:rsidRPr="00927544">
        <w:rPr>
          <w:i/>
          <w:iCs/>
        </w:rPr>
        <w:t xml:space="preserve"> podnikov k vyv</w:t>
      </w:r>
      <w:r w:rsidR="006C7ADA">
        <w:rPr>
          <w:i/>
          <w:iCs/>
        </w:rPr>
        <w:t>íjaniu vlastných technológií, produktov a služieb.</w:t>
      </w:r>
    </w:p>
    <w:p w:rsidR="009B4A3B" w:rsidRPr="00927544" w:rsidRDefault="009B4A3B" w:rsidP="00C04B91">
      <w:pPr>
        <w:pStyle w:val="Odsekzoznamu1"/>
        <w:autoSpaceDE w:val="0"/>
        <w:autoSpaceDN w:val="0"/>
        <w:adjustRightInd w:val="0"/>
        <w:spacing w:after="0" w:line="240" w:lineRule="auto"/>
        <w:ind w:left="360"/>
        <w:jc w:val="left"/>
        <w:rPr>
          <w:i/>
          <w:iCs/>
        </w:rPr>
      </w:pPr>
    </w:p>
    <w:p w:rsidR="009B4A3B" w:rsidRPr="00927544" w:rsidRDefault="009B4A3B" w:rsidP="00791A72">
      <w:pPr>
        <w:pStyle w:val="Odsekzoznamu1"/>
        <w:numPr>
          <w:ilvl w:val="1"/>
          <w:numId w:val="3"/>
        </w:numPr>
        <w:autoSpaceDE w:val="0"/>
        <w:autoSpaceDN w:val="0"/>
        <w:adjustRightInd w:val="0"/>
        <w:spacing w:after="0" w:line="240" w:lineRule="auto"/>
        <w:jc w:val="left"/>
      </w:pPr>
      <w:r w:rsidRPr="00927544">
        <w:t xml:space="preserve">Zlepšiť prepojenie </w:t>
      </w:r>
      <w:r w:rsidR="009A2103">
        <w:t>domácich</w:t>
      </w:r>
      <w:r w:rsidRPr="00927544">
        <w:t xml:space="preserve"> </w:t>
      </w:r>
      <w:r w:rsidR="004822EF">
        <w:t xml:space="preserve">MSP </w:t>
      </w:r>
      <w:r w:rsidRPr="00927544">
        <w:t>s dodávateľmi pre veľké nadnárodné spoločnosti</w:t>
      </w:r>
    </w:p>
    <w:p w:rsidR="009B4A3B" w:rsidRPr="00927544" w:rsidRDefault="009B4A3B" w:rsidP="00207B73">
      <w:pPr>
        <w:ind w:left="360"/>
        <w:rPr>
          <w:i/>
          <w:iCs/>
        </w:rPr>
      </w:pPr>
      <w:r w:rsidRPr="00927544">
        <w:rPr>
          <w:i/>
          <w:iCs/>
        </w:rPr>
        <w:t xml:space="preserve">Zvyšovanie pridanej hodnoty </w:t>
      </w:r>
      <w:r w:rsidR="00452B7F">
        <w:rPr>
          <w:i/>
          <w:iCs/>
        </w:rPr>
        <w:t>dodávaných</w:t>
      </w:r>
      <w:r w:rsidRPr="00927544">
        <w:rPr>
          <w:i/>
          <w:iCs/>
        </w:rPr>
        <w:t xml:space="preserve"> produktov a</w:t>
      </w:r>
      <w:r w:rsidR="00452B7F">
        <w:rPr>
          <w:i/>
          <w:iCs/>
        </w:rPr>
        <w:t> služieb domácich podnikov, ako aj</w:t>
      </w:r>
      <w:r w:rsidRPr="00927544">
        <w:rPr>
          <w:i/>
          <w:iCs/>
        </w:rPr>
        <w:t xml:space="preserve"> zlepšenie </w:t>
      </w:r>
      <w:r w:rsidR="00452B7F">
        <w:rPr>
          <w:i/>
          <w:iCs/>
        </w:rPr>
        <w:t xml:space="preserve">ich </w:t>
      </w:r>
      <w:r w:rsidRPr="00927544">
        <w:rPr>
          <w:i/>
          <w:iCs/>
        </w:rPr>
        <w:t xml:space="preserve">postavenia v rámci dodávateľských sietí </w:t>
      </w:r>
      <w:r w:rsidR="00452B7F">
        <w:rPr>
          <w:i/>
          <w:iCs/>
        </w:rPr>
        <w:t xml:space="preserve">spôsobí zvýšenie ukotvenosti kľúčových odvetví </w:t>
      </w:r>
      <w:r w:rsidRPr="00927544">
        <w:rPr>
          <w:i/>
          <w:iCs/>
        </w:rPr>
        <w:t>prostredníctvom dobudovania podnikových</w:t>
      </w:r>
      <w:r w:rsidR="00052F3B">
        <w:rPr>
          <w:i/>
          <w:iCs/>
        </w:rPr>
        <w:t xml:space="preserve"> výskumných a inovačných centier.</w:t>
      </w:r>
    </w:p>
    <w:p w:rsidR="005C1092" w:rsidRPr="00AB036F" w:rsidRDefault="005C1092" w:rsidP="005C1092">
      <w:pPr>
        <w:rPr>
          <w:b/>
        </w:rPr>
      </w:pPr>
      <w:r w:rsidRPr="00AB036F">
        <w:rPr>
          <w:b/>
        </w:rPr>
        <w:t xml:space="preserve">Opatrenia </w:t>
      </w:r>
    </w:p>
    <w:p w:rsidR="005C1092" w:rsidRPr="00AB036F" w:rsidRDefault="005C1092" w:rsidP="00791A72">
      <w:pPr>
        <w:numPr>
          <w:ilvl w:val="1"/>
          <w:numId w:val="25"/>
        </w:numPr>
        <w:spacing w:after="0" w:line="240" w:lineRule="auto"/>
        <w:jc w:val="left"/>
      </w:pPr>
      <w:r w:rsidRPr="00AB036F">
        <w:t>Rozvoj inovačných kapacít prostredníctvom spolupráce podnikov a výskumných inštitúcií v kľúčových odvetviach hospodárstva SR</w:t>
      </w:r>
    </w:p>
    <w:p w:rsidR="00AB036F" w:rsidRPr="00AB036F" w:rsidRDefault="00AB036F" w:rsidP="00AB036F">
      <w:pPr>
        <w:spacing w:after="0" w:line="240" w:lineRule="auto"/>
        <w:ind w:left="360"/>
        <w:jc w:val="left"/>
      </w:pPr>
    </w:p>
    <w:p w:rsidR="005C1092" w:rsidRPr="00AB036F" w:rsidRDefault="005C1092" w:rsidP="00791A72">
      <w:pPr>
        <w:numPr>
          <w:ilvl w:val="1"/>
          <w:numId w:val="25"/>
        </w:numPr>
        <w:spacing w:after="0" w:line="240" w:lineRule="auto"/>
        <w:jc w:val="left"/>
      </w:pPr>
      <w:r w:rsidRPr="00AB036F">
        <w:t xml:space="preserve">Technologický upgrade pre štrukturálne zmeny v priemysle </w:t>
      </w:r>
    </w:p>
    <w:p w:rsidR="005C1092" w:rsidRPr="00AB036F" w:rsidRDefault="005C1092" w:rsidP="005C1092">
      <w:pPr>
        <w:rPr>
          <w:i/>
        </w:rPr>
      </w:pPr>
      <w:r w:rsidRPr="00AB036F">
        <w:rPr>
          <w:i/>
        </w:rPr>
        <w:t>V rámci opatrenia bude podporené zvyšovanie technologickej úrovne firiem s cieľom zvýšenia ich konkurencieschopnosti</w:t>
      </w:r>
      <w:r w:rsidR="004822EF">
        <w:rPr>
          <w:i/>
        </w:rPr>
        <w:t>.</w:t>
      </w:r>
    </w:p>
    <w:p w:rsidR="005C1092" w:rsidRPr="00AB036F" w:rsidRDefault="005C1092" w:rsidP="00791A72">
      <w:pPr>
        <w:numPr>
          <w:ilvl w:val="1"/>
          <w:numId w:val="25"/>
        </w:numPr>
        <w:spacing w:after="0" w:line="240" w:lineRule="auto"/>
        <w:jc w:val="left"/>
      </w:pPr>
      <w:r w:rsidRPr="00AB036F">
        <w:t xml:space="preserve">Podpora budovania výskumných a inovačných kapacít v slovenských podnikoch </w:t>
      </w:r>
    </w:p>
    <w:p w:rsidR="005C1092" w:rsidRPr="00AB036F" w:rsidRDefault="005C1092" w:rsidP="005C1092">
      <w:pPr>
        <w:rPr>
          <w:i/>
        </w:rPr>
      </w:pPr>
      <w:r w:rsidRPr="00AB036F">
        <w:rPr>
          <w:i/>
        </w:rPr>
        <w:t xml:space="preserve">V rámci opatrenia bude podporený vznik priemyselných </w:t>
      </w:r>
      <w:r w:rsidRPr="003C713F">
        <w:rPr>
          <w:i/>
        </w:rPr>
        <w:t>VaI centier a podpora existujúcich priemyselných VaI</w:t>
      </w:r>
      <w:r w:rsidRPr="00AB036F">
        <w:rPr>
          <w:i/>
        </w:rPr>
        <w:t xml:space="preserve"> centier na Slovensku. V rámci opatrenia bude umožnený vznik priemyselných centier s účasťou (majetkovou, partnerskou) akademickej a univerzitnej sféry</w:t>
      </w:r>
      <w:r w:rsidR="004822EF">
        <w:rPr>
          <w:i/>
        </w:rPr>
        <w:t>.</w:t>
      </w:r>
    </w:p>
    <w:p w:rsidR="00097A2A" w:rsidRPr="00097A2A" w:rsidRDefault="00097A2A" w:rsidP="00097A2A">
      <w:pPr>
        <w:pStyle w:val="Odsekzoznamu1"/>
        <w:autoSpaceDE w:val="0"/>
        <w:autoSpaceDN w:val="0"/>
        <w:adjustRightInd w:val="0"/>
        <w:spacing w:after="0" w:line="240" w:lineRule="auto"/>
        <w:ind w:left="360"/>
        <w:jc w:val="left"/>
      </w:pPr>
    </w:p>
    <w:p w:rsidR="009B4A3B" w:rsidRPr="00FC3F22" w:rsidRDefault="007B358D" w:rsidP="00FC3730">
      <w:pPr>
        <w:rPr>
          <w:bCs/>
        </w:rPr>
      </w:pPr>
      <w:r w:rsidRPr="00927544">
        <w:rPr>
          <w:b/>
          <w:bCs/>
        </w:rPr>
        <w:t xml:space="preserve">Strategický cieľ 2 </w:t>
      </w:r>
      <w:r w:rsidR="007C2C8F" w:rsidRPr="005C1092">
        <w:rPr>
          <w:bCs/>
        </w:rPr>
        <w:t>Zvýšiť príspevok</w:t>
      </w:r>
      <w:r w:rsidR="009B4A3B" w:rsidRPr="005C1092">
        <w:rPr>
          <w:bCs/>
        </w:rPr>
        <w:t xml:space="preserve"> výskumu</w:t>
      </w:r>
      <w:r w:rsidR="009B4A3B" w:rsidRPr="00FC3F22">
        <w:rPr>
          <w:bCs/>
        </w:rPr>
        <w:t xml:space="preserve"> k hospodárskemu rastu cestou globálnej excelentnosti a lokálnej relevantnosti</w:t>
      </w:r>
    </w:p>
    <w:p w:rsidR="00FC4847" w:rsidRPr="005E226E" w:rsidRDefault="00FC4847" w:rsidP="00561E9C">
      <w:pPr>
        <w:autoSpaceDE w:val="0"/>
        <w:autoSpaceDN w:val="0"/>
        <w:adjustRightInd w:val="0"/>
        <w:spacing w:after="0" w:line="240" w:lineRule="auto"/>
        <w:rPr>
          <w:bCs/>
          <w:i/>
        </w:rPr>
      </w:pPr>
      <w:r w:rsidRPr="005E226E">
        <w:rPr>
          <w:bCs/>
          <w:i/>
        </w:rPr>
        <w:lastRenderedPageBreak/>
        <w:t>Dôležitým aspektom</w:t>
      </w:r>
      <w:r w:rsidR="00172C91" w:rsidRPr="005E226E">
        <w:rPr>
          <w:bCs/>
          <w:i/>
        </w:rPr>
        <w:t xml:space="preserve"> podnecujúcim</w:t>
      </w:r>
      <w:r w:rsidRPr="005E226E">
        <w:rPr>
          <w:bCs/>
          <w:i/>
        </w:rPr>
        <w:t xml:space="preserve"> </w:t>
      </w:r>
      <w:r w:rsidR="00172C91" w:rsidRPr="005E226E">
        <w:rPr>
          <w:bCs/>
          <w:i/>
        </w:rPr>
        <w:t xml:space="preserve">hospodársky rast </w:t>
      </w:r>
      <w:r w:rsidRPr="005E226E">
        <w:rPr>
          <w:bCs/>
          <w:i/>
        </w:rPr>
        <w:t>v strednodobom a dlhodobom horizonte je rozvoj poznatkovej bázy v priamom prepojení s</w:t>
      </w:r>
      <w:r w:rsidR="00172C91" w:rsidRPr="005E226E">
        <w:rPr>
          <w:bCs/>
          <w:i/>
        </w:rPr>
        <w:t> </w:t>
      </w:r>
      <w:r w:rsidRPr="005E226E">
        <w:rPr>
          <w:bCs/>
          <w:i/>
        </w:rPr>
        <w:t>podnikmi</w:t>
      </w:r>
      <w:r w:rsidR="00172C91" w:rsidRPr="005E226E">
        <w:rPr>
          <w:bCs/>
          <w:i/>
        </w:rPr>
        <w:t>.</w:t>
      </w:r>
      <w:r w:rsidRPr="005E226E">
        <w:rPr>
          <w:bCs/>
          <w:i/>
        </w:rPr>
        <w:t xml:space="preserve"> </w:t>
      </w:r>
      <w:r w:rsidR="00172C91" w:rsidRPr="005E226E">
        <w:rPr>
          <w:bCs/>
          <w:i/>
        </w:rPr>
        <w:t>Jednou z podmienok je</w:t>
      </w:r>
      <w:r w:rsidRPr="005E226E">
        <w:rPr>
          <w:bCs/>
          <w:i/>
        </w:rPr>
        <w:t xml:space="preserve"> posun od ponukovo orientovan</w:t>
      </w:r>
      <w:r w:rsidR="00172C91" w:rsidRPr="005E226E">
        <w:rPr>
          <w:bCs/>
          <w:i/>
        </w:rPr>
        <w:t>ého</w:t>
      </w:r>
      <w:r w:rsidRPr="005E226E">
        <w:rPr>
          <w:bCs/>
          <w:i/>
        </w:rPr>
        <w:t xml:space="preserve"> </w:t>
      </w:r>
      <w:r w:rsidR="002217E0">
        <w:rPr>
          <w:bCs/>
          <w:i/>
        </w:rPr>
        <w:t>výskumu a vývoja</w:t>
      </w:r>
      <w:r w:rsidRPr="005E226E">
        <w:rPr>
          <w:bCs/>
          <w:i/>
        </w:rPr>
        <w:t xml:space="preserve"> k dopytovo orientovan</w:t>
      </w:r>
      <w:r w:rsidR="00172C91" w:rsidRPr="005E226E">
        <w:rPr>
          <w:bCs/>
          <w:i/>
        </w:rPr>
        <w:t xml:space="preserve">ému </w:t>
      </w:r>
      <w:r w:rsidR="002217E0">
        <w:rPr>
          <w:bCs/>
          <w:i/>
        </w:rPr>
        <w:t>výskumu a vývoju</w:t>
      </w:r>
      <w:r w:rsidRPr="005E226E">
        <w:rPr>
          <w:bCs/>
          <w:i/>
        </w:rPr>
        <w:t>. Preto bude systém financovania výskumu prioritne podpor</w:t>
      </w:r>
      <w:r w:rsidR="00172C91" w:rsidRPr="005E226E">
        <w:rPr>
          <w:bCs/>
          <w:i/>
        </w:rPr>
        <w:t>ovať výskum, vývoj a inovácie v</w:t>
      </w:r>
      <w:r w:rsidRPr="005E226E">
        <w:rPr>
          <w:bCs/>
          <w:i/>
        </w:rPr>
        <w:t xml:space="preserve"> </w:t>
      </w:r>
      <w:r w:rsidR="00172C91" w:rsidRPr="005E226E">
        <w:rPr>
          <w:bCs/>
          <w:i/>
        </w:rPr>
        <w:t>prioritných</w:t>
      </w:r>
      <w:r w:rsidRPr="005E226E">
        <w:rPr>
          <w:bCs/>
          <w:i/>
        </w:rPr>
        <w:t xml:space="preserve"> tematických oblastiach, v ktorých existuje potenciál zužitkovania výsledkov výskumu v hospodárskej a spoločenskej praxi s dostatočnou kritickou masou.</w:t>
      </w:r>
    </w:p>
    <w:p w:rsidR="00FC4847" w:rsidRPr="00FC4847" w:rsidRDefault="00FC4847" w:rsidP="00561E9C">
      <w:pPr>
        <w:autoSpaceDE w:val="0"/>
        <w:autoSpaceDN w:val="0"/>
        <w:adjustRightInd w:val="0"/>
        <w:spacing w:after="0" w:line="240" w:lineRule="auto"/>
        <w:rPr>
          <w:b/>
          <w:bCs/>
        </w:rPr>
      </w:pPr>
    </w:p>
    <w:p w:rsidR="009B4A3B" w:rsidRPr="00927544" w:rsidRDefault="009B4A3B" w:rsidP="00561E9C">
      <w:pPr>
        <w:autoSpaceDE w:val="0"/>
        <w:autoSpaceDN w:val="0"/>
        <w:adjustRightInd w:val="0"/>
        <w:spacing w:line="240" w:lineRule="auto"/>
        <w:rPr>
          <w:b/>
          <w:bCs/>
        </w:rPr>
      </w:pPr>
      <w:r w:rsidRPr="00927544">
        <w:rPr>
          <w:b/>
          <w:bCs/>
        </w:rPr>
        <w:t>Čiastkové ciele pre dosiahnutie strategického cieľa</w:t>
      </w:r>
    </w:p>
    <w:p w:rsidR="00A4137F" w:rsidRDefault="009B4A3B" w:rsidP="00791A72">
      <w:pPr>
        <w:pStyle w:val="Odsekzoznamu1"/>
        <w:numPr>
          <w:ilvl w:val="1"/>
          <w:numId w:val="18"/>
        </w:numPr>
        <w:autoSpaceDE w:val="0"/>
        <w:autoSpaceDN w:val="0"/>
        <w:adjustRightInd w:val="0"/>
        <w:spacing w:after="0" w:line="240" w:lineRule="auto"/>
        <w:ind w:left="709"/>
        <w:jc w:val="left"/>
      </w:pPr>
      <w:r w:rsidRPr="00927544">
        <w:t xml:space="preserve">Do roku 2020 zvýšiť podiel </w:t>
      </w:r>
      <w:r w:rsidR="00A4137F" w:rsidRPr="00927544">
        <w:t xml:space="preserve">celkových výdavkoch na </w:t>
      </w:r>
      <w:r w:rsidR="002217E0">
        <w:t>výskumu a vývoja</w:t>
      </w:r>
      <w:r w:rsidR="00A4137F" w:rsidRPr="00927544">
        <w:t xml:space="preserve"> minimálne </w:t>
      </w:r>
      <w:r w:rsidR="00A4137F">
        <w:t>d</w:t>
      </w:r>
      <w:r w:rsidR="00A4137F" w:rsidRPr="00927544">
        <w:t>o výšk</w:t>
      </w:r>
      <w:r w:rsidR="00A4137F">
        <w:t>y</w:t>
      </w:r>
      <w:r w:rsidR="00A4137F" w:rsidRPr="00927544">
        <w:t xml:space="preserve"> 1,2 % HDP</w:t>
      </w:r>
    </w:p>
    <w:p w:rsidR="003B78DB" w:rsidRPr="005C1092" w:rsidRDefault="008D408F" w:rsidP="003B78DB">
      <w:pPr>
        <w:pStyle w:val="Odsekzoznamu1"/>
        <w:autoSpaceDE w:val="0"/>
        <w:autoSpaceDN w:val="0"/>
        <w:adjustRightInd w:val="0"/>
        <w:spacing w:after="0" w:line="240" w:lineRule="auto"/>
        <w:ind w:left="709"/>
        <w:jc w:val="left"/>
      </w:pPr>
      <w:r w:rsidRPr="005C1092">
        <w:rPr>
          <w:i/>
        </w:rPr>
        <w:t xml:space="preserve">Nízke celkové výdavky na </w:t>
      </w:r>
      <w:r w:rsidR="002217E0">
        <w:rPr>
          <w:i/>
        </w:rPr>
        <w:t>výskum a vývoj</w:t>
      </w:r>
      <w:r w:rsidRPr="005C1092">
        <w:rPr>
          <w:i/>
        </w:rPr>
        <w:t xml:space="preserve"> na Slovensku negatívne determinujú dlhodobý hospodársky rast.</w:t>
      </w:r>
      <w:r w:rsidR="004822EF">
        <w:rPr>
          <w:i/>
        </w:rPr>
        <w:t xml:space="preserve"> </w:t>
      </w:r>
      <w:r w:rsidR="004822EF" w:rsidRPr="003C713F">
        <w:rPr>
          <w:i/>
        </w:rPr>
        <w:t>Cieľom je zdvojnásobiť celkové výdavky na výskum a vývoj do roku 2020</w:t>
      </w:r>
      <w:r w:rsidR="00A105D0" w:rsidRPr="00A105D0">
        <w:rPr>
          <w:i/>
        </w:rPr>
        <w:t xml:space="preserve"> voči r. 2011</w:t>
      </w:r>
      <w:r w:rsidR="004822EF" w:rsidRPr="003C713F">
        <w:rPr>
          <w:i/>
        </w:rPr>
        <w:t>.</w:t>
      </w:r>
    </w:p>
    <w:p w:rsidR="003D473E" w:rsidRDefault="003D473E" w:rsidP="003D473E">
      <w:pPr>
        <w:pStyle w:val="Odsekzoznamu1"/>
        <w:autoSpaceDE w:val="0"/>
        <w:autoSpaceDN w:val="0"/>
        <w:adjustRightInd w:val="0"/>
        <w:spacing w:after="0" w:line="240" w:lineRule="auto"/>
        <w:ind w:left="709"/>
        <w:jc w:val="left"/>
      </w:pPr>
    </w:p>
    <w:p w:rsidR="00A4137F" w:rsidRPr="005C1092" w:rsidRDefault="00CC1D31" w:rsidP="00791A72">
      <w:pPr>
        <w:pStyle w:val="Odsekzoznamu1"/>
        <w:numPr>
          <w:ilvl w:val="1"/>
          <w:numId w:val="18"/>
        </w:numPr>
        <w:autoSpaceDE w:val="0"/>
        <w:autoSpaceDN w:val="0"/>
        <w:adjustRightInd w:val="0"/>
        <w:spacing w:after="0" w:line="240" w:lineRule="auto"/>
        <w:ind w:left="709"/>
        <w:jc w:val="left"/>
      </w:pPr>
      <w:r w:rsidRPr="005C1092">
        <w:t xml:space="preserve">Zvýšiť podiel súkromných zdrojov do </w:t>
      </w:r>
      <w:r w:rsidR="002217E0">
        <w:t>výskumu a vývoja</w:t>
      </w:r>
      <w:r w:rsidRPr="005C1092">
        <w:t xml:space="preserve"> v pomere minimálne 2:1 k verejným zdrojom p</w:t>
      </w:r>
      <w:r w:rsidR="009B4A3B" w:rsidRPr="005C1092">
        <w:t xml:space="preserve">ri zachovaní minimálne súčasného podielu verejných zdrojov na celkových výdavkoch na </w:t>
      </w:r>
      <w:r w:rsidR="002217E0">
        <w:t>výskum a vývoj</w:t>
      </w:r>
      <w:r w:rsidR="009B4A3B" w:rsidRPr="005C1092">
        <w:t xml:space="preserve"> </w:t>
      </w:r>
    </w:p>
    <w:p w:rsidR="003B78DB" w:rsidRPr="004822EF" w:rsidRDefault="00A105D0" w:rsidP="003B78DB">
      <w:pPr>
        <w:pStyle w:val="Odsekzoznamu"/>
        <w:rPr>
          <w:i/>
        </w:rPr>
      </w:pPr>
      <w:r w:rsidRPr="00A105D0">
        <w:rPr>
          <w:i/>
        </w:rPr>
        <w:t>Verejné výdavky na výskum a vývoj sú v súčasnosti dvojnásobné oproti výdavkom súkromného sektora. Bude vytvorené motivačné prostredie stimulujúce k zvýšeniu výdavkov súkromného sektora do výskumu a vývoja.</w:t>
      </w:r>
    </w:p>
    <w:p w:rsidR="009B4A3B" w:rsidRPr="005C1092" w:rsidRDefault="00CC1D31" w:rsidP="00791A72">
      <w:pPr>
        <w:pStyle w:val="Odsekzoznamu1"/>
        <w:numPr>
          <w:ilvl w:val="1"/>
          <w:numId w:val="18"/>
        </w:numPr>
        <w:autoSpaceDE w:val="0"/>
        <w:autoSpaceDN w:val="0"/>
        <w:adjustRightInd w:val="0"/>
        <w:spacing w:after="0" w:line="240" w:lineRule="auto"/>
        <w:jc w:val="left"/>
      </w:pPr>
      <w:r w:rsidRPr="005C1092">
        <w:t>Zefektívniť inštitucionálne</w:t>
      </w:r>
      <w:r w:rsidR="00047CC7" w:rsidRPr="005C1092">
        <w:t xml:space="preserve"> usporiadani</w:t>
      </w:r>
      <w:r w:rsidRPr="005C1092">
        <w:t>e</w:t>
      </w:r>
      <w:r w:rsidR="00047CC7" w:rsidRPr="005C1092">
        <w:t xml:space="preserve"> </w:t>
      </w:r>
      <w:r w:rsidR="00D04E0A">
        <w:t>výskumnej a vývojovej</w:t>
      </w:r>
      <w:r w:rsidR="00047CC7" w:rsidRPr="005C1092">
        <w:t xml:space="preserve"> základne</w:t>
      </w:r>
    </w:p>
    <w:p w:rsidR="00097A2A" w:rsidRPr="004822EF" w:rsidRDefault="00A105D0" w:rsidP="00097A2A">
      <w:pPr>
        <w:pStyle w:val="Odsekzoznamu"/>
        <w:rPr>
          <w:i/>
        </w:rPr>
      </w:pPr>
      <w:r w:rsidRPr="00A105D0">
        <w:rPr>
          <w:i/>
        </w:rPr>
        <w:t xml:space="preserve">Súčasné usporiadanie neumožňuje efektívne vytváranie a využívanie poznatkov výskumnej a vývojovej základne. Zmenou inštitucionálneho usporiadania </w:t>
      </w:r>
      <w:r w:rsidR="004822EF" w:rsidRPr="003C713F">
        <w:rPr>
          <w:i/>
        </w:rPr>
        <w:t>a legislatívy</w:t>
      </w:r>
      <w:r w:rsidR="004822EF">
        <w:rPr>
          <w:i/>
        </w:rPr>
        <w:t xml:space="preserve"> </w:t>
      </w:r>
      <w:r w:rsidRPr="00A105D0">
        <w:rPr>
          <w:i/>
        </w:rPr>
        <w:t xml:space="preserve">bude dosiahnutý posun </w:t>
      </w:r>
      <w:r w:rsidRPr="00A105D0">
        <w:rPr>
          <w:bCs/>
          <w:i/>
        </w:rPr>
        <w:t xml:space="preserve">od ponukovo orientovaného </w:t>
      </w:r>
      <w:r w:rsidRPr="00A105D0">
        <w:rPr>
          <w:i/>
        </w:rPr>
        <w:t>výskumu a vývoja</w:t>
      </w:r>
      <w:r w:rsidRPr="00A105D0">
        <w:rPr>
          <w:bCs/>
          <w:i/>
        </w:rPr>
        <w:t xml:space="preserve"> k dopytovo orientovanému </w:t>
      </w:r>
      <w:r w:rsidRPr="00A105D0">
        <w:rPr>
          <w:i/>
        </w:rPr>
        <w:t>a k zlepšeniu fungovania inštitúcií .</w:t>
      </w:r>
    </w:p>
    <w:p w:rsidR="005C1092" w:rsidRPr="00AB036F" w:rsidRDefault="005C1092" w:rsidP="005C1092">
      <w:pPr>
        <w:rPr>
          <w:b/>
        </w:rPr>
      </w:pPr>
      <w:r w:rsidRPr="00AB036F">
        <w:rPr>
          <w:b/>
        </w:rPr>
        <w:t xml:space="preserve">Opatrenia </w:t>
      </w:r>
    </w:p>
    <w:p w:rsidR="00B26529" w:rsidRDefault="005C1092">
      <w:pPr>
        <w:spacing w:after="0"/>
      </w:pPr>
      <w:r w:rsidRPr="00AB036F">
        <w:t>2.1. Posilňovanie excelentnosti</w:t>
      </w:r>
      <w:r w:rsidR="00ED081B" w:rsidRPr="00AB036F">
        <w:t xml:space="preserve"> </w:t>
      </w:r>
      <w:r w:rsidRPr="00AB036F">
        <w:t xml:space="preserve">výskumu </w:t>
      </w:r>
    </w:p>
    <w:p w:rsidR="005C1092" w:rsidRPr="00AB036F" w:rsidRDefault="005C1092" w:rsidP="005C1092">
      <w:pPr>
        <w:rPr>
          <w:i/>
        </w:rPr>
      </w:pPr>
      <w:r w:rsidRPr="00AB036F">
        <w:rPr>
          <w:i/>
        </w:rPr>
        <w:t xml:space="preserve">Opatrenie </w:t>
      </w:r>
      <w:r w:rsidR="00310D58">
        <w:rPr>
          <w:i/>
        </w:rPr>
        <w:t xml:space="preserve"> podporuje i</w:t>
      </w:r>
      <w:r w:rsidRPr="00AB036F">
        <w:rPr>
          <w:i/>
        </w:rPr>
        <w:t>ntegráci</w:t>
      </w:r>
      <w:r w:rsidR="00310D58">
        <w:rPr>
          <w:i/>
        </w:rPr>
        <w:t>u</w:t>
      </w:r>
      <w:r w:rsidRPr="00AB036F">
        <w:rPr>
          <w:i/>
        </w:rPr>
        <w:t xml:space="preserve"> do Európskeho výskumného priestoru cestou zlepšenia medzinárodnej excelentnosti a</w:t>
      </w:r>
      <w:r w:rsidR="004822EF">
        <w:rPr>
          <w:i/>
        </w:rPr>
        <w:t> </w:t>
      </w:r>
      <w:r w:rsidRPr="00AB036F">
        <w:rPr>
          <w:i/>
        </w:rPr>
        <w:t>spolupráce</w:t>
      </w:r>
      <w:r w:rsidR="004822EF">
        <w:rPr>
          <w:i/>
        </w:rPr>
        <w:t>.</w:t>
      </w:r>
    </w:p>
    <w:p w:rsidR="005837A8" w:rsidRDefault="005C1092" w:rsidP="005837A8">
      <w:pPr>
        <w:spacing w:after="0"/>
      </w:pPr>
      <w:r w:rsidRPr="00AB036F">
        <w:t xml:space="preserve">2.2. </w:t>
      </w:r>
      <w:r w:rsidR="005837A8" w:rsidRPr="00A97FF0">
        <w:t>Rozvoj excelentného výskumu so zabezpečením potrebnej infraštruktúry pre výskum  a vývoj</w:t>
      </w:r>
    </w:p>
    <w:p w:rsidR="005837A8" w:rsidRPr="00AB036F" w:rsidRDefault="005837A8" w:rsidP="005837A8">
      <w:pPr>
        <w:rPr>
          <w:i/>
        </w:rPr>
      </w:pPr>
      <w:r w:rsidRPr="00AB036F">
        <w:rPr>
          <w:i/>
        </w:rPr>
        <w:t>Opatrenie podporuje budovanie infraštruktúry pre výskum a vývoj pre tvorbu znalostnej bázy a prípravu ľudských zdrojov orientovaných na potreby priemyslu a spoločenskej praxe v oblastiach tematických priorít (</w:t>
      </w:r>
      <w:r>
        <w:rPr>
          <w:i/>
        </w:rPr>
        <w:t>k</w:t>
      </w:r>
      <w:r w:rsidRPr="00AB036F">
        <w:rPr>
          <w:i/>
        </w:rPr>
        <w:t>nowledge</w:t>
      </w:r>
      <w:r>
        <w:rPr>
          <w:i/>
        </w:rPr>
        <w:t xml:space="preserve"> </w:t>
      </w:r>
      <w:r w:rsidRPr="00AB036F">
        <w:rPr>
          <w:i/>
        </w:rPr>
        <w:t>difusion)</w:t>
      </w:r>
      <w:r>
        <w:rPr>
          <w:i/>
        </w:rPr>
        <w:t>.</w:t>
      </w:r>
    </w:p>
    <w:p w:rsidR="005837A8" w:rsidRDefault="005837A8" w:rsidP="005837A8">
      <w:pPr>
        <w:spacing w:after="0"/>
      </w:pPr>
      <w:r w:rsidRPr="00AB036F">
        <w:t xml:space="preserve">2.3. </w:t>
      </w:r>
      <w:r w:rsidRPr="005837A8">
        <w:t>Prepájanie univerzít, akadémie vied, výskumných inštitúcií a partnerov z oblasti priemyslu</w:t>
      </w:r>
    </w:p>
    <w:p w:rsidR="005837A8" w:rsidRDefault="005837A8" w:rsidP="005837A8">
      <w:r w:rsidRPr="00AB036F">
        <w:rPr>
          <w:i/>
        </w:rPr>
        <w:t>V rámci opatrenia budú podporované strategické projekty dlhodobej spolupráce medzi podnikmi a</w:t>
      </w:r>
      <w:r>
        <w:rPr>
          <w:i/>
        </w:rPr>
        <w:t> výskumno-vývojovými</w:t>
      </w:r>
      <w:r w:rsidRPr="00AB036F">
        <w:rPr>
          <w:i/>
        </w:rPr>
        <w:t xml:space="preserve"> pracoviskami s cieľom tvorby dlhodobých partnerstiev v oblastiach tematických priorít</w:t>
      </w:r>
      <w:r w:rsidRPr="00AB036F">
        <w:t xml:space="preserve">. </w:t>
      </w:r>
    </w:p>
    <w:p w:rsidR="00B26529" w:rsidRDefault="005837A8">
      <w:pPr>
        <w:spacing w:after="0"/>
      </w:pPr>
      <w:r w:rsidRPr="00AB036F">
        <w:t xml:space="preserve">2.4. </w:t>
      </w:r>
      <w:r w:rsidR="005C1092" w:rsidRPr="00AB036F">
        <w:t>Systematická podpora a stimulácia medzinárodnej spolupráce vo vede a technike</w:t>
      </w:r>
    </w:p>
    <w:p w:rsidR="005C1092" w:rsidRPr="00AB036F" w:rsidRDefault="005C1092" w:rsidP="00163B88">
      <w:pPr>
        <w:spacing w:after="0"/>
        <w:rPr>
          <w:i/>
        </w:rPr>
      </w:pPr>
      <w:r w:rsidRPr="00AB036F">
        <w:rPr>
          <w:i/>
        </w:rPr>
        <w:t>Bude sa realizovať zlepšením národnej podpory, činnosti národných štruktúr ako aj motivačným financovaním a spolufinancovaním medzinárodných aktivít</w:t>
      </w:r>
      <w:r w:rsidR="00310D58" w:rsidRPr="003C713F">
        <w:rPr>
          <w:i/>
        </w:rPr>
        <w:t>.</w:t>
      </w:r>
      <w:r w:rsidRPr="00AB036F">
        <w:rPr>
          <w:i/>
        </w:rPr>
        <w:t xml:space="preserve"> </w:t>
      </w:r>
    </w:p>
    <w:p w:rsidR="003D473E" w:rsidRPr="005837A8" w:rsidRDefault="003D473E" w:rsidP="005C1092"/>
    <w:p w:rsidR="009B4A3B" w:rsidRDefault="00490CF5" w:rsidP="00B607DA">
      <w:pPr>
        <w:rPr>
          <w:bCs/>
        </w:rPr>
      </w:pPr>
      <w:r w:rsidRPr="00FC4847">
        <w:rPr>
          <w:b/>
          <w:bCs/>
        </w:rPr>
        <w:t>Strategický cieľ 3</w:t>
      </w:r>
      <w:r w:rsidR="009B4A3B" w:rsidRPr="00FC4847">
        <w:rPr>
          <w:b/>
          <w:bCs/>
        </w:rPr>
        <w:t xml:space="preserve"> </w:t>
      </w:r>
      <w:r w:rsidR="00CC1D31" w:rsidRPr="00AB036F">
        <w:rPr>
          <w:bCs/>
        </w:rPr>
        <w:t>Vytvoriť</w:t>
      </w:r>
      <w:r w:rsidR="00CC1D31">
        <w:rPr>
          <w:bCs/>
        </w:rPr>
        <w:t xml:space="preserve"> </w:t>
      </w:r>
      <w:r w:rsidR="00FC4847" w:rsidRPr="00FC3F22">
        <w:rPr>
          <w:bCs/>
        </w:rPr>
        <w:t>dynamickú, otvorenú a inkluzívnu inovatívnu spoločnosť ako jeden z predpokladov pre zlepšenie kvality života</w:t>
      </w:r>
    </w:p>
    <w:p w:rsidR="005F420E" w:rsidRPr="003D473E" w:rsidRDefault="005F420E" w:rsidP="00B607DA">
      <w:pPr>
        <w:rPr>
          <w:bCs/>
          <w:i/>
        </w:rPr>
      </w:pPr>
      <w:r w:rsidRPr="003D473E">
        <w:rPr>
          <w:bCs/>
          <w:i/>
        </w:rPr>
        <w:t>Transformácia hospodárstva z výrobne orientovaného na poznatkovo orient</w:t>
      </w:r>
      <w:r w:rsidR="00D752C8" w:rsidRPr="003D473E">
        <w:rPr>
          <w:bCs/>
          <w:i/>
        </w:rPr>
        <w:t>ované vyžaduje zmenu naprieč celou spoločnosťou, ktorá umožní efektívnu realizáciu podpory komercionalizácie výsledkov</w:t>
      </w:r>
      <w:r w:rsidR="00321E3C" w:rsidRPr="003D473E">
        <w:rPr>
          <w:bCs/>
          <w:i/>
        </w:rPr>
        <w:t xml:space="preserve"> výskumu a vývoja</w:t>
      </w:r>
      <w:r w:rsidR="00D752C8" w:rsidRPr="003D473E">
        <w:rPr>
          <w:bCs/>
          <w:i/>
        </w:rPr>
        <w:t xml:space="preserve"> a implementáciu inovačných aktivít rôzneho charakteru.</w:t>
      </w:r>
    </w:p>
    <w:p w:rsidR="009B4A3B" w:rsidRPr="00FC4847" w:rsidRDefault="009B4A3B" w:rsidP="00561E9C">
      <w:pPr>
        <w:pStyle w:val="Odsekzoznamu1"/>
        <w:autoSpaceDE w:val="0"/>
        <w:autoSpaceDN w:val="0"/>
        <w:adjustRightInd w:val="0"/>
        <w:spacing w:line="240" w:lineRule="auto"/>
        <w:ind w:left="0"/>
        <w:jc w:val="left"/>
      </w:pPr>
      <w:r w:rsidRPr="00FC4847">
        <w:rPr>
          <w:b/>
          <w:bCs/>
        </w:rPr>
        <w:t>Čiastkové ciele pre dosiahnutie strategického cieľa</w:t>
      </w:r>
    </w:p>
    <w:p w:rsidR="009B4A3B" w:rsidRPr="00AB036F" w:rsidRDefault="009B4A3B" w:rsidP="00561E9C">
      <w:pPr>
        <w:pStyle w:val="Odsekzoznamu1"/>
        <w:autoSpaceDE w:val="0"/>
        <w:autoSpaceDN w:val="0"/>
        <w:adjustRightInd w:val="0"/>
        <w:spacing w:after="0" w:line="240" w:lineRule="auto"/>
        <w:jc w:val="left"/>
        <w:rPr>
          <w:vanish/>
        </w:rPr>
      </w:pPr>
    </w:p>
    <w:p w:rsidR="007B358D" w:rsidRPr="00FC4847" w:rsidRDefault="00CC1D31" w:rsidP="00791A72">
      <w:pPr>
        <w:pStyle w:val="Odsekzoznamu1"/>
        <w:numPr>
          <w:ilvl w:val="1"/>
          <w:numId w:val="1"/>
        </w:numPr>
        <w:autoSpaceDE w:val="0"/>
        <w:autoSpaceDN w:val="0"/>
        <w:adjustRightInd w:val="0"/>
        <w:spacing w:after="0" w:line="240" w:lineRule="auto"/>
        <w:ind w:left="709"/>
        <w:jc w:val="left"/>
      </w:pPr>
      <w:r w:rsidRPr="00AB036F">
        <w:t>Vytvoriť</w:t>
      </w:r>
      <w:r w:rsidR="009B4A3B" w:rsidRPr="00FC4847">
        <w:t xml:space="preserve"> </w:t>
      </w:r>
      <w:r w:rsidR="00D508F2" w:rsidRPr="00FC4847">
        <w:t>podnik</w:t>
      </w:r>
      <w:r w:rsidR="00D508F2">
        <w:t>om</w:t>
      </w:r>
      <w:r w:rsidR="00990FEE" w:rsidRPr="00FC4847">
        <w:t>, hlavne</w:t>
      </w:r>
      <w:r w:rsidR="004E16A5">
        <w:t xml:space="preserve"> </w:t>
      </w:r>
      <w:r w:rsidR="004822EF">
        <w:t>MSP</w:t>
      </w:r>
      <w:r w:rsidR="009B4A3B" w:rsidRPr="00FC4847">
        <w:t xml:space="preserve">, </w:t>
      </w:r>
      <w:r w:rsidR="00D508F2" w:rsidRPr="00FC4847">
        <w:t>podmienky</w:t>
      </w:r>
      <w:r w:rsidR="00D508F2">
        <w:t xml:space="preserve"> pre</w:t>
      </w:r>
      <w:r w:rsidR="00D508F2" w:rsidRPr="00FC4847">
        <w:t xml:space="preserve"> </w:t>
      </w:r>
      <w:r w:rsidR="009B4A3B" w:rsidRPr="00FC4847">
        <w:t>zvyšova</w:t>
      </w:r>
      <w:r w:rsidR="00D508F2">
        <w:t>nie ich inovačnej výkonnosti</w:t>
      </w:r>
    </w:p>
    <w:p w:rsidR="009B4A3B" w:rsidRPr="003D473E" w:rsidRDefault="009B4A3B" w:rsidP="003D473E">
      <w:pPr>
        <w:pStyle w:val="Odsekzoznamu1"/>
        <w:autoSpaceDE w:val="0"/>
        <w:autoSpaceDN w:val="0"/>
        <w:adjustRightInd w:val="0"/>
        <w:spacing w:after="0" w:line="240" w:lineRule="auto"/>
        <w:ind w:left="708"/>
        <w:jc w:val="left"/>
        <w:rPr>
          <w:i/>
        </w:rPr>
      </w:pPr>
      <w:r w:rsidRPr="003D473E">
        <w:rPr>
          <w:i/>
          <w:iCs/>
        </w:rPr>
        <w:t>Inovačná výkonnosť podnikov reflektuje najmä nízky podiel investícií do vlastných inovačných aktivít</w:t>
      </w:r>
      <w:r w:rsidR="00FE31B0" w:rsidRPr="003D473E">
        <w:rPr>
          <w:i/>
        </w:rPr>
        <w:t xml:space="preserve"> </w:t>
      </w:r>
      <w:r w:rsidR="005102E2" w:rsidRPr="003D473E">
        <w:rPr>
          <w:i/>
        </w:rPr>
        <w:t>(</w:t>
      </w:r>
      <w:r w:rsidR="00FE31B0" w:rsidRPr="003D473E">
        <w:rPr>
          <w:i/>
        </w:rPr>
        <w:t>súčasný podiel inovujúcich podnikov (in house) je 15</w:t>
      </w:r>
      <w:r w:rsidR="005102E2" w:rsidRPr="003D473E">
        <w:rPr>
          <w:i/>
        </w:rPr>
        <w:t xml:space="preserve"> </w:t>
      </w:r>
      <w:r w:rsidR="00FE31B0" w:rsidRPr="003D473E">
        <w:rPr>
          <w:i/>
        </w:rPr>
        <w:t>%</w:t>
      </w:r>
      <w:r w:rsidR="005102E2" w:rsidRPr="003D473E">
        <w:rPr>
          <w:i/>
        </w:rPr>
        <w:t>)</w:t>
      </w:r>
      <w:r w:rsidRPr="003D473E">
        <w:rPr>
          <w:i/>
          <w:iCs/>
        </w:rPr>
        <w:t xml:space="preserve">. Cieľom je stimulácia </w:t>
      </w:r>
      <w:r w:rsidR="00990FEE" w:rsidRPr="003D473E">
        <w:rPr>
          <w:i/>
          <w:iCs/>
        </w:rPr>
        <w:t>podnikov</w:t>
      </w:r>
      <w:r w:rsidRPr="003D473E">
        <w:rPr>
          <w:i/>
          <w:iCs/>
        </w:rPr>
        <w:t xml:space="preserve"> k zvýšeniu vlastnej inovačnej výkonnosti naprieč celým socio-ekonomickým spektrom </w:t>
      </w:r>
      <w:r w:rsidR="00FE31B0" w:rsidRPr="003D473E">
        <w:rPr>
          <w:i/>
          <w:iCs/>
        </w:rPr>
        <w:t>na 20</w:t>
      </w:r>
      <w:r w:rsidR="005102E2" w:rsidRPr="003D473E">
        <w:rPr>
          <w:i/>
          <w:iCs/>
        </w:rPr>
        <w:t xml:space="preserve"> </w:t>
      </w:r>
      <w:r w:rsidR="00FE31B0" w:rsidRPr="003D473E">
        <w:rPr>
          <w:i/>
          <w:iCs/>
        </w:rPr>
        <w:t>%</w:t>
      </w:r>
      <w:r w:rsidRPr="003D473E">
        <w:rPr>
          <w:i/>
          <w:iCs/>
        </w:rPr>
        <w:t xml:space="preserve">. Zároveň je </w:t>
      </w:r>
      <w:r w:rsidRPr="003D473E">
        <w:rPr>
          <w:i/>
          <w:iCs/>
        </w:rPr>
        <w:lastRenderedPageBreak/>
        <w:t xml:space="preserve">potrebné </w:t>
      </w:r>
      <w:r w:rsidR="00803D32" w:rsidRPr="003D473E">
        <w:rPr>
          <w:i/>
        </w:rPr>
        <w:t xml:space="preserve">zvýšiť dynamiku vzniku </w:t>
      </w:r>
      <w:r w:rsidR="005102E2" w:rsidRPr="003D473E">
        <w:rPr>
          <w:i/>
        </w:rPr>
        <w:t>s</w:t>
      </w:r>
      <w:r w:rsidR="00803D32" w:rsidRPr="003D473E">
        <w:rPr>
          <w:i/>
        </w:rPr>
        <w:t>tart-up a </w:t>
      </w:r>
      <w:r w:rsidR="005102E2" w:rsidRPr="003D473E">
        <w:rPr>
          <w:i/>
        </w:rPr>
        <w:t>s</w:t>
      </w:r>
      <w:r w:rsidR="00803D32" w:rsidRPr="003D473E">
        <w:rPr>
          <w:i/>
        </w:rPr>
        <w:t xml:space="preserve">pin-Off firiem </w:t>
      </w:r>
      <w:r w:rsidR="00803D32" w:rsidRPr="003D473E">
        <w:rPr>
          <w:i/>
          <w:iCs/>
        </w:rPr>
        <w:t>a</w:t>
      </w:r>
      <w:r w:rsidR="00134F8E" w:rsidRPr="003D473E">
        <w:rPr>
          <w:i/>
          <w:iCs/>
        </w:rPr>
        <w:t xml:space="preserve"> </w:t>
      </w:r>
      <w:r w:rsidR="00803D32" w:rsidRPr="003D473E">
        <w:rPr>
          <w:i/>
          <w:iCs/>
        </w:rPr>
        <w:t>vytvoriť možnosti lepšieho využívania</w:t>
      </w:r>
      <w:r w:rsidRPr="003D473E">
        <w:rPr>
          <w:i/>
          <w:iCs/>
        </w:rPr>
        <w:t xml:space="preserve"> nástrojov finančného inžinierstva.</w:t>
      </w:r>
      <w:r w:rsidR="00134F8E" w:rsidRPr="003D473E">
        <w:rPr>
          <w:i/>
          <w:iCs/>
        </w:rPr>
        <w:t xml:space="preserve"> </w:t>
      </w:r>
    </w:p>
    <w:p w:rsidR="009B4A3B" w:rsidRPr="00FC4847" w:rsidRDefault="009B4A3B" w:rsidP="00461742">
      <w:pPr>
        <w:pStyle w:val="Odsekzoznamu1"/>
        <w:autoSpaceDE w:val="0"/>
        <w:autoSpaceDN w:val="0"/>
        <w:adjustRightInd w:val="0"/>
        <w:spacing w:after="0" w:line="240" w:lineRule="auto"/>
        <w:ind w:left="277"/>
        <w:jc w:val="left"/>
      </w:pPr>
    </w:p>
    <w:p w:rsidR="009B4A3B" w:rsidRDefault="009B4A3B" w:rsidP="00791A72">
      <w:pPr>
        <w:pStyle w:val="Odsekzoznamu1"/>
        <w:numPr>
          <w:ilvl w:val="1"/>
          <w:numId w:val="1"/>
        </w:numPr>
        <w:autoSpaceDE w:val="0"/>
        <w:autoSpaceDN w:val="0"/>
        <w:adjustRightInd w:val="0"/>
        <w:spacing w:after="0" w:line="240" w:lineRule="auto"/>
        <w:ind w:left="709"/>
        <w:jc w:val="left"/>
      </w:pPr>
      <w:r w:rsidRPr="00AB036F">
        <w:t>Zvýš</w:t>
      </w:r>
      <w:r w:rsidR="003B654D" w:rsidRPr="00AB036F">
        <w:t>iť</w:t>
      </w:r>
      <w:r w:rsidRPr="00AB036F">
        <w:t xml:space="preserve"> </w:t>
      </w:r>
      <w:r w:rsidR="003B654D" w:rsidRPr="00AB036F">
        <w:t xml:space="preserve">podiel </w:t>
      </w:r>
      <w:r w:rsidRPr="00AB036F">
        <w:t>kreatívn</w:t>
      </w:r>
      <w:r w:rsidR="003B654D" w:rsidRPr="00AB036F">
        <w:t>eho</w:t>
      </w:r>
      <w:r w:rsidRPr="00AB036F">
        <w:t xml:space="preserve"> priemysl</w:t>
      </w:r>
      <w:r w:rsidR="003B654D" w:rsidRPr="00AB036F">
        <w:t>u na tvorbe HDP</w:t>
      </w:r>
      <w:r w:rsidR="00DC4875" w:rsidRPr="00AB036F">
        <w:t xml:space="preserve"> </w:t>
      </w:r>
    </w:p>
    <w:p w:rsidR="00503070" w:rsidRPr="00AB036F" w:rsidRDefault="00503070" w:rsidP="00503070">
      <w:pPr>
        <w:pStyle w:val="Odsekzoznamu1"/>
        <w:autoSpaceDE w:val="0"/>
        <w:autoSpaceDN w:val="0"/>
        <w:adjustRightInd w:val="0"/>
        <w:spacing w:after="0" w:line="240" w:lineRule="auto"/>
        <w:jc w:val="left"/>
      </w:pPr>
    </w:p>
    <w:p w:rsidR="009B4A3B" w:rsidRPr="00AB036F" w:rsidRDefault="009B4A3B" w:rsidP="00791A72">
      <w:pPr>
        <w:pStyle w:val="Odsekzoznamu1"/>
        <w:numPr>
          <w:ilvl w:val="1"/>
          <w:numId w:val="1"/>
        </w:numPr>
        <w:autoSpaceDE w:val="0"/>
        <w:autoSpaceDN w:val="0"/>
        <w:adjustRightInd w:val="0"/>
        <w:spacing w:after="0" w:line="240" w:lineRule="auto"/>
        <w:ind w:left="709"/>
        <w:jc w:val="left"/>
      </w:pPr>
      <w:r w:rsidRPr="00AB036F">
        <w:t>Zvýš</w:t>
      </w:r>
      <w:r w:rsidR="003B654D" w:rsidRPr="00AB036F">
        <w:t>iť</w:t>
      </w:r>
      <w:r w:rsidRPr="00AB036F">
        <w:t xml:space="preserve"> podiel KIBS na celkovej produkcii </w:t>
      </w:r>
      <w:r w:rsidR="002678EC">
        <w:t>podnikateľského sektora</w:t>
      </w:r>
    </w:p>
    <w:p w:rsidR="00E06600" w:rsidRPr="004E16A5" w:rsidRDefault="00803D32" w:rsidP="00E06600">
      <w:pPr>
        <w:pStyle w:val="Odsekzoznamu1"/>
        <w:autoSpaceDE w:val="0"/>
        <w:autoSpaceDN w:val="0"/>
        <w:adjustRightInd w:val="0"/>
        <w:spacing w:after="0" w:line="240" w:lineRule="auto"/>
        <w:jc w:val="left"/>
        <w:rPr>
          <w:i/>
          <w:highlight w:val="yellow"/>
        </w:rPr>
      </w:pPr>
      <w:r w:rsidRPr="00AB036F">
        <w:rPr>
          <w:i/>
          <w:iCs/>
        </w:rPr>
        <w:t>Slovensko dosahuje nízku úroveň poznatkovo intenzívnych služieb nielen v produkcii, ale aj v prepojení na výskum a vývoj</w:t>
      </w:r>
      <w:r w:rsidR="009E5EB3" w:rsidRPr="00AB036F">
        <w:rPr>
          <w:i/>
          <w:iCs/>
        </w:rPr>
        <w:t xml:space="preserve"> v porovnaní s priemerom EÚ 27.</w:t>
      </w:r>
      <w:r w:rsidR="00E06600" w:rsidRPr="00AB036F">
        <w:t xml:space="preserve"> </w:t>
      </w:r>
      <w:r w:rsidR="00E06600" w:rsidRPr="004E16A5">
        <w:rPr>
          <w:i/>
        </w:rPr>
        <w:t>Do roku 2020 zvýši</w:t>
      </w:r>
      <w:r w:rsidR="008124CE" w:rsidRPr="004E16A5">
        <w:rPr>
          <w:i/>
        </w:rPr>
        <w:t>me</w:t>
      </w:r>
      <w:r w:rsidR="00E06600" w:rsidRPr="004E16A5">
        <w:rPr>
          <w:i/>
        </w:rPr>
        <w:t xml:space="preserve"> podiel pracovnej sily SR zamestnanej v poznatkovo orientovaných aktivitách na 14</w:t>
      </w:r>
      <w:r w:rsidR="005102E2" w:rsidRPr="004E16A5">
        <w:rPr>
          <w:i/>
        </w:rPr>
        <w:t xml:space="preserve"> </w:t>
      </w:r>
      <w:r w:rsidR="00E06600" w:rsidRPr="004E16A5">
        <w:rPr>
          <w:i/>
        </w:rPr>
        <w:t>%.</w:t>
      </w:r>
    </w:p>
    <w:p w:rsidR="00687829" w:rsidRPr="003B654D" w:rsidRDefault="00687829" w:rsidP="00687829">
      <w:pPr>
        <w:pStyle w:val="Odsekzoznamu1"/>
        <w:autoSpaceDE w:val="0"/>
        <w:autoSpaceDN w:val="0"/>
        <w:adjustRightInd w:val="0"/>
        <w:spacing w:after="0" w:line="240" w:lineRule="auto"/>
        <w:ind w:left="709"/>
        <w:jc w:val="left"/>
        <w:rPr>
          <w:i/>
          <w:iCs/>
        </w:rPr>
      </w:pPr>
    </w:p>
    <w:p w:rsidR="00687829" w:rsidRPr="004E16A5" w:rsidRDefault="002B1D7E" w:rsidP="00791A72">
      <w:pPr>
        <w:pStyle w:val="Odsekzoznamu1"/>
        <w:numPr>
          <w:ilvl w:val="1"/>
          <w:numId w:val="1"/>
        </w:numPr>
        <w:autoSpaceDE w:val="0"/>
        <w:autoSpaceDN w:val="0"/>
        <w:adjustRightInd w:val="0"/>
        <w:spacing w:after="0" w:line="240" w:lineRule="auto"/>
        <w:ind w:left="709"/>
        <w:jc w:val="left"/>
        <w:rPr>
          <w:iCs/>
        </w:rPr>
      </w:pPr>
      <w:r w:rsidRPr="004E16A5">
        <w:rPr>
          <w:iCs/>
        </w:rPr>
        <w:t>Podporiť</w:t>
      </w:r>
      <w:r w:rsidR="00687829" w:rsidRPr="004E16A5">
        <w:rPr>
          <w:iCs/>
        </w:rPr>
        <w:t xml:space="preserve"> zavádzanie </w:t>
      </w:r>
      <w:r w:rsidRPr="004E16A5">
        <w:rPr>
          <w:iCs/>
        </w:rPr>
        <w:t>rôznych typov</w:t>
      </w:r>
      <w:r w:rsidR="00687829" w:rsidRPr="004E16A5">
        <w:rPr>
          <w:iCs/>
        </w:rPr>
        <w:t xml:space="preserve"> inovácií</w:t>
      </w:r>
      <w:r w:rsidRPr="004E16A5">
        <w:rPr>
          <w:iCs/>
        </w:rPr>
        <w:t xml:space="preserve"> </w:t>
      </w:r>
      <w:r w:rsidR="00687829" w:rsidRPr="004E16A5">
        <w:rPr>
          <w:iCs/>
        </w:rPr>
        <w:t>do praxe pre potreby spoločnosti</w:t>
      </w:r>
    </w:p>
    <w:p w:rsidR="00803D32" w:rsidRPr="004E16A5" w:rsidRDefault="001B566C" w:rsidP="00803D32">
      <w:pPr>
        <w:pStyle w:val="Odsekzoznamu1"/>
        <w:autoSpaceDE w:val="0"/>
        <w:autoSpaceDN w:val="0"/>
        <w:adjustRightInd w:val="0"/>
        <w:spacing w:after="0" w:line="240" w:lineRule="auto"/>
        <w:ind w:left="709"/>
        <w:jc w:val="left"/>
        <w:rPr>
          <w:i/>
        </w:rPr>
      </w:pPr>
      <w:r w:rsidRPr="004E16A5">
        <w:rPr>
          <w:i/>
        </w:rPr>
        <w:t>Na Slovensku sa v nedostatočnej miere uplatňujú a podporujú eko-inovácie a sociálne inovácie</w:t>
      </w:r>
      <w:r w:rsidR="00B16658" w:rsidRPr="004E16A5">
        <w:rPr>
          <w:i/>
        </w:rPr>
        <w:t>,</w:t>
      </w:r>
      <w:r w:rsidRPr="004E16A5">
        <w:rPr>
          <w:i/>
        </w:rPr>
        <w:t xml:space="preserve"> vrátane inovácií z oblasti IKT.</w:t>
      </w:r>
      <w:r w:rsidR="00B16658" w:rsidRPr="004E16A5">
        <w:rPr>
          <w:i/>
        </w:rPr>
        <w:t xml:space="preserve"> Budú vytvorené systémové podporné nástroje na zvýšenie ich uplatnenia v praxi s pozitívnym dopadom na ekonomiku a</w:t>
      </w:r>
      <w:r w:rsidR="00FE31B0" w:rsidRPr="004E16A5">
        <w:rPr>
          <w:i/>
        </w:rPr>
        <w:t> </w:t>
      </w:r>
      <w:r w:rsidR="00B16658" w:rsidRPr="004E16A5">
        <w:rPr>
          <w:i/>
        </w:rPr>
        <w:t>spoločnosť</w:t>
      </w:r>
      <w:r w:rsidR="00FE31B0" w:rsidRPr="004E16A5">
        <w:rPr>
          <w:i/>
        </w:rPr>
        <w:t>.</w:t>
      </w:r>
    </w:p>
    <w:p w:rsidR="00097A2A" w:rsidRPr="00AB036F" w:rsidRDefault="00097A2A" w:rsidP="00097A2A">
      <w:pPr>
        <w:pStyle w:val="Odsekzoznamu1"/>
        <w:autoSpaceDE w:val="0"/>
        <w:autoSpaceDN w:val="0"/>
        <w:adjustRightInd w:val="0"/>
        <w:spacing w:after="0" w:line="240" w:lineRule="auto"/>
        <w:ind w:left="278"/>
        <w:jc w:val="left"/>
      </w:pPr>
    </w:p>
    <w:p w:rsidR="005C1092" w:rsidRPr="00AB036F" w:rsidRDefault="005C1092" w:rsidP="005C1092">
      <w:pPr>
        <w:rPr>
          <w:b/>
        </w:rPr>
      </w:pPr>
      <w:r w:rsidRPr="00AB036F">
        <w:rPr>
          <w:b/>
        </w:rPr>
        <w:t>Opatrenia:</w:t>
      </w:r>
    </w:p>
    <w:p w:rsidR="005C1092" w:rsidRPr="00AB036F" w:rsidRDefault="005C1092" w:rsidP="004E16A5">
      <w:pPr>
        <w:spacing w:after="0"/>
      </w:pPr>
      <w:r w:rsidRPr="00AB036F">
        <w:t>3.1. Stimulovanie KIBS, poznatkovo orientovaných služieb a kreatívneho priemyslu</w:t>
      </w:r>
    </w:p>
    <w:p w:rsidR="005C1092" w:rsidRPr="00AB036F" w:rsidRDefault="005C1092" w:rsidP="005C1092">
      <w:pPr>
        <w:rPr>
          <w:i/>
        </w:rPr>
      </w:pPr>
      <w:r w:rsidRPr="00AB036F">
        <w:rPr>
          <w:i/>
        </w:rPr>
        <w:t>Opatrenie bude zamerané na podporu a rozvoj KIBS, ako aj poznatkovo orientovaných služieb s cieľom zvýšiť ich podiel na celkovej produkcii</w:t>
      </w:r>
      <w:r w:rsidR="00644F18">
        <w:rPr>
          <w:i/>
        </w:rPr>
        <w:t xml:space="preserve"> podnikateľského sektora</w:t>
      </w:r>
      <w:r w:rsidR="00456B3E">
        <w:rPr>
          <w:i/>
        </w:rPr>
        <w:t>.</w:t>
      </w:r>
    </w:p>
    <w:p w:rsidR="005C1092" w:rsidRPr="00AB036F" w:rsidRDefault="005C1092" w:rsidP="005C1092">
      <w:r w:rsidRPr="00AB036F">
        <w:t>3.2. Podpora výskumu a inovácií v environmentálnych oblastiach</w:t>
      </w:r>
      <w:r w:rsidR="00252C16">
        <w:t xml:space="preserve"> </w:t>
      </w:r>
      <w:r w:rsidR="00252C16" w:rsidRPr="00252C16">
        <w:t>vrátane adaptácie na zmenu klímy</w:t>
      </w:r>
    </w:p>
    <w:p w:rsidR="005C1092" w:rsidRPr="00AB036F" w:rsidRDefault="005C1092" w:rsidP="005C1092">
      <w:r w:rsidRPr="00AB036F">
        <w:t>3.3. Výskum a inovácie pri riešení významných spoločenských problémov na Slovensku</w:t>
      </w:r>
    </w:p>
    <w:p w:rsidR="005C1092" w:rsidRPr="00AB036F" w:rsidRDefault="005C1092" w:rsidP="004E16A5">
      <w:pPr>
        <w:spacing w:after="0"/>
      </w:pPr>
      <w:r w:rsidRPr="00AB036F">
        <w:t>3.4. Podpora otvorenej a inkluzív</w:t>
      </w:r>
      <w:r w:rsidR="002D59D6">
        <w:t>n</w:t>
      </w:r>
      <w:r w:rsidRPr="00AB036F">
        <w:t xml:space="preserve">ej spoločnosti </w:t>
      </w:r>
    </w:p>
    <w:p w:rsidR="005C1092" w:rsidRPr="00AB036F" w:rsidRDefault="005C1092" w:rsidP="005C1092">
      <w:pPr>
        <w:rPr>
          <w:i/>
        </w:rPr>
      </w:pPr>
      <w:r w:rsidRPr="00AB036F">
        <w:rPr>
          <w:i/>
        </w:rPr>
        <w:t>V rámci opatrenia bude podporená inklúzia marginalizovaných skupín obyvateľstva prostredníctvom zvyšovania ich zamestnanosti a zlepšenia podmienok v podnikateľskom sektore pre ich zamestnávanie a integráciu v rámci pracovného trhu</w:t>
      </w:r>
      <w:r w:rsidR="00456B3E">
        <w:rPr>
          <w:i/>
        </w:rPr>
        <w:t>.</w:t>
      </w:r>
    </w:p>
    <w:p w:rsidR="005C1092" w:rsidRPr="00AB036F" w:rsidRDefault="005C1092" w:rsidP="004E16A5">
      <w:pPr>
        <w:spacing w:after="0"/>
      </w:pPr>
      <w:r w:rsidRPr="00AB036F">
        <w:t xml:space="preserve">3.5. Podpora dynamického podnikateľského prostredia priaznivého pre inovácie </w:t>
      </w:r>
    </w:p>
    <w:p w:rsidR="005C1092" w:rsidRPr="00AB036F" w:rsidRDefault="005C1092" w:rsidP="005C1092">
      <w:r w:rsidRPr="00AB036F">
        <w:rPr>
          <w:i/>
        </w:rPr>
        <w:t>Cieľom opatrenia je vytvárať podmienky pre dlhodobo udržateľné dosahovanie ekonomického rastu ako základného predpokladu rozvoja podnikania a zvyšovania konkurencieschopnosti Slovenskej republiky v medzinárodnom meradle prostredníctvom nástrojov finančného inžinierstva, podpory start-up a spino-off podnikov a nástrojov podporujúcich zavádzanie inovácií</w:t>
      </w:r>
      <w:r w:rsidRPr="00AB036F">
        <w:t>.</w:t>
      </w:r>
    </w:p>
    <w:p w:rsidR="005C1092" w:rsidRPr="00AB036F" w:rsidRDefault="005C1092" w:rsidP="005C1092">
      <w:r w:rsidRPr="00AB036F">
        <w:t>3.</w:t>
      </w:r>
      <w:r w:rsidR="00456B3E">
        <w:t>6</w:t>
      </w:r>
      <w:r w:rsidRPr="00AB036F">
        <w:t>. Ochrana a využívanie duševného vlastníctva</w:t>
      </w:r>
    </w:p>
    <w:p w:rsidR="001B566C" w:rsidRDefault="001B566C" w:rsidP="00803D32">
      <w:pPr>
        <w:pStyle w:val="Odsekzoznamu1"/>
        <w:autoSpaceDE w:val="0"/>
        <w:autoSpaceDN w:val="0"/>
        <w:adjustRightInd w:val="0"/>
        <w:spacing w:after="0" w:line="240" w:lineRule="auto"/>
        <w:ind w:left="709"/>
        <w:jc w:val="left"/>
        <w:rPr>
          <w:color w:val="002060"/>
        </w:rPr>
      </w:pPr>
    </w:p>
    <w:p w:rsidR="009B4A3B" w:rsidRDefault="00490CF5" w:rsidP="00B607DA">
      <w:pPr>
        <w:rPr>
          <w:b/>
          <w:bCs/>
        </w:rPr>
      </w:pPr>
      <w:r w:rsidRPr="00E92504">
        <w:rPr>
          <w:b/>
          <w:bCs/>
        </w:rPr>
        <w:t>Strategický cieľ 4</w:t>
      </w:r>
      <w:r w:rsidR="009B4A3B" w:rsidRPr="00E92504">
        <w:rPr>
          <w:b/>
          <w:bCs/>
        </w:rPr>
        <w:t xml:space="preserve"> </w:t>
      </w:r>
      <w:r w:rsidR="00CC1D31" w:rsidRPr="00AB036F">
        <w:rPr>
          <w:bCs/>
        </w:rPr>
        <w:t>Zlepšiť kvalitu</w:t>
      </w:r>
      <w:r w:rsidR="009B4A3B" w:rsidRPr="00AB036F">
        <w:rPr>
          <w:bCs/>
        </w:rPr>
        <w:t xml:space="preserve"> ľudských</w:t>
      </w:r>
      <w:r w:rsidR="009B4A3B" w:rsidRPr="00FC3F22">
        <w:rPr>
          <w:bCs/>
        </w:rPr>
        <w:t xml:space="preserve"> zdrojov pre inovatívne Slovensko</w:t>
      </w:r>
    </w:p>
    <w:p w:rsidR="00FC3F22" w:rsidRDefault="00A105D0" w:rsidP="00163B88">
      <w:pPr>
        <w:spacing w:after="0"/>
        <w:rPr>
          <w:bCs/>
        </w:rPr>
      </w:pPr>
      <w:r w:rsidRPr="00A105D0">
        <w:rPr>
          <w:bCs/>
          <w:i/>
        </w:rPr>
        <w:t>Z dlhodobého hľadiska nie je možné udržať ekonomický rast ani zamestnanosť bez kvalitnej pracovnej sily. Zmena štruktúry a orientácie škôl je základnou podmienkou pre dosahovanie dlhodobej konkurencieschopnosti. Potrebu absolventov je nevyhnutné previazať na potreby pracovného trhu v korelácii s demografickým vývojom</w:t>
      </w:r>
      <w:r w:rsidR="00FC3F22" w:rsidRPr="00AB036F">
        <w:rPr>
          <w:bCs/>
        </w:rPr>
        <w:t>.</w:t>
      </w:r>
      <w:r w:rsidR="00134F8E">
        <w:rPr>
          <w:bCs/>
        </w:rPr>
        <w:t xml:space="preserve"> </w:t>
      </w:r>
    </w:p>
    <w:p w:rsidR="003D473E" w:rsidRPr="00AB036F" w:rsidRDefault="003D473E" w:rsidP="00456B3E">
      <w:pPr>
        <w:rPr>
          <w:bCs/>
        </w:rPr>
      </w:pPr>
    </w:p>
    <w:p w:rsidR="009B4A3B" w:rsidRPr="00AB036F" w:rsidRDefault="009B4A3B" w:rsidP="00561E9C">
      <w:pPr>
        <w:pStyle w:val="Odsekzoznamu1"/>
        <w:autoSpaceDE w:val="0"/>
        <w:autoSpaceDN w:val="0"/>
        <w:adjustRightInd w:val="0"/>
        <w:spacing w:line="240" w:lineRule="auto"/>
        <w:ind w:left="0"/>
        <w:jc w:val="left"/>
      </w:pPr>
      <w:r w:rsidRPr="00AB036F">
        <w:rPr>
          <w:b/>
          <w:bCs/>
        </w:rPr>
        <w:t>Čiastkové ciele pre dosiahnutie strategického cieľa</w:t>
      </w:r>
    </w:p>
    <w:p w:rsidR="00E06600" w:rsidRPr="00AB036F" w:rsidRDefault="00CC1D31" w:rsidP="00791A72">
      <w:pPr>
        <w:pStyle w:val="Odsekzoznamu1"/>
        <w:numPr>
          <w:ilvl w:val="1"/>
          <w:numId w:val="19"/>
        </w:numPr>
        <w:autoSpaceDE w:val="0"/>
        <w:autoSpaceDN w:val="0"/>
        <w:adjustRightInd w:val="0"/>
        <w:spacing w:after="0" w:line="240" w:lineRule="auto"/>
        <w:jc w:val="left"/>
      </w:pPr>
      <w:r w:rsidRPr="00AB036F">
        <w:t xml:space="preserve">Zvýšiť uplatniteľnosť </w:t>
      </w:r>
      <w:r w:rsidR="00E06600" w:rsidRPr="00AB036F">
        <w:t>absolventov stredných a vysokých škôl</w:t>
      </w:r>
    </w:p>
    <w:p w:rsidR="00E06600" w:rsidRPr="00456B3E" w:rsidRDefault="00A105D0" w:rsidP="003D473E">
      <w:pPr>
        <w:pStyle w:val="Odsekzoznamu1"/>
        <w:autoSpaceDE w:val="0"/>
        <w:autoSpaceDN w:val="0"/>
        <w:adjustRightInd w:val="0"/>
        <w:spacing w:after="0" w:line="240" w:lineRule="auto"/>
        <w:jc w:val="left"/>
        <w:rPr>
          <w:i/>
        </w:rPr>
      </w:pPr>
      <w:r w:rsidRPr="00A105D0">
        <w:rPr>
          <w:i/>
        </w:rPr>
        <w:t>Reforma vzdelávacieho systému od základných škôl tak, aby zodpovedala potrebám trhu a bola zabezpečená flexibilita zamestnancov. Posun v rebríčku PISA</w:t>
      </w:r>
      <w:r w:rsidR="00456B3E">
        <w:rPr>
          <w:i/>
        </w:rPr>
        <w:t>.</w:t>
      </w:r>
    </w:p>
    <w:p w:rsidR="005628DA" w:rsidRPr="00AB036F" w:rsidRDefault="005628DA" w:rsidP="00E06600">
      <w:pPr>
        <w:pStyle w:val="Odsekzoznamu1"/>
        <w:autoSpaceDE w:val="0"/>
        <w:autoSpaceDN w:val="0"/>
        <w:adjustRightInd w:val="0"/>
        <w:spacing w:after="0" w:line="240" w:lineRule="auto"/>
        <w:ind w:left="1080"/>
        <w:jc w:val="left"/>
      </w:pPr>
    </w:p>
    <w:p w:rsidR="00E06600" w:rsidRPr="00AB036F" w:rsidRDefault="00CC1D31" w:rsidP="00791A72">
      <w:pPr>
        <w:pStyle w:val="Odsekzoznamu1"/>
        <w:numPr>
          <w:ilvl w:val="1"/>
          <w:numId w:val="19"/>
        </w:numPr>
        <w:autoSpaceDE w:val="0"/>
        <w:autoSpaceDN w:val="0"/>
        <w:adjustRightInd w:val="0"/>
        <w:spacing w:after="0" w:line="240" w:lineRule="auto"/>
        <w:jc w:val="left"/>
      </w:pPr>
      <w:r w:rsidRPr="00AB036F">
        <w:t>Zlepšiť prepojenie</w:t>
      </w:r>
      <w:r w:rsidR="00876050" w:rsidRPr="00AB036F">
        <w:t xml:space="preserve"> vzdelávacieho systému s</w:t>
      </w:r>
      <w:r w:rsidR="005628DA" w:rsidRPr="00AB036F">
        <w:t> </w:t>
      </w:r>
      <w:r w:rsidR="00876050" w:rsidRPr="00AB036F">
        <w:t>praxou</w:t>
      </w:r>
    </w:p>
    <w:p w:rsidR="005628DA" w:rsidRPr="00456B3E" w:rsidRDefault="00A105D0" w:rsidP="005628DA">
      <w:pPr>
        <w:pStyle w:val="Odsekzoznamu1"/>
        <w:autoSpaceDE w:val="0"/>
        <w:autoSpaceDN w:val="0"/>
        <w:adjustRightInd w:val="0"/>
        <w:spacing w:after="0" w:line="240" w:lineRule="auto"/>
        <w:jc w:val="left"/>
        <w:rPr>
          <w:i/>
        </w:rPr>
      </w:pPr>
      <w:r w:rsidRPr="00A105D0">
        <w:rPr>
          <w:i/>
        </w:rPr>
        <w:t>Vzdelávací systém v súčasnosti nereflektuje v dostatočnej miere potreby praxe. Je preto potrebné, aby sa školy v spolupráci s podnikmi podieľali na príprave vzdelávacích programov a umožnili vzájomné prepájanie a využívanie kapacít, či už na úrovni stredných alebo vysokých škôl. Je potrebné motivovať podniky, aby sa spolupodieľali na výchove svojich budúcich zamestnancov.</w:t>
      </w:r>
    </w:p>
    <w:p w:rsidR="005628DA" w:rsidRPr="00AB036F" w:rsidRDefault="005628DA" w:rsidP="005628DA">
      <w:pPr>
        <w:pStyle w:val="Odsekzoznamu1"/>
        <w:autoSpaceDE w:val="0"/>
        <w:autoSpaceDN w:val="0"/>
        <w:adjustRightInd w:val="0"/>
        <w:spacing w:after="0" w:line="240" w:lineRule="auto"/>
        <w:jc w:val="left"/>
      </w:pPr>
    </w:p>
    <w:p w:rsidR="00876050" w:rsidRPr="00AB036F" w:rsidRDefault="00876050" w:rsidP="00791A72">
      <w:pPr>
        <w:pStyle w:val="Odsekzoznamu1"/>
        <w:numPr>
          <w:ilvl w:val="1"/>
          <w:numId w:val="19"/>
        </w:numPr>
        <w:autoSpaceDE w:val="0"/>
        <w:autoSpaceDN w:val="0"/>
        <w:adjustRightInd w:val="0"/>
        <w:spacing w:after="0" w:line="240" w:lineRule="auto"/>
        <w:jc w:val="left"/>
      </w:pPr>
      <w:r w:rsidRPr="00AB036F">
        <w:t>Celoživotné vzdelávanie</w:t>
      </w:r>
    </w:p>
    <w:p w:rsidR="005628DA" w:rsidRPr="00456B3E" w:rsidRDefault="00A105D0" w:rsidP="005628DA">
      <w:pPr>
        <w:pStyle w:val="Odsekzoznamu1"/>
        <w:autoSpaceDE w:val="0"/>
        <w:autoSpaceDN w:val="0"/>
        <w:adjustRightInd w:val="0"/>
        <w:spacing w:after="0" w:line="240" w:lineRule="auto"/>
        <w:jc w:val="left"/>
        <w:rPr>
          <w:i/>
        </w:rPr>
      </w:pPr>
      <w:r w:rsidRPr="00A105D0">
        <w:rPr>
          <w:i/>
        </w:rPr>
        <w:lastRenderedPageBreak/>
        <w:t>Meniaca sa spoločnosť a dynamika trhu práce si vyžaduje vzdelaných ľudí vo všetkých vekových kategóriách. Preto je potrebné zlepšiť prístup obyvateľstva ku všetkým formám vzdelávania (formálneho, neformálneho a informálneho) počas celého života, čím bude každému umožnené doplniť, rozšíriť a prehĺbiť si získané vzdelanie, rekvalifikovať sa, alebo uspokojiť svoje záujmy, pri udržaní si svojich znalostí a poznatkov v rýchlo napredujúcom svete vedomostí.</w:t>
      </w:r>
    </w:p>
    <w:p w:rsidR="00524CEB" w:rsidRPr="00AB036F" w:rsidRDefault="00524CEB" w:rsidP="005628DA">
      <w:pPr>
        <w:pStyle w:val="Odsekzoznamu1"/>
        <w:autoSpaceDE w:val="0"/>
        <w:autoSpaceDN w:val="0"/>
        <w:adjustRightInd w:val="0"/>
        <w:spacing w:after="0" w:line="240" w:lineRule="auto"/>
        <w:jc w:val="left"/>
      </w:pPr>
    </w:p>
    <w:p w:rsidR="00876050" w:rsidRPr="00AB036F" w:rsidRDefault="00CC1D31" w:rsidP="00791A72">
      <w:pPr>
        <w:pStyle w:val="Odsekzoznamu1"/>
        <w:numPr>
          <w:ilvl w:val="1"/>
          <w:numId w:val="19"/>
        </w:numPr>
        <w:autoSpaceDE w:val="0"/>
        <w:autoSpaceDN w:val="0"/>
        <w:adjustRightInd w:val="0"/>
        <w:spacing w:after="0" w:line="240" w:lineRule="auto"/>
        <w:jc w:val="left"/>
      </w:pPr>
      <w:r w:rsidRPr="00AB036F">
        <w:t>Zvýšiť medzisektorovú</w:t>
      </w:r>
      <w:r w:rsidR="00876050" w:rsidRPr="00AB036F">
        <w:t xml:space="preserve"> mobilit</w:t>
      </w:r>
      <w:r w:rsidRPr="00AB036F">
        <w:t>u</w:t>
      </w:r>
      <w:r w:rsidR="00876050" w:rsidRPr="00AB036F">
        <w:t xml:space="preserve"> pracovníkov</w:t>
      </w:r>
    </w:p>
    <w:p w:rsidR="00524CEB" w:rsidRPr="00456B3E" w:rsidRDefault="00A105D0" w:rsidP="00524CEB">
      <w:pPr>
        <w:pStyle w:val="Odsekzoznamu1"/>
        <w:autoSpaceDE w:val="0"/>
        <w:autoSpaceDN w:val="0"/>
        <w:adjustRightInd w:val="0"/>
        <w:spacing w:after="0" w:line="240" w:lineRule="auto"/>
        <w:jc w:val="left"/>
        <w:rPr>
          <w:i/>
        </w:rPr>
      </w:pPr>
      <w:r w:rsidRPr="00A105D0">
        <w:rPr>
          <w:i/>
        </w:rPr>
        <w:t xml:space="preserve">Dôležitý faktor pre zlepšenie komunikácie a zvýšenie spolupráce medzi vedeckým a výskumným sektorom a podnikateľskými subjektmi je vzájomná obojsmerná možnosť výmeny zamestnancov s cieľom zjednotiť „zmýšľanie“. </w:t>
      </w:r>
    </w:p>
    <w:p w:rsidR="00524CEB" w:rsidRPr="00AB036F" w:rsidRDefault="00524CEB" w:rsidP="00524CEB">
      <w:pPr>
        <w:pStyle w:val="Odsekzoznamu1"/>
        <w:autoSpaceDE w:val="0"/>
        <w:autoSpaceDN w:val="0"/>
        <w:adjustRightInd w:val="0"/>
        <w:spacing w:after="0" w:line="240" w:lineRule="auto"/>
        <w:jc w:val="left"/>
      </w:pPr>
    </w:p>
    <w:p w:rsidR="00876050" w:rsidRPr="00AB036F" w:rsidRDefault="00CC1D31" w:rsidP="00791A72">
      <w:pPr>
        <w:pStyle w:val="Odsekzoznamu1"/>
        <w:numPr>
          <w:ilvl w:val="1"/>
          <w:numId w:val="19"/>
        </w:numPr>
        <w:autoSpaceDE w:val="0"/>
        <w:autoSpaceDN w:val="0"/>
        <w:adjustRightInd w:val="0"/>
        <w:spacing w:after="0" w:line="240" w:lineRule="auto"/>
        <w:jc w:val="left"/>
      </w:pPr>
      <w:r w:rsidRPr="00AB036F">
        <w:t>Podporiť</w:t>
      </w:r>
      <w:r w:rsidR="00EE63C7" w:rsidRPr="00AB036F">
        <w:t xml:space="preserve"> tvorb</w:t>
      </w:r>
      <w:r w:rsidRPr="00AB036F">
        <w:t>u</w:t>
      </w:r>
      <w:r w:rsidR="00EE63C7" w:rsidRPr="00AB036F">
        <w:t xml:space="preserve"> medzinárodných Va</w:t>
      </w:r>
      <w:r w:rsidR="00F3112C">
        <w:t>I</w:t>
      </w:r>
      <w:r w:rsidR="00EE63C7" w:rsidRPr="00AB036F">
        <w:t xml:space="preserve"> tímov</w:t>
      </w:r>
    </w:p>
    <w:p w:rsidR="00EE63C7" w:rsidRPr="00456B3E" w:rsidRDefault="00A105D0" w:rsidP="004C5740">
      <w:pPr>
        <w:pStyle w:val="Odsekzoznamu1"/>
        <w:autoSpaceDE w:val="0"/>
        <w:autoSpaceDN w:val="0"/>
        <w:adjustRightInd w:val="0"/>
        <w:spacing w:after="0" w:line="240" w:lineRule="auto"/>
        <w:jc w:val="left"/>
        <w:rPr>
          <w:i/>
        </w:rPr>
      </w:pPr>
      <w:r w:rsidRPr="00A105D0">
        <w:rPr>
          <w:i/>
        </w:rPr>
        <w:t>Repatriácia našich vedeckých a výskumných pracovníkov späť na Slovensko je jeden z možných kľúčov</w:t>
      </w:r>
      <w:r w:rsidR="00456B3E">
        <w:rPr>
          <w:i/>
        </w:rPr>
        <w:t>,</w:t>
      </w:r>
      <w:r w:rsidRPr="00A105D0">
        <w:rPr>
          <w:i/>
        </w:rPr>
        <w:t xml:space="preserve"> ako do budúcn</w:t>
      </w:r>
      <w:r w:rsidR="00456B3E">
        <w:rPr>
          <w:i/>
        </w:rPr>
        <w:t>osti</w:t>
      </w:r>
      <w:r w:rsidRPr="00A105D0">
        <w:rPr>
          <w:i/>
        </w:rPr>
        <w:t xml:space="preserve"> pripraviť generáciu vysoko vzdelaných pracovníkov. Možnosť spolupracovať so svetovo uznávanými vedcami a vybudovanie silných tímov globálneho významu by malo priniesť nové možnosti pre zvýšenie konkurencieschopnosti Slovenska a aj celej EÚ. </w:t>
      </w:r>
    </w:p>
    <w:p w:rsidR="00AB036F" w:rsidRDefault="00AB036F" w:rsidP="005C1092">
      <w:pPr>
        <w:rPr>
          <w:b/>
        </w:rPr>
      </w:pPr>
    </w:p>
    <w:p w:rsidR="005C1092" w:rsidRPr="00AB036F" w:rsidRDefault="005C1092" w:rsidP="005C1092">
      <w:pPr>
        <w:rPr>
          <w:b/>
        </w:rPr>
      </w:pPr>
      <w:r w:rsidRPr="00AB036F">
        <w:rPr>
          <w:b/>
        </w:rPr>
        <w:t>Opatrenia:</w:t>
      </w:r>
    </w:p>
    <w:p w:rsidR="005C1092" w:rsidRPr="00AB036F" w:rsidRDefault="007E151B" w:rsidP="007840A3">
      <w:pPr>
        <w:spacing w:after="0"/>
      </w:pPr>
      <w:r>
        <w:t>4.1. Z</w:t>
      </w:r>
      <w:r w:rsidR="005C1092" w:rsidRPr="00AB036F">
        <w:t xml:space="preserve">lepšenie kvality stredoškolského vzdelávania </w:t>
      </w:r>
    </w:p>
    <w:p w:rsidR="005C1092" w:rsidRPr="007840A3" w:rsidRDefault="005C1092" w:rsidP="005C1092">
      <w:pPr>
        <w:rPr>
          <w:i/>
        </w:rPr>
      </w:pPr>
      <w:r w:rsidRPr="007840A3">
        <w:rPr>
          <w:i/>
        </w:rPr>
        <w:t xml:space="preserve">Opatrenie zabezpečí korekcie a zmeny v štátnej vzdelávacej politike v oblasti stredného školstva, najmä stredných odborných škôl tak, aby sa posilnili kroky k zvýšeniu kvality, zosúladenie záujmov jednotlivcov s potrebami spoločnosti. </w:t>
      </w:r>
    </w:p>
    <w:p w:rsidR="005C1092" w:rsidRPr="00AB036F" w:rsidRDefault="005C1092" w:rsidP="005C1092">
      <w:r w:rsidRPr="00AB036F">
        <w:t>4.2. Zlepšenie kvality vysokoškolského vzdelávania</w:t>
      </w:r>
    </w:p>
    <w:p w:rsidR="005C1092" w:rsidRPr="00AB036F" w:rsidRDefault="005C1092" w:rsidP="005C1092">
      <w:r w:rsidRPr="00AB036F">
        <w:t>4.3. Zlepšenie zapojenia podnikov do vzdelávania</w:t>
      </w:r>
    </w:p>
    <w:p w:rsidR="005C1092" w:rsidRPr="00AB036F" w:rsidRDefault="005C1092" w:rsidP="005C1092">
      <w:r w:rsidRPr="00AB036F">
        <w:t>4.4. Zvýšenie dôrazu na vzdelávanie v odboroch rozhodujúcich pre prioritné oblasti RIS3</w:t>
      </w:r>
    </w:p>
    <w:p w:rsidR="009B4A3B" w:rsidRDefault="005C1092" w:rsidP="005C1092">
      <w:r w:rsidRPr="00AB036F">
        <w:t xml:space="preserve">4.5. </w:t>
      </w:r>
      <w:r w:rsidR="00663C9B">
        <w:t>Podpora</w:t>
      </w:r>
      <w:r w:rsidRPr="00AB036F">
        <w:t xml:space="preserve"> mobility vysokokvalifikovaných pracovníkov</w:t>
      </w:r>
    </w:p>
    <w:p w:rsidR="009B4A3B" w:rsidRPr="00493CF5" w:rsidRDefault="00F87C5A" w:rsidP="00791A72">
      <w:pPr>
        <w:pStyle w:val="Nadpis1"/>
        <w:numPr>
          <w:ilvl w:val="0"/>
          <w:numId w:val="34"/>
        </w:numPr>
      </w:pPr>
      <w:bookmarkStart w:id="204" w:name="_Toc356863587"/>
      <w:bookmarkStart w:id="205" w:name="_Toc360576029"/>
      <w:bookmarkStart w:id="206" w:name="_Toc365831827"/>
      <w:bookmarkStart w:id="207" w:name="_Toc365832019"/>
      <w:r>
        <w:rPr>
          <w:rFonts w:cs="Calibri"/>
          <w:smallCaps w:val="0"/>
          <w:spacing w:val="0"/>
          <w:sz w:val="20"/>
          <w:szCs w:val="20"/>
        </w:rPr>
        <w:br w:type="page"/>
      </w:r>
      <w:bookmarkStart w:id="208" w:name="_Toc366744189"/>
      <w:r w:rsidR="004B46CE" w:rsidRPr="00493CF5">
        <w:lastRenderedPageBreak/>
        <w:t>SÚBOR</w:t>
      </w:r>
      <w:r w:rsidR="00134F8E" w:rsidRPr="00493CF5">
        <w:t xml:space="preserve"> </w:t>
      </w:r>
      <w:r w:rsidR="009B4A3B" w:rsidRPr="00493CF5">
        <w:t>polit</w:t>
      </w:r>
      <w:r w:rsidR="00092912">
        <w:t>í</w:t>
      </w:r>
      <w:r w:rsidR="009B4A3B" w:rsidRPr="00493CF5">
        <w:t>k</w:t>
      </w:r>
      <w:bookmarkEnd w:id="204"/>
      <w:bookmarkEnd w:id="205"/>
      <w:bookmarkEnd w:id="206"/>
      <w:bookmarkEnd w:id="207"/>
      <w:bookmarkEnd w:id="208"/>
    </w:p>
    <w:tbl>
      <w:tblPr>
        <w:tblW w:w="10800" w:type="dxa"/>
        <w:tblInd w:w="-877" w:type="dxa"/>
        <w:tblCellMar>
          <w:left w:w="0" w:type="dxa"/>
          <w:right w:w="0" w:type="dxa"/>
        </w:tblCellMar>
        <w:tblLook w:val="04A0" w:firstRow="1" w:lastRow="0" w:firstColumn="1" w:lastColumn="0" w:noHBand="0" w:noVBand="1"/>
      </w:tblPr>
      <w:tblGrid>
        <w:gridCol w:w="866"/>
        <w:gridCol w:w="2835"/>
        <w:gridCol w:w="2197"/>
        <w:gridCol w:w="2197"/>
        <w:gridCol w:w="2705"/>
      </w:tblGrid>
      <w:tr w:rsidR="000F6BF8" w:rsidRPr="00807EF0" w:rsidTr="004E16A5">
        <w:trPr>
          <w:trHeight w:val="236"/>
        </w:trPr>
        <w:tc>
          <w:tcPr>
            <w:tcW w:w="866" w:type="dxa"/>
            <w:tcBorders>
              <w:top w:val="single" w:sz="4" w:space="0" w:color="auto"/>
              <w:left w:val="single" w:sz="12" w:space="0" w:color="auto"/>
              <w:bottom w:val="single" w:sz="18" w:space="0" w:color="auto"/>
              <w:right w:val="single" w:sz="8" w:space="0" w:color="auto"/>
            </w:tcBorders>
            <w:shd w:val="clear" w:color="auto" w:fill="auto"/>
            <w:noWrap/>
            <w:tcMar>
              <w:top w:w="15" w:type="dxa"/>
              <w:left w:w="15" w:type="dxa"/>
              <w:bottom w:w="0" w:type="dxa"/>
              <w:right w:w="15" w:type="dxa"/>
            </w:tcMar>
            <w:vAlign w:val="center"/>
          </w:tcPr>
          <w:p w:rsidR="000F6BF8" w:rsidRPr="00807EF0" w:rsidRDefault="000F6BF8" w:rsidP="00AF2740">
            <w:pPr>
              <w:spacing w:after="0" w:line="240" w:lineRule="auto"/>
              <w:jc w:val="center"/>
              <w:rPr>
                <w:bCs/>
              </w:rPr>
            </w:pPr>
            <w:r w:rsidRPr="00807EF0">
              <w:rPr>
                <w:bCs/>
              </w:rPr>
              <w:t>Vízia</w:t>
            </w:r>
          </w:p>
        </w:tc>
        <w:tc>
          <w:tcPr>
            <w:tcW w:w="2835" w:type="dxa"/>
            <w:tcBorders>
              <w:top w:val="single" w:sz="4"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0F6BF8" w:rsidRPr="00807EF0" w:rsidRDefault="000F6BF8" w:rsidP="00AF2740">
            <w:pPr>
              <w:spacing w:after="0" w:line="240" w:lineRule="auto"/>
              <w:jc w:val="center"/>
              <w:rPr>
                <w:bCs/>
              </w:rPr>
            </w:pPr>
            <w:r w:rsidRPr="00807EF0">
              <w:rPr>
                <w:bCs/>
              </w:rPr>
              <w:t>strategický cieľ</w:t>
            </w:r>
          </w:p>
        </w:tc>
        <w:tc>
          <w:tcPr>
            <w:tcW w:w="4394" w:type="dxa"/>
            <w:gridSpan w:val="2"/>
            <w:tcBorders>
              <w:top w:val="single" w:sz="4"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0F6BF8" w:rsidRPr="00807EF0" w:rsidRDefault="000F6BF8" w:rsidP="00AF2740">
            <w:pPr>
              <w:spacing w:after="0" w:line="240" w:lineRule="auto"/>
              <w:jc w:val="center"/>
              <w:rPr>
                <w:bCs/>
              </w:rPr>
            </w:pPr>
            <w:r w:rsidRPr="00807EF0">
              <w:rPr>
                <w:bCs/>
              </w:rPr>
              <w:t>čiastkový cieľ</w:t>
            </w:r>
          </w:p>
        </w:tc>
        <w:tc>
          <w:tcPr>
            <w:tcW w:w="2705" w:type="dxa"/>
            <w:tcBorders>
              <w:top w:val="single" w:sz="4" w:space="0" w:color="auto"/>
              <w:left w:val="nil"/>
              <w:bottom w:val="single" w:sz="18" w:space="0" w:color="auto"/>
              <w:right w:val="single" w:sz="12" w:space="0" w:color="auto"/>
            </w:tcBorders>
            <w:shd w:val="clear" w:color="auto" w:fill="auto"/>
            <w:noWrap/>
            <w:tcMar>
              <w:top w:w="15" w:type="dxa"/>
              <w:left w:w="15" w:type="dxa"/>
              <w:bottom w:w="0" w:type="dxa"/>
              <w:right w:w="15" w:type="dxa"/>
            </w:tcMar>
            <w:vAlign w:val="center"/>
          </w:tcPr>
          <w:p w:rsidR="000F6BF8" w:rsidRPr="00807EF0" w:rsidRDefault="009E5727" w:rsidP="00AF2740">
            <w:pPr>
              <w:spacing w:after="0" w:line="240" w:lineRule="auto"/>
              <w:jc w:val="center"/>
              <w:rPr>
                <w:bCs/>
              </w:rPr>
            </w:pPr>
            <w:r w:rsidRPr="00807EF0">
              <w:rPr>
                <w:bCs/>
              </w:rPr>
              <w:t>O</w:t>
            </w:r>
            <w:r w:rsidR="000F6BF8" w:rsidRPr="00807EF0">
              <w:rPr>
                <w:bCs/>
              </w:rPr>
              <w:t>patrenie</w:t>
            </w:r>
          </w:p>
        </w:tc>
      </w:tr>
      <w:tr w:rsidR="006B43A9" w:rsidRPr="00807EF0" w:rsidTr="00427D7A">
        <w:trPr>
          <w:trHeight w:val="783"/>
        </w:trPr>
        <w:tc>
          <w:tcPr>
            <w:tcW w:w="866" w:type="dxa"/>
            <w:vMerge w:val="restart"/>
            <w:tcBorders>
              <w:top w:val="single" w:sz="18" w:space="0" w:color="auto"/>
              <w:left w:val="single" w:sz="12" w:space="0" w:color="auto"/>
              <w:right w:val="single" w:sz="12" w:space="0" w:color="auto"/>
            </w:tcBorders>
            <w:shd w:val="clear" w:color="auto" w:fill="auto"/>
            <w:tcMar>
              <w:top w:w="15" w:type="dxa"/>
              <w:left w:w="15" w:type="dxa"/>
              <w:bottom w:w="0" w:type="dxa"/>
              <w:right w:w="15" w:type="dxa"/>
            </w:tcMar>
            <w:textDirection w:val="btLr"/>
            <w:vAlign w:val="center"/>
          </w:tcPr>
          <w:p w:rsidR="006B43A9" w:rsidRPr="00807EF0" w:rsidRDefault="006B43A9" w:rsidP="00AF2740">
            <w:pPr>
              <w:spacing w:after="0" w:line="240" w:lineRule="auto"/>
              <w:jc w:val="center"/>
              <w:rPr>
                <w:bCs/>
                <w:sz w:val="18"/>
                <w:szCs w:val="18"/>
              </w:rPr>
            </w:pPr>
            <w:r w:rsidRPr="00807EF0">
              <w:rPr>
                <w:bCs/>
                <w:sz w:val="18"/>
                <w:szCs w:val="18"/>
              </w:rPr>
              <w:t>Podnecovať štrukturálnu zmenu slovenskej ekonomiky smerom k rastu založenému na zvyšovaní inovačnej schopnosti a excelentnosti vo VaI s cieľom podporovať udržateľný rast príjmov, zamestnanosti a</w:t>
            </w:r>
            <w:r>
              <w:rPr>
                <w:bCs/>
                <w:sz w:val="18"/>
                <w:szCs w:val="18"/>
              </w:rPr>
              <w:t xml:space="preserve"> </w:t>
            </w:r>
            <w:r w:rsidRPr="00807EF0">
              <w:rPr>
                <w:bCs/>
                <w:sz w:val="18"/>
                <w:szCs w:val="18"/>
              </w:rPr>
              <w:t xml:space="preserve">kvality života. </w:t>
            </w:r>
          </w:p>
        </w:tc>
        <w:tc>
          <w:tcPr>
            <w:tcW w:w="2835" w:type="dxa"/>
            <w:vMerge w:val="restart"/>
            <w:tcBorders>
              <w:top w:val="single" w:sz="18"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bCs/>
                <w:sz w:val="18"/>
                <w:szCs w:val="18"/>
              </w:rPr>
            </w:pPr>
            <w:r w:rsidRPr="00807EF0">
              <w:rPr>
                <w:bCs/>
                <w:sz w:val="18"/>
                <w:szCs w:val="18"/>
              </w:rPr>
              <w:t>Prehlbovať integráciu a ukotvenie kľúčových priemyselných odvetví, ktoré zvyšujú miestnu pridanú hodnotu, prostredníctvom spolupráce miestnych dodávateľských reťazcov a podporou ich vzájomného sieťovania.</w:t>
            </w:r>
          </w:p>
        </w:tc>
        <w:tc>
          <w:tcPr>
            <w:tcW w:w="4394" w:type="dxa"/>
            <w:gridSpan w:val="2"/>
            <w:tcBorders>
              <w:top w:val="single" w:sz="1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Do roku 2020 vytvoriť podmienky pre rast doma vytvorenej pridanej hodnoty na celkovom exporte o 5 % oproti súčasnému stavu</w:t>
            </w:r>
          </w:p>
        </w:tc>
        <w:tc>
          <w:tcPr>
            <w:tcW w:w="2705" w:type="dxa"/>
            <w:tcBorders>
              <w:top w:val="single" w:sz="18"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Rozvoj inovačných kapacít prostredníctvom spolupráce podnikov a výskumných inštitúcií</w:t>
            </w:r>
          </w:p>
        </w:tc>
      </w:tr>
      <w:tr w:rsidR="006B43A9" w:rsidRPr="00807EF0" w:rsidTr="00427D7A">
        <w:trPr>
          <w:trHeight w:val="510"/>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top w:val="single" w:sz="4" w:space="0" w:color="auto"/>
              <w:left w:val="single" w:sz="12" w:space="0" w:color="auto"/>
              <w:bottom w:val="single" w:sz="4" w:space="0" w:color="auto"/>
              <w:right w:val="single" w:sz="4" w:space="0" w:color="auto"/>
            </w:tcBorders>
            <w:vAlign w:val="center"/>
          </w:tcPr>
          <w:p w:rsidR="006B43A9" w:rsidRPr="00807EF0" w:rsidRDefault="006B43A9" w:rsidP="00AF2740">
            <w:pPr>
              <w:spacing w:after="0" w:line="240" w:lineRule="auto"/>
              <w:rPr>
                <w:bCs/>
                <w:sz w:val="18"/>
                <w:szCs w:val="18"/>
              </w:rPr>
            </w:pP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Zvýšiť počet spoločností, ktoré sa posunú na vyššiu úroveň dodávateľského rebríčka nadnárodných spoločností</w:t>
            </w:r>
          </w:p>
        </w:tc>
        <w:tc>
          <w:tcPr>
            <w:tcW w:w="2705" w:type="dxa"/>
            <w:tcBorders>
              <w:top w:val="single" w:sz="4" w:space="0" w:color="auto"/>
              <w:left w:val="nil"/>
              <w:bottom w:val="dashed" w:sz="12" w:space="0" w:color="FF0000"/>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Technologický upgrade pre štrukturálne zmeny v priemysle</w:t>
            </w:r>
          </w:p>
        </w:tc>
      </w:tr>
      <w:tr w:rsidR="006B43A9" w:rsidRPr="00807EF0" w:rsidTr="00427D7A">
        <w:trPr>
          <w:trHeight w:val="474"/>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top w:val="single" w:sz="4" w:space="0" w:color="auto"/>
              <w:left w:val="single" w:sz="12" w:space="0" w:color="auto"/>
              <w:bottom w:val="single" w:sz="12" w:space="0" w:color="auto"/>
              <w:right w:val="single" w:sz="4" w:space="0" w:color="auto"/>
            </w:tcBorders>
            <w:vAlign w:val="center"/>
          </w:tcPr>
          <w:p w:rsidR="006B43A9" w:rsidRPr="00807EF0" w:rsidRDefault="006B43A9" w:rsidP="00AF2740">
            <w:pPr>
              <w:spacing w:after="0" w:line="240" w:lineRule="auto"/>
              <w:rPr>
                <w:bCs/>
                <w:sz w:val="18"/>
                <w:szCs w:val="18"/>
              </w:rPr>
            </w:pPr>
          </w:p>
        </w:tc>
        <w:tc>
          <w:tcPr>
            <w:tcW w:w="4394" w:type="dxa"/>
            <w:gridSpan w:val="2"/>
            <w:tcBorders>
              <w:top w:val="single" w:sz="4" w:space="0" w:color="auto"/>
              <w:left w:val="nil"/>
              <w:bottom w:val="single" w:sz="12" w:space="0" w:color="auto"/>
              <w:right w:val="dashed" w:sz="12" w:space="0" w:color="FF0000"/>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Zlepšiť prepojenie domácich malých a stredných podnikov s dodávateľmi pre veľké nadnárodné spoločnosti</w:t>
            </w:r>
          </w:p>
        </w:tc>
        <w:tc>
          <w:tcPr>
            <w:tcW w:w="2705" w:type="dxa"/>
            <w:vMerge w:val="restart"/>
            <w:tcBorders>
              <w:top w:val="dashed" w:sz="12" w:space="0" w:color="FF0000"/>
              <w:left w:val="dashed" w:sz="12" w:space="0" w:color="FF0000"/>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Podpora budovania výskumných a inovačných kapacít v slovenských podnikoch</w:t>
            </w:r>
          </w:p>
        </w:tc>
      </w:tr>
      <w:tr w:rsidR="006B43A9" w:rsidRPr="00807EF0" w:rsidTr="003736A0">
        <w:trPr>
          <w:trHeight w:val="401"/>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val="restart"/>
            <w:tcBorders>
              <w:top w:val="single" w:sz="12" w:space="0" w:color="auto"/>
              <w:left w:val="single" w:sz="12" w:space="0" w:color="auto"/>
              <w:right w:val="single" w:sz="4"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bCs/>
                <w:sz w:val="18"/>
                <w:szCs w:val="18"/>
              </w:rPr>
            </w:pPr>
            <w:r w:rsidRPr="00807EF0">
              <w:rPr>
                <w:bCs/>
                <w:sz w:val="18"/>
                <w:szCs w:val="18"/>
              </w:rPr>
              <w:t>Zvýšiť príspevok výskumu k hospodárskemu rastu cestou globálnej excelentnosti a lokálnej relevantnosti</w:t>
            </w:r>
          </w:p>
        </w:tc>
        <w:tc>
          <w:tcPr>
            <w:tcW w:w="4394" w:type="dxa"/>
            <w:gridSpan w:val="2"/>
            <w:vMerge w:val="restart"/>
            <w:tcBorders>
              <w:top w:val="single" w:sz="12" w:space="0" w:color="auto"/>
              <w:left w:val="nil"/>
              <w:right w:val="dashed" w:sz="12" w:space="0" w:color="FF0000"/>
            </w:tcBorders>
            <w:shd w:val="clear" w:color="auto" w:fill="auto"/>
            <w:tcMar>
              <w:top w:w="15" w:type="dxa"/>
              <w:left w:w="15" w:type="dxa"/>
              <w:bottom w:w="0" w:type="dxa"/>
              <w:right w:w="15" w:type="dxa"/>
            </w:tcMar>
            <w:vAlign w:val="center"/>
          </w:tcPr>
          <w:p w:rsidR="006B43A9" w:rsidRPr="00DF5E14" w:rsidRDefault="006B43A9" w:rsidP="00321E3C">
            <w:pPr>
              <w:spacing w:after="0" w:line="240" w:lineRule="auto"/>
              <w:jc w:val="center"/>
              <w:rPr>
                <w:sz w:val="18"/>
                <w:szCs w:val="18"/>
              </w:rPr>
            </w:pPr>
            <w:r w:rsidRPr="00DF5E14">
              <w:rPr>
                <w:sz w:val="18"/>
                <w:szCs w:val="18"/>
              </w:rPr>
              <w:t>Zvýšiť podiel súkromných zdrojov do výskumu a vývoja v pomere minimálne 2:1 k verejným zdrojom pri zachovaní minimálne súčasného podielu verejných zdrojov na celkových výdavkoch na výskum a vývoj</w:t>
            </w:r>
          </w:p>
        </w:tc>
        <w:tc>
          <w:tcPr>
            <w:tcW w:w="2705" w:type="dxa"/>
            <w:vMerge/>
            <w:tcBorders>
              <w:left w:val="dashed" w:sz="12" w:space="0" w:color="FF0000"/>
              <w:bottom w:val="dashed" w:sz="12" w:space="0" w:color="FF0000"/>
              <w:right w:val="single" w:sz="12" w:space="0" w:color="auto"/>
            </w:tcBorders>
            <w:shd w:val="clear" w:color="auto" w:fill="auto"/>
            <w:vAlign w:val="center"/>
          </w:tcPr>
          <w:p w:rsidR="006B43A9" w:rsidRPr="00DF5E14" w:rsidRDefault="006B43A9" w:rsidP="00AF2740">
            <w:pPr>
              <w:spacing w:after="0" w:line="240" w:lineRule="auto"/>
              <w:rPr>
                <w:sz w:val="18"/>
                <w:szCs w:val="18"/>
              </w:rPr>
            </w:pPr>
          </w:p>
        </w:tc>
      </w:tr>
      <w:tr w:rsidR="006B43A9" w:rsidRPr="00807EF0" w:rsidTr="003736A0">
        <w:trPr>
          <w:trHeight w:val="401"/>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single" w:sz="4"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bCs/>
                <w:sz w:val="18"/>
                <w:szCs w:val="18"/>
              </w:rPr>
            </w:pPr>
          </w:p>
        </w:tc>
        <w:tc>
          <w:tcPr>
            <w:tcW w:w="4394" w:type="dxa"/>
            <w:gridSpan w:val="2"/>
            <w:vMerge/>
            <w:tcBorders>
              <w:left w:val="nil"/>
              <w:bottom w:val="single" w:sz="4" w:space="0" w:color="auto"/>
              <w:right w:val="single" w:sz="8" w:space="0" w:color="auto"/>
            </w:tcBorders>
            <w:shd w:val="clear" w:color="auto" w:fill="auto"/>
            <w:tcMar>
              <w:top w:w="15" w:type="dxa"/>
              <w:left w:w="15" w:type="dxa"/>
              <w:bottom w:w="0" w:type="dxa"/>
              <w:right w:w="15" w:type="dxa"/>
            </w:tcMar>
            <w:vAlign w:val="center"/>
          </w:tcPr>
          <w:p w:rsidR="006B43A9" w:rsidRPr="00DF5E14" w:rsidRDefault="006B43A9" w:rsidP="00321E3C">
            <w:pPr>
              <w:spacing w:after="0" w:line="240" w:lineRule="auto"/>
              <w:jc w:val="center"/>
              <w:rPr>
                <w:sz w:val="18"/>
                <w:szCs w:val="18"/>
              </w:rPr>
            </w:pPr>
          </w:p>
        </w:tc>
        <w:tc>
          <w:tcPr>
            <w:tcW w:w="2705" w:type="dxa"/>
            <w:tcBorders>
              <w:top w:val="dashed" w:sz="12" w:space="0" w:color="FF0000"/>
              <w:left w:val="single" w:sz="8" w:space="0" w:color="auto"/>
              <w:bottom w:val="single" w:sz="8" w:space="0" w:color="auto"/>
              <w:right w:val="single" w:sz="12" w:space="0" w:color="auto"/>
            </w:tcBorders>
            <w:shd w:val="clear" w:color="auto" w:fill="auto"/>
            <w:vAlign w:val="center"/>
          </w:tcPr>
          <w:p w:rsidR="006B43A9" w:rsidRPr="00DF5E14" w:rsidRDefault="006B43A9" w:rsidP="003736A0">
            <w:pPr>
              <w:spacing w:after="0" w:line="240" w:lineRule="auto"/>
              <w:rPr>
                <w:sz w:val="18"/>
                <w:szCs w:val="18"/>
              </w:rPr>
            </w:pPr>
          </w:p>
        </w:tc>
      </w:tr>
      <w:tr w:rsidR="006B43A9" w:rsidRPr="00807EF0" w:rsidTr="003736A0">
        <w:trPr>
          <w:trHeight w:val="617"/>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single" w:sz="4" w:space="0" w:color="auto"/>
            </w:tcBorders>
            <w:vAlign w:val="center"/>
          </w:tcPr>
          <w:p w:rsidR="006B43A9" w:rsidRPr="00807EF0" w:rsidRDefault="006B43A9" w:rsidP="00AF2740">
            <w:pPr>
              <w:spacing w:after="0" w:line="240" w:lineRule="auto"/>
              <w:rPr>
                <w:bCs/>
                <w:sz w:val="18"/>
                <w:szCs w:val="18"/>
              </w:rPr>
            </w:pPr>
          </w:p>
        </w:tc>
        <w:tc>
          <w:tcPr>
            <w:tcW w:w="4394" w:type="dxa"/>
            <w:gridSpan w:val="2"/>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rsidR="006B43A9" w:rsidRPr="00807EF0" w:rsidRDefault="006B43A9" w:rsidP="00310D58">
            <w:pPr>
              <w:spacing w:after="0" w:line="240" w:lineRule="auto"/>
              <w:jc w:val="center"/>
              <w:rPr>
                <w:sz w:val="18"/>
                <w:szCs w:val="18"/>
              </w:rPr>
            </w:pPr>
            <w:r w:rsidRPr="00807EF0">
              <w:rPr>
                <w:sz w:val="18"/>
                <w:szCs w:val="18"/>
              </w:rPr>
              <w:t xml:space="preserve">Zefektívniť inštitucionálne usporiadanie </w:t>
            </w:r>
            <w:r w:rsidRPr="003C713F">
              <w:rPr>
                <w:sz w:val="18"/>
                <w:szCs w:val="18"/>
              </w:rPr>
              <w:t>VaI</w:t>
            </w:r>
            <w:r w:rsidRPr="00807EF0">
              <w:rPr>
                <w:sz w:val="18"/>
                <w:szCs w:val="18"/>
              </w:rPr>
              <w:t xml:space="preserve"> základne</w:t>
            </w:r>
          </w:p>
        </w:tc>
        <w:tc>
          <w:tcPr>
            <w:tcW w:w="2705" w:type="dxa"/>
            <w:tcBorders>
              <w:top w:val="single" w:sz="8"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A97FF0">
              <w:rPr>
                <w:sz w:val="18"/>
                <w:szCs w:val="18"/>
              </w:rPr>
              <w:t>Rozvoj excelentného výskumu so zabezpečením potrebnej infraštruktúry pre výskum  a vývoj</w:t>
            </w:r>
          </w:p>
        </w:tc>
      </w:tr>
      <w:tr w:rsidR="006B43A9" w:rsidRPr="00807EF0" w:rsidTr="00427D7A">
        <w:trPr>
          <w:trHeight w:val="777"/>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single" w:sz="4" w:space="0" w:color="auto"/>
            </w:tcBorders>
            <w:vAlign w:val="center"/>
          </w:tcPr>
          <w:p w:rsidR="006B43A9" w:rsidRPr="00807EF0" w:rsidRDefault="006B43A9" w:rsidP="00AF2740">
            <w:pPr>
              <w:spacing w:after="0" w:line="240" w:lineRule="auto"/>
              <w:rPr>
                <w:bCs/>
                <w:sz w:val="18"/>
                <w:szCs w:val="18"/>
              </w:rPr>
            </w:pPr>
          </w:p>
        </w:tc>
        <w:tc>
          <w:tcPr>
            <w:tcW w:w="4394" w:type="dxa"/>
            <w:gridSpan w:val="2"/>
            <w:vMerge/>
            <w:tcBorders>
              <w:top w:val="nil"/>
              <w:left w:val="single" w:sz="4" w:space="0" w:color="auto"/>
              <w:bottom w:val="single" w:sz="4" w:space="0" w:color="auto"/>
              <w:right w:val="nil"/>
            </w:tcBorders>
            <w:vAlign w:val="center"/>
          </w:tcPr>
          <w:p w:rsidR="006B43A9" w:rsidRPr="00807EF0" w:rsidRDefault="006B43A9" w:rsidP="00AF2740">
            <w:pPr>
              <w:spacing w:after="0" w:line="240" w:lineRule="auto"/>
              <w:rPr>
                <w:sz w:val="18"/>
                <w:szCs w:val="18"/>
              </w:rPr>
            </w:pPr>
          </w:p>
        </w:tc>
        <w:tc>
          <w:tcPr>
            <w:tcW w:w="270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Prepájanie univerzít, akadémie vied a partnerov z oblasti priemyslu</w:t>
            </w:r>
          </w:p>
        </w:tc>
      </w:tr>
      <w:tr w:rsidR="006B43A9" w:rsidRPr="00807EF0" w:rsidTr="00427D7A">
        <w:trPr>
          <w:trHeight w:val="890"/>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single" w:sz="4" w:space="0" w:color="auto"/>
            </w:tcBorders>
            <w:vAlign w:val="center"/>
          </w:tcPr>
          <w:p w:rsidR="006B43A9" w:rsidRPr="00807EF0" w:rsidRDefault="006B43A9" w:rsidP="00AF2740">
            <w:pPr>
              <w:spacing w:after="0" w:line="240" w:lineRule="auto"/>
              <w:rPr>
                <w:bCs/>
                <w:sz w:val="18"/>
                <w:szCs w:val="18"/>
              </w:rPr>
            </w:pPr>
          </w:p>
        </w:tc>
        <w:tc>
          <w:tcPr>
            <w:tcW w:w="4394" w:type="dxa"/>
            <w:gridSpan w:val="2"/>
            <w:vMerge w:val="restart"/>
            <w:tcBorders>
              <w:top w:val="single" w:sz="4" w:space="0" w:color="auto"/>
              <w:left w:val="single" w:sz="4" w:space="0" w:color="auto"/>
              <w:bottom w:val="single" w:sz="12" w:space="0" w:color="000000"/>
              <w:right w:val="nil"/>
            </w:tcBorders>
            <w:shd w:val="clear" w:color="auto" w:fill="auto"/>
            <w:tcMar>
              <w:top w:w="15" w:type="dxa"/>
              <w:left w:w="15" w:type="dxa"/>
              <w:bottom w:w="0" w:type="dxa"/>
              <w:right w:w="15" w:type="dxa"/>
            </w:tcMar>
            <w:vAlign w:val="center"/>
          </w:tcPr>
          <w:p w:rsidR="006B43A9" w:rsidRPr="00807EF0" w:rsidRDefault="006B43A9" w:rsidP="00321E3C">
            <w:pPr>
              <w:spacing w:after="0" w:line="240" w:lineRule="auto"/>
              <w:jc w:val="center"/>
              <w:rPr>
                <w:sz w:val="18"/>
                <w:szCs w:val="18"/>
              </w:rPr>
            </w:pPr>
            <w:r w:rsidRPr="00807EF0">
              <w:rPr>
                <w:sz w:val="18"/>
                <w:szCs w:val="18"/>
              </w:rPr>
              <w:t xml:space="preserve">Do roku 2020 zvýšiť podiel celkových výdavkoch na </w:t>
            </w:r>
            <w:r>
              <w:rPr>
                <w:sz w:val="18"/>
                <w:szCs w:val="18"/>
              </w:rPr>
              <w:t>výskum a vývoj</w:t>
            </w:r>
            <w:r w:rsidRPr="00807EF0">
              <w:rPr>
                <w:sz w:val="18"/>
                <w:szCs w:val="18"/>
              </w:rPr>
              <w:t xml:space="preserve"> minimálne do výšky 1,2 % HDP</w:t>
            </w:r>
          </w:p>
        </w:tc>
        <w:tc>
          <w:tcPr>
            <w:tcW w:w="2705" w:type="dxa"/>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Posilňovanie excelentnosti výskumu financovaného z národných zdrojov</w:t>
            </w:r>
            <w:r>
              <w:rPr>
                <w:sz w:val="18"/>
                <w:szCs w:val="18"/>
              </w:rPr>
              <w:t xml:space="preserve"> </w:t>
            </w:r>
            <w:r w:rsidRPr="00807EF0">
              <w:rPr>
                <w:sz w:val="18"/>
                <w:szCs w:val="18"/>
              </w:rPr>
              <w:t>(knowledge</w:t>
            </w:r>
            <w:r>
              <w:rPr>
                <w:sz w:val="18"/>
                <w:szCs w:val="18"/>
              </w:rPr>
              <w:t xml:space="preserve"> </w:t>
            </w:r>
            <w:r w:rsidRPr="00807EF0">
              <w:rPr>
                <w:sz w:val="18"/>
                <w:szCs w:val="18"/>
              </w:rPr>
              <w:t>generation)</w:t>
            </w:r>
          </w:p>
        </w:tc>
      </w:tr>
      <w:tr w:rsidR="006B43A9" w:rsidRPr="00807EF0" w:rsidTr="00427D7A">
        <w:trPr>
          <w:trHeight w:val="796"/>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single" w:sz="4" w:space="0" w:color="auto"/>
            </w:tcBorders>
            <w:vAlign w:val="center"/>
          </w:tcPr>
          <w:p w:rsidR="006B43A9" w:rsidRPr="00807EF0" w:rsidRDefault="006B43A9" w:rsidP="00AF2740">
            <w:pPr>
              <w:spacing w:after="0" w:line="240" w:lineRule="auto"/>
              <w:rPr>
                <w:bCs/>
                <w:sz w:val="18"/>
                <w:szCs w:val="18"/>
              </w:rPr>
            </w:pPr>
          </w:p>
        </w:tc>
        <w:tc>
          <w:tcPr>
            <w:tcW w:w="4394" w:type="dxa"/>
            <w:gridSpan w:val="2"/>
            <w:vMerge/>
            <w:tcBorders>
              <w:top w:val="single" w:sz="8" w:space="0" w:color="000000"/>
              <w:left w:val="single" w:sz="4" w:space="0" w:color="auto"/>
              <w:bottom w:val="single" w:sz="12" w:space="0" w:color="000000"/>
              <w:right w:val="nil"/>
            </w:tcBorders>
            <w:vAlign w:val="center"/>
          </w:tcPr>
          <w:p w:rsidR="006B43A9" w:rsidRPr="00807EF0" w:rsidRDefault="006B43A9" w:rsidP="00AF2740">
            <w:pPr>
              <w:spacing w:after="0" w:line="240" w:lineRule="auto"/>
              <w:rPr>
                <w:sz w:val="18"/>
                <w:szCs w:val="18"/>
              </w:rPr>
            </w:pPr>
          </w:p>
        </w:tc>
        <w:tc>
          <w:tcPr>
            <w:tcW w:w="2705" w:type="dxa"/>
            <w:tcBorders>
              <w:top w:val="single" w:sz="4" w:space="0" w:color="auto"/>
              <w:left w:val="single" w:sz="4" w:space="0" w:color="auto"/>
              <w:bottom w:val="dashed" w:sz="12" w:space="0" w:color="FF0000"/>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Systematická podpora a stimulácia medzinárodnej spolupráce vo vede a technike</w:t>
            </w:r>
          </w:p>
        </w:tc>
      </w:tr>
      <w:tr w:rsidR="006B43A9" w:rsidRPr="00807EF0" w:rsidTr="00427D7A">
        <w:trPr>
          <w:trHeight w:val="453"/>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bottom w:val="single" w:sz="12" w:space="0" w:color="000000"/>
              <w:right w:val="single" w:sz="4" w:space="0" w:color="auto"/>
            </w:tcBorders>
            <w:vAlign w:val="center"/>
          </w:tcPr>
          <w:p w:rsidR="006B43A9" w:rsidRPr="00807EF0" w:rsidRDefault="006B43A9" w:rsidP="00AF2740">
            <w:pPr>
              <w:spacing w:after="0" w:line="240" w:lineRule="auto"/>
              <w:rPr>
                <w:bCs/>
                <w:sz w:val="18"/>
                <w:szCs w:val="18"/>
              </w:rPr>
            </w:pPr>
          </w:p>
        </w:tc>
        <w:tc>
          <w:tcPr>
            <w:tcW w:w="4394" w:type="dxa"/>
            <w:gridSpan w:val="2"/>
            <w:vMerge/>
            <w:tcBorders>
              <w:top w:val="single" w:sz="8" w:space="0" w:color="000000"/>
              <w:left w:val="single" w:sz="4" w:space="0" w:color="auto"/>
              <w:bottom w:val="single" w:sz="12" w:space="0" w:color="000000"/>
              <w:right w:val="dashed" w:sz="12" w:space="0" w:color="FF0000"/>
            </w:tcBorders>
            <w:vAlign w:val="center"/>
          </w:tcPr>
          <w:p w:rsidR="006B43A9" w:rsidRPr="00807EF0" w:rsidRDefault="006B43A9" w:rsidP="00AF2740">
            <w:pPr>
              <w:spacing w:after="0" w:line="240" w:lineRule="auto"/>
              <w:rPr>
                <w:sz w:val="18"/>
                <w:szCs w:val="18"/>
              </w:rPr>
            </w:pPr>
          </w:p>
        </w:tc>
        <w:tc>
          <w:tcPr>
            <w:tcW w:w="2705" w:type="dxa"/>
            <w:vMerge w:val="restart"/>
            <w:tcBorders>
              <w:top w:val="dashed" w:sz="12" w:space="0" w:color="FF0000"/>
              <w:left w:val="dashed" w:sz="12" w:space="0" w:color="FF0000"/>
              <w:bottom w:val="dashed" w:sz="12" w:space="0" w:color="FF0000"/>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Ochrana a využívanie duševného vlastníctva</w:t>
            </w:r>
          </w:p>
        </w:tc>
      </w:tr>
      <w:tr w:rsidR="006B43A9" w:rsidRPr="00807EF0" w:rsidTr="00D100E0">
        <w:trPr>
          <w:trHeight w:val="342"/>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val="restart"/>
            <w:tcBorders>
              <w:top w:val="single" w:sz="12" w:space="0" w:color="000000"/>
              <w:left w:val="single" w:sz="12" w:space="0" w:color="auto"/>
              <w:right w:val="nil"/>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bCs/>
                <w:sz w:val="18"/>
                <w:szCs w:val="18"/>
              </w:rPr>
            </w:pPr>
            <w:r w:rsidRPr="00807EF0">
              <w:rPr>
                <w:bCs/>
                <w:sz w:val="18"/>
                <w:szCs w:val="18"/>
              </w:rPr>
              <w:t>Vytvárať dynamickú, otvorenú a inkluzívnu inovatívnu spoločnosť ako jeden z predpokladov pre zlepšenie kvality života</w:t>
            </w:r>
          </w:p>
        </w:tc>
        <w:tc>
          <w:tcPr>
            <w:tcW w:w="4394" w:type="dxa"/>
            <w:gridSpan w:val="2"/>
            <w:vMerge w:val="restart"/>
            <w:tcBorders>
              <w:top w:val="single" w:sz="12" w:space="0" w:color="000000"/>
              <w:left w:val="single" w:sz="4" w:space="0" w:color="auto"/>
              <w:bottom w:val="single" w:sz="4" w:space="0" w:color="auto"/>
              <w:right w:val="dashed" w:sz="12" w:space="0" w:color="FF0000"/>
            </w:tcBorders>
            <w:shd w:val="clear" w:color="auto" w:fill="auto"/>
            <w:tcMar>
              <w:top w:w="15" w:type="dxa"/>
              <w:left w:w="15" w:type="dxa"/>
              <w:bottom w:w="0" w:type="dxa"/>
              <w:right w:w="15" w:type="dxa"/>
            </w:tcMar>
            <w:vAlign w:val="center"/>
          </w:tcPr>
          <w:p w:rsidR="006B43A9" w:rsidRPr="00807EF0" w:rsidRDefault="006B43A9" w:rsidP="000414A9">
            <w:pPr>
              <w:spacing w:after="0" w:line="240" w:lineRule="auto"/>
              <w:jc w:val="center"/>
              <w:rPr>
                <w:sz w:val="18"/>
                <w:szCs w:val="18"/>
              </w:rPr>
            </w:pPr>
            <w:r w:rsidRPr="00807EF0">
              <w:rPr>
                <w:sz w:val="18"/>
                <w:szCs w:val="18"/>
              </w:rPr>
              <w:t>Vytvoriť podnikom, hlavne</w:t>
            </w:r>
            <w:r>
              <w:rPr>
                <w:sz w:val="18"/>
                <w:szCs w:val="18"/>
              </w:rPr>
              <w:t xml:space="preserve"> MSP</w:t>
            </w:r>
            <w:r w:rsidRPr="00807EF0">
              <w:rPr>
                <w:sz w:val="18"/>
                <w:szCs w:val="18"/>
              </w:rPr>
              <w:t>, podmienky pre zvyšovanie ich inovačnej výkonnosti</w:t>
            </w:r>
          </w:p>
        </w:tc>
        <w:tc>
          <w:tcPr>
            <w:tcW w:w="2705" w:type="dxa"/>
            <w:vMerge/>
            <w:tcBorders>
              <w:top w:val="dashed" w:sz="8" w:space="0" w:color="FF0000"/>
              <w:left w:val="dashed" w:sz="12" w:space="0" w:color="FF0000"/>
              <w:bottom w:val="dashed" w:sz="12" w:space="0" w:color="FF0000"/>
              <w:right w:val="single" w:sz="12" w:space="0" w:color="auto"/>
            </w:tcBorders>
            <w:vAlign w:val="center"/>
          </w:tcPr>
          <w:p w:rsidR="006B43A9" w:rsidRPr="00807EF0" w:rsidRDefault="006B43A9" w:rsidP="00AF2740">
            <w:pPr>
              <w:spacing w:after="0" w:line="240" w:lineRule="auto"/>
              <w:rPr>
                <w:sz w:val="18"/>
                <w:szCs w:val="18"/>
              </w:rPr>
            </w:pPr>
          </w:p>
        </w:tc>
      </w:tr>
      <w:tr w:rsidR="006B43A9" w:rsidRPr="00807EF0" w:rsidTr="00D100E0">
        <w:trPr>
          <w:trHeight w:val="361"/>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vMerge/>
            <w:tcBorders>
              <w:top w:val="nil"/>
              <w:left w:val="single" w:sz="4" w:space="0" w:color="auto"/>
              <w:bottom w:val="single" w:sz="4" w:space="0" w:color="auto"/>
              <w:right w:val="nil"/>
            </w:tcBorders>
            <w:vAlign w:val="center"/>
          </w:tcPr>
          <w:p w:rsidR="006B43A9" w:rsidRPr="00807EF0" w:rsidRDefault="006B43A9" w:rsidP="00AF2740">
            <w:pPr>
              <w:spacing w:after="0" w:line="240" w:lineRule="auto"/>
              <w:rPr>
                <w:sz w:val="18"/>
                <w:szCs w:val="18"/>
              </w:rPr>
            </w:pPr>
          </w:p>
        </w:tc>
        <w:tc>
          <w:tcPr>
            <w:tcW w:w="2705" w:type="dxa"/>
            <w:tcBorders>
              <w:top w:val="dashed" w:sz="12" w:space="0" w:color="FF0000"/>
              <w:left w:val="single" w:sz="4" w:space="0" w:color="auto"/>
              <w:bottom w:val="dashed" w:sz="4" w:space="0" w:color="FF0000"/>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Podpora dynamického podnikateľského prostredia priaznivého pre inovácie</w:t>
            </w:r>
          </w:p>
        </w:tc>
      </w:tr>
      <w:tr w:rsidR="006B43A9" w:rsidRPr="00807EF0" w:rsidTr="00D100E0">
        <w:trPr>
          <w:trHeight w:val="387"/>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Zvýšiť podiel kreatívneho priemyslu na tvorbe HDP</w:t>
            </w:r>
          </w:p>
        </w:tc>
        <w:tc>
          <w:tcPr>
            <w:tcW w:w="2705" w:type="dxa"/>
            <w:vMerge w:val="restart"/>
            <w:tcBorders>
              <w:top w:val="dashed" w:sz="4" w:space="0" w:color="FF0000"/>
              <w:left w:val="dashed" w:sz="4" w:space="0" w:color="FF0000"/>
              <w:bottom w:val="dashed" w:sz="4" w:space="0" w:color="FF0000"/>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Stimulovanie KIBS, poznatkovo orientovaných služieb a kreatívneho priemyslu</w:t>
            </w:r>
          </w:p>
        </w:tc>
      </w:tr>
      <w:tr w:rsidR="006B43A9" w:rsidRPr="00807EF0" w:rsidTr="00D100E0">
        <w:trPr>
          <w:trHeight w:val="329"/>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 xml:space="preserve">Zvýšiť podiel KIBS na celkovej produkcii </w:t>
            </w:r>
            <w:r>
              <w:rPr>
                <w:sz w:val="18"/>
                <w:szCs w:val="18"/>
              </w:rPr>
              <w:t>podnikateľského sektora</w:t>
            </w:r>
          </w:p>
        </w:tc>
        <w:tc>
          <w:tcPr>
            <w:tcW w:w="2705" w:type="dxa"/>
            <w:vMerge/>
            <w:tcBorders>
              <w:top w:val="dashed" w:sz="4" w:space="0" w:color="FF0000"/>
              <w:left w:val="dashed" w:sz="4" w:space="0" w:color="FF0000"/>
              <w:bottom w:val="dashed" w:sz="4" w:space="0" w:color="FF0000"/>
              <w:right w:val="single" w:sz="12" w:space="0" w:color="auto"/>
            </w:tcBorders>
            <w:vAlign w:val="center"/>
          </w:tcPr>
          <w:p w:rsidR="006B43A9" w:rsidRPr="00807EF0" w:rsidRDefault="006B43A9" w:rsidP="00AF2740">
            <w:pPr>
              <w:spacing w:after="0" w:line="240" w:lineRule="auto"/>
              <w:rPr>
                <w:sz w:val="18"/>
                <w:szCs w:val="18"/>
              </w:rPr>
            </w:pPr>
          </w:p>
        </w:tc>
      </w:tr>
      <w:tr w:rsidR="006B43A9" w:rsidRPr="00807EF0" w:rsidTr="00D100E0">
        <w:trPr>
          <w:trHeight w:val="558"/>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vMerge w:val="restart"/>
            <w:tcBorders>
              <w:top w:val="single" w:sz="4" w:space="0" w:color="auto"/>
              <w:left w:val="single" w:sz="4" w:space="0" w:color="auto"/>
              <w:right w:val="nil"/>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Podporiť zavádzanie rôznych typov inovácií do praxe pre potreby spoločnosti</w:t>
            </w:r>
          </w:p>
        </w:tc>
        <w:tc>
          <w:tcPr>
            <w:tcW w:w="2705" w:type="dxa"/>
            <w:tcBorders>
              <w:top w:val="dashed" w:sz="4" w:space="0" w:color="FF0000"/>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Podpora výskumu a inovácií v environmentálnych oblastiach</w:t>
            </w:r>
            <w:r>
              <w:rPr>
                <w:sz w:val="18"/>
                <w:szCs w:val="18"/>
              </w:rPr>
              <w:t xml:space="preserve"> vrátane adaptácie na zmenu klímy</w:t>
            </w:r>
          </w:p>
        </w:tc>
      </w:tr>
      <w:tr w:rsidR="006B43A9" w:rsidRPr="00807EF0" w:rsidTr="00D100E0">
        <w:trPr>
          <w:trHeight w:val="611"/>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vMerge/>
            <w:tcBorders>
              <w:left w:val="single" w:sz="4" w:space="0" w:color="auto"/>
              <w:right w:val="nil"/>
            </w:tcBorders>
            <w:vAlign w:val="center"/>
          </w:tcPr>
          <w:p w:rsidR="006B43A9" w:rsidRPr="00807EF0" w:rsidRDefault="006B43A9" w:rsidP="00AF2740">
            <w:pPr>
              <w:spacing w:after="0" w:line="240" w:lineRule="auto"/>
              <w:rPr>
                <w:sz w:val="18"/>
                <w:szCs w:val="18"/>
              </w:rPr>
            </w:pPr>
          </w:p>
        </w:tc>
        <w:tc>
          <w:tcPr>
            <w:tcW w:w="2705" w:type="dxa"/>
            <w:tcBorders>
              <w:top w:val="single" w:sz="4" w:space="0" w:color="auto"/>
              <w:left w:val="single" w:sz="4"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Výskum a inovácie pri riešení významných spoločenských problémov na Slovensku</w:t>
            </w:r>
          </w:p>
        </w:tc>
      </w:tr>
      <w:tr w:rsidR="006B43A9" w:rsidRPr="00807EF0" w:rsidTr="00D100E0">
        <w:trPr>
          <w:trHeight w:val="611"/>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bottom w:val="single" w:sz="12" w:space="0" w:color="000000"/>
              <w:right w:val="nil"/>
            </w:tcBorders>
            <w:vAlign w:val="center"/>
          </w:tcPr>
          <w:p w:rsidR="006B43A9" w:rsidRPr="00807EF0" w:rsidRDefault="006B43A9" w:rsidP="00AF2740">
            <w:pPr>
              <w:spacing w:after="0" w:line="240" w:lineRule="auto"/>
              <w:rPr>
                <w:bCs/>
                <w:sz w:val="18"/>
                <w:szCs w:val="18"/>
              </w:rPr>
            </w:pPr>
          </w:p>
        </w:tc>
        <w:tc>
          <w:tcPr>
            <w:tcW w:w="4394" w:type="dxa"/>
            <w:gridSpan w:val="2"/>
            <w:vMerge/>
            <w:tcBorders>
              <w:left w:val="single" w:sz="4" w:space="0" w:color="auto"/>
              <w:bottom w:val="single" w:sz="12" w:space="0" w:color="000000"/>
              <w:right w:val="nil"/>
            </w:tcBorders>
            <w:vAlign w:val="center"/>
          </w:tcPr>
          <w:p w:rsidR="006B43A9" w:rsidRPr="00807EF0" w:rsidRDefault="006B43A9" w:rsidP="00AF2740">
            <w:pPr>
              <w:spacing w:after="0" w:line="240" w:lineRule="auto"/>
              <w:rPr>
                <w:sz w:val="18"/>
                <w:szCs w:val="18"/>
              </w:rPr>
            </w:pPr>
          </w:p>
        </w:tc>
        <w:tc>
          <w:tcPr>
            <w:tcW w:w="2705" w:type="dxa"/>
            <w:tcBorders>
              <w:top w:val="single" w:sz="4" w:space="0" w:color="auto"/>
              <w:left w:val="single" w:sz="4"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Pr>
                <w:sz w:val="18"/>
                <w:szCs w:val="18"/>
              </w:rPr>
              <w:t>Podpora otvorenej a inkluzívnej spoločnosti</w:t>
            </w:r>
          </w:p>
        </w:tc>
      </w:tr>
      <w:tr w:rsidR="000D4A62" w:rsidRPr="00807EF0" w:rsidTr="000D4A62">
        <w:trPr>
          <w:trHeight w:val="578"/>
        </w:trPr>
        <w:tc>
          <w:tcPr>
            <w:tcW w:w="866" w:type="dxa"/>
            <w:vMerge/>
            <w:tcBorders>
              <w:left w:val="single" w:sz="12" w:space="0" w:color="auto"/>
              <w:right w:val="single" w:sz="12" w:space="0" w:color="auto"/>
            </w:tcBorders>
            <w:vAlign w:val="center"/>
          </w:tcPr>
          <w:p w:rsidR="000D4A62" w:rsidRPr="00807EF0" w:rsidRDefault="000D4A62" w:rsidP="00AF2740">
            <w:pPr>
              <w:spacing w:after="0" w:line="240" w:lineRule="auto"/>
              <w:rPr>
                <w:bCs/>
                <w:sz w:val="18"/>
                <w:szCs w:val="18"/>
              </w:rPr>
            </w:pPr>
          </w:p>
        </w:tc>
        <w:tc>
          <w:tcPr>
            <w:tcW w:w="2835" w:type="dxa"/>
            <w:vMerge w:val="restart"/>
            <w:tcBorders>
              <w:top w:val="single" w:sz="12" w:space="0" w:color="000000"/>
              <w:left w:val="single" w:sz="12" w:space="0" w:color="auto"/>
              <w:right w:val="nil"/>
            </w:tcBorders>
            <w:shd w:val="clear" w:color="auto" w:fill="auto"/>
            <w:tcMar>
              <w:top w:w="15" w:type="dxa"/>
              <w:left w:w="15" w:type="dxa"/>
              <w:bottom w:w="0" w:type="dxa"/>
              <w:right w:w="15" w:type="dxa"/>
            </w:tcMar>
            <w:vAlign w:val="center"/>
          </w:tcPr>
          <w:p w:rsidR="000D4A62" w:rsidRPr="00807EF0" w:rsidRDefault="000D4A62" w:rsidP="00AF2740">
            <w:pPr>
              <w:spacing w:after="0" w:line="240" w:lineRule="auto"/>
              <w:jc w:val="center"/>
              <w:rPr>
                <w:bCs/>
                <w:sz w:val="18"/>
                <w:szCs w:val="18"/>
              </w:rPr>
            </w:pPr>
            <w:r w:rsidRPr="00807EF0">
              <w:rPr>
                <w:bCs/>
                <w:sz w:val="18"/>
                <w:szCs w:val="18"/>
              </w:rPr>
              <w:t>Zlepšiť kvalitu ľudských zdrojov pre inovatívne Slovensko</w:t>
            </w:r>
          </w:p>
        </w:tc>
        <w:tc>
          <w:tcPr>
            <w:tcW w:w="2197" w:type="dxa"/>
            <w:vMerge w:val="restart"/>
            <w:tcBorders>
              <w:top w:val="single" w:sz="12" w:space="0" w:color="000000"/>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D4A62" w:rsidRDefault="000D4A62" w:rsidP="000D4A62">
            <w:pPr>
              <w:spacing w:after="0" w:line="240" w:lineRule="auto"/>
              <w:jc w:val="center"/>
              <w:rPr>
                <w:sz w:val="18"/>
                <w:szCs w:val="18"/>
              </w:rPr>
            </w:pPr>
            <w:r w:rsidRPr="00807EF0">
              <w:rPr>
                <w:sz w:val="18"/>
                <w:szCs w:val="18"/>
              </w:rPr>
              <w:t>Zvýš</w:t>
            </w:r>
            <w:r>
              <w:rPr>
                <w:sz w:val="18"/>
                <w:szCs w:val="18"/>
              </w:rPr>
              <w:t>iť</w:t>
            </w:r>
            <w:r w:rsidRPr="00807EF0">
              <w:rPr>
                <w:sz w:val="18"/>
                <w:szCs w:val="18"/>
              </w:rPr>
              <w:t xml:space="preserve"> uplatniteľnos</w:t>
            </w:r>
            <w:r>
              <w:rPr>
                <w:sz w:val="18"/>
                <w:szCs w:val="18"/>
              </w:rPr>
              <w:t>ť</w:t>
            </w:r>
            <w:r w:rsidRPr="00807EF0">
              <w:rPr>
                <w:sz w:val="18"/>
                <w:szCs w:val="18"/>
              </w:rPr>
              <w:t xml:space="preserve"> absolventov</w:t>
            </w:r>
          </w:p>
          <w:p w:rsidR="000D4A62" w:rsidRDefault="000D4A62" w:rsidP="000D4A62">
            <w:pPr>
              <w:spacing w:after="0" w:line="240" w:lineRule="auto"/>
              <w:jc w:val="center"/>
              <w:rPr>
                <w:sz w:val="18"/>
                <w:szCs w:val="18"/>
              </w:rPr>
            </w:pPr>
            <w:r w:rsidRPr="00807EF0">
              <w:rPr>
                <w:sz w:val="18"/>
                <w:szCs w:val="18"/>
              </w:rPr>
              <w:t xml:space="preserve"> stredných a vysokých škôl</w:t>
            </w:r>
            <w:r>
              <w:rPr>
                <w:sz w:val="18"/>
                <w:szCs w:val="18"/>
              </w:rPr>
              <w:t xml:space="preserve"> </w:t>
            </w:r>
          </w:p>
        </w:tc>
        <w:tc>
          <w:tcPr>
            <w:tcW w:w="2197" w:type="dxa"/>
            <w:vMerge w:val="restart"/>
            <w:tcBorders>
              <w:top w:val="single" w:sz="12" w:space="0" w:color="000000"/>
              <w:left w:val="single" w:sz="4" w:space="0" w:color="auto"/>
              <w:right w:val="single" w:sz="4" w:space="0" w:color="auto"/>
            </w:tcBorders>
            <w:shd w:val="clear" w:color="auto" w:fill="auto"/>
            <w:vAlign w:val="center"/>
          </w:tcPr>
          <w:p w:rsidR="000D4A62" w:rsidRDefault="000D4A62" w:rsidP="00AF2740">
            <w:pPr>
              <w:spacing w:after="0" w:line="240" w:lineRule="auto"/>
              <w:jc w:val="center"/>
              <w:rPr>
                <w:sz w:val="18"/>
                <w:szCs w:val="18"/>
              </w:rPr>
            </w:pPr>
            <w:r>
              <w:rPr>
                <w:sz w:val="18"/>
                <w:szCs w:val="18"/>
              </w:rPr>
              <w:t>Celoživotné vzdelávanie</w:t>
            </w:r>
          </w:p>
          <w:p w:rsidR="000D4A62" w:rsidRPr="00807EF0" w:rsidRDefault="000D4A62" w:rsidP="000D4A62">
            <w:pPr>
              <w:spacing w:after="0" w:line="240" w:lineRule="auto"/>
              <w:jc w:val="center"/>
              <w:rPr>
                <w:sz w:val="18"/>
                <w:szCs w:val="18"/>
              </w:rPr>
            </w:pPr>
          </w:p>
        </w:tc>
        <w:tc>
          <w:tcPr>
            <w:tcW w:w="2705" w:type="dxa"/>
            <w:tcBorders>
              <w:top w:val="single" w:sz="12"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0D4A62" w:rsidRPr="00807EF0" w:rsidRDefault="000D4A62" w:rsidP="00AF2740">
            <w:pPr>
              <w:spacing w:after="0" w:line="240" w:lineRule="auto"/>
              <w:rPr>
                <w:sz w:val="18"/>
                <w:szCs w:val="18"/>
              </w:rPr>
            </w:pPr>
            <w:r>
              <w:rPr>
                <w:sz w:val="18"/>
                <w:szCs w:val="18"/>
              </w:rPr>
              <w:t>Z</w:t>
            </w:r>
            <w:r w:rsidRPr="00807EF0">
              <w:rPr>
                <w:sz w:val="18"/>
                <w:szCs w:val="18"/>
              </w:rPr>
              <w:t>lepšenie kvality stredoškolského vzdelávania</w:t>
            </w:r>
          </w:p>
        </w:tc>
      </w:tr>
      <w:tr w:rsidR="000D4A62" w:rsidRPr="00807EF0" w:rsidTr="000D4A62">
        <w:trPr>
          <w:trHeight w:val="594"/>
        </w:trPr>
        <w:tc>
          <w:tcPr>
            <w:tcW w:w="866" w:type="dxa"/>
            <w:vMerge/>
            <w:tcBorders>
              <w:left w:val="single" w:sz="12" w:space="0" w:color="auto"/>
              <w:right w:val="single" w:sz="12" w:space="0" w:color="auto"/>
            </w:tcBorders>
            <w:vAlign w:val="center"/>
          </w:tcPr>
          <w:p w:rsidR="000D4A62" w:rsidRPr="00807EF0" w:rsidRDefault="000D4A62" w:rsidP="00AF2740">
            <w:pPr>
              <w:spacing w:after="0" w:line="240" w:lineRule="auto"/>
              <w:rPr>
                <w:bCs/>
                <w:sz w:val="18"/>
                <w:szCs w:val="18"/>
              </w:rPr>
            </w:pPr>
          </w:p>
        </w:tc>
        <w:tc>
          <w:tcPr>
            <w:tcW w:w="2835" w:type="dxa"/>
            <w:vMerge/>
            <w:tcBorders>
              <w:left w:val="single" w:sz="12" w:space="0" w:color="auto"/>
              <w:right w:val="nil"/>
            </w:tcBorders>
            <w:vAlign w:val="center"/>
          </w:tcPr>
          <w:p w:rsidR="000D4A62" w:rsidRPr="00807EF0" w:rsidRDefault="000D4A62" w:rsidP="00AF2740">
            <w:pPr>
              <w:spacing w:after="0" w:line="240" w:lineRule="auto"/>
              <w:rPr>
                <w:bCs/>
                <w:sz w:val="18"/>
                <w:szCs w:val="18"/>
              </w:rPr>
            </w:pPr>
          </w:p>
        </w:tc>
        <w:tc>
          <w:tcPr>
            <w:tcW w:w="2197" w:type="dxa"/>
            <w:vMerge/>
            <w:tcBorders>
              <w:top w:val="nil"/>
              <w:left w:val="single" w:sz="4" w:space="0" w:color="auto"/>
              <w:bottom w:val="single" w:sz="4" w:space="0" w:color="auto"/>
              <w:right w:val="single" w:sz="4" w:space="0" w:color="auto"/>
            </w:tcBorders>
            <w:vAlign w:val="center"/>
          </w:tcPr>
          <w:p w:rsidR="000D4A62" w:rsidRPr="00807EF0" w:rsidRDefault="000D4A62" w:rsidP="00AF2740">
            <w:pPr>
              <w:spacing w:after="0" w:line="240" w:lineRule="auto"/>
              <w:rPr>
                <w:sz w:val="18"/>
                <w:szCs w:val="18"/>
              </w:rPr>
            </w:pPr>
          </w:p>
        </w:tc>
        <w:tc>
          <w:tcPr>
            <w:tcW w:w="2197" w:type="dxa"/>
            <w:vMerge/>
            <w:tcBorders>
              <w:left w:val="single" w:sz="4" w:space="0" w:color="auto"/>
              <w:bottom w:val="single" w:sz="4" w:space="0" w:color="auto"/>
              <w:right w:val="single" w:sz="4" w:space="0" w:color="auto"/>
            </w:tcBorders>
            <w:shd w:val="clear" w:color="auto" w:fill="auto"/>
            <w:vAlign w:val="center"/>
          </w:tcPr>
          <w:p w:rsidR="000D4A62" w:rsidRPr="00807EF0" w:rsidRDefault="000D4A62" w:rsidP="00AF2740">
            <w:pPr>
              <w:spacing w:after="0" w:line="240" w:lineRule="auto"/>
              <w:rPr>
                <w:sz w:val="18"/>
                <w:szCs w:val="18"/>
              </w:rPr>
            </w:pPr>
          </w:p>
        </w:tc>
        <w:tc>
          <w:tcPr>
            <w:tcW w:w="2705" w:type="dxa"/>
            <w:tcBorders>
              <w:top w:val="single" w:sz="4" w:space="0" w:color="auto"/>
              <w:left w:val="single" w:sz="4" w:space="0" w:color="auto"/>
              <w:bottom w:val="dashed" w:sz="4" w:space="0" w:color="FF0000"/>
              <w:right w:val="single" w:sz="12" w:space="0" w:color="auto"/>
            </w:tcBorders>
            <w:shd w:val="clear" w:color="auto" w:fill="auto"/>
            <w:tcMar>
              <w:top w:w="15" w:type="dxa"/>
              <w:left w:w="15" w:type="dxa"/>
              <w:bottom w:w="0" w:type="dxa"/>
              <w:right w:w="15" w:type="dxa"/>
            </w:tcMar>
            <w:vAlign w:val="center"/>
          </w:tcPr>
          <w:p w:rsidR="000D4A62" w:rsidRPr="00807EF0" w:rsidRDefault="000D4A62" w:rsidP="00AF2740">
            <w:pPr>
              <w:spacing w:after="0" w:line="240" w:lineRule="auto"/>
              <w:rPr>
                <w:sz w:val="18"/>
                <w:szCs w:val="18"/>
              </w:rPr>
            </w:pPr>
            <w:r w:rsidRPr="00807EF0">
              <w:rPr>
                <w:sz w:val="18"/>
                <w:szCs w:val="18"/>
              </w:rPr>
              <w:t>Zlepšenie kvality vysokoškolského vzdelávania</w:t>
            </w:r>
          </w:p>
        </w:tc>
      </w:tr>
      <w:tr w:rsidR="000D4A62" w:rsidRPr="00807EF0" w:rsidTr="00AE02B7">
        <w:trPr>
          <w:trHeight w:val="252"/>
        </w:trPr>
        <w:tc>
          <w:tcPr>
            <w:tcW w:w="866" w:type="dxa"/>
            <w:vMerge/>
            <w:tcBorders>
              <w:left w:val="single" w:sz="12" w:space="0" w:color="auto"/>
              <w:right w:val="single" w:sz="12" w:space="0" w:color="auto"/>
            </w:tcBorders>
            <w:vAlign w:val="center"/>
          </w:tcPr>
          <w:p w:rsidR="000D4A62" w:rsidRPr="00807EF0" w:rsidRDefault="000D4A62" w:rsidP="00AF2740">
            <w:pPr>
              <w:spacing w:after="0" w:line="240" w:lineRule="auto"/>
              <w:rPr>
                <w:bCs/>
                <w:sz w:val="18"/>
                <w:szCs w:val="18"/>
              </w:rPr>
            </w:pPr>
          </w:p>
        </w:tc>
        <w:tc>
          <w:tcPr>
            <w:tcW w:w="2835" w:type="dxa"/>
            <w:vMerge/>
            <w:tcBorders>
              <w:left w:val="single" w:sz="12" w:space="0" w:color="auto"/>
              <w:right w:val="nil"/>
            </w:tcBorders>
            <w:vAlign w:val="center"/>
          </w:tcPr>
          <w:p w:rsidR="000D4A62" w:rsidRPr="00807EF0" w:rsidRDefault="000D4A62" w:rsidP="00AF2740">
            <w:pPr>
              <w:spacing w:after="0" w:line="240" w:lineRule="auto"/>
              <w:rPr>
                <w:bCs/>
                <w:sz w:val="18"/>
                <w:szCs w:val="18"/>
              </w:rPr>
            </w:pPr>
          </w:p>
        </w:tc>
        <w:tc>
          <w:tcPr>
            <w:tcW w:w="2197" w:type="dxa"/>
            <w:vMerge/>
            <w:tcBorders>
              <w:top w:val="nil"/>
              <w:left w:val="single" w:sz="4" w:space="0" w:color="auto"/>
              <w:bottom w:val="single" w:sz="4" w:space="0" w:color="auto"/>
              <w:right w:val="dashed" w:sz="4" w:space="0" w:color="FF0000"/>
            </w:tcBorders>
            <w:vAlign w:val="center"/>
          </w:tcPr>
          <w:p w:rsidR="000D4A62" w:rsidRPr="00807EF0" w:rsidRDefault="000D4A62" w:rsidP="00AF2740">
            <w:pPr>
              <w:spacing w:after="0" w:line="240" w:lineRule="auto"/>
              <w:rPr>
                <w:sz w:val="18"/>
                <w:szCs w:val="18"/>
              </w:rPr>
            </w:pPr>
          </w:p>
        </w:tc>
        <w:tc>
          <w:tcPr>
            <w:tcW w:w="2197" w:type="dxa"/>
            <w:tcBorders>
              <w:left w:val="single" w:sz="4" w:space="0" w:color="auto"/>
              <w:bottom w:val="single" w:sz="4" w:space="0" w:color="auto"/>
              <w:right w:val="dashed" w:sz="4" w:space="0" w:color="FF0000"/>
            </w:tcBorders>
            <w:shd w:val="clear" w:color="auto" w:fill="auto"/>
            <w:vAlign w:val="center"/>
          </w:tcPr>
          <w:p w:rsidR="000D4A62" w:rsidRPr="00AE02B7" w:rsidRDefault="000D4A62" w:rsidP="00AE02B7"/>
        </w:tc>
        <w:tc>
          <w:tcPr>
            <w:tcW w:w="2705" w:type="dxa"/>
            <w:vMerge w:val="restart"/>
            <w:tcBorders>
              <w:top w:val="dashed" w:sz="4" w:space="0" w:color="FF0000"/>
              <w:left w:val="dashed" w:sz="4" w:space="0" w:color="FF0000"/>
              <w:bottom w:val="dashed" w:sz="4" w:space="0" w:color="FF0000"/>
              <w:right w:val="single" w:sz="12" w:space="0" w:color="auto"/>
            </w:tcBorders>
            <w:shd w:val="clear" w:color="auto" w:fill="auto"/>
            <w:tcMar>
              <w:top w:w="15" w:type="dxa"/>
              <w:left w:w="15" w:type="dxa"/>
              <w:bottom w:w="0" w:type="dxa"/>
              <w:right w:w="15" w:type="dxa"/>
            </w:tcMar>
            <w:vAlign w:val="center"/>
          </w:tcPr>
          <w:p w:rsidR="000D4A62" w:rsidRPr="00807EF0" w:rsidRDefault="000D4A62" w:rsidP="00AF2740">
            <w:pPr>
              <w:spacing w:after="0" w:line="240" w:lineRule="auto"/>
              <w:jc w:val="center"/>
              <w:rPr>
                <w:sz w:val="18"/>
                <w:szCs w:val="18"/>
              </w:rPr>
            </w:pPr>
            <w:r w:rsidRPr="00807EF0">
              <w:rPr>
                <w:sz w:val="18"/>
                <w:szCs w:val="18"/>
              </w:rPr>
              <w:t>Zvýšenie dôrazu na vzdelávanie v odboroch rozhodujúcich pre prioritné oblasti RIS3</w:t>
            </w:r>
          </w:p>
        </w:tc>
      </w:tr>
      <w:tr w:rsidR="006B43A9" w:rsidRPr="00807EF0" w:rsidTr="000D4A62">
        <w:trPr>
          <w:trHeight w:val="453"/>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vMerge w:val="restart"/>
            <w:tcBorders>
              <w:top w:val="nil"/>
              <w:left w:val="single" w:sz="4" w:space="0" w:color="auto"/>
              <w:bottom w:val="single" w:sz="4" w:space="0" w:color="auto"/>
              <w:right w:val="dashed" w:sz="4" w:space="0" w:color="FF0000"/>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Zlepšiť prepojenia vzdelávacieho systému s praxou</w:t>
            </w:r>
          </w:p>
        </w:tc>
        <w:tc>
          <w:tcPr>
            <w:tcW w:w="2705" w:type="dxa"/>
            <w:vMerge/>
            <w:tcBorders>
              <w:top w:val="dashed" w:sz="4" w:space="0" w:color="FF0000"/>
              <w:left w:val="dashed" w:sz="4" w:space="0" w:color="FF0000"/>
              <w:bottom w:val="dashed" w:sz="4" w:space="0" w:color="FF0000"/>
              <w:right w:val="single" w:sz="12" w:space="0" w:color="auto"/>
            </w:tcBorders>
            <w:vAlign w:val="center"/>
          </w:tcPr>
          <w:p w:rsidR="006B43A9" w:rsidRPr="00807EF0" w:rsidRDefault="006B43A9" w:rsidP="00AF2740">
            <w:pPr>
              <w:spacing w:after="0" w:line="240" w:lineRule="auto"/>
              <w:rPr>
                <w:sz w:val="18"/>
                <w:szCs w:val="18"/>
              </w:rPr>
            </w:pPr>
          </w:p>
        </w:tc>
      </w:tr>
      <w:tr w:rsidR="006B43A9" w:rsidRPr="00807EF0" w:rsidTr="000D4A62">
        <w:trPr>
          <w:trHeight w:val="249"/>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vMerge/>
            <w:tcBorders>
              <w:top w:val="nil"/>
              <w:left w:val="single" w:sz="4" w:space="0" w:color="auto"/>
              <w:bottom w:val="single" w:sz="4" w:space="0" w:color="auto"/>
              <w:right w:val="single" w:sz="4" w:space="0" w:color="000000"/>
            </w:tcBorders>
            <w:vAlign w:val="center"/>
          </w:tcPr>
          <w:p w:rsidR="006B43A9" w:rsidRPr="00807EF0" w:rsidRDefault="006B43A9" w:rsidP="00AF2740">
            <w:pPr>
              <w:spacing w:after="0" w:line="240" w:lineRule="auto"/>
              <w:rPr>
                <w:sz w:val="18"/>
                <w:szCs w:val="18"/>
              </w:rPr>
            </w:pPr>
          </w:p>
        </w:tc>
        <w:tc>
          <w:tcPr>
            <w:tcW w:w="2705" w:type="dxa"/>
            <w:tcBorders>
              <w:top w:val="nil"/>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rPr>
                <w:sz w:val="18"/>
                <w:szCs w:val="18"/>
              </w:rPr>
            </w:pPr>
            <w:r w:rsidRPr="00807EF0">
              <w:rPr>
                <w:sz w:val="18"/>
                <w:szCs w:val="18"/>
              </w:rPr>
              <w:t>Zlepšenie zapojenia podnikov do vzdelávania</w:t>
            </w:r>
          </w:p>
        </w:tc>
      </w:tr>
      <w:tr w:rsidR="006B43A9" w:rsidRPr="00807EF0" w:rsidTr="000D4A62">
        <w:trPr>
          <w:trHeight w:val="363"/>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B43A9" w:rsidRDefault="006B43A9" w:rsidP="00AF2740">
            <w:pPr>
              <w:spacing w:after="0" w:line="240" w:lineRule="auto"/>
              <w:jc w:val="center"/>
              <w:rPr>
                <w:sz w:val="18"/>
                <w:szCs w:val="18"/>
              </w:rPr>
            </w:pPr>
            <w:r w:rsidRPr="00807EF0">
              <w:rPr>
                <w:sz w:val="18"/>
                <w:szCs w:val="18"/>
              </w:rPr>
              <w:t>Zvýšiť medzisektorovú mobilitu pracovníkov</w:t>
            </w:r>
          </w:p>
          <w:p w:rsidR="006B43A9" w:rsidRPr="00807EF0" w:rsidRDefault="006B43A9" w:rsidP="00AF2740">
            <w:pPr>
              <w:spacing w:after="0" w:line="240" w:lineRule="auto"/>
              <w:jc w:val="center"/>
              <w:rPr>
                <w:sz w:val="18"/>
                <w:szCs w:val="18"/>
              </w:rPr>
            </w:pPr>
          </w:p>
        </w:tc>
        <w:tc>
          <w:tcPr>
            <w:tcW w:w="2705" w:type="dxa"/>
            <w:vMerge w:val="restart"/>
            <w:tcBorders>
              <w:top w:val="nil"/>
              <w:left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r w:rsidRPr="00807EF0">
              <w:rPr>
                <w:sz w:val="18"/>
                <w:szCs w:val="18"/>
              </w:rPr>
              <w:t>Podpora mobility vysokokvalifikovaných pracovníkov</w:t>
            </w:r>
          </w:p>
        </w:tc>
      </w:tr>
      <w:tr w:rsidR="006B43A9" w:rsidRPr="00807EF0" w:rsidTr="000D4A62">
        <w:trPr>
          <w:trHeight w:val="243"/>
        </w:trPr>
        <w:tc>
          <w:tcPr>
            <w:tcW w:w="866" w:type="dxa"/>
            <w:vMerge/>
            <w:tcBorders>
              <w:left w:val="single" w:sz="12" w:space="0" w:color="auto"/>
              <w:right w:val="single" w:sz="12" w:space="0" w:color="auto"/>
            </w:tcBorders>
            <w:vAlign w:val="center"/>
          </w:tcPr>
          <w:p w:rsidR="006B43A9" w:rsidRPr="00807EF0" w:rsidRDefault="006B43A9" w:rsidP="00AF2740">
            <w:pPr>
              <w:spacing w:after="0" w:line="240" w:lineRule="auto"/>
              <w:rPr>
                <w:bCs/>
                <w:sz w:val="18"/>
                <w:szCs w:val="18"/>
              </w:rPr>
            </w:pPr>
          </w:p>
        </w:tc>
        <w:tc>
          <w:tcPr>
            <w:tcW w:w="2835" w:type="dxa"/>
            <w:vMerge/>
            <w:tcBorders>
              <w:left w:val="single" w:sz="12" w:space="0" w:color="auto"/>
              <w:right w:val="nil"/>
            </w:tcBorders>
            <w:vAlign w:val="center"/>
          </w:tcPr>
          <w:p w:rsidR="006B43A9" w:rsidRPr="00807EF0" w:rsidRDefault="006B43A9" w:rsidP="00AF2740">
            <w:pPr>
              <w:spacing w:after="0" w:line="240" w:lineRule="auto"/>
              <w:rPr>
                <w:bCs/>
                <w:sz w:val="18"/>
                <w:szCs w:val="18"/>
              </w:rPr>
            </w:pPr>
          </w:p>
        </w:tc>
        <w:tc>
          <w:tcPr>
            <w:tcW w:w="4394" w:type="dxa"/>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6B43A9" w:rsidRPr="00807EF0" w:rsidRDefault="000D4A62" w:rsidP="00AF2740">
            <w:pPr>
              <w:spacing w:after="0" w:line="240" w:lineRule="auto"/>
              <w:jc w:val="center"/>
              <w:rPr>
                <w:sz w:val="18"/>
                <w:szCs w:val="18"/>
              </w:rPr>
            </w:pPr>
            <w:r>
              <w:rPr>
                <w:sz w:val="18"/>
                <w:szCs w:val="18"/>
              </w:rPr>
              <w:t>Podporiť tvorbu medzinárodných tímov</w:t>
            </w:r>
          </w:p>
        </w:tc>
        <w:tc>
          <w:tcPr>
            <w:tcW w:w="2705" w:type="dxa"/>
            <w:vMerge/>
            <w:tcBorders>
              <w:left w:val="single" w:sz="4" w:space="0" w:color="auto"/>
              <w:right w:val="single" w:sz="12" w:space="0" w:color="auto"/>
            </w:tcBorders>
            <w:shd w:val="clear" w:color="auto" w:fill="auto"/>
            <w:tcMar>
              <w:top w:w="15" w:type="dxa"/>
              <w:left w:w="15" w:type="dxa"/>
              <w:bottom w:w="0" w:type="dxa"/>
              <w:right w:w="15" w:type="dxa"/>
            </w:tcMar>
            <w:vAlign w:val="center"/>
          </w:tcPr>
          <w:p w:rsidR="006B43A9" w:rsidRPr="00807EF0" w:rsidRDefault="006B43A9" w:rsidP="00AF2740">
            <w:pPr>
              <w:spacing w:after="0" w:line="240" w:lineRule="auto"/>
              <w:jc w:val="center"/>
              <w:rPr>
                <w:sz w:val="18"/>
                <w:szCs w:val="18"/>
              </w:rPr>
            </w:pPr>
          </w:p>
        </w:tc>
      </w:tr>
    </w:tbl>
    <w:p w:rsidR="007763E8" w:rsidRDefault="007763E8" w:rsidP="000F6BF8">
      <w:pPr>
        <w:spacing w:after="0" w:line="240" w:lineRule="auto"/>
        <w:jc w:val="left"/>
        <w:sectPr w:rsidR="007763E8" w:rsidSect="00AF2740">
          <w:headerReference w:type="default" r:id="rId28"/>
          <w:footerReference w:type="default" r:id="rId29"/>
          <w:pgSz w:w="11906" w:h="16838"/>
          <w:pgMar w:top="1079" w:right="1417" w:bottom="180" w:left="1417" w:header="708" w:footer="708" w:gutter="0"/>
          <w:cols w:space="708"/>
          <w:docGrid w:linePitch="360"/>
        </w:sectPr>
      </w:pPr>
    </w:p>
    <w:p w:rsidR="00013632" w:rsidRDefault="00013632" w:rsidP="007763E8">
      <w:pPr>
        <w:sectPr w:rsidR="00013632" w:rsidSect="00FD59AB">
          <w:type w:val="continuous"/>
          <w:pgSz w:w="11906" w:h="16838"/>
          <w:pgMar w:top="1417" w:right="1417" w:bottom="1417" w:left="1417" w:header="708" w:footer="708" w:gutter="0"/>
          <w:cols w:space="708"/>
          <w:docGrid w:linePitch="360"/>
        </w:sectPr>
      </w:pPr>
    </w:p>
    <w:tbl>
      <w:tblPr>
        <w:tblW w:w="14832" w:type="dxa"/>
        <w:tblInd w:w="-953" w:type="dxa"/>
        <w:tblLayout w:type="fixed"/>
        <w:tblCellMar>
          <w:left w:w="40" w:type="dxa"/>
          <w:right w:w="40" w:type="dxa"/>
        </w:tblCellMar>
        <w:tblLook w:val="0000" w:firstRow="0" w:lastRow="0" w:firstColumn="0" w:lastColumn="0" w:noHBand="0" w:noVBand="0"/>
      </w:tblPr>
      <w:tblGrid>
        <w:gridCol w:w="1702"/>
        <w:gridCol w:w="100"/>
        <w:gridCol w:w="2735"/>
        <w:gridCol w:w="2693"/>
        <w:gridCol w:w="2694"/>
        <w:gridCol w:w="2268"/>
        <w:gridCol w:w="100"/>
        <w:gridCol w:w="2512"/>
        <w:gridCol w:w="28"/>
      </w:tblGrid>
      <w:tr w:rsidR="00346681" w:rsidRPr="00CE124D" w:rsidTr="002D4651">
        <w:tc>
          <w:tcPr>
            <w:tcW w:w="1702" w:type="dxa"/>
            <w:tcBorders>
              <w:top w:val="single" w:sz="12" w:space="0" w:color="auto"/>
              <w:left w:val="single" w:sz="12" w:space="0" w:color="auto"/>
              <w:bottom w:val="single" w:sz="12" w:space="0" w:color="auto"/>
              <w:right w:val="nil"/>
            </w:tcBorders>
            <w:vAlign w:val="center"/>
          </w:tcPr>
          <w:p w:rsidR="00346681" w:rsidRPr="00CE124D" w:rsidRDefault="00346681" w:rsidP="00BB53FB">
            <w:pPr>
              <w:pStyle w:val="Style47"/>
              <w:widowControl/>
              <w:spacing w:line="240" w:lineRule="auto"/>
              <w:jc w:val="center"/>
              <w:rPr>
                <w:rStyle w:val="FontStyle57"/>
              </w:rPr>
            </w:pPr>
            <w:r w:rsidRPr="00CE124D">
              <w:rPr>
                <w:rStyle w:val="FontStyle57"/>
              </w:rPr>
              <w:lastRenderedPageBreak/>
              <w:t>Opatrenie</w:t>
            </w:r>
          </w:p>
        </w:tc>
        <w:tc>
          <w:tcPr>
            <w:tcW w:w="100" w:type="dxa"/>
            <w:tcBorders>
              <w:top w:val="single" w:sz="12" w:space="0" w:color="auto"/>
              <w:left w:val="nil"/>
              <w:bottom w:val="single" w:sz="12" w:space="0" w:color="auto"/>
              <w:right w:val="single" w:sz="6" w:space="0" w:color="auto"/>
            </w:tcBorders>
            <w:vAlign w:val="center"/>
          </w:tcPr>
          <w:p w:rsidR="00346681" w:rsidRPr="00CE124D" w:rsidRDefault="00346681" w:rsidP="00BB53FB">
            <w:pPr>
              <w:pStyle w:val="Style6"/>
              <w:widowControl/>
              <w:jc w:val="center"/>
            </w:pPr>
          </w:p>
        </w:tc>
        <w:tc>
          <w:tcPr>
            <w:tcW w:w="2735" w:type="dxa"/>
            <w:tcBorders>
              <w:top w:val="single" w:sz="12" w:space="0" w:color="auto"/>
              <w:left w:val="single" w:sz="6" w:space="0" w:color="auto"/>
              <w:bottom w:val="single" w:sz="12" w:space="0" w:color="auto"/>
              <w:right w:val="single" w:sz="6" w:space="0" w:color="auto"/>
            </w:tcBorders>
            <w:vAlign w:val="center"/>
          </w:tcPr>
          <w:p w:rsidR="00346681" w:rsidRPr="00CE124D" w:rsidRDefault="00346681" w:rsidP="00BB53FB">
            <w:pPr>
              <w:pStyle w:val="Style47"/>
              <w:widowControl/>
              <w:spacing w:line="240" w:lineRule="auto"/>
              <w:jc w:val="center"/>
              <w:rPr>
                <w:rStyle w:val="FontStyle57"/>
              </w:rPr>
            </w:pPr>
            <w:r w:rsidRPr="00CE124D">
              <w:rPr>
                <w:rStyle w:val="FontStyle57"/>
              </w:rPr>
              <w:t>Aktivity</w:t>
            </w:r>
          </w:p>
        </w:tc>
        <w:tc>
          <w:tcPr>
            <w:tcW w:w="2693" w:type="dxa"/>
            <w:tcBorders>
              <w:top w:val="single" w:sz="12" w:space="0" w:color="auto"/>
              <w:left w:val="single" w:sz="6" w:space="0" w:color="auto"/>
              <w:bottom w:val="single" w:sz="12" w:space="0" w:color="auto"/>
              <w:right w:val="single" w:sz="6" w:space="0" w:color="auto"/>
            </w:tcBorders>
            <w:vAlign w:val="center"/>
          </w:tcPr>
          <w:p w:rsidR="00346681" w:rsidRPr="00CE124D" w:rsidRDefault="00346681" w:rsidP="00BB53FB">
            <w:pPr>
              <w:pStyle w:val="Style47"/>
              <w:widowControl/>
              <w:spacing w:line="240" w:lineRule="auto"/>
              <w:jc w:val="center"/>
              <w:rPr>
                <w:rStyle w:val="FontStyle57"/>
              </w:rPr>
            </w:pPr>
            <w:r w:rsidRPr="00CE124D">
              <w:rPr>
                <w:rStyle w:val="FontStyle57"/>
              </w:rPr>
              <w:t>Nástroje</w:t>
            </w:r>
          </w:p>
        </w:tc>
        <w:tc>
          <w:tcPr>
            <w:tcW w:w="2694" w:type="dxa"/>
            <w:tcBorders>
              <w:top w:val="single" w:sz="12" w:space="0" w:color="auto"/>
              <w:left w:val="single" w:sz="6" w:space="0" w:color="auto"/>
              <w:bottom w:val="single" w:sz="12" w:space="0" w:color="auto"/>
              <w:right w:val="single" w:sz="6" w:space="0" w:color="auto"/>
            </w:tcBorders>
            <w:vAlign w:val="center"/>
          </w:tcPr>
          <w:p w:rsidR="00346681" w:rsidRPr="00CE124D" w:rsidRDefault="00346681" w:rsidP="00BB53FB">
            <w:pPr>
              <w:pStyle w:val="Style47"/>
              <w:widowControl/>
              <w:spacing w:line="240" w:lineRule="auto"/>
              <w:jc w:val="center"/>
              <w:rPr>
                <w:rStyle w:val="FontStyle57"/>
              </w:rPr>
            </w:pPr>
            <w:r w:rsidRPr="00CE124D">
              <w:rPr>
                <w:rStyle w:val="FontStyle57"/>
              </w:rPr>
              <w:t>Merateľné výstupy</w:t>
            </w:r>
          </w:p>
        </w:tc>
        <w:tc>
          <w:tcPr>
            <w:tcW w:w="2268" w:type="dxa"/>
            <w:tcBorders>
              <w:top w:val="single" w:sz="12" w:space="0" w:color="auto"/>
              <w:left w:val="single" w:sz="6" w:space="0" w:color="auto"/>
              <w:bottom w:val="single" w:sz="12" w:space="0" w:color="auto"/>
              <w:right w:val="single" w:sz="6" w:space="0" w:color="auto"/>
            </w:tcBorders>
            <w:vAlign w:val="center"/>
          </w:tcPr>
          <w:p w:rsidR="00346681" w:rsidRPr="00CE124D" w:rsidRDefault="00346681" w:rsidP="00BB53FB">
            <w:pPr>
              <w:pStyle w:val="Style47"/>
              <w:widowControl/>
              <w:spacing w:line="240" w:lineRule="auto"/>
              <w:jc w:val="center"/>
              <w:rPr>
                <w:rStyle w:val="FontStyle57"/>
              </w:rPr>
            </w:pPr>
            <w:r w:rsidRPr="00CE124D">
              <w:rPr>
                <w:rStyle w:val="FontStyle57"/>
              </w:rPr>
              <w:t>Cieľová skupina</w:t>
            </w:r>
          </w:p>
        </w:tc>
        <w:tc>
          <w:tcPr>
            <w:tcW w:w="100" w:type="dxa"/>
            <w:tcBorders>
              <w:top w:val="single" w:sz="12" w:space="0" w:color="auto"/>
              <w:left w:val="single" w:sz="6" w:space="0" w:color="auto"/>
              <w:bottom w:val="single" w:sz="12" w:space="0" w:color="auto"/>
              <w:right w:val="nil"/>
            </w:tcBorders>
            <w:vAlign w:val="center"/>
          </w:tcPr>
          <w:p w:rsidR="00346681" w:rsidRPr="00CE124D" w:rsidRDefault="00346681" w:rsidP="00BB53FB">
            <w:pPr>
              <w:pStyle w:val="Style6"/>
              <w:widowControl/>
              <w:jc w:val="center"/>
            </w:pPr>
          </w:p>
        </w:tc>
        <w:tc>
          <w:tcPr>
            <w:tcW w:w="2540" w:type="dxa"/>
            <w:gridSpan w:val="2"/>
            <w:tcBorders>
              <w:top w:val="single" w:sz="12" w:space="0" w:color="auto"/>
              <w:left w:val="nil"/>
              <w:bottom w:val="single" w:sz="12" w:space="0" w:color="auto"/>
              <w:right w:val="single" w:sz="12" w:space="0" w:color="auto"/>
            </w:tcBorders>
            <w:vAlign w:val="center"/>
          </w:tcPr>
          <w:p w:rsidR="00346681" w:rsidRPr="00CE124D" w:rsidRDefault="00346681" w:rsidP="00BB53FB">
            <w:pPr>
              <w:pStyle w:val="Style47"/>
              <w:widowControl/>
              <w:spacing w:line="240" w:lineRule="auto"/>
              <w:jc w:val="center"/>
              <w:rPr>
                <w:rStyle w:val="FontStyle57"/>
              </w:rPr>
            </w:pPr>
            <w:r>
              <w:rPr>
                <w:rStyle w:val="FontStyle57"/>
              </w:rPr>
              <w:t>Gestor</w:t>
            </w:r>
          </w:p>
        </w:tc>
      </w:tr>
      <w:tr w:rsidR="00346681" w:rsidRPr="00CE124D" w:rsidTr="002D4651">
        <w:trPr>
          <w:gridAfter w:val="1"/>
          <w:wAfter w:w="28" w:type="dxa"/>
          <w:trHeight w:val="2366"/>
        </w:trPr>
        <w:tc>
          <w:tcPr>
            <w:tcW w:w="1702" w:type="dxa"/>
            <w:vMerge w:val="restart"/>
            <w:tcBorders>
              <w:top w:val="single" w:sz="12" w:space="0" w:color="auto"/>
              <w:left w:val="single" w:sz="12" w:space="0" w:color="auto"/>
              <w:right w:val="nil"/>
            </w:tcBorders>
            <w:shd w:val="clear" w:color="auto" w:fill="auto"/>
            <w:vAlign w:val="center"/>
          </w:tcPr>
          <w:p w:rsidR="00346681" w:rsidRPr="005837A8" w:rsidRDefault="00346681" w:rsidP="00BB53FB">
            <w:pPr>
              <w:pStyle w:val="Style47"/>
              <w:widowControl/>
              <w:spacing w:line="240" w:lineRule="auto"/>
              <w:ind w:firstLine="5"/>
              <w:rPr>
                <w:rStyle w:val="FontStyle57"/>
              </w:rPr>
            </w:pPr>
            <w:r w:rsidRPr="005837A8">
              <w:rPr>
                <w:b/>
                <w:sz w:val="18"/>
                <w:szCs w:val="18"/>
              </w:rPr>
              <w:t>1.1. Rozvoj inovačných kapacít prostredníctvom spolupráce podnikov a výskumných inštitúcií</w:t>
            </w:r>
          </w:p>
          <w:p w:rsidR="00346681" w:rsidRPr="00CE124D" w:rsidRDefault="00346681" w:rsidP="00BB53FB">
            <w:pPr>
              <w:spacing w:after="0" w:line="240" w:lineRule="auto"/>
              <w:rPr>
                <w:rStyle w:val="FontStyle59"/>
                <w:b/>
              </w:rPr>
            </w:pPr>
          </w:p>
          <w:p w:rsidR="00346681" w:rsidRPr="00CE124D" w:rsidRDefault="00346681" w:rsidP="00BB53FB">
            <w:pPr>
              <w:spacing w:after="0" w:line="240" w:lineRule="auto"/>
              <w:rPr>
                <w:rStyle w:val="FontStyle57"/>
              </w:rPr>
            </w:pPr>
          </w:p>
        </w:tc>
        <w:tc>
          <w:tcPr>
            <w:tcW w:w="100" w:type="dxa"/>
            <w:tcBorders>
              <w:top w:val="single" w:sz="12" w:space="0" w:color="auto"/>
              <w:left w:val="nil"/>
              <w:bottom w:val="nil"/>
              <w:right w:val="single" w:sz="6" w:space="0" w:color="auto"/>
            </w:tcBorders>
            <w:shd w:val="clear" w:color="auto" w:fill="auto"/>
            <w:vAlign w:val="center"/>
          </w:tcPr>
          <w:p w:rsidR="00346681" w:rsidRPr="00CE124D" w:rsidRDefault="00346681" w:rsidP="00BB53FB">
            <w:pPr>
              <w:pStyle w:val="Style6"/>
              <w:widowControl/>
              <w:rPr>
                <w:sz w:val="18"/>
                <w:szCs w:val="18"/>
              </w:rPr>
            </w:pPr>
          </w:p>
        </w:tc>
        <w:tc>
          <w:tcPr>
            <w:tcW w:w="2735" w:type="dxa"/>
            <w:tcBorders>
              <w:top w:val="single" w:sz="12"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firstLine="10"/>
              <w:rPr>
                <w:rStyle w:val="FontStyle59"/>
              </w:rPr>
            </w:pPr>
            <w:r w:rsidRPr="00CE124D">
              <w:rPr>
                <w:sz w:val="18"/>
                <w:szCs w:val="18"/>
              </w:rPr>
              <w:t>1.1.1.Tvorba konzorcií pre riešenie multidisciplinárnych problémov medzi prioritnými oblasťami</w:t>
            </w:r>
          </w:p>
        </w:tc>
        <w:tc>
          <w:tcPr>
            <w:tcW w:w="2693" w:type="dxa"/>
            <w:vMerge w:val="restart"/>
            <w:tcBorders>
              <w:top w:val="single" w:sz="12" w:space="0" w:color="auto"/>
              <w:left w:val="single" w:sz="6"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sz w:val="18"/>
                <w:szCs w:val="18"/>
              </w:rPr>
            </w:pPr>
            <w:r w:rsidRPr="00CE124D">
              <w:rPr>
                <w:sz w:val="18"/>
                <w:szCs w:val="18"/>
              </w:rPr>
              <w:t xml:space="preserve">- </w:t>
            </w:r>
            <w:r>
              <w:rPr>
                <w:sz w:val="18"/>
                <w:szCs w:val="18"/>
              </w:rPr>
              <w:t>výskumné a vývojové</w:t>
            </w:r>
            <w:r w:rsidRPr="00CE124D">
              <w:rPr>
                <w:sz w:val="18"/>
                <w:szCs w:val="18"/>
              </w:rPr>
              <w:t xml:space="preserve"> projekty – krátkodobé, spravidla jednorazové projekty určené pre podniky</w:t>
            </w:r>
          </w:p>
          <w:p w:rsidR="00346681" w:rsidRPr="00CE124D" w:rsidRDefault="00346681" w:rsidP="00BB53FB">
            <w:pPr>
              <w:pStyle w:val="Style18"/>
              <w:widowControl/>
              <w:spacing w:line="240" w:lineRule="auto"/>
              <w:rPr>
                <w:sz w:val="18"/>
                <w:szCs w:val="18"/>
              </w:rPr>
            </w:pPr>
            <w:r w:rsidRPr="00CE124D">
              <w:rPr>
                <w:sz w:val="18"/>
                <w:szCs w:val="18"/>
              </w:rPr>
              <w:t xml:space="preserve">- </w:t>
            </w:r>
            <w:r w:rsidR="000414A9">
              <w:rPr>
                <w:sz w:val="18"/>
                <w:szCs w:val="18"/>
              </w:rPr>
              <w:t>p</w:t>
            </w:r>
            <w:r w:rsidRPr="00CE124D">
              <w:rPr>
                <w:sz w:val="18"/>
                <w:szCs w:val="18"/>
              </w:rPr>
              <w:t>rojekty spolupráce s </w:t>
            </w:r>
            <w:r w:rsidR="003B35FF">
              <w:rPr>
                <w:sz w:val="18"/>
                <w:szCs w:val="18"/>
              </w:rPr>
              <w:t>MNS</w:t>
            </w:r>
          </w:p>
          <w:p w:rsidR="00346681" w:rsidRPr="00CE124D" w:rsidRDefault="00346681" w:rsidP="00BB53FB">
            <w:pPr>
              <w:pStyle w:val="Style18"/>
              <w:widowControl/>
              <w:spacing w:line="240" w:lineRule="auto"/>
              <w:rPr>
                <w:sz w:val="18"/>
                <w:szCs w:val="18"/>
              </w:rPr>
            </w:pPr>
            <w:r w:rsidRPr="00CE124D">
              <w:rPr>
                <w:sz w:val="18"/>
                <w:szCs w:val="18"/>
              </w:rPr>
              <w:t xml:space="preserve">- </w:t>
            </w:r>
            <w:r>
              <w:rPr>
                <w:sz w:val="18"/>
                <w:szCs w:val="18"/>
              </w:rPr>
              <w:t>výskumné</w:t>
            </w:r>
            <w:r w:rsidR="00310D58">
              <w:rPr>
                <w:sz w:val="18"/>
                <w:szCs w:val="18"/>
              </w:rPr>
              <w:t>,</w:t>
            </w:r>
            <w:r>
              <w:rPr>
                <w:sz w:val="18"/>
                <w:szCs w:val="18"/>
              </w:rPr>
              <w:t xml:space="preserve"> vývojové a inovačné</w:t>
            </w:r>
            <w:r w:rsidRPr="00CE124D">
              <w:rPr>
                <w:sz w:val="18"/>
                <w:szCs w:val="18"/>
              </w:rPr>
              <w:t xml:space="preserve"> projekty vzájomnej spolupráce firiem s</w:t>
            </w:r>
            <w:r>
              <w:rPr>
                <w:sz w:val="18"/>
                <w:szCs w:val="18"/>
              </w:rPr>
              <w:t> výskumno-vývojovou</w:t>
            </w:r>
            <w:r w:rsidRPr="00CE124D">
              <w:rPr>
                <w:sz w:val="18"/>
                <w:szCs w:val="18"/>
              </w:rPr>
              <w:t xml:space="preserve"> infraštruktúrou na Slovensku</w:t>
            </w:r>
            <w:r>
              <w:rPr>
                <w:sz w:val="18"/>
                <w:szCs w:val="18"/>
              </w:rPr>
              <w:t xml:space="preserve"> aj formou partnerstiev </w:t>
            </w:r>
            <w:r w:rsidRPr="00310D58">
              <w:rPr>
                <w:sz w:val="18"/>
                <w:szCs w:val="18"/>
              </w:rPr>
              <w:t>(aj ostatné</w:t>
            </w:r>
            <w:r w:rsidR="000414A9" w:rsidRPr="00FE3527">
              <w:rPr>
                <w:sz w:val="18"/>
                <w:szCs w:val="18"/>
              </w:rPr>
              <w:t>,</w:t>
            </w:r>
            <w:r w:rsidRPr="00FB0966">
              <w:rPr>
                <w:sz w:val="18"/>
                <w:szCs w:val="18"/>
              </w:rPr>
              <w:t xml:space="preserve"> ver</w:t>
            </w:r>
            <w:r w:rsidR="00A105D0" w:rsidRPr="00A105D0">
              <w:rPr>
                <w:sz w:val="18"/>
                <w:szCs w:val="18"/>
              </w:rPr>
              <w:t>e</w:t>
            </w:r>
            <w:r w:rsidRPr="00310D58">
              <w:rPr>
                <w:sz w:val="18"/>
                <w:szCs w:val="18"/>
              </w:rPr>
              <w:t>jno-súkromný sektor</w:t>
            </w:r>
            <w:r w:rsidR="000414A9" w:rsidRPr="00FE3527">
              <w:rPr>
                <w:sz w:val="18"/>
                <w:szCs w:val="18"/>
              </w:rPr>
              <w:t>)</w:t>
            </w:r>
          </w:p>
          <w:p w:rsidR="00346681" w:rsidRPr="00CE124D" w:rsidRDefault="00346681" w:rsidP="00BB53FB">
            <w:pPr>
              <w:pStyle w:val="Style18"/>
              <w:widowControl/>
              <w:spacing w:line="240" w:lineRule="auto"/>
              <w:rPr>
                <w:rStyle w:val="FontStyle59"/>
              </w:rPr>
            </w:pPr>
            <w:r w:rsidRPr="00CE124D">
              <w:rPr>
                <w:rStyle w:val="FontStyle59"/>
              </w:rPr>
              <w:t>- inovačné vouchre</w:t>
            </w:r>
          </w:p>
          <w:p w:rsidR="00346681" w:rsidRPr="00CE124D" w:rsidRDefault="00346681" w:rsidP="00BB53FB">
            <w:pPr>
              <w:pStyle w:val="Style18"/>
              <w:widowControl/>
              <w:spacing w:line="240" w:lineRule="auto"/>
              <w:rPr>
                <w:rStyle w:val="FontStyle59"/>
              </w:rPr>
            </w:pPr>
            <w:r w:rsidRPr="00CE124D">
              <w:rPr>
                <w:rStyle w:val="FontStyle59"/>
              </w:rPr>
              <w:t>- schéma SBIR</w:t>
            </w:r>
          </w:p>
          <w:p w:rsidR="00346681" w:rsidRDefault="00346681" w:rsidP="00BB53FB">
            <w:pPr>
              <w:pStyle w:val="Style18"/>
              <w:widowControl/>
              <w:spacing w:line="240" w:lineRule="auto"/>
              <w:rPr>
                <w:rStyle w:val="FontStyle59"/>
              </w:rPr>
            </w:pPr>
            <w:r w:rsidRPr="00CE124D">
              <w:rPr>
                <w:rStyle w:val="FontStyle59"/>
              </w:rPr>
              <w:t>- klastre</w:t>
            </w:r>
          </w:p>
          <w:p w:rsidR="00346681" w:rsidRDefault="00346681" w:rsidP="00BB53FB">
            <w:pPr>
              <w:pStyle w:val="Style18"/>
              <w:widowControl/>
              <w:spacing w:line="240" w:lineRule="auto"/>
              <w:rPr>
                <w:rStyle w:val="FontStyle59"/>
              </w:rPr>
            </w:pPr>
            <w:r>
              <w:rPr>
                <w:rStyle w:val="FontStyle59"/>
              </w:rPr>
              <w:t>-podpora spolupráce MSP</w:t>
            </w:r>
            <w:r w:rsidR="000414A9">
              <w:rPr>
                <w:rStyle w:val="FontStyle59"/>
              </w:rPr>
              <w:t xml:space="preserve"> </w:t>
            </w:r>
            <w:r>
              <w:rPr>
                <w:rStyle w:val="FontStyle59"/>
              </w:rPr>
              <w:t>(vzájomnej, s výskumnými inštitúciami a veľkými podnikmi a </w:t>
            </w:r>
            <w:r w:rsidR="003B35FF">
              <w:rPr>
                <w:rStyle w:val="FontStyle59"/>
              </w:rPr>
              <w:t>MNS</w:t>
            </w:r>
            <w:r>
              <w:rPr>
                <w:rStyle w:val="FontStyle59"/>
              </w:rPr>
              <w:t>) v kľúčových odvetviach</w:t>
            </w:r>
          </w:p>
          <w:p w:rsidR="00346681" w:rsidRPr="00CE124D" w:rsidRDefault="00346681" w:rsidP="00BB53FB">
            <w:pPr>
              <w:pStyle w:val="Style18"/>
              <w:widowControl/>
              <w:spacing w:line="240" w:lineRule="auto"/>
              <w:rPr>
                <w:sz w:val="18"/>
                <w:szCs w:val="18"/>
              </w:rPr>
            </w:pPr>
            <w:r>
              <w:rPr>
                <w:rStyle w:val="FontStyle59"/>
              </w:rPr>
              <w:t>- podpora partnerstiev výskumných inštitúcií a podnikov</w:t>
            </w:r>
          </w:p>
          <w:p w:rsidR="00346681" w:rsidRPr="00CE124D" w:rsidRDefault="00346681" w:rsidP="00BB53FB">
            <w:pPr>
              <w:pStyle w:val="Style18"/>
              <w:spacing w:line="240" w:lineRule="auto"/>
              <w:rPr>
                <w:rStyle w:val="FontStyle59"/>
              </w:rPr>
            </w:pPr>
          </w:p>
        </w:tc>
        <w:tc>
          <w:tcPr>
            <w:tcW w:w="2694" w:type="dxa"/>
            <w:vMerge w:val="restart"/>
            <w:tcBorders>
              <w:top w:val="single" w:sz="12" w:space="0" w:color="auto"/>
              <w:left w:val="single" w:sz="6" w:space="0" w:color="auto"/>
              <w:right w:val="single" w:sz="6" w:space="0" w:color="auto"/>
            </w:tcBorders>
            <w:shd w:val="clear" w:color="auto" w:fill="auto"/>
            <w:vAlign w:val="center"/>
          </w:tcPr>
          <w:p w:rsidR="00346681" w:rsidRPr="00CE124D" w:rsidRDefault="00346681" w:rsidP="00BB53FB">
            <w:pPr>
              <w:pStyle w:val="Odsekzoznamu1"/>
              <w:spacing w:after="0" w:line="240" w:lineRule="auto"/>
              <w:ind w:left="0"/>
              <w:jc w:val="left"/>
              <w:rPr>
                <w:sz w:val="18"/>
                <w:szCs w:val="18"/>
              </w:rPr>
            </w:pPr>
            <w:r w:rsidRPr="00CE124D">
              <w:rPr>
                <w:sz w:val="18"/>
                <w:szCs w:val="18"/>
              </w:rPr>
              <w:t>- počet podporených podnikov,</w:t>
            </w:r>
          </w:p>
          <w:p w:rsidR="00346681" w:rsidRPr="00CE124D" w:rsidRDefault="00346681" w:rsidP="00BB53FB">
            <w:pPr>
              <w:pStyle w:val="Odsekzoznamu1"/>
              <w:spacing w:after="0" w:line="240" w:lineRule="auto"/>
              <w:ind w:left="0"/>
              <w:jc w:val="left"/>
              <w:rPr>
                <w:sz w:val="18"/>
                <w:szCs w:val="18"/>
              </w:rPr>
            </w:pPr>
            <w:r w:rsidRPr="00CE124D">
              <w:rPr>
                <w:sz w:val="18"/>
                <w:szCs w:val="18"/>
              </w:rPr>
              <w:t>- počet podnikov zapojených do dodávateľských sietí pre kľúčový priemysel</w:t>
            </w:r>
          </w:p>
          <w:p w:rsidR="00346681" w:rsidRPr="00CE124D" w:rsidRDefault="00346681" w:rsidP="00BB53FB">
            <w:pPr>
              <w:pStyle w:val="Odsekzoznamu1"/>
              <w:spacing w:after="0" w:line="240" w:lineRule="auto"/>
              <w:ind w:left="0"/>
              <w:jc w:val="left"/>
              <w:rPr>
                <w:sz w:val="18"/>
                <w:szCs w:val="18"/>
              </w:rPr>
            </w:pPr>
            <w:r w:rsidRPr="00CE124D">
              <w:rPr>
                <w:sz w:val="18"/>
                <w:szCs w:val="18"/>
              </w:rPr>
              <w:t>- počet vytvorených spoluprác podnikov s výskumnými inštitúciami</w:t>
            </w:r>
          </w:p>
          <w:p w:rsidR="00346681" w:rsidRPr="00CE124D" w:rsidRDefault="00346681" w:rsidP="00BB53FB">
            <w:pPr>
              <w:pStyle w:val="Style18"/>
              <w:widowControl/>
              <w:spacing w:line="240" w:lineRule="auto"/>
              <w:ind w:firstLine="5"/>
              <w:rPr>
                <w:rStyle w:val="FontStyle59"/>
              </w:rPr>
            </w:pPr>
            <w:r w:rsidRPr="00CE124D">
              <w:rPr>
                <w:sz w:val="18"/>
                <w:szCs w:val="18"/>
              </w:rPr>
              <w:t>- počet vytvorených pracovných miest</w:t>
            </w:r>
          </w:p>
        </w:tc>
        <w:tc>
          <w:tcPr>
            <w:tcW w:w="2268" w:type="dxa"/>
            <w:vMerge w:val="restart"/>
            <w:tcBorders>
              <w:top w:val="single" w:sz="12" w:space="0" w:color="auto"/>
              <w:left w:val="single" w:sz="6" w:space="0" w:color="auto"/>
              <w:right w:val="single" w:sz="6" w:space="0" w:color="auto"/>
            </w:tcBorders>
            <w:shd w:val="clear" w:color="auto" w:fill="auto"/>
            <w:vAlign w:val="center"/>
          </w:tcPr>
          <w:p w:rsidR="00346681" w:rsidRPr="00CE124D" w:rsidRDefault="00346681" w:rsidP="00570AC1">
            <w:pPr>
              <w:pStyle w:val="Style18"/>
              <w:spacing w:line="240" w:lineRule="auto"/>
              <w:rPr>
                <w:sz w:val="18"/>
                <w:szCs w:val="18"/>
              </w:rPr>
            </w:pPr>
            <w:r w:rsidRPr="00CE124D">
              <w:rPr>
                <w:rStyle w:val="FontStyle59"/>
              </w:rPr>
              <w:t xml:space="preserve">- </w:t>
            </w:r>
            <w:r w:rsidRPr="00CE124D">
              <w:rPr>
                <w:sz w:val="18"/>
                <w:szCs w:val="18"/>
              </w:rPr>
              <w:t>podniky</w:t>
            </w:r>
            <w:r>
              <w:rPr>
                <w:sz w:val="18"/>
                <w:szCs w:val="18"/>
              </w:rPr>
              <w:t xml:space="preserve"> v dodávateľských sieťach </w:t>
            </w:r>
          </w:p>
          <w:p w:rsidR="00346681" w:rsidRPr="00CE124D" w:rsidRDefault="00346681" w:rsidP="00BB53FB">
            <w:pPr>
              <w:pStyle w:val="Style18"/>
              <w:spacing w:line="240" w:lineRule="auto"/>
              <w:rPr>
                <w:sz w:val="18"/>
                <w:szCs w:val="18"/>
              </w:rPr>
            </w:pPr>
            <w:r w:rsidRPr="00CE124D">
              <w:rPr>
                <w:sz w:val="18"/>
                <w:szCs w:val="18"/>
              </w:rPr>
              <w:t>- vysoké školy</w:t>
            </w:r>
          </w:p>
          <w:p w:rsidR="00346681" w:rsidRPr="00CE124D" w:rsidRDefault="00346681" w:rsidP="00BB53FB">
            <w:pPr>
              <w:pStyle w:val="Style18"/>
              <w:spacing w:line="240" w:lineRule="auto"/>
              <w:rPr>
                <w:sz w:val="18"/>
                <w:szCs w:val="18"/>
              </w:rPr>
            </w:pPr>
            <w:r w:rsidRPr="00CE124D">
              <w:rPr>
                <w:sz w:val="18"/>
                <w:szCs w:val="18"/>
              </w:rPr>
              <w:t>- výskumné ústavy</w:t>
            </w:r>
          </w:p>
          <w:p w:rsidR="00346681" w:rsidRPr="00CE124D" w:rsidRDefault="00346681" w:rsidP="00BB53FB">
            <w:pPr>
              <w:pStyle w:val="Style18"/>
              <w:spacing w:line="240" w:lineRule="auto"/>
              <w:rPr>
                <w:rStyle w:val="FontStyle59"/>
              </w:rPr>
            </w:pPr>
            <w:r w:rsidRPr="00CE124D">
              <w:rPr>
                <w:sz w:val="18"/>
                <w:szCs w:val="18"/>
              </w:rPr>
              <w:t>- SAV</w:t>
            </w:r>
          </w:p>
        </w:tc>
        <w:tc>
          <w:tcPr>
            <w:tcW w:w="2612" w:type="dxa"/>
            <w:gridSpan w:val="2"/>
            <w:vMerge w:val="restart"/>
            <w:tcBorders>
              <w:top w:val="single" w:sz="12" w:space="0" w:color="auto"/>
              <w:left w:val="single" w:sz="6" w:space="0" w:color="auto"/>
              <w:right w:val="single" w:sz="12" w:space="0" w:color="auto"/>
            </w:tcBorders>
            <w:shd w:val="clear" w:color="auto" w:fill="auto"/>
          </w:tcPr>
          <w:p w:rsidR="00346681" w:rsidRPr="00CE124D" w:rsidRDefault="00346681" w:rsidP="00BB53FB">
            <w:pPr>
              <w:spacing w:after="0" w:line="240" w:lineRule="auto"/>
              <w:jc w:val="center"/>
              <w:rPr>
                <w:sz w:val="18"/>
                <w:szCs w:val="18"/>
              </w:rPr>
            </w:pPr>
          </w:p>
          <w:p w:rsidR="00346681" w:rsidRPr="00CE124D" w:rsidRDefault="00346681" w:rsidP="00BB53FB">
            <w:pPr>
              <w:pStyle w:val="Style18"/>
              <w:widowControl/>
              <w:spacing w:line="240" w:lineRule="auto"/>
              <w:ind w:firstLine="5"/>
              <w:rPr>
                <w:sz w:val="18"/>
                <w:szCs w:val="18"/>
              </w:rPr>
            </w:pPr>
            <w:r w:rsidRPr="00CE124D">
              <w:rPr>
                <w:sz w:val="18"/>
                <w:szCs w:val="18"/>
              </w:rPr>
              <w:t xml:space="preserve">MH SR </w:t>
            </w:r>
          </w:p>
          <w:p w:rsidR="00346681" w:rsidRPr="00CE124D" w:rsidRDefault="00346681" w:rsidP="00BB53FB">
            <w:pPr>
              <w:pStyle w:val="Style18"/>
              <w:widowControl/>
              <w:spacing w:line="240" w:lineRule="auto"/>
              <w:ind w:firstLine="5"/>
              <w:rPr>
                <w:rStyle w:val="FontStyle59"/>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shd w:val="clear" w:color="auto" w:fill="auto"/>
            <w:vAlign w:val="center"/>
          </w:tcPr>
          <w:p w:rsidR="00346681" w:rsidRPr="00CE124D" w:rsidRDefault="00346681" w:rsidP="00BB53FB">
            <w:pPr>
              <w:spacing w:after="0" w:line="240" w:lineRule="auto"/>
              <w:rPr>
                <w:rStyle w:val="FontStyle59"/>
                <w:b/>
              </w:rPr>
            </w:pPr>
          </w:p>
        </w:tc>
        <w:tc>
          <w:tcPr>
            <w:tcW w:w="100" w:type="dxa"/>
            <w:tcBorders>
              <w:top w:val="nil"/>
              <w:left w:val="nil"/>
              <w:bottom w:val="single" w:sz="12" w:space="0" w:color="auto"/>
              <w:right w:val="single" w:sz="6" w:space="0" w:color="auto"/>
            </w:tcBorders>
            <w:shd w:val="clear" w:color="auto" w:fill="auto"/>
            <w:vAlign w:val="center"/>
          </w:tcPr>
          <w:p w:rsidR="00346681" w:rsidRPr="00CE124D" w:rsidRDefault="00346681" w:rsidP="00BB53FB">
            <w:pPr>
              <w:spacing w:after="0" w:line="240" w:lineRule="auto"/>
              <w:rPr>
                <w:rStyle w:val="FontStyle59"/>
              </w:rPr>
            </w:pPr>
          </w:p>
          <w:p w:rsidR="00346681" w:rsidRPr="00CE124D" w:rsidRDefault="00346681" w:rsidP="00BB53FB">
            <w:pPr>
              <w:spacing w:after="0" w:line="240" w:lineRule="auto"/>
              <w:rPr>
                <w:rStyle w:val="FontStyle59"/>
              </w:rPr>
            </w:pPr>
          </w:p>
        </w:tc>
        <w:tc>
          <w:tcPr>
            <w:tcW w:w="2735" w:type="dxa"/>
            <w:tcBorders>
              <w:top w:val="single" w:sz="6" w:space="0" w:color="auto"/>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left="5" w:hanging="5"/>
              <w:rPr>
                <w:rStyle w:val="FontStyle59"/>
              </w:rPr>
            </w:pPr>
            <w:r w:rsidRPr="00CE124D">
              <w:rPr>
                <w:sz w:val="18"/>
                <w:szCs w:val="18"/>
              </w:rPr>
              <w:t>1.1.2.Podpora ukotvenia kľúčových odvetví prostredníctvom</w:t>
            </w:r>
            <w:r>
              <w:rPr>
                <w:sz w:val="18"/>
                <w:szCs w:val="18"/>
              </w:rPr>
              <w:t xml:space="preserve">, napr. prostredníctvom </w:t>
            </w:r>
            <w:r w:rsidRPr="00CE124D">
              <w:rPr>
                <w:sz w:val="18"/>
                <w:szCs w:val="18"/>
              </w:rPr>
              <w:t>klastrov a iných foriem sieťovania aj na miestnej, regionálnej, národnej a makroregionálnej úrovni</w:t>
            </w:r>
          </w:p>
        </w:tc>
        <w:tc>
          <w:tcPr>
            <w:tcW w:w="2693" w:type="dxa"/>
            <w:vMerge/>
            <w:tcBorders>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rStyle w:val="FontStyle59"/>
              </w:rPr>
            </w:pPr>
          </w:p>
        </w:tc>
        <w:tc>
          <w:tcPr>
            <w:tcW w:w="2694" w:type="dxa"/>
            <w:vMerge/>
            <w:tcBorders>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rStyle w:val="FontStyle59"/>
              </w:rPr>
            </w:pPr>
          </w:p>
        </w:tc>
        <w:tc>
          <w:tcPr>
            <w:tcW w:w="2612" w:type="dxa"/>
            <w:gridSpan w:val="2"/>
            <w:vMerge/>
            <w:tcBorders>
              <w:left w:val="single" w:sz="6" w:space="0" w:color="auto"/>
              <w:bottom w:val="single" w:sz="12" w:space="0" w:color="auto"/>
              <w:right w:val="single" w:sz="12" w:space="0" w:color="auto"/>
            </w:tcBorders>
            <w:shd w:val="clear" w:color="auto" w:fill="auto"/>
            <w:vAlign w:val="center"/>
          </w:tcPr>
          <w:p w:rsidR="00346681" w:rsidRPr="00CE124D" w:rsidRDefault="00346681" w:rsidP="00BB53FB">
            <w:pPr>
              <w:pStyle w:val="Style10"/>
              <w:spacing w:line="240" w:lineRule="auto"/>
              <w:ind w:firstLine="5"/>
              <w:rPr>
                <w:rStyle w:val="FontStyle59"/>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shd w:val="clear" w:color="auto" w:fill="auto"/>
            <w:vAlign w:val="center"/>
          </w:tcPr>
          <w:p w:rsidR="00F042FE" w:rsidRPr="005837A8" w:rsidRDefault="00346681" w:rsidP="00BB53FB">
            <w:pPr>
              <w:pStyle w:val="Style47"/>
              <w:widowControl/>
              <w:spacing w:line="240" w:lineRule="auto"/>
              <w:ind w:firstLine="5"/>
              <w:rPr>
                <w:b/>
                <w:sz w:val="18"/>
                <w:szCs w:val="18"/>
              </w:rPr>
            </w:pPr>
            <w:r w:rsidRPr="005837A8">
              <w:rPr>
                <w:b/>
                <w:sz w:val="18"/>
                <w:szCs w:val="18"/>
              </w:rPr>
              <w:t xml:space="preserve">1.2.Technologický upgrade pre štrukturálne zmeny </w:t>
            </w:r>
          </w:p>
          <w:p w:rsidR="00346681" w:rsidRPr="00CE124D" w:rsidRDefault="00346681" w:rsidP="00BB53FB">
            <w:pPr>
              <w:pStyle w:val="Style47"/>
              <w:widowControl/>
              <w:spacing w:line="240" w:lineRule="auto"/>
              <w:ind w:firstLine="5"/>
              <w:rPr>
                <w:rStyle w:val="FontStyle57"/>
                <w:b w:val="0"/>
              </w:rPr>
            </w:pPr>
            <w:r w:rsidRPr="005837A8">
              <w:rPr>
                <w:b/>
                <w:sz w:val="18"/>
                <w:szCs w:val="18"/>
              </w:rPr>
              <w:t>v priemysle</w:t>
            </w:r>
          </w:p>
        </w:tc>
        <w:tc>
          <w:tcPr>
            <w:tcW w:w="100" w:type="dxa"/>
            <w:tcBorders>
              <w:top w:val="single" w:sz="12" w:space="0" w:color="auto"/>
              <w:left w:val="nil"/>
              <w:bottom w:val="single" w:sz="6" w:space="0" w:color="auto"/>
              <w:right w:val="single" w:sz="6" w:space="0" w:color="auto"/>
            </w:tcBorders>
            <w:shd w:val="clear" w:color="auto" w:fill="auto"/>
            <w:vAlign w:val="center"/>
          </w:tcPr>
          <w:p w:rsidR="00346681" w:rsidRPr="00CE124D" w:rsidRDefault="00346681" w:rsidP="00BB53FB">
            <w:pPr>
              <w:pStyle w:val="Style6"/>
              <w:widowControl/>
            </w:pPr>
          </w:p>
        </w:tc>
        <w:tc>
          <w:tcPr>
            <w:tcW w:w="2735" w:type="dxa"/>
            <w:tcBorders>
              <w:top w:val="single" w:sz="12"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firstLine="10"/>
              <w:rPr>
                <w:rStyle w:val="FontStyle59"/>
              </w:rPr>
            </w:pPr>
            <w:r w:rsidRPr="00CE124D">
              <w:rPr>
                <w:sz w:val="18"/>
                <w:szCs w:val="18"/>
              </w:rPr>
              <w:t>1.2.1.Podpora štrukturálnych zmien v priemysle a podpora zvyšovania technologickej úrovne firiem</w:t>
            </w:r>
          </w:p>
        </w:tc>
        <w:tc>
          <w:tcPr>
            <w:tcW w:w="2693" w:type="dxa"/>
            <w:tcBorders>
              <w:top w:val="single" w:sz="12"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left="10" w:hanging="10"/>
              <w:rPr>
                <w:sz w:val="18"/>
                <w:szCs w:val="18"/>
              </w:rPr>
            </w:pPr>
            <w:r w:rsidRPr="00CE124D">
              <w:rPr>
                <w:sz w:val="18"/>
                <w:szCs w:val="18"/>
              </w:rPr>
              <w:t xml:space="preserve">- Podpora </w:t>
            </w:r>
            <w:r w:rsidR="00E824EE">
              <w:rPr>
                <w:sz w:val="18"/>
                <w:szCs w:val="18"/>
              </w:rPr>
              <w:t>p</w:t>
            </w:r>
            <w:r w:rsidRPr="00CE124D">
              <w:rPr>
                <w:sz w:val="18"/>
                <w:szCs w:val="18"/>
              </w:rPr>
              <w:t>rojektov</w:t>
            </w:r>
            <w:r w:rsidRPr="00CE124D">
              <w:rPr>
                <w:rStyle w:val="FontStyle59"/>
              </w:rPr>
              <w:t xml:space="preserve"> </w:t>
            </w:r>
            <w:r w:rsidR="00E824EE">
              <w:rPr>
                <w:rStyle w:val="FontStyle59"/>
              </w:rPr>
              <w:t>t</w:t>
            </w:r>
            <w:r w:rsidRPr="00CE124D">
              <w:rPr>
                <w:rStyle w:val="FontStyle59"/>
              </w:rPr>
              <w:t xml:space="preserve">ransferu </w:t>
            </w:r>
            <w:r w:rsidR="00E824EE">
              <w:rPr>
                <w:rStyle w:val="FontStyle59"/>
              </w:rPr>
              <w:t>t</w:t>
            </w:r>
            <w:r w:rsidRPr="00CE124D">
              <w:rPr>
                <w:rStyle w:val="FontStyle59"/>
              </w:rPr>
              <w:t>echnológ</w:t>
            </w:r>
            <w:r w:rsidR="00E824EE">
              <w:rPr>
                <w:rStyle w:val="FontStyle59"/>
              </w:rPr>
              <w:t>i</w:t>
            </w:r>
            <w:r w:rsidRPr="00CE124D">
              <w:rPr>
                <w:rStyle w:val="FontStyle59"/>
              </w:rPr>
              <w:t>í</w:t>
            </w:r>
            <w:r w:rsidRPr="00CE124D">
              <w:rPr>
                <w:sz w:val="18"/>
                <w:szCs w:val="18"/>
              </w:rPr>
              <w:t xml:space="preserve"> </w:t>
            </w:r>
          </w:p>
          <w:p w:rsidR="00346681" w:rsidRPr="001D32FD" w:rsidRDefault="00346681" w:rsidP="00BB53FB">
            <w:pPr>
              <w:pStyle w:val="Style10"/>
              <w:widowControl/>
              <w:spacing w:line="240" w:lineRule="auto"/>
              <w:ind w:left="10" w:hanging="10"/>
              <w:rPr>
                <w:sz w:val="18"/>
                <w:szCs w:val="18"/>
              </w:rPr>
            </w:pPr>
            <w:r w:rsidRPr="00CE124D">
              <w:rPr>
                <w:sz w:val="18"/>
                <w:szCs w:val="18"/>
              </w:rPr>
              <w:t xml:space="preserve">- </w:t>
            </w:r>
            <w:r w:rsidR="00E824EE">
              <w:rPr>
                <w:sz w:val="18"/>
                <w:szCs w:val="18"/>
              </w:rPr>
              <w:t>i</w:t>
            </w:r>
            <w:r w:rsidRPr="001D32FD">
              <w:rPr>
                <w:sz w:val="18"/>
                <w:szCs w:val="18"/>
              </w:rPr>
              <w:t>novačné vouchre</w:t>
            </w:r>
          </w:p>
          <w:p w:rsidR="00346681" w:rsidRPr="00CE124D" w:rsidRDefault="00346681" w:rsidP="001D32FD">
            <w:pPr>
              <w:pStyle w:val="Style10"/>
              <w:widowControl/>
              <w:spacing w:line="240" w:lineRule="auto"/>
              <w:ind w:left="10" w:hanging="10"/>
              <w:rPr>
                <w:rStyle w:val="FontStyle59"/>
              </w:rPr>
            </w:pPr>
            <w:r w:rsidRPr="001D32FD">
              <w:rPr>
                <w:sz w:val="18"/>
                <w:szCs w:val="18"/>
              </w:rPr>
              <w:t>- finančné nástroje (úverové, záručné schémy, rizikový kapitál)</w:t>
            </w:r>
          </w:p>
        </w:tc>
        <w:tc>
          <w:tcPr>
            <w:tcW w:w="2694" w:type="dxa"/>
            <w:vMerge w:val="restart"/>
            <w:tcBorders>
              <w:top w:val="single" w:sz="12" w:space="0" w:color="auto"/>
              <w:left w:val="single" w:sz="6" w:space="0" w:color="auto"/>
              <w:right w:val="single" w:sz="6" w:space="0" w:color="auto"/>
            </w:tcBorders>
            <w:shd w:val="clear" w:color="auto" w:fill="auto"/>
            <w:vAlign w:val="center"/>
          </w:tcPr>
          <w:p w:rsidR="00346681" w:rsidRPr="00CE124D" w:rsidRDefault="00346681" w:rsidP="00BB53FB">
            <w:pPr>
              <w:pStyle w:val="Odsekzoznamu1"/>
              <w:spacing w:after="0" w:line="240" w:lineRule="auto"/>
              <w:ind w:left="0"/>
              <w:jc w:val="left"/>
              <w:rPr>
                <w:sz w:val="18"/>
                <w:szCs w:val="18"/>
              </w:rPr>
            </w:pPr>
            <w:r w:rsidRPr="00CE124D">
              <w:t xml:space="preserve">- </w:t>
            </w:r>
            <w:r w:rsidRPr="00CE124D">
              <w:rPr>
                <w:sz w:val="18"/>
                <w:szCs w:val="18"/>
              </w:rPr>
              <w:t>počet podporených podnikov</w:t>
            </w:r>
          </w:p>
          <w:p w:rsidR="00346681" w:rsidRPr="00CE124D" w:rsidRDefault="00346681" w:rsidP="00BB53FB">
            <w:pPr>
              <w:pStyle w:val="Odsekzoznamu1"/>
              <w:spacing w:after="0" w:line="240" w:lineRule="auto"/>
              <w:ind w:left="0"/>
              <w:jc w:val="left"/>
              <w:rPr>
                <w:sz w:val="18"/>
                <w:szCs w:val="18"/>
              </w:rPr>
            </w:pPr>
            <w:r w:rsidRPr="00CE124D">
              <w:rPr>
                <w:sz w:val="18"/>
                <w:szCs w:val="18"/>
              </w:rPr>
              <w:t>- počet podnikov zapojených do dodávateľských sietí pre kľúčový priemysel</w:t>
            </w:r>
          </w:p>
          <w:p w:rsidR="00346681" w:rsidRPr="00CE124D" w:rsidRDefault="00346681" w:rsidP="00BB53FB">
            <w:pPr>
              <w:pStyle w:val="Odsekzoznamu1"/>
              <w:spacing w:after="0" w:line="240" w:lineRule="auto"/>
              <w:ind w:left="0"/>
              <w:jc w:val="left"/>
              <w:rPr>
                <w:sz w:val="18"/>
                <w:szCs w:val="18"/>
              </w:rPr>
            </w:pPr>
            <w:r w:rsidRPr="00CE124D">
              <w:rPr>
                <w:sz w:val="18"/>
                <w:szCs w:val="18"/>
              </w:rPr>
              <w:t>- počet vytvorených spoluprác podnikov s výskumnými inštitúciami</w:t>
            </w:r>
          </w:p>
          <w:p w:rsidR="00346681" w:rsidRPr="00CE124D" w:rsidRDefault="00346681" w:rsidP="00BB53FB">
            <w:pPr>
              <w:pStyle w:val="Odsekzoznamu1"/>
              <w:spacing w:after="0" w:line="240" w:lineRule="auto"/>
              <w:ind w:left="0"/>
              <w:jc w:val="left"/>
              <w:rPr>
                <w:sz w:val="18"/>
                <w:szCs w:val="18"/>
              </w:rPr>
            </w:pPr>
            <w:r w:rsidRPr="00CE124D">
              <w:rPr>
                <w:sz w:val="18"/>
                <w:szCs w:val="18"/>
              </w:rPr>
              <w:t>- počet vytvorených pracovných miest</w:t>
            </w:r>
          </w:p>
          <w:p w:rsidR="00E824EE" w:rsidRDefault="00346681" w:rsidP="00BB53FB">
            <w:pPr>
              <w:pStyle w:val="Odsekzoznamu1"/>
              <w:spacing w:after="0" w:line="240" w:lineRule="auto"/>
              <w:ind w:left="0"/>
              <w:jc w:val="left"/>
              <w:rPr>
                <w:sz w:val="18"/>
                <w:szCs w:val="18"/>
              </w:rPr>
            </w:pPr>
            <w:r w:rsidRPr="00CE124D">
              <w:rPr>
                <w:sz w:val="18"/>
                <w:szCs w:val="18"/>
              </w:rPr>
              <w:t xml:space="preserve">- počet udržaných pracovných miest </w:t>
            </w:r>
          </w:p>
          <w:p w:rsidR="00346681" w:rsidRPr="00CE124D" w:rsidRDefault="00E824EE" w:rsidP="00BB53FB">
            <w:pPr>
              <w:pStyle w:val="Odsekzoznamu1"/>
              <w:spacing w:after="0" w:line="240" w:lineRule="auto"/>
              <w:ind w:left="0"/>
              <w:jc w:val="left"/>
              <w:rPr>
                <w:rStyle w:val="FontStyle59"/>
              </w:rPr>
            </w:pPr>
            <w:r w:rsidRPr="003C713F">
              <w:rPr>
                <w:sz w:val="18"/>
                <w:szCs w:val="18"/>
              </w:rPr>
              <w:t>-</w:t>
            </w:r>
            <w:r>
              <w:rPr>
                <w:sz w:val="18"/>
                <w:szCs w:val="18"/>
              </w:rPr>
              <w:t xml:space="preserve"> </w:t>
            </w:r>
            <w:r w:rsidR="00346681" w:rsidRPr="00CE124D">
              <w:rPr>
                <w:sz w:val="18"/>
                <w:szCs w:val="18"/>
              </w:rPr>
              <w:t>podiel podnikov zavádzajúcich technologickú inováciu</w:t>
            </w:r>
          </w:p>
        </w:tc>
        <w:tc>
          <w:tcPr>
            <w:tcW w:w="2268" w:type="dxa"/>
            <w:vMerge w:val="restart"/>
            <w:tcBorders>
              <w:top w:val="single" w:sz="12" w:space="0" w:color="auto"/>
              <w:left w:val="single" w:sz="6" w:space="0" w:color="auto"/>
              <w:right w:val="single" w:sz="6" w:space="0" w:color="auto"/>
            </w:tcBorders>
            <w:shd w:val="clear" w:color="auto" w:fill="auto"/>
            <w:vAlign w:val="center"/>
          </w:tcPr>
          <w:p w:rsidR="00346681" w:rsidRPr="00CE124D" w:rsidRDefault="00346681" w:rsidP="00570AC1">
            <w:pPr>
              <w:pStyle w:val="Style18"/>
              <w:spacing w:line="240" w:lineRule="auto"/>
              <w:rPr>
                <w:sz w:val="18"/>
                <w:szCs w:val="18"/>
              </w:rPr>
            </w:pPr>
            <w:r w:rsidRPr="00CE124D">
              <w:rPr>
                <w:rStyle w:val="FontStyle59"/>
              </w:rPr>
              <w:t xml:space="preserve">- </w:t>
            </w:r>
            <w:r w:rsidRPr="00CE124D">
              <w:rPr>
                <w:sz w:val="18"/>
                <w:szCs w:val="18"/>
              </w:rPr>
              <w:t>podniky</w:t>
            </w:r>
            <w:r>
              <w:rPr>
                <w:sz w:val="18"/>
                <w:szCs w:val="18"/>
              </w:rPr>
              <w:t xml:space="preserve"> v dodávateľských sieťach </w:t>
            </w:r>
          </w:p>
          <w:p w:rsidR="00346681" w:rsidRPr="00CE124D" w:rsidRDefault="00346681" w:rsidP="00BB53FB">
            <w:pPr>
              <w:pStyle w:val="Style18"/>
              <w:spacing w:line="240" w:lineRule="auto"/>
              <w:rPr>
                <w:sz w:val="18"/>
                <w:szCs w:val="18"/>
              </w:rPr>
            </w:pPr>
            <w:r w:rsidRPr="00CE124D">
              <w:rPr>
                <w:sz w:val="18"/>
                <w:szCs w:val="18"/>
              </w:rPr>
              <w:t>- vysoké školy</w:t>
            </w:r>
          </w:p>
          <w:p w:rsidR="00346681" w:rsidRPr="00CE124D" w:rsidRDefault="00346681" w:rsidP="00BB53FB">
            <w:pPr>
              <w:pStyle w:val="Style18"/>
              <w:spacing w:line="240" w:lineRule="auto"/>
              <w:rPr>
                <w:sz w:val="18"/>
                <w:szCs w:val="18"/>
              </w:rPr>
            </w:pPr>
            <w:r w:rsidRPr="00CE124D">
              <w:rPr>
                <w:sz w:val="18"/>
                <w:szCs w:val="18"/>
              </w:rPr>
              <w:t>- výskumné ústavy</w:t>
            </w:r>
          </w:p>
          <w:p w:rsidR="00346681" w:rsidRPr="00CE124D" w:rsidRDefault="00346681" w:rsidP="00BB53FB">
            <w:pPr>
              <w:pStyle w:val="Style18"/>
              <w:widowControl/>
              <w:spacing w:line="240" w:lineRule="auto"/>
              <w:ind w:firstLine="10"/>
              <w:rPr>
                <w:rStyle w:val="FontStyle59"/>
              </w:rPr>
            </w:pPr>
            <w:r w:rsidRPr="00CE124D">
              <w:rPr>
                <w:sz w:val="18"/>
                <w:szCs w:val="18"/>
              </w:rPr>
              <w:t>- SAV</w:t>
            </w:r>
          </w:p>
        </w:tc>
        <w:tc>
          <w:tcPr>
            <w:tcW w:w="2612" w:type="dxa"/>
            <w:gridSpan w:val="2"/>
            <w:vMerge w:val="restart"/>
            <w:tcBorders>
              <w:top w:val="single" w:sz="12" w:space="0" w:color="auto"/>
              <w:left w:val="single" w:sz="6" w:space="0" w:color="auto"/>
              <w:right w:val="single" w:sz="12" w:space="0" w:color="auto"/>
            </w:tcBorders>
            <w:shd w:val="clear" w:color="auto" w:fill="auto"/>
            <w:vAlign w:val="center"/>
          </w:tcPr>
          <w:p w:rsidR="00346681" w:rsidRPr="00CE124D" w:rsidRDefault="00346681" w:rsidP="000414A9">
            <w:pPr>
              <w:pStyle w:val="Style10"/>
              <w:widowControl/>
              <w:spacing w:line="240" w:lineRule="auto"/>
              <w:ind w:firstLine="5"/>
              <w:rPr>
                <w:rStyle w:val="FontStyle59"/>
              </w:rPr>
            </w:pPr>
            <w:r w:rsidRPr="00CE124D">
              <w:rPr>
                <w:sz w:val="18"/>
                <w:szCs w:val="18"/>
              </w:rPr>
              <w:t>MH SR a MŠVVaŠ</w:t>
            </w:r>
            <w:r w:rsidRPr="00CE124D">
              <w:rPr>
                <w:rStyle w:val="FontStyle59"/>
              </w:rPr>
              <w:t xml:space="preserve"> </w:t>
            </w:r>
            <w:r w:rsidR="000414A9">
              <w:rPr>
                <w:rStyle w:val="FontStyle59"/>
              </w:rPr>
              <w:t>SR</w:t>
            </w:r>
          </w:p>
        </w:tc>
      </w:tr>
      <w:tr w:rsidR="00346681" w:rsidRPr="00CE124D" w:rsidTr="002D4651">
        <w:trPr>
          <w:gridAfter w:val="1"/>
          <w:wAfter w:w="28" w:type="dxa"/>
        </w:trPr>
        <w:tc>
          <w:tcPr>
            <w:tcW w:w="1702" w:type="dxa"/>
            <w:vMerge/>
            <w:tcBorders>
              <w:left w:val="single" w:sz="12" w:space="0" w:color="auto"/>
              <w:right w:val="nil"/>
            </w:tcBorders>
            <w:shd w:val="clear" w:color="auto" w:fill="auto"/>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6" w:space="0" w:color="auto"/>
              <w:right w:val="single" w:sz="6" w:space="0" w:color="auto"/>
            </w:tcBorders>
            <w:shd w:val="clear" w:color="auto" w:fill="auto"/>
            <w:vAlign w:val="center"/>
          </w:tcPr>
          <w:p w:rsidR="00346681" w:rsidRPr="00CE124D" w:rsidRDefault="00346681" w:rsidP="00BB53FB">
            <w:pPr>
              <w:pStyle w:val="Style6"/>
              <w:widowControl/>
            </w:pPr>
          </w:p>
        </w:tc>
        <w:tc>
          <w:tcPr>
            <w:tcW w:w="2735" w:type="dxa"/>
            <w:tcBorders>
              <w:top w:val="single" w:sz="6"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E824EE">
            <w:pPr>
              <w:pStyle w:val="Style10"/>
              <w:widowControl/>
              <w:spacing w:line="240" w:lineRule="auto"/>
              <w:ind w:firstLine="10"/>
              <w:rPr>
                <w:rStyle w:val="FontStyle59"/>
              </w:rPr>
            </w:pPr>
            <w:r w:rsidRPr="00CE124D">
              <w:rPr>
                <w:sz w:val="18"/>
                <w:szCs w:val="18"/>
              </w:rPr>
              <w:t>1.2.2.Podpora vzájomnej spoluprác</w:t>
            </w:r>
            <w:r w:rsidR="00E824EE">
              <w:rPr>
                <w:sz w:val="18"/>
                <w:szCs w:val="18"/>
              </w:rPr>
              <w:t>e</w:t>
            </w:r>
            <w:r w:rsidRPr="00CE124D">
              <w:rPr>
                <w:sz w:val="18"/>
                <w:szCs w:val="18"/>
              </w:rPr>
              <w:t xml:space="preserve"> firiem s</w:t>
            </w:r>
            <w:r>
              <w:rPr>
                <w:sz w:val="18"/>
                <w:szCs w:val="18"/>
              </w:rPr>
              <w:t xml:space="preserve"> </w:t>
            </w:r>
            <w:r w:rsidRPr="00CE124D">
              <w:rPr>
                <w:sz w:val="18"/>
                <w:szCs w:val="18"/>
              </w:rPr>
              <w:t>akademickým a univerzitným výskumom na riešení projektov s inovačným potenciálom</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left="10" w:hanging="10"/>
              <w:rPr>
                <w:sz w:val="18"/>
                <w:szCs w:val="18"/>
              </w:rPr>
            </w:pPr>
            <w:r w:rsidRPr="00CE124D">
              <w:rPr>
                <w:sz w:val="18"/>
                <w:szCs w:val="18"/>
              </w:rPr>
              <w:t xml:space="preserve">- </w:t>
            </w:r>
            <w:r w:rsidR="00E824EE">
              <w:rPr>
                <w:sz w:val="18"/>
                <w:szCs w:val="18"/>
              </w:rPr>
              <w:t>p</w:t>
            </w:r>
            <w:r w:rsidRPr="00CE124D">
              <w:rPr>
                <w:sz w:val="18"/>
                <w:szCs w:val="18"/>
              </w:rPr>
              <w:t>rojekty výskumu, vývoja a inovácií v podnikoch</w:t>
            </w:r>
          </w:p>
          <w:p w:rsidR="00346681" w:rsidRDefault="00346681" w:rsidP="00BB53FB">
            <w:pPr>
              <w:pStyle w:val="Style10"/>
              <w:widowControl/>
              <w:spacing w:line="240" w:lineRule="auto"/>
              <w:ind w:left="10" w:hanging="10"/>
              <w:rPr>
                <w:sz w:val="18"/>
                <w:szCs w:val="18"/>
              </w:rPr>
            </w:pPr>
            <w:r w:rsidRPr="00CE124D">
              <w:rPr>
                <w:sz w:val="18"/>
                <w:szCs w:val="18"/>
              </w:rPr>
              <w:t xml:space="preserve">- </w:t>
            </w:r>
            <w:r w:rsidR="00E824EE">
              <w:rPr>
                <w:sz w:val="18"/>
                <w:szCs w:val="18"/>
              </w:rPr>
              <w:t>l</w:t>
            </w:r>
            <w:r w:rsidRPr="00CE124D">
              <w:rPr>
                <w:sz w:val="18"/>
                <w:szCs w:val="18"/>
              </w:rPr>
              <w:t xml:space="preserve">egislatívne zmeny </w:t>
            </w:r>
          </w:p>
          <w:p w:rsidR="00346681" w:rsidRPr="00CE124D" w:rsidRDefault="00346681" w:rsidP="00BB53FB">
            <w:pPr>
              <w:pStyle w:val="Style10"/>
              <w:widowControl/>
              <w:spacing w:line="240" w:lineRule="auto"/>
              <w:ind w:left="10" w:hanging="10"/>
              <w:rPr>
                <w:sz w:val="18"/>
                <w:szCs w:val="18"/>
              </w:rPr>
            </w:pPr>
            <w:r>
              <w:rPr>
                <w:rStyle w:val="FontStyle59"/>
              </w:rPr>
              <w:t>- podpora partnerstiev výskumných inštitúcií a podnikov</w:t>
            </w:r>
          </w:p>
          <w:p w:rsidR="00346681" w:rsidRPr="00CE124D" w:rsidRDefault="00346681" w:rsidP="00BB53FB">
            <w:pPr>
              <w:pStyle w:val="Style10"/>
              <w:widowControl/>
              <w:spacing w:line="240" w:lineRule="auto"/>
              <w:ind w:left="10" w:hanging="10"/>
              <w:rPr>
                <w:rStyle w:val="FontStyle59"/>
              </w:rPr>
            </w:pPr>
          </w:p>
        </w:tc>
        <w:tc>
          <w:tcPr>
            <w:tcW w:w="2694" w:type="dxa"/>
            <w:vMerge/>
            <w:tcBorders>
              <w:left w:val="single" w:sz="6"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right w:val="single" w:sz="6" w:space="0" w:color="auto"/>
            </w:tcBorders>
            <w:shd w:val="clear" w:color="auto" w:fill="auto"/>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right w:val="single" w:sz="12" w:space="0" w:color="auto"/>
            </w:tcBorders>
            <w:shd w:val="clear" w:color="auto" w:fill="auto"/>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shd w:val="clear" w:color="auto" w:fill="auto"/>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12" w:space="0" w:color="auto"/>
              <w:right w:val="single" w:sz="6" w:space="0" w:color="auto"/>
            </w:tcBorders>
            <w:shd w:val="clear" w:color="auto" w:fill="auto"/>
            <w:vAlign w:val="center"/>
          </w:tcPr>
          <w:p w:rsidR="00346681" w:rsidRPr="00CE124D" w:rsidRDefault="00346681" w:rsidP="00BB53FB">
            <w:pPr>
              <w:pStyle w:val="Style6"/>
              <w:widowControl/>
            </w:pPr>
          </w:p>
        </w:tc>
        <w:tc>
          <w:tcPr>
            <w:tcW w:w="2735" w:type="dxa"/>
            <w:tcBorders>
              <w:top w:val="single" w:sz="6" w:space="0" w:color="auto"/>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firstLine="10"/>
              <w:rPr>
                <w:rStyle w:val="FontStyle59"/>
              </w:rPr>
            </w:pPr>
            <w:r w:rsidRPr="00CE124D">
              <w:rPr>
                <w:sz w:val="18"/>
                <w:szCs w:val="18"/>
              </w:rPr>
              <w:t>1.2.3.Podpora technologických centier, vrátane prototypových centier, skúšobní, poloprevádzkových liniek pre potreby priemyslu v prioritných oblastiach S3</w:t>
            </w:r>
          </w:p>
        </w:tc>
        <w:tc>
          <w:tcPr>
            <w:tcW w:w="2693" w:type="dxa"/>
            <w:tcBorders>
              <w:top w:val="single" w:sz="6" w:space="0" w:color="auto"/>
              <w:left w:val="single" w:sz="6" w:space="0" w:color="auto"/>
              <w:bottom w:val="single" w:sz="12" w:space="0" w:color="auto"/>
              <w:right w:val="single" w:sz="6" w:space="0" w:color="auto"/>
            </w:tcBorders>
            <w:shd w:val="clear" w:color="auto" w:fill="auto"/>
            <w:vAlign w:val="center"/>
          </w:tcPr>
          <w:p w:rsidR="00346681" w:rsidRDefault="00346681" w:rsidP="00BB53FB">
            <w:pPr>
              <w:pStyle w:val="Style10"/>
              <w:widowControl/>
              <w:spacing w:line="240" w:lineRule="auto"/>
              <w:ind w:left="10" w:hanging="10"/>
              <w:rPr>
                <w:sz w:val="18"/>
                <w:szCs w:val="18"/>
              </w:rPr>
            </w:pPr>
            <w:r w:rsidRPr="00CE124D">
              <w:rPr>
                <w:sz w:val="18"/>
                <w:szCs w:val="18"/>
              </w:rPr>
              <w:t>- Pilotné projekty na zakladanie technologických a prototypových centier, skúšobní, poloprevádzok</w:t>
            </w:r>
          </w:p>
          <w:p w:rsidR="00346681" w:rsidRPr="00CE124D" w:rsidRDefault="00346681" w:rsidP="009E302E">
            <w:pPr>
              <w:pStyle w:val="Style10"/>
              <w:widowControl/>
              <w:spacing w:line="240" w:lineRule="auto"/>
              <w:ind w:left="10" w:hanging="10"/>
              <w:rPr>
                <w:sz w:val="18"/>
                <w:szCs w:val="18"/>
              </w:rPr>
            </w:pPr>
            <w:r>
              <w:rPr>
                <w:rStyle w:val="FontStyle59"/>
              </w:rPr>
              <w:t>- podpora partnerstiev výskumných inštitúcií a podnikov</w:t>
            </w:r>
          </w:p>
          <w:p w:rsidR="00346681" w:rsidRPr="00CE124D" w:rsidRDefault="00346681" w:rsidP="00BB53FB">
            <w:pPr>
              <w:pStyle w:val="Style10"/>
              <w:widowControl/>
              <w:spacing w:line="240" w:lineRule="auto"/>
              <w:ind w:left="10" w:hanging="10"/>
              <w:rPr>
                <w:rStyle w:val="FontStyle59"/>
              </w:rPr>
            </w:pPr>
          </w:p>
        </w:tc>
        <w:tc>
          <w:tcPr>
            <w:tcW w:w="2694" w:type="dxa"/>
            <w:vMerge/>
            <w:tcBorders>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bottom w:val="single" w:sz="12" w:space="0" w:color="auto"/>
              <w:right w:val="single" w:sz="12" w:space="0" w:color="auto"/>
            </w:tcBorders>
            <w:shd w:val="clear" w:color="auto" w:fill="auto"/>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Height w:val="1265"/>
        </w:trPr>
        <w:tc>
          <w:tcPr>
            <w:tcW w:w="1702" w:type="dxa"/>
            <w:vMerge w:val="restart"/>
            <w:tcBorders>
              <w:top w:val="single" w:sz="12" w:space="0" w:color="auto"/>
              <w:left w:val="single" w:sz="12" w:space="0" w:color="auto"/>
              <w:right w:val="nil"/>
            </w:tcBorders>
            <w:shd w:val="clear" w:color="auto" w:fill="auto"/>
            <w:vAlign w:val="center"/>
          </w:tcPr>
          <w:p w:rsidR="00346681" w:rsidRPr="00CE124D" w:rsidRDefault="00346681" w:rsidP="00BB53FB">
            <w:pPr>
              <w:pStyle w:val="Style47"/>
              <w:widowControl/>
              <w:spacing w:line="240" w:lineRule="auto"/>
              <w:ind w:firstLine="5"/>
              <w:rPr>
                <w:rStyle w:val="FontStyle57"/>
                <w:b w:val="0"/>
              </w:rPr>
            </w:pPr>
            <w:r w:rsidRPr="00CE124D">
              <w:rPr>
                <w:b/>
                <w:sz w:val="18"/>
                <w:szCs w:val="18"/>
              </w:rPr>
              <w:t>1.3. Podpora budovania výskumných a inovačných kapacít v slovenských podnikoch</w:t>
            </w:r>
          </w:p>
        </w:tc>
        <w:tc>
          <w:tcPr>
            <w:tcW w:w="100" w:type="dxa"/>
            <w:tcBorders>
              <w:top w:val="single" w:sz="12" w:space="0" w:color="auto"/>
              <w:left w:val="nil"/>
              <w:bottom w:val="single" w:sz="6" w:space="0" w:color="auto"/>
              <w:right w:val="single" w:sz="6" w:space="0" w:color="auto"/>
            </w:tcBorders>
            <w:shd w:val="clear" w:color="auto" w:fill="auto"/>
            <w:vAlign w:val="center"/>
          </w:tcPr>
          <w:p w:rsidR="00346681" w:rsidRPr="00CE124D" w:rsidRDefault="00346681" w:rsidP="00BB53FB">
            <w:pPr>
              <w:pStyle w:val="Style6"/>
              <w:widowControl/>
            </w:pPr>
          </w:p>
        </w:tc>
        <w:tc>
          <w:tcPr>
            <w:tcW w:w="2735" w:type="dxa"/>
            <w:tcBorders>
              <w:top w:val="single" w:sz="12"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firstLine="10"/>
              <w:rPr>
                <w:rStyle w:val="FontStyle59"/>
              </w:rPr>
            </w:pPr>
            <w:r w:rsidRPr="00CE124D">
              <w:rPr>
                <w:sz w:val="18"/>
                <w:szCs w:val="18"/>
              </w:rPr>
              <w:t>1.3.1.Budovanie</w:t>
            </w:r>
            <w:r>
              <w:rPr>
                <w:sz w:val="18"/>
                <w:szCs w:val="18"/>
              </w:rPr>
              <w:t xml:space="preserve"> </w:t>
            </w:r>
            <w:r w:rsidRPr="00CE124D">
              <w:rPr>
                <w:sz w:val="18"/>
                <w:szCs w:val="18"/>
              </w:rPr>
              <w:t>priemyselných výskumných, vývojových a inovačných kapacít v podnikoch</w:t>
            </w:r>
          </w:p>
        </w:tc>
        <w:tc>
          <w:tcPr>
            <w:tcW w:w="2693" w:type="dxa"/>
            <w:tcBorders>
              <w:top w:val="single" w:sz="12"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Odsekzoznamu1"/>
              <w:spacing w:after="0" w:line="240" w:lineRule="auto"/>
              <w:ind w:left="0"/>
              <w:jc w:val="left"/>
              <w:rPr>
                <w:sz w:val="18"/>
                <w:szCs w:val="18"/>
              </w:rPr>
            </w:pPr>
            <w:r w:rsidRPr="00CE124D">
              <w:rPr>
                <w:sz w:val="18"/>
                <w:szCs w:val="18"/>
              </w:rPr>
              <w:t>- projekty pre budovanie VaI</w:t>
            </w:r>
            <w:r>
              <w:rPr>
                <w:sz w:val="18"/>
                <w:szCs w:val="18"/>
              </w:rPr>
              <w:t xml:space="preserve"> </w:t>
            </w:r>
            <w:r w:rsidRPr="00CE124D">
              <w:rPr>
                <w:sz w:val="18"/>
                <w:szCs w:val="18"/>
              </w:rPr>
              <w:t>kapacít v</w:t>
            </w:r>
            <w:r>
              <w:rPr>
                <w:sz w:val="18"/>
                <w:szCs w:val="18"/>
              </w:rPr>
              <w:t xml:space="preserve"> </w:t>
            </w:r>
            <w:r w:rsidRPr="00CE124D">
              <w:rPr>
                <w:sz w:val="18"/>
                <w:szCs w:val="18"/>
              </w:rPr>
              <w:t>podnikoch</w:t>
            </w:r>
          </w:p>
          <w:p w:rsidR="00346681" w:rsidRPr="00CE124D" w:rsidRDefault="00346681" w:rsidP="00BB53FB">
            <w:pPr>
              <w:pStyle w:val="Odsekzoznamu1"/>
              <w:spacing w:after="0" w:line="240" w:lineRule="auto"/>
              <w:ind w:left="0"/>
              <w:jc w:val="left"/>
              <w:rPr>
                <w:sz w:val="18"/>
                <w:szCs w:val="18"/>
              </w:rPr>
            </w:pPr>
            <w:r w:rsidRPr="00CE124D">
              <w:rPr>
                <w:sz w:val="18"/>
                <w:szCs w:val="18"/>
              </w:rPr>
              <w:t xml:space="preserve">- </w:t>
            </w:r>
            <w:r w:rsidR="00E824EE">
              <w:rPr>
                <w:sz w:val="18"/>
                <w:szCs w:val="18"/>
              </w:rPr>
              <w:t>s</w:t>
            </w:r>
            <w:r w:rsidRPr="00CE124D">
              <w:rPr>
                <w:sz w:val="18"/>
                <w:szCs w:val="18"/>
              </w:rPr>
              <w:t>timuly</w:t>
            </w:r>
          </w:p>
          <w:p w:rsidR="00346681" w:rsidRDefault="00346681" w:rsidP="00BB53FB">
            <w:pPr>
              <w:pStyle w:val="Style10"/>
              <w:widowControl/>
              <w:spacing w:line="240" w:lineRule="auto"/>
              <w:ind w:left="10" w:hanging="10"/>
              <w:rPr>
                <w:sz w:val="18"/>
                <w:szCs w:val="18"/>
              </w:rPr>
            </w:pPr>
            <w:r w:rsidRPr="00CE124D">
              <w:rPr>
                <w:sz w:val="18"/>
                <w:szCs w:val="18"/>
              </w:rPr>
              <w:t xml:space="preserve">- </w:t>
            </w:r>
            <w:r w:rsidR="00E824EE">
              <w:rPr>
                <w:sz w:val="18"/>
                <w:szCs w:val="18"/>
              </w:rPr>
              <w:t>d</w:t>
            </w:r>
            <w:r w:rsidRPr="00CE124D">
              <w:rPr>
                <w:sz w:val="18"/>
                <w:szCs w:val="18"/>
              </w:rPr>
              <w:t>aňové úľavy</w:t>
            </w:r>
          </w:p>
          <w:p w:rsidR="00346681" w:rsidRPr="00CE124D" w:rsidRDefault="00346681" w:rsidP="00BB53FB">
            <w:pPr>
              <w:pStyle w:val="Style10"/>
              <w:widowControl/>
              <w:spacing w:line="240" w:lineRule="auto"/>
              <w:ind w:left="10" w:hanging="10"/>
              <w:rPr>
                <w:sz w:val="18"/>
                <w:szCs w:val="18"/>
              </w:rPr>
            </w:pPr>
            <w:r>
              <w:rPr>
                <w:sz w:val="18"/>
                <w:szCs w:val="18"/>
              </w:rPr>
              <w:t>- záručné programy</w:t>
            </w:r>
          </w:p>
          <w:p w:rsidR="00346681" w:rsidRPr="00CE124D" w:rsidRDefault="00346681" w:rsidP="00BB53FB">
            <w:pPr>
              <w:pStyle w:val="Style10"/>
              <w:widowControl/>
              <w:spacing w:line="240" w:lineRule="auto"/>
              <w:ind w:left="10" w:hanging="10"/>
              <w:rPr>
                <w:rStyle w:val="FontStyle59"/>
              </w:rPr>
            </w:pPr>
          </w:p>
        </w:tc>
        <w:tc>
          <w:tcPr>
            <w:tcW w:w="2694" w:type="dxa"/>
            <w:vMerge w:val="restart"/>
            <w:tcBorders>
              <w:top w:val="single" w:sz="12" w:space="0" w:color="auto"/>
              <w:left w:val="single" w:sz="6" w:space="0" w:color="auto"/>
              <w:right w:val="single" w:sz="6" w:space="0" w:color="auto"/>
            </w:tcBorders>
            <w:shd w:val="clear" w:color="auto" w:fill="auto"/>
            <w:vAlign w:val="center"/>
          </w:tcPr>
          <w:p w:rsidR="00346681" w:rsidRPr="00CE124D" w:rsidRDefault="00346681" w:rsidP="00BB53FB">
            <w:pPr>
              <w:pStyle w:val="Odsekzoznamu1"/>
              <w:spacing w:after="0" w:line="240" w:lineRule="auto"/>
              <w:ind w:left="0"/>
              <w:jc w:val="left"/>
              <w:rPr>
                <w:sz w:val="18"/>
                <w:szCs w:val="18"/>
              </w:rPr>
            </w:pPr>
            <w:r w:rsidRPr="00CE124D">
              <w:rPr>
                <w:sz w:val="18"/>
                <w:szCs w:val="18"/>
              </w:rPr>
              <w:t>- počet podporených podnikov</w:t>
            </w:r>
          </w:p>
          <w:p w:rsidR="00346681" w:rsidRPr="00CE124D" w:rsidRDefault="00346681" w:rsidP="00BB53FB">
            <w:pPr>
              <w:pStyle w:val="Odsekzoznamu1"/>
              <w:spacing w:after="0" w:line="240" w:lineRule="auto"/>
              <w:ind w:left="0"/>
              <w:jc w:val="left"/>
              <w:rPr>
                <w:sz w:val="18"/>
                <w:szCs w:val="18"/>
              </w:rPr>
            </w:pPr>
            <w:r w:rsidRPr="00CE124D">
              <w:rPr>
                <w:sz w:val="18"/>
                <w:szCs w:val="18"/>
              </w:rPr>
              <w:t>- počet podnikov zapojených do dodávateľských sietí pre kľúčový priemysel</w:t>
            </w:r>
          </w:p>
          <w:p w:rsidR="00346681" w:rsidRPr="00CE124D" w:rsidRDefault="00346681" w:rsidP="00BB53FB">
            <w:pPr>
              <w:pStyle w:val="Odsekzoznamu1"/>
              <w:spacing w:after="0" w:line="240" w:lineRule="auto"/>
              <w:ind w:left="0"/>
              <w:jc w:val="left"/>
              <w:rPr>
                <w:sz w:val="18"/>
                <w:szCs w:val="18"/>
              </w:rPr>
            </w:pPr>
            <w:r w:rsidRPr="00CE124D">
              <w:rPr>
                <w:sz w:val="18"/>
                <w:szCs w:val="18"/>
              </w:rPr>
              <w:t xml:space="preserve">- počet vytvorených spoluprác podnikov s výskumnými </w:t>
            </w:r>
            <w:r w:rsidRPr="00CE124D">
              <w:rPr>
                <w:sz w:val="18"/>
                <w:szCs w:val="18"/>
              </w:rPr>
              <w:lastRenderedPageBreak/>
              <w:t>inštitúciami</w:t>
            </w:r>
          </w:p>
          <w:p w:rsidR="00346681" w:rsidRPr="00CE124D" w:rsidRDefault="00346681" w:rsidP="00BB53FB">
            <w:pPr>
              <w:pStyle w:val="Odsekzoznamu1"/>
              <w:spacing w:after="0" w:line="240" w:lineRule="auto"/>
              <w:ind w:left="0"/>
              <w:jc w:val="left"/>
              <w:rPr>
                <w:sz w:val="18"/>
                <w:szCs w:val="18"/>
              </w:rPr>
            </w:pPr>
            <w:r w:rsidRPr="00CE124D">
              <w:rPr>
                <w:sz w:val="18"/>
                <w:szCs w:val="18"/>
              </w:rPr>
              <w:t>- počet vytvorených pracovných miest</w:t>
            </w:r>
          </w:p>
          <w:p w:rsidR="00346681" w:rsidRPr="00CE124D" w:rsidRDefault="00346681" w:rsidP="00BB53FB">
            <w:pPr>
              <w:pStyle w:val="Style18"/>
              <w:widowControl/>
              <w:spacing w:line="240" w:lineRule="auto"/>
              <w:rPr>
                <w:rStyle w:val="FontStyle59"/>
              </w:rPr>
            </w:pPr>
            <w:r w:rsidRPr="00CE124D">
              <w:rPr>
                <w:sz w:val="18"/>
                <w:szCs w:val="18"/>
              </w:rPr>
              <w:t>- počet udržaných pracovných miest</w:t>
            </w:r>
          </w:p>
        </w:tc>
        <w:tc>
          <w:tcPr>
            <w:tcW w:w="2268" w:type="dxa"/>
            <w:vMerge w:val="restart"/>
            <w:tcBorders>
              <w:top w:val="single" w:sz="12" w:space="0" w:color="auto"/>
              <w:left w:val="single" w:sz="6" w:space="0" w:color="auto"/>
              <w:right w:val="single" w:sz="6" w:space="0" w:color="auto"/>
            </w:tcBorders>
            <w:shd w:val="clear" w:color="auto" w:fill="auto"/>
            <w:vAlign w:val="center"/>
          </w:tcPr>
          <w:p w:rsidR="00346681" w:rsidRPr="00CE124D" w:rsidRDefault="00346681" w:rsidP="00BB53FB">
            <w:pPr>
              <w:pStyle w:val="Style18"/>
              <w:spacing w:line="240" w:lineRule="auto"/>
              <w:rPr>
                <w:sz w:val="18"/>
                <w:szCs w:val="18"/>
              </w:rPr>
            </w:pPr>
            <w:r w:rsidRPr="00CE124D">
              <w:rPr>
                <w:rStyle w:val="FontStyle59"/>
              </w:rPr>
              <w:lastRenderedPageBreak/>
              <w:t xml:space="preserve">- </w:t>
            </w:r>
            <w:r w:rsidRPr="00CE124D">
              <w:rPr>
                <w:sz w:val="18"/>
                <w:szCs w:val="18"/>
              </w:rPr>
              <w:t>podniky</w:t>
            </w:r>
            <w:r>
              <w:rPr>
                <w:sz w:val="18"/>
                <w:szCs w:val="18"/>
              </w:rPr>
              <w:t xml:space="preserve"> v dodávateľských sieťach (nové a existujúce)</w:t>
            </w:r>
          </w:p>
          <w:p w:rsidR="00346681" w:rsidRPr="00CE124D" w:rsidRDefault="00346681" w:rsidP="00BB53FB">
            <w:pPr>
              <w:pStyle w:val="Style18"/>
              <w:spacing w:line="240" w:lineRule="auto"/>
              <w:rPr>
                <w:sz w:val="18"/>
                <w:szCs w:val="18"/>
              </w:rPr>
            </w:pPr>
            <w:r w:rsidRPr="00CE124D">
              <w:rPr>
                <w:sz w:val="18"/>
                <w:szCs w:val="18"/>
              </w:rPr>
              <w:t>- vysoké školy</w:t>
            </w:r>
          </w:p>
          <w:p w:rsidR="00346681" w:rsidRPr="00CE124D" w:rsidRDefault="00346681" w:rsidP="00BB53FB">
            <w:pPr>
              <w:pStyle w:val="Style18"/>
              <w:spacing w:line="240" w:lineRule="auto"/>
              <w:rPr>
                <w:sz w:val="18"/>
                <w:szCs w:val="18"/>
              </w:rPr>
            </w:pPr>
            <w:r w:rsidRPr="00CE124D">
              <w:rPr>
                <w:sz w:val="18"/>
                <w:szCs w:val="18"/>
              </w:rPr>
              <w:t>- výskumné ústavy</w:t>
            </w:r>
          </w:p>
          <w:p w:rsidR="00346681" w:rsidRPr="00CE124D" w:rsidRDefault="00346681" w:rsidP="00BB53FB">
            <w:pPr>
              <w:pStyle w:val="Style18"/>
              <w:widowControl/>
              <w:spacing w:line="240" w:lineRule="auto"/>
              <w:rPr>
                <w:rStyle w:val="FontStyle59"/>
              </w:rPr>
            </w:pPr>
            <w:r w:rsidRPr="00CE124D">
              <w:rPr>
                <w:sz w:val="18"/>
                <w:szCs w:val="18"/>
              </w:rPr>
              <w:t>- SAV</w:t>
            </w:r>
          </w:p>
        </w:tc>
        <w:tc>
          <w:tcPr>
            <w:tcW w:w="2612" w:type="dxa"/>
            <w:gridSpan w:val="2"/>
            <w:vMerge w:val="restart"/>
            <w:tcBorders>
              <w:top w:val="single" w:sz="12" w:space="0" w:color="auto"/>
              <w:left w:val="single" w:sz="6" w:space="0" w:color="auto"/>
              <w:right w:val="single" w:sz="12" w:space="0" w:color="auto"/>
            </w:tcBorders>
            <w:shd w:val="clear" w:color="auto" w:fill="auto"/>
            <w:vAlign w:val="center"/>
          </w:tcPr>
          <w:p w:rsidR="00346681" w:rsidRPr="00CE124D" w:rsidRDefault="00346681" w:rsidP="00BB53FB">
            <w:pPr>
              <w:pStyle w:val="Style10"/>
              <w:widowControl/>
              <w:spacing w:line="240" w:lineRule="auto"/>
              <w:ind w:firstLine="5"/>
              <w:rPr>
                <w:rStyle w:val="FontStyle59"/>
              </w:rPr>
            </w:pPr>
            <w:r w:rsidRPr="00CE124D">
              <w:rPr>
                <w:sz w:val="18"/>
                <w:szCs w:val="18"/>
              </w:rPr>
              <w:t>MH SR a</w:t>
            </w:r>
            <w:r w:rsidR="000414A9">
              <w:rPr>
                <w:sz w:val="18"/>
                <w:szCs w:val="18"/>
              </w:rPr>
              <w:t> </w:t>
            </w:r>
            <w:r w:rsidRPr="00CE124D">
              <w:rPr>
                <w:sz w:val="18"/>
                <w:szCs w:val="18"/>
              </w:rPr>
              <w:t>MŠVVaŠ</w:t>
            </w:r>
            <w:r w:rsidR="000414A9">
              <w:rPr>
                <w:sz w:val="18"/>
                <w:szCs w:val="18"/>
              </w:rPr>
              <w:t xml:space="preserve"> SR</w:t>
            </w:r>
          </w:p>
        </w:tc>
      </w:tr>
      <w:tr w:rsidR="00346681" w:rsidRPr="00CE124D" w:rsidTr="002D4651">
        <w:trPr>
          <w:gridAfter w:val="1"/>
          <w:wAfter w:w="28" w:type="dxa"/>
        </w:trPr>
        <w:tc>
          <w:tcPr>
            <w:tcW w:w="1702" w:type="dxa"/>
            <w:vMerge/>
            <w:tcBorders>
              <w:left w:val="single" w:sz="12" w:space="0" w:color="auto"/>
              <w:right w:val="nil"/>
            </w:tcBorders>
            <w:shd w:val="clear" w:color="auto" w:fill="auto"/>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6" w:space="0" w:color="auto"/>
              <w:right w:val="single" w:sz="6" w:space="0" w:color="auto"/>
            </w:tcBorders>
            <w:shd w:val="clear" w:color="auto" w:fill="auto"/>
            <w:vAlign w:val="center"/>
          </w:tcPr>
          <w:p w:rsidR="00346681" w:rsidRPr="00CE124D" w:rsidRDefault="00346681" w:rsidP="00BB53FB">
            <w:pPr>
              <w:pStyle w:val="Style6"/>
              <w:widowControl/>
            </w:pPr>
          </w:p>
        </w:tc>
        <w:tc>
          <w:tcPr>
            <w:tcW w:w="2735" w:type="dxa"/>
            <w:tcBorders>
              <w:top w:val="single" w:sz="6"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firstLine="10"/>
              <w:rPr>
                <w:rStyle w:val="FontStyle59"/>
              </w:rPr>
            </w:pPr>
            <w:r w:rsidRPr="00CE124D">
              <w:rPr>
                <w:sz w:val="18"/>
                <w:szCs w:val="18"/>
              </w:rPr>
              <w:t>1.3.2.Budovanie</w:t>
            </w:r>
            <w:r>
              <w:rPr>
                <w:sz w:val="18"/>
                <w:szCs w:val="18"/>
              </w:rPr>
              <w:t xml:space="preserve"> </w:t>
            </w:r>
            <w:r w:rsidRPr="00CE124D">
              <w:rPr>
                <w:sz w:val="18"/>
                <w:szCs w:val="18"/>
              </w:rPr>
              <w:t>priemyselných výskumných, vývojových a inovačných kapacít s účasťou akademickej a univerzitnej sféry -korporátne výskumné centrá podnikov</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346681" w:rsidRPr="00CE124D" w:rsidRDefault="00346681" w:rsidP="00BB53FB">
            <w:pPr>
              <w:pStyle w:val="Odsekzoznamu1"/>
              <w:spacing w:after="0" w:line="240" w:lineRule="auto"/>
              <w:ind w:left="0"/>
              <w:jc w:val="left"/>
              <w:rPr>
                <w:sz w:val="18"/>
                <w:szCs w:val="18"/>
              </w:rPr>
            </w:pPr>
            <w:r w:rsidRPr="00CE124D">
              <w:rPr>
                <w:sz w:val="18"/>
                <w:szCs w:val="18"/>
              </w:rPr>
              <w:t>- projekty pre budovanie VaI kapacít v</w:t>
            </w:r>
            <w:r>
              <w:rPr>
                <w:sz w:val="18"/>
                <w:szCs w:val="18"/>
              </w:rPr>
              <w:t xml:space="preserve"> </w:t>
            </w:r>
            <w:r w:rsidRPr="00CE124D">
              <w:rPr>
                <w:sz w:val="18"/>
                <w:szCs w:val="18"/>
              </w:rPr>
              <w:t>podnikoch s účasťou akademickej sféry</w:t>
            </w:r>
          </w:p>
          <w:p w:rsidR="00346681" w:rsidRPr="00CE124D" w:rsidRDefault="00346681" w:rsidP="00BB53FB">
            <w:pPr>
              <w:pStyle w:val="Odsekzoznamu1"/>
              <w:spacing w:after="0" w:line="240" w:lineRule="auto"/>
              <w:ind w:left="0"/>
              <w:jc w:val="left"/>
              <w:rPr>
                <w:sz w:val="18"/>
                <w:szCs w:val="18"/>
              </w:rPr>
            </w:pPr>
            <w:r w:rsidRPr="00CE124D">
              <w:rPr>
                <w:sz w:val="18"/>
                <w:szCs w:val="18"/>
              </w:rPr>
              <w:t xml:space="preserve">- </w:t>
            </w:r>
            <w:r w:rsidR="00E824EE">
              <w:rPr>
                <w:sz w:val="18"/>
                <w:szCs w:val="18"/>
              </w:rPr>
              <w:t>s</w:t>
            </w:r>
            <w:r w:rsidRPr="00CE124D">
              <w:rPr>
                <w:sz w:val="18"/>
                <w:szCs w:val="18"/>
              </w:rPr>
              <w:t>timuly</w:t>
            </w:r>
          </w:p>
          <w:p w:rsidR="00346681" w:rsidRDefault="00346681" w:rsidP="00BB53FB">
            <w:pPr>
              <w:pStyle w:val="Style10"/>
              <w:widowControl/>
              <w:spacing w:line="240" w:lineRule="auto"/>
              <w:ind w:left="10" w:hanging="10"/>
              <w:rPr>
                <w:sz w:val="18"/>
                <w:szCs w:val="18"/>
              </w:rPr>
            </w:pPr>
            <w:r w:rsidRPr="00CE124D">
              <w:rPr>
                <w:sz w:val="18"/>
                <w:szCs w:val="18"/>
              </w:rPr>
              <w:t xml:space="preserve">- </w:t>
            </w:r>
            <w:r w:rsidR="00E824EE">
              <w:rPr>
                <w:sz w:val="18"/>
                <w:szCs w:val="18"/>
              </w:rPr>
              <w:t>d</w:t>
            </w:r>
            <w:r w:rsidRPr="00CE124D">
              <w:rPr>
                <w:sz w:val="18"/>
                <w:szCs w:val="18"/>
              </w:rPr>
              <w:t>aňové úľavy</w:t>
            </w:r>
          </w:p>
          <w:p w:rsidR="00346681" w:rsidRPr="00CE124D" w:rsidRDefault="00346681" w:rsidP="00427D7A">
            <w:pPr>
              <w:pStyle w:val="Style10"/>
              <w:widowControl/>
              <w:spacing w:line="240" w:lineRule="auto"/>
              <w:ind w:left="10" w:hanging="10"/>
              <w:rPr>
                <w:sz w:val="18"/>
                <w:szCs w:val="18"/>
              </w:rPr>
            </w:pPr>
            <w:r>
              <w:rPr>
                <w:sz w:val="18"/>
                <w:szCs w:val="18"/>
              </w:rPr>
              <w:t>- záručné programy</w:t>
            </w:r>
          </w:p>
          <w:p w:rsidR="00346681" w:rsidRPr="00CE124D" w:rsidRDefault="00346681" w:rsidP="00427D7A">
            <w:pPr>
              <w:pStyle w:val="Style10"/>
              <w:widowControl/>
              <w:spacing w:line="240" w:lineRule="auto"/>
              <w:rPr>
                <w:rStyle w:val="FontStyle59"/>
              </w:rPr>
            </w:pPr>
          </w:p>
        </w:tc>
        <w:tc>
          <w:tcPr>
            <w:tcW w:w="2694" w:type="dxa"/>
            <w:vMerge/>
            <w:tcBorders>
              <w:left w:val="single" w:sz="6"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right w:val="single" w:sz="6" w:space="0" w:color="auto"/>
            </w:tcBorders>
            <w:shd w:val="clear" w:color="auto" w:fill="auto"/>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right w:val="single" w:sz="12" w:space="0" w:color="auto"/>
            </w:tcBorders>
            <w:shd w:val="clear" w:color="auto" w:fill="auto"/>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shd w:val="clear" w:color="auto" w:fill="auto"/>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12" w:space="0" w:color="auto"/>
              <w:right w:val="single" w:sz="6" w:space="0" w:color="auto"/>
            </w:tcBorders>
            <w:shd w:val="clear" w:color="auto" w:fill="auto"/>
            <w:vAlign w:val="center"/>
          </w:tcPr>
          <w:p w:rsidR="00346681" w:rsidRPr="00CE124D" w:rsidRDefault="00346681" w:rsidP="00BB53FB">
            <w:pPr>
              <w:pStyle w:val="Style6"/>
              <w:widowControl/>
            </w:pPr>
          </w:p>
        </w:tc>
        <w:tc>
          <w:tcPr>
            <w:tcW w:w="2735" w:type="dxa"/>
            <w:tcBorders>
              <w:top w:val="single" w:sz="6" w:space="0" w:color="auto"/>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0"/>
              <w:widowControl/>
              <w:spacing w:line="240" w:lineRule="auto"/>
              <w:ind w:firstLine="10"/>
              <w:rPr>
                <w:rStyle w:val="FontStyle59"/>
              </w:rPr>
            </w:pPr>
            <w:r w:rsidRPr="00CE124D">
              <w:rPr>
                <w:sz w:val="18"/>
                <w:szCs w:val="18"/>
              </w:rPr>
              <w:t>1.3.3.Podpora existujúcich priemyselných výskumných, vývojových a inovačných kapacít v podnikoch</w:t>
            </w:r>
          </w:p>
        </w:tc>
        <w:tc>
          <w:tcPr>
            <w:tcW w:w="2693" w:type="dxa"/>
            <w:tcBorders>
              <w:top w:val="single" w:sz="6" w:space="0" w:color="auto"/>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Odsekzoznamu1"/>
              <w:spacing w:after="0" w:line="240" w:lineRule="auto"/>
              <w:ind w:left="0"/>
              <w:jc w:val="left"/>
              <w:rPr>
                <w:sz w:val="18"/>
                <w:szCs w:val="18"/>
              </w:rPr>
            </w:pPr>
            <w:r w:rsidRPr="00CE124D">
              <w:rPr>
                <w:sz w:val="18"/>
                <w:szCs w:val="18"/>
              </w:rPr>
              <w:t>- projekty pre rozvoj existujúcich</w:t>
            </w:r>
            <w:r>
              <w:rPr>
                <w:sz w:val="18"/>
                <w:szCs w:val="18"/>
              </w:rPr>
              <w:t xml:space="preserve"> </w:t>
            </w:r>
            <w:r w:rsidRPr="00CE124D">
              <w:rPr>
                <w:sz w:val="18"/>
                <w:szCs w:val="18"/>
              </w:rPr>
              <w:t>VaI kapacít v</w:t>
            </w:r>
            <w:r>
              <w:rPr>
                <w:sz w:val="18"/>
                <w:szCs w:val="18"/>
              </w:rPr>
              <w:t xml:space="preserve"> </w:t>
            </w:r>
            <w:r w:rsidRPr="00CE124D">
              <w:rPr>
                <w:sz w:val="18"/>
                <w:szCs w:val="18"/>
              </w:rPr>
              <w:t>podnikoch</w:t>
            </w:r>
          </w:p>
          <w:p w:rsidR="00346681" w:rsidRPr="00CE124D" w:rsidRDefault="00346681" w:rsidP="00BB53FB">
            <w:pPr>
              <w:pStyle w:val="Odsekzoznamu1"/>
              <w:spacing w:after="0" w:line="240" w:lineRule="auto"/>
              <w:ind w:left="0"/>
              <w:jc w:val="left"/>
              <w:rPr>
                <w:sz w:val="18"/>
                <w:szCs w:val="18"/>
              </w:rPr>
            </w:pPr>
            <w:r w:rsidRPr="00CE124D">
              <w:rPr>
                <w:sz w:val="18"/>
                <w:szCs w:val="18"/>
              </w:rPr>
              <w:t xml:space="preserve">- </w:t>
            </w:r>
            <w:r w:rsidR="00E824EE">
              <w:rPr>
                <w:sz w:val="18"/>
                <w:szCs w:val="18"/>
              </w:rPr>
              <w:t>s</w:t>
            </w:r>
            <w:r w:rsidRPr="00CE124D">
              <w:rPr>
                <w:sz w:val="18"/>
                <w:szCs w:val="18"/>
              </w:rPr>
              <w:t>timuly</w:t>
            </w:r>
          </w:p>
          <w:p w:rsidR="00346681" w:rsidRDefault="00346681" w:rsidP="00BB53FB">
            <w:pPr>
              <w:pStyle w:val="Style10"/>
              <w:widowControl/>
              <w:spacing w:line="240" w:lineRule="auto"/>
              <w:ind w:left="10" w:hanging="10"/>
              <w:rPr>
                <w:sz w:val="18"/>
                <w:szCs w:val="18"/>
              </w:rPr>
            </w:pPr>
            <w:r w:rsidRPr="00CE124D">
              <w:rPr>
                <w:sz w:val="18"/>
                <w:szCs w:val="18"/>
              </w:rPr>
              <w:t xml:space="preserve">- </w:t>
            </w:r>
            <w:r w:rsidR="00E824EE">
              <w:rPr>
                <w:sz w:val="18"/>
                <w:szCs w:val="18"/>
              </w:rPr>
              <w:t>d</w:t>
            </w:r>
            <w:r w:rsidRPr="00CE124D">
              <w:rPr>
                <w:sz w:val="18"/>
                <w:szCs w:val="18"/>
              </w:rPr>
              <w:t>aňové úľavy</w:t>
            </w:r>
          </w:p>
          <w:p w:rsidR="00346681" w:rsidRPr="00427D7A" w:rsidRDefault="00346681" w:rsidP="00427D7A">
            <w:pPr>
              <w:pStyle w:val="Style10"/>
              <w:widowControl/>
              <w:spacing w:line="240" w:lineRule="auto"/>
              <w:ind w:left="10" w:hanging="10"/>
              <w:rPr>
                <w:rStyle w:val="FontStyle59"/>
                <w:rFonts w:cs="Times New Roman"/>
              </w:rPr>
            </w:pPr>
            <w:r w:rsidRPr="00570AC1">
              <w:rPr>
                <w:sz w:val="18"/>
                <w:szCs w:val="18"/>
              </w:rPr>
              <w:t xml:space="preserve">- </w:t>
            </w:r>
            <w:r>
              <w:rPr>
                <w:sz w:val="18"/>
                <w:szCs w:val="18"/>
              </w:rPr>
              <w:t>úverové a záručné programy</w:t>
            </w:r>
          </w:p>
        </w:tc>
        <w:tc>
          <w:tcPr>
            <w:tcW w:w="2694" w:type="dxa"/>
            <w:vMerge/>
            <w:tcBorders>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bottom w:val="single" w:sz="12" w:space="0" w:color="auto"/>
              <w:right w:val="single" w:sz="6" w:space="0" w:color="auto"/>
            </w:tcBorders>
            <w:shd w:val="clear" w:color="auto" w:fill="auto"/>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bottom w:val="single" w:sz="12" w:space="0" w:color="auto"/>
              <w:right w:val="single" w:sz="12" w:space="0" w:color="auto"/>
            </w:tcBorders>
            <w:shd w:val="clear" w:color="auto" w:fill="auto"/>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 xml:space="preserve">2.1.Posilňovanie excelentnosti výskumu </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2.1.1. Zmena štruktúry fina</w:t>
            </w:r>
            <w:r w:rsidR="00092912">
              <w:rPr>
                <w:sz w:val="18"/>
                <w:szCs w:val="18"/>
              </w:rPr>
              <w:t>n</w:t>
            </w:r>
            <w:r w:rsidRPr="00CE124D">
              <w:rPr>
                <w:sz w:val="18"/>
                <w:szCs w:val="18"/>
              </w:rPr>
              <w:t>covania v prospech</w:t>
            </w:r>
            <w:r>
              <w:rPr>
                <w:sz w:val="18"/>
                <w:szCs w:val="18"/>
              </w:rPr>
              <w:t xml:space="preserve"> </w:t>
            </w:r>
            <w:r w:rsidRPr="00CE124D">
              <w:rPr>
                <w:sz w:val="18"/>
                <w:szCs w:val="18"/>
              </w:rPr>
              <w:t>excelentnej vedy</w:t>
            </w:r>
          </w:p>
        </w:tc>
        <w:tc>
          <w:tcPr>
            <w:tcW w:w="2693"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w:t>
            </w:r>
            <w:r w:rsidR="00E824EE">
              <w:rPr>
                <w:sz w:val="18"/>
                <w:szCs w:val="18"/>
              </w:rPr>
              <w:t xml:space="preserve"> l</w:t>
            </w:r>
            <w:r w:rsidRPr="00CE124D">
              <w:rPr>
                <w:sz w:val="18"/>
                <w:szCs w:val="18"/>
              </w:rPr>
              <w:t xml:space="preserve">egislatívne zmeny </w:t>
            </w:r>
          </w:p>
          <w:p w:rsidR="00346681" w:rsidRPr="00CE124D" w:rsidRDefault="00346681" w:rsidP="00BB53FB">
            <w:pPr>
              <w:spacing w:after="0" w:line="240" w:lineRule="auto"/>
              <w:rPr>
                <w:sz w:val="18"/>
                <w:szCs w:val="18"/>
              </w:rPr>
            </w:pPr>
            <w:r w:rsidRPr="00CE124D">
              <w:rPr>
                <w:sz w:val="18"/>
                <w:szCs w:val="18"/>
              </w:rPr>
              <w:t>-</w:t>
            </w:r>
            <w:r w:rsidR="00E824EE">
              <w:rPr>
                <w:sz w:val="18"/>
                <w:szCs w:val="18"/>
              </w:rPr>
              <w:t xml:space="preserve"> v</w:t>
            </w:r>
            <w:r w:rsidRPr="00CE124D">
              <w:rPr>
                <w:sz w:val="18"/>
                <w:szCs w:val="18"/>
              </w:rPr>
              <w:t>ýskumné a vývojové granty</w:t>
            </w:r>
          </w:p>
          <w:p w:rsidR="00346681" w:rsidRPr="00CE124D" w:rsidRDefault="00346681" w:rsidP="00BB53FB">
            <w:pPr>
              <w:spacing w:after="0" w:line="240" w:lineRule="auto"/>
              <w:rPr>
                <w:sz w:val="18"/>
                <w:szCs w:val="18"/>
              </w:rPr>
            </w:pPr>
          </w:p>
        </w:tc>
        <w:tc>
          <w:tcPr>
            <w:tcW w:w="2694"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p</w:t>
            </w:r>
            <w:r w:rsidRPr="00CE124D">
              <w:rPr>
                <w:sz w:val="18"/>
                <w:szCs w:val="18"/>
              </w:rPr>
              <w:t>ercentuálne zvýšenie rozpočtu agentúry</w:t>
            </w:r>
          </w:p>
        </w:tc>
        <w:tc>
          <w:tcPr>
            <w:tcW w:w="2268"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autority (agentúry) financujúce výskum a vývoj</w:t>
            </w:r>
          </w:p>
          <w:p w:rsidR="00346681" w:rsidRPr="00CE124D" w:rsidRDefault="00346681" w:rsidP="00BB53FB">
            <w:pPr>
              <w:spacing w:after="0" w:line="240" w:lineRule="auto"/>
              <w:rPr>
                <w:sz w:val="18"/>
                <w:szCs w:val="18"/>
              </w:rPr>
            </w:pPr>
          </w:p>
        </w:tc>
        <w:tc>
          <w:tcPr>
            <w:tcW w:w="2612" w:type="dxa"/>
            <w:gridSpan w:val="2"/>
            <w:vMerge w:val="restart"/>
            <w:tcBorders>
              <w:top w:val="single" w:sz="12" w:space="0" w:color="auto"/>
              <w:left w:val="single" w:sz="6" w:space="0" w:color="auto"/>
              <w:right w:val="single" w:sz="12" w:space="0" w:color="auto"/>
            </w:tcBorders>
            <w:vAlign w:val="center"/>
          </w:tcPr>
          <w:p w:rsidR="00346681" w:rsidRPr="006B43A9" w:rsidRDefault="00346681" w:rsidP="00346681">
            <w:pPr>
              <w:spacing w:after="0" w:line="240" w:lineRule="auto"/>
              <w:rPr>
                <w:sz w:val="18"/>
                <w:szCs w:val="18"/>
                <w:highlight w:val="yellow"/>
              </w:rPr>
            </w:pPr>
            <w:r w:rsidRPr="006B43A9">
              <w:rPr>
                <w:sz w:val="18"/>
                <w:szCs w:val="18"/>
              </w:rPr>
              <w:t>MŠVVaŠ</w:t>
            </w:r>
            <w:r w:rsidR="000414A9" w:rsidRPr="006B43A9">
              <w:rPr>
                <w:sz w:val="18"/>
                <w:szCs w:val="18"/>
              </w:rPr>
              <w:t xml:space="preserve"> SR</w:t>
            </w:r>
            <w:r w:rsidRPr="006B43A9">
              <w:rPr>
                <w:sz w:val="18"/>
                <w:szCs w:val="18"/>
              </w:rPr>
              <w:t>,MH SR</w:t>
            </w:r>
            <w:r w:rsidR="006B43A9" w:rsidRPr="006B43A9">
              <w:rPr>
                <w:sz w:val="18"/>
                <w:szCs w:val="18"/>
              </w:rPr>
              <w:t xml:space="preserve">, </w:t>
            </w:r>
            <w:r w:rsidRPr="006B43A9">
              <w:rPr>
                <w:sz w:val="18"/>
                <w:szCs w:val="18"/>
              </w:rPr>
              <w:t>v spolupráci s ostatnými UOŠS</w:t>
            </w:r>
            <w:r w:rsidR="006B43A9" w:rsidRPr="006B43A9">
              <w:rPr>
                <w:sz w:val="18"/>
                <w:szCs w:val="18"/>
              </w:rPr>
              <w:t>, rezortmi</w:t>
            </w:r>
            <w:r w:rsidRPr="006B43A9">
              <w:rPr>
                <w:sz w:val="18"/>
                <w:szCs w:val="18"/>
              </w:rPr>
              <w:t xml:space="preserve"> a NRSR</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2.1.2. Zvýšenie štandardov posudzovania, financovania a administrácie projektov</w:t>
            </w:r>
          </w:p>
        </w:tc>
        <w:tc>
          <w:tcPr>
            <w:tcW w:w="2693"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w:t>
            </w:r>
            <w:r w:rsidR="00E824EE">
              <w:rPr>
                <w:sz w:val="18"/>
                <w:szCs w:val="18"/>
              </w:rPr>
              <w:t xml:space="preserve"> a</w:t>
            </w:r>
            <w:r w:rsidRPr="00CE124D">
              <w:rPr>
                <w:sz w:val="18"/>
                <w:szCs w:val="18"/>
              </w:rPr>
              <w:t>udit, poradenstvo, benchmarking</w:t>
            </w:r>
          </w:p>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p</w:t>
            </w:r>
            <w:r w:rsidRPr="00CE124D">
              <w:rPr>
                <w:sz w:val="18"/>
                <w:szCs w:val="18"/>
              </w:rPr>
              <w:t xml:space="preserve">odpora manažmentu projektov </w:t>
            </w:r>
          </w:p>
        </w:tc>
        <w:tc>
          <w:tcPr>
            <w:tcW w:w="2694"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p</w:t>
            </w:r>
            <w:r w:rsidRPr="00CE124D">
              <w:rPr>
                <w:sz w:val="18"/>
                <w:szCs w:val="18"/>
              </w:rPr>
              <w:t>očet revízií a zlepšení/odstránení administratívnych bariér</w:t>
            </w:r>
          </w:p>
        </w:tc>
        <w:tc>
          <w:tcPr>
            <w:tcW w:w="2268"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autority (agentúry) financujúce výskum a vývoj</w:t>
            </w: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rsidR="00346681" w:rsidRPr="00CE124D" w:rsidRDefault="00346681" w:rsidP="00843CD6">
            <w:pPr>
              <w:spacing w:after="0" w:line="240" w:lineRule="auto"/>
              <w:rPr>
                <w:sz w:val="18"/>
                <w:szCs w:val="18"/>
              </w:rPr>
            </w:pPr>
            <w:r w:rsidRPr="00CE124D">
              <w:rPr>
                <w:sz w:val="18"/>
                <w:szCs w:val="18"/>
              </w:rPr>
              <w:t>2.1</w:t>
            </w:r>
            <w:r>
              <w:rPr>
                <w:sz w:val="18"/>
                <w:szCs w:val="18"/>
              </w:rPr>
              <w:t>.3</w:t>
            </w:r>
            <w:r w:rsidRPr="00CE124D">
              <w:rPr>
                <w:sz w:val="18"/>
                <w:szCs w:val="18"/>
              </w:rPr>
              <w:t>. Transformácia SAV na verejno-výskumnú</w:t>
            </w:r>
            <w:r>
              <w:rPr>
                <w:sz w:val="18"/>
                <w:szCs w:val="18"/>
              </w:rPr>
              <w:t xml:space="preserve"> </w:t>
            </w:r>
            <w:r w:rsidRPr="00CE124D">
              <w:rPr>
                <w:sz w:val="18"/>
                <w:szCs w:val="18"/>
              </w:rPr>
              <w:t xml:space="preserve">inštitúciu </w:t>
            </w:r>
          </w:p>
        </w:tc>
        <w:tc>
          <w:tcPr>
            <w:tcW w:w="2693"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l</w:t>
            </w:r>
            <w:r w:rsidRPr="00CE124D">
              <w:rPr>
                <w:sz w:val="18"/>
                <w:szCs w:val="18"/>
              </w:rPr>
              <w:t>egislatívna úprava</w:t>
            </w:r>
          </w:p>
          <w:p w:rsidR="00346681" w:rsidRPr="00CE124D" w:rsidRDefault="00346681" w:rsidP="00E824EE">
            <w:pPr>
              <w:spacing w:after="0" w:line="240" w:lineRule="auto"/>
              <w:rPr>
                <w:sz w:val="18"/>
                <w:szCs w:val="18"/>
              </w:rPr>
            </w:pPr>
            <w:r w:rsidRPr="00CE124D">
              <w:rPr>
                <w:sz w:val="18"/>
                <w:szCs w:val="18"/>
              </w:rPr>
              <w:t xml:space="preserve">- </w:t>
            </w:r>
            <w:r w:rsidR="00E824EE">
              <w:rPr>
                <w:sz w:val="18"/>
                <w:szCs w:val="18"/>
              </w:rPr>
              <w:t>a</w:t>
            </w:r>
            <w:r w:rsidRPr="00CE124D">
              <w:rPr>
                <w:sz w:val="18"/>
                <w:szCs w:val="18"/>
              </w:rPr>
              <w:t>udit,</w:t>
            </w:r>
            <w:r>
              <w:rPr>
                <w:sz w:val="18"/>
                <w:szCs w:val="18"/>
              </w:rPr>
              <w:t xml:space="preserve"> </w:t>
            </w:r>
            <w:r w:rsidRPr="00CE124D">
              <w:rPr>
                <w:sz w:val="18"/>
                <w:szCs w:val="18"/>
              </w:rPr>
              <w:t>benchmarking</w:t>
            </w:r>
          </w:p>
        </w:tc>
        <w:tc>
          <w:tcPr>
            <w:tcW w:w="2694"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realizovaná transformácia</w:t>
            </w:r>
          </w:p>
        </w:tc>
        <w:tc>
          <w:tcPr>
            <w:tcW w:w="2268"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SAV a štátne inštitúcie výskumu a vývoja a rezortné</w:t>
            </w: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rsidR="00346681" w:rsidRPr="00CE124D" w:rsidRDefault="00346681" w:rsidP="00130F1B">
            <w:pPr>
              <w:spacing w:after="0" w:line="240" w:lineRule="auto"/>
              <w:rPr>
                <w:sz w:val="18"/>
                <w:szCs w:val="18"/>
              </w:rPr>
            </w:pPr>
            <w:r w:rsidRPr="00CE124D">
              <w:rPr>
                <w:sz w:val="18"/>
                <w:szCs w:val="18"/>
              </w:rPr>
              <w:t>2.1.</w:t>
            </w:r>
            <w:r>
              <w:rPr>
                <w:sz w:val="18"/>
                <w:szCs w:val="18"/>
              </w:rPr>
              <w:t>4</w:t>
            </w:r>
            <w:r w:rsidRPr="00CE124D">
              <w:rPr>
                <w:sz w:val="18"/>
                <w:szCs w:val="18"/>
              </w:rPr>
              <w:t xml:space="preserve">. Podpora výskumnej profilácie excelentných </w:t>
            </w:r>
            <w:r w:rsidR="00130F1B">
              <w:rPr>
                <w:sz w:val="18"/>
                <w:szCs w:val="18"/>
              </w:rPr>
              <w:t xml:space="preserve">subjektov výskumu </w:t>
            </w:r>
          </w:p>
        </w:tc>
        <w:tc>
          <w:tcPr>
            <w:tcW w:w="2693"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l</w:t>
            </w:r>
            <w:r w:rsidRPr="00CE124D">
              <w:rPr>
                <w:sz w:val="18"/>
                <w:szCs w:val="18"/>
              </w:rPr>
              <w:t>egislatívna úprava</w:t>
            </w:r>
          </w:p>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z</w:t>
            </w:r>
            <w:r w:rsidRPr="00CE124D">
              <w:rPr>
                <w:sz w:val="18"/>
                <w:szCs w:val="18"/>
              </w:rPr>
              <w:t xml:space="preserve">mena spôsobu financovania v prospech </w:t>
            </w:r>
            <w:r w:rsidR="00E824EE">
              <w:rPr>
                <w:sz w:val="18"/>
                <w:szCs w:val="18"/>
              </w:rPr>
              <w:t>u</w:t>
            </w:r>
            <w:r w:rsidRPr="00CE124D">
              <w:rPr>
                <w:sz w:val="18"/>
                <w:szCs w:val="18"/>
              </w:rPr>
              <w:t>niverzít s popredným umiestnením v</w:t>
            </w:r>
            <w:r>
              <w:rPr>
                <w:sz w:val="18"/>
                <w:szCs w:val="18"/>
              </w:rPr>
              <w:t> </w:t>
            </w:r>
            <w:r w:rsidRPr="00CE124D">
              <w:rPr>
                <w:sz w:val="18"/>
                <w:szCs w:val="18"/>
              </w:rPr>
              <w:t>SCIMAGO</w:t>
            </w:r>
          </w:p>
        </w:tc>
        <w:tc>
          <w:tcPr>
            <w:tcW w:w="2694"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E824EE">
            <w:pPr>
              <w:spacing w:after="0" w:line="240" w:lineRule="auto"/>
              <w:rPr>
                <w:sz w:val="18"/>
                <w:szCs w:val="18"/>
              </w:rPr>
            </w:pPr>
            <w:r w:rsidRPr="00CE124D">
              <w:rPr>
                <w:sz w:val="18"/>
                <w:szCs w:val="18"/>
              </w:rPr>
              <w:t>- počet univerzít</w:t>
            </w:r>
            <w:r w:rsidR="00E824EE">
              <w:rPr>
                <w:sz w:val="18"/>
                <w:szCs w:val="18"/>
              </w:rPr>
              <w:t>,</w:t>
            </w:r>
            <w:r w:rsidRPr="00CE124D">
              <w:rPr>
                <w:sz w:val="18"/>
                <w:szCs w:val="18"/>
              </w:rPr>
              <w:t xml:space="preserve"> ktoré zlepšia rating </w:t>
            </w:r>
            <w:r w:rsidR="00E824EE">
              <w:rPr>
                <w:sz w:val="18"/>
                <w:szCs w:val="18"/>
              </w:rPr>
              <w:t xml:space="preserve">v </w:t>
            </w:r>
            <w:r w:rsidRPr="00CE124D">
              <w:rPr>
                <w:sz w:val="18"/>
                <w:szCs w:val="18"/>
              </w:rPr>
              <w:t>SCIMAGO</w:t>
            </w:r>
          </w:p>
        </w:tc>
        <w:tc>
          <w:tcPr>
            <w:tcW w:w="2268"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0414A9">
              <w:rPr>
                <w:sz w:val="18"/>
                <w:szCs w:val="18"/>
              </w:rPr>
              <w:t>v</w:t>
            </w:r>
            <w:r w:rsidRPr="00CE124D">
              <w:rPr>
                <w:sz w:val="18"/>
                <w:szCs w:val="18"/>
              </w:rPr>
              <w:t>erejné vysoké školy</w:t>
            </w:r>
            <w:r w:rsidR="00130F1B">
              <w:rPr>
                <w:sz w:val="18"/>
                <w:szCs w:val="18"/>
              </w:rPr>
              <w:t>, SAV</w:t>
            </w: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E824EE">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4" w:space="0" w:color="auto"/>
              <w:left w:val="single" w:sz="4" w:space="0" w:color="auto"/>
              <w:bottom w:val="single" w:sz="12" w:space="0" w:color="auto"/>
              <w:right w:val="single" w:sz="4" w:space="0" w:color="auto"/>
            </w:tcBorders>
            <w:vAlign w:val="center"/>
          </w:tcPr>
          <w:p w:rsidR="00346681" w:rsidRPr="00CE124D" w:rsidRDefault="00346681" w:rsidP="00843CD6">
            <w:pPr>
              <w:spacing w:after="0" w:line="240" w:lineRule="auto"/>
              <w:rPr>
                <w:sz w:val="18"/>
                <w:szCs w:val="18"/>
              </w:rPr>
            </w:pPr>
            <w:r w:rsidRPr="00CE124D">
              <w:rPr>
                <w:sz w:val="18"/>
                <w:szCs w:val="18"/>
              </w:rPr>
              <w:t>2.1.</w:t>
            </w:r>
            <w:r>
              <w:rPr>
                <w:sz w:val="18"/>
                <w:szCs w:val="18"/>
              </w:rPr>
              <w:t>5</w:t>
            </w:r>
            <w:r w:rsidRPr="00CE124D">
              <w:rPr>
                <w:sz w:val="18"/>
                <w:szCs w:val="18"/>
              </w:rPr>
              <w:t>. Podpora zlepšenia postoja verejnosti k vede, technike a inováciám, popularizácia vedy a techniky</w:t>
            </w:r>
          </w:p>
        </w:tc>
        <w:tc>
          <w:tcPr>
            <w:tcW w:w="2693" w:type="dxa"/>
            <w:tcBorders>
              <w:top w:val="single" w:sz="6" w:space="0" w:color="auto"/>
              <w:left w:val="single" w:sz="6" w:space="0" w:color="auto"/>
              <w:bottom w:val="single" w:sz="12" w:space="0" w:color="auto"/>
              <w:right w:val="single" w:sz="6" w:space="0" w:color="auto"/>
            </w:tcBorders>
            <w:vAlign w:val="center"/>
          </w:tcPr>
          <w:p w:rsidR="00346681" w:rsidRPr="00CE124D" w:rsidRDefault="00E824EE" w:rsidP="00BB53FB">
            <w:pPr>
              <w:pStyle w:val="Style10"/>
              <w:widowControl/>
              <w:spacing w:line="240" w:lineRule="auto"/>
              <w:ind w:left="10" w:hanging="10"/>
              <w:rPr>
                <w:rStyle w:val="FontStyle59"/>
              </w:rPr>
            </w:pPr>
            <w:r>
              <w:rPr>
                <w:rStyle w:val="FontStyle59"/>
              </w:rPr>
              <w:t>- k</w:t>
            </w:r>
            <w:r w:rsidR="00346681" w:rsidRPr="00CE124D">
              <w:rPr>
                <w:rStyle w:val="FontStyle59"/>
              </w:rPr>
              <w:t>onferencie</w:t>
            </w:r>
          </w:p>
          <w:p w:rsidR="00346681" w:rsidRPr="00CE124D" w:rsidRDefault="00E824EE" w:rsidP="00BB53FB">
            <w:pPr>
              <w:pStyle w:val="Style10"/>
              <w:widowControl/>
              <w:spacing w:line="240" w:lineRule="auto"/>
              <w:ind w:left="10" w:hanging="10"/>
              <w:rPr>
                <w:rStyle w:val="FontStyle59"/>
              </w:rPr>
            </w:pPr>
            <w:r>
              <w:rPr>
                <w:rStyle w:val="FontStyle59"/>
              </w:rPr>
              <w:t>- w</w:t>
            </w:r>
            <w:r w:rsidR="00346681" w:rsidRPr="00CE124D">
              <w:rPr>
                <w:rStyle w:val="FontStyle59"/>
              </w:rPr>
              <w:t>orkshopy</w:t>
            </w:r>
          </w:p>
          <w:p w:rsidR="00346681" w:rsidRPr="00CE124D" w:rsidRDefault="00E824EE" w:rsidP="00BB53FB">
            <w:pPr>
              <w:pStyle w:val="Style10"/>
              <w:widowControl/>
              <w:spacing w:line="240" w:lineRule="auto"/>
              <w:ind w:left="10" w:hanging="10"/>
              <w:rPr>
                <w:rStyle w:val="FontStyle59"/>
              </w:rPr>
            </w:pPr>
            <w:r>
              <w:rPr>
                <w:rStyle w:val="FontStyle59"/>
              </w:rPr>
              <w:t>- v</w:t>
            </w:r>
            <w:r w:rsidR="00346681" w:rsidRPr="00CE124D">
              <w:rPr>
                <w:rStyle w:val="FontStyle59"/>
              </w:rPr>
              <w:t>ýstavy</w:t>
            </w:r>
          </w:p>
        </w:tc>
        <w:tc>
          <w:tcPr>
            <w:tcW w:w="2694" w:type="dxa"/>
            <w:tcBorders>
              <w:top w:val="single" w:sz="6" w:space="0" w:color="auto"/>
              <w:left w:val="single" w:sz="6" w:space="0" w:color="auto"/>
              <w:bottom w:val="single" w:sz="12" w:space="0" w:color="auto"/>
              <w:right w:val="single" w:sz="6" w:space="0" w:color="auto"/>
            </w:tcBorders>
            <w:vAlign w:val="center"/>
          </w:tcPr>
          <w:p w:rsidR="00346681" w:rsidRPr="00CE124D" w:rsidRDefault="00E824EE" w:rsidP="00E824EE">
            <w:pPr>
              <w:spacing w:after="0" w:line="240" w:lineRule="auto"/>
              <w:rPr>
                <w:sz w:val="18"/>
                <w:szCs w:val="18"/>
              </w:rPr>
            </w:pPr>
            <w:r>
              <w:rPr>
                <w:sz w:val="18"/>
                <w:szCs w:val="18"/>
              </w:rPr>
              <w:t>- p</w:t>
            </w:r>
            <w:r w:rsidR="00346681" w:rsidRPr="00CE124D">
              <w:rPr>
                <w:sz w:val="18"/>
                <w:szCs w:val="18"/>
              </w:rPr>
              <w:t>oč</w:t>
            </w:r>
            <w:r>
              <w:rPr>
                <w:sz w:val="18"/>
                <w:szCs w:val="18"/>
              </w:rPr>
              <w:t>e</w:t>
            </w:r>
            <w:r w:rsidR="00346681" w:rsidRPr="00CE124D">
              <w:rPr>
                <w:sz w:val="18"/>
                <w:szCs w:val="18"/>
              </w:rPr>
              <w:t>t realizovaných akcií</w:t>
            </w:r>
          </w:p>
        </w:tc>
        <w:tc>
          <w:tcPr>
            <w:tcW w:w="2268"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verejnosť</w:t>
            </w: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E824EE">
        <w:trPr>
          <w:gridAfter w:val="1"/>
          <w:wAfter w:w="28" w:type="dxa"/>
          <w:trHeight w:val="30"/>
        </w:trPr>
        <w:tc>
          <w:tcPr>
            <w:tcW w:w="1702" w:type="dxa"/>
            <w:vMerge w:val="restart"/>
            <w:tcBorders>
              <w:top w:val="single" w:sz="12" w:space="0" w:color="auto"/>
              <w:left w:val="single" w:sz="12" w:space="0" w:color="auto"/>
              <w:bottom w:val="single" w:sz="4" w:space="0" w:color="auto"/>
              <w:right w:val="nil"/>
            </w:tcBorders>
            <w:vAlign w:val="center"/>
          </w:tcPr>
          <w:p w:rsidR="00346681" w:rsidRPr="00CE124D" w:rsidRDefault="00346681" w:rsidP="003B1F34">
            <w:pPr>
              <w:pStyle w:val="Style47"/>
              <w:widowControl/>
              <w:spacing w:line="240" w:lineRule="auto"/>
              <w:ind w:firstLine="5"/>
              <w:rPr>
                <w:rStyle w:val="FontStyle57"/>
                <w:b w:val="0"/>
              </w:rPr>
            </w:pPr>
            <w:r w:rsidRPr="00CE124D">
              <w:rPr>
                <w:b/>
                <w:sz w:val="18"/>
                <w:szCs w:val="18"/>
              </w:rPr>
              <w:t xml:space="preserve">2.2. </w:t>
            </w:r>
            <w:r w:rsidRPr="00E34B0E">
              <w:rPr>
                <w:b/>
                <w:sz w:val="18"/>
                <w:szCs w:val="18"/>
              </w:rPr>
              <w:t>Rozvoj</w:t>
            </w:r>
            <w:r w:rsidR="003B1F34" w:rsidRPr="00E34B0E">
              <w:rPr>
                <w:b/>
                <w:sz w:val="18"/>
                <w:szCs w:val="18"/>
              </w:rPr>
              <w:t xml:space="preserve"> excelentného výskumu so zabezpečením potrebnej</w:t>
            </w:r>
            <w:r w:rsidRPr="00E34B0E">
              <w:rPr>
                <w:b/>
                <w:sz w:val="18"/>
                <w:szCs w:val="18"/>
              </w:rPr>
              <w:t xml:space="preserve"> infraštruktúry </w:t>
            </w:r>
            <w:r w:rsidR="003B1F34" w:rsidRPr="00E34B0E">
              <w:rPr>
                <w:b/>
                <w:sz w:val="18"/>
                <w:szCs w:val="18"/>
              </w:rPr>
              <w:t xml:space="preserve">pre </w:t>
            </w:r>
            <w:r w:rsidRPr="00E34B0E">
              <w:rPr>
                <w:b/>
                <w:sz w:val="18"/>
                <w:szCs w:val="18"/>
              </w:rPr>
              <w:t>výskum</w:t>
            </w:r>
            <w:r w:rsidR="003B1F34" w:rsidRPr="00E34B0E">
              <w:rPr>
                <w:b/>
                <w:sz w:val="18"/>
                <w:szCs w:val="18"/>
              </w:rPr>
              <w:t xml:space="preserve"> </w:t>
            </w:r>
            <w:r w:rsidRPr="00E34B0E">
              <w:rPr>
                <w:b/>
                <w:sz w:val="18"/>
                <w:szCs w:val="18"/>
              </w:rPr>
              <w:t xml:space="preserve"> a</w:t>
            </w:r>
            <w:r w:rsidR="003B1F34" w:rsidRPr="00E34B0E">
              <w:rPr>
                <w:b/>
                <w:sz w:val="18"/>
                <w:szCs w:val="18"/>
              </w:rPr>
              <w:t> </w:t>
            </w:r>
            <w:r w:rsidRPr="00E34B0E">
              <w:rPr>
                <w:b/>
                <w:sz w:val="18"/>
                <w:szCs w:val="18"/>
              </w:rPr>
              <w:t>vývoj</w:t>
            </w:r>
            <w:r w:rsidR="003B1F34">
              <w:rPr>
                <w:b/>
                <w:sz w:val="18"/>
                <w:szCs w:val="18"/>
              </w:rPr>
              <w:t xml:space="preserve"> </w:t>
            </w:r>
          </w:p>
        </w:tc>
        <w:tc>
          <w:tcPr>
            <w:tcW w:w="100" w:type="dxa"/>
            <w:tcBorders>
              <w:top w:val="single" w:sz="12" w:space="0" w:color="auto"/>
              <w:left w:val="nil"/>
              <w:bottom w:val="single" w:sz="4" w:space="0" w:color="auto"/>
              <w:right w:val="single" w:sz="6" w:space="0" w:color="auto"/>
            </w:tcBorders>
            <w:vAlign w:val="center"/>
          </w:tcPr>
          <w:p w:rsidR="00346681" w:rsidRPr="00CE124D" w:rsidRDefault="00346681" w:rsidP="00BB53FB">
            <w:pPr>
              <w:pStyle w:val="Style6"/>
              <w:widowControl/>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2.2.1. Rozvoj existujúcich univerzitných vedeckých parkov a výskumných centier pri univerzitách a SAV vo väzbe na priority RIS3 SK</w:t>
            </w:r>
          </w:p>
        </w:tc>
        <w:tc>
          <w:tcPr>
            <w:tcW w:w="2693"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p</w:t>
            </w:r>
            <w:r w:rsidRPr="00CE124D">
              <w:rPr>
                <w:sz w:val="18"/>
                <w:szCs w:val="18"/>
              </w:rPr>
              <w:t>rojekty na rozvoj existujúcich u</w:t>
            </w:r>
            <w:r w:rsidRPr="00CE124D" w:rsidDel="00796FC6">
              <w:rPr>
                <w:sz w:val="18"/>
                <w:szCs w:val="18"/>
              </w:rPr>
              <w:t>niverzitn</w:t>
            </w:r>
            <w:r w:rsidRPr="00CE124D">
              <w:rPr>
                <w:sz w:val="18"/>
                <w:szCs w:val="18"/>
              </w:rPr>
              <w:t>ých</w:t>
            </w:r>
            <w:r w:rsidRPr="00CE124D" w:rsidDel="00796FC6">
              <w:rPr>
                <w:sz w:val="18"/>
                <w:szCs w:val="18"/>
              </w:rPr>
              <w:t xml:space="preserve"> vedecké park</w:t>
            </w:r>
            <w:r w:rsidRPr="00CE124D">
              <w:rPr>
                <w:sz w:val="18"/>
                <w:szCs w:val="18"/>
              </w:rPr>
              <w:t>ov</w:t>
            </w:r>
          </w:p>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p</w:t>
            </w:r>
            <w:r w:rsidRPr="00CE124D">
              <w:rPr>
                <w:sz w:val="18"/>
                <w:szCs w:val="18"/>
              </w:rPr>
              <w:t>rojekty na rozvoj existujúcich výskumných centier</w:t>
            </w:r>
            <w:r w:rsidRPr="00CE124D" w:rsidDel="00796FC6">
              <w:rPr>
                <w:sz w:val="18"/>
                <w:szCs w:val="18"/>
              </w:rPr>
              <w:t xml:space="preserve"> park</w:t>
            </w:r>
            <w:r w:rsidRPr="00CE124D">
              <w:rPr>
                <w:sz w:val="18"/>
                <w:szCs w:val="18"/>
              </w:rPr>
              <w:t>ov</w:t>
            </w:r>
          </w:p>
          <w:p w:rsidR="00346681" w:rsidRPr="00CE124D" w:rsidRDefault="00346681" w:rsidP="00BB53FB">
            <w:pPr>
              <w:spacing w:after="0" w:line="240" w:lineRule="auto"/>
              <w:rPr>
                <w:sz w:val="18"/>
                <w:szCs w:val="18"/>
              </w:rPr>
            </w:pPr>
          </w:p>
        </w:tc>
        <w:tc>
          <w:tcPr>
            <w:tcW w:w="2694"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počet vytvorených nových pracovných výskumných miest</w:t>
            </w:r>
          </w:p>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p</w:t>
            </w:r>
            <w:r w:rsidRPr="00CE124D">
              <w:rPr>
                <w:sz w:val="18"/>
                <w:szCs w:val="18"/>
              </w:rPr>
              <w:t xml:space="preserve">očet technologických a netechnologických výstupov </w:t>
            </w:r>
            <w:r>
              <w:rPr>
                <w:sz w:val="18"/>
                <w:szCs w:val="18"/>
              </w:rPr>
              <w:t>výskumu a vývoja</w:t>
            </w:r>
            <w:r w:rsidRPr="00CE124D">
              <w:rPr>
                <w:sz w:val="18"/>
                <w:szCs w:val="18"/>
              </w:rPr>
              <w:t xml:space="preserve"> uplatnených v praxi formou inovácií</w:t>
            </w:r>
          </w:p>
          <w:p w:rsidR="00346681" w:rsidRPr="00CE124D" w:rsidRDefault="00346681" w:rsidP="00BB53FB">
            <w:pPr>
              <w:spacing w:after="0" w:line="240" w:lineRule="auto"/>
              <w:rPr>
                <w:sz w:val="18"/>
                <w:szCs w:val="18"/>
              </w:rPr>
            </w:pPr>
            <w:r w:rsidRPr="00CE124D">
              <w:rPr>
                <w:sz w:val="18"/>
                <w:szCs w:val="18"/>
              </w:rPr>
              <w:t xml:space="preserve">- </w:t>
            </w:r>
            <w:r w:rsidR="00E824EE">
              <w:rPr>
                <w:sz w:val="18"/>
                <w:szCs w:val="18"/>
              </w:rPr>
              <w:t>p</w:t>
            </w:r>
            <w:r w:rsidRPr="00CE124D">
              <w:rPr>
                <w:sz w:val="18"/>
                <w:szCs w:val="18"/>
              </w:rPr>
              <w:t xml:space="preserve">očet patentov a licencií vzniknutých na základe výstupov </w:t>
            </w:r>
            <w:r>
              <w:rPr>
                <w:sz w:val="18"/>
                <w:szCs w:val="18"/>
              </w:rPr>
              <w:t>výskumu a vývoja</w:t>
            </w:r>
            <w:r w:rsidRPr="00CE124D">
              <w:rPr>
                <w:sz w:val="18"/>
                <w:szCs w:val="18"/>
              </w:rPr>
              <w:t xml:space="preserve"> realizovaných v praxi</w:t>
            </w:r>
          </w:p>
          <w:p w:rsidR="00346681" w:rsidRPr="00CE124D" w:rsidRDefault="00346681" w:rsidP="00BB53FB">
            <w:pPr>
              <w:spacing w:after="0" w:line="240" w:lineRule="auto"/>
              <w:rPr>
                <w:sz w:val="18"/>
                <w:szCs w:val="18"/>
              </w:rPr>
            </w:pPr>
          </w:p>
        </w:tc>
        <w:tc>
          <w:tcPr>
            <w:tcW w:w="2268" w:type="dxa"/>
            <w:tcBorders>
              <w:top w:val="single" w:sz="12" w:space="0" w:color="auto"/>
              <w:left w:val="single" w:sz="6" w:space="0" w:color="auto"/>
              <w:bottom w:val="single" w:sz="4"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verejné vysoké školy a SAV, ktoré začali s budovaním</w:t>
            </w:r>
            <w:r>
              <w:rPr>
                <w:sz w:val="18"/>
                <w:szCs w:val="18"/>
              </w:rPr>
              <w:t xml:space="preserve"> </w:t>
            </w:r>
            <w:r w:rsidRPr="00CE124D">
              <w:rPr>
                <w:sz w:val="18"/>
                <w:szCs w:val="18"/>
              </w:rPr>
              <w:t>univerzitných vedeckých parkov a/alebo výskumných centier v predchádzajúcom období so zameraním na oblasti tematických priorít</w:t>
            </w:r>
          </w:p>
        </w:tc>
        <w:tc>
          <w:tcPr>
            <w:tcW w:w="2612" w:type="dxa"/>
            <w:gridSpan w:val="2"/>
            <w:vMerge w:val="restart"/>
            <w:tcBorders>
              <w:top w:val="single" w:sz="12" w:space="0" w:color="auto"/>
              <w:left w:val="single" w:sz="6" w:space="0" w:color="auto"/>
              <w:bottom w:val="single" w:sz="4"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MŠVVaŠ</w:t>
            </w:r>
            <w:r w:rsidR="00F042FE">
              <w:rPr>
                <w:sz w:val="18"/>
                <w:szCs w:val="18"/>
              </w:rPr>
              <w:t xml:space="preserve"> SR</w:t>
            </w:r>
            <w:r w:rsidRPr="00CE124D">
              <w:rPr>
                <w:sz w:val="18"/>
                <w:szCs w:val="18"/>
              </w:rPr>
              <w:t>, MH SR</w:t>
            </w:r>
          </w:p>
          <w:p w:rsidR="00346681" w:rsidRPr="00CE124D" w:rsidRDefault="00346681" w:rsidP="00BB53FB">
            <w:pPr>
              <w:spacing w:after="0" w:line="240" w:lineRule="auto"/>
              <w:rPr>
                <w:sz w:val="18"/>
                <w:szCs w:val="18"/>
              </w:rPr>
            </w:pPr>
          </w:p>
        </w:tc>
      </w:tr>
      <w:tr w:rsidR="00346681" w:rsidRPr="00CE124D" w:rsidTr="00E824EE">
        <w:trPr>
          <w:gridAfter w:val="1"/>
          <w:wAfter w:w="28" w:type="dxa"/>
        </w:trPr>
        <w:tc>
          <w:tcPr>
            <w:tcW w:w="1702" w:type="dxa"/>
            <w:vMerge/>
            <w:tcBorders>
              <w:top w:val="single" w:sz="4" w:space="0" w:color="auto"/>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4"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2.2.2.</w:t>
            </w:r>
            <w:r>
              <w:rPr>
                <w:sz w:val="18"/>
                <w:szCs w:val="18"/>
              </w:rPr>
              <w:t xml:space="preserve"> </w:t>
            </w:r>
            <w:r w:rsidRPr="00CE124D">
              <w:rPr>
                <w:sz w:val="18"/>
                <w:szCs w:val="18"/>
              </w:rPr>
              <w:t>Podpora budovania národnej infraštruktúry pre využívanie štruktúr ESFRI</w:t>
            </w:r>
          </w:p>
        </w:tc>
        <w:tc>
          <w:tcPr>
            <w:tcW w:w="2693"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321E3C">
            <w:pPr>
              <w:spacing w:after="0" w:line="240" w:lineRule="auto"/>
              <w:rPr>
                <w:sz w:val="18"/>
                <w:szCs w:val="18"/>
              </w:rPr>
            </w:pPr>
            <w:r w:rsidRPr="00CE124D">
              <w:rPr>
                <w:sz w:val="18"/>
                <w:szCs w:val="18"/>
              </w:rPr>
              <w:t>-</w:t>
            </w:r>
            <w:r>
              <w:rPr>
                <w:sz w:val="18"/>
                <w:szCs w:val="18"/>
              </w:rPr>
              <w:t xml:space="preserve"> výsk</w:t>
            </w:r>
            <w:r w:rsidR="00E824EE">
              <w:rPr>
                <w:sz w:val="18"/>
                <w:szCs w:val="18"/>
              </w:rPr>
              <w:t>u</w:t>
            </w:r>
            <w:r>
              <w:rPr>
                <w:sz w:val="18"/>
                <w:szCs w:val="18"/>
              </w:rPr>
              <w:t>mné a vývojové</w:t>
            </w:r>
            <w:r w:rsidRPr="00CE124D">
              <w:rPr>
                <w:sz w:val="18"/>
                <w:szCs w:val="18"/>
              </w:rPr>
              <w:t xml:space="preserve"> projekty na rozvoj infraštruktúry</w:t>
            </w:r>
          </w:p>
        </w:tc>
        <w:tc>
          <w:tcPr>
            <w:tcW w:w="2694"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počet podporených projektov</w:t>
            </w:r>
          </w:p>
          <w:p w:rsidR="00346681" w:rsidRPr="00CE124D" w:rsidRDefault="00346681" w:rsidP="00BB53FB">
            <w:pPr>
              <w:spacing w:after="0" w:line="240" w:lineRule="auto"/>
              <w:rPr>
                <w:sz w:val="18"/>
                <w:szCs w:val="18"/>
              </w:rPr>
            </w:pPr>
            <w:r w:rsidRPr="00CE124D">
              <w:rPr>
                <w:sz w:val="18"/>
                <w:szCs w:val="18"/>
              </w:rPr>
              <w:t>- počet realizovaných účastí jednotlivcov a tímov na využívaní infraštruktúry ESFRI</w:t>
            </w:r>
          </w:p>
        </w:tc>
        <w:tc>
          <w:tcPr>
            <w:tcW w:w="2268" w:type="dxa"/>
            <w:tcBorders>
              <w:top w:val="single" w:sz="4"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výskumné tímy verejných vysokých škôl, SAV, podniky a iné výskumné organizácie</w:t>
            </w:r>
          </w:p>
        </w:tc>
        <w:tc>
          <w:tcPr>
            <w:tcW w:w="2612" w:type="dxa"/>
            <w:gridSpan w:val="2"/>
            <w:vMerge/>
            <w:tcBorders>
              <w:top w:val="single" w:sz="4" w:space="0" w:color="auto"/>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 xml:space="preserve">2.3. Prepájanie </w:t>
            </w:r>
            <w:r w:rsidRPr="00CE124D">
              <w:rPr>
                <w:b/>
                <w:sz w:val="18"/>
                <w:szCs w:val="18"/>
              </w:rPr>
              <w:lastRenderedPageBreak/>
              <w:t>univerzít, akadémie vied</w:t>
            </w:r>
            <w:r>
              <w:rPr>
                <w:b/>
                <w:sz w:val="18"/>
                <w:szCs w:val="18"/>
              </w:rPr>
              <w:t>, výskumných inštitúcií</w:t>
            </w:r>
            <w:r w:rsidRPr="00CE124D">
              <w:rPr>
                <w:b/>
                <w:sz w:val="18"/>
                <w:szCs w:val="18"/>
              </w:rPr>
              <w:t xml:space="preserve"> a partnerov z oblasti priemyslu </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2.3.1. Podpora dlhodobých </w:t>
            </w:r>
            <w:r w:rsidRPr="00CE124D">
              <w:rPr>
                <w:sz w:val="18"/>
                <w:szCs w:val="18"/>
              </w:rPr>
              <w:lastRenderedPageBreak/>
              <w:t>partnerstiev medzi podnikmi a výskumnými centrami</w:t>
            </w:r>
          </w:p>
        </w:tc>
        <w:tc>
          <w:tcPr>
            <w:tcW w:w="2693" w:type="dxa"/>
            <w:tcBorders>
              <w:top w:val="single" w:sz="12" w:space="0" w:color="auto"/>
              <w:left w:val="single" w:sz="6" w:space="0" w:color="auto"/>
              <w:bottom w:val="single" w:sz="4"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lastRenderedPageBreak/>
              <w:t xml:space="preserve">- </w:t>
            </w:r>
            <w:r>
              <w:rPr>
                <w:sz w:val="18"/>
                <w:szCs w:val="18"/>
              </w:rPr>
              <w:t>výsk</w:t>
            </w:r>
            <w:r w:rsidR="00E824EE">
              <w:rPr>
                <w:sz w:val="18"/>
                <w:szCs w:val="18"/>
              </w:rPr>
              <w:t>u</w:t>
            </w:r>
            <w:r>
              <w:rPr>
                <w:sz w:val="18"/>
                <w:szCs w:val="18"/>
              </w:rPr>
              <w:t>mné a vývojové</w:t>
            </w:r>
            <w:r w:rsidRPr="00CE124D">
              <w:rPr>
                <w:sz w:val="18"/>
                <w:szCs w:val="18"/>
              </w:rPr>
              <w:t xml:space="preserve"> projekty – </w:t>
            </w:r>
            <w:r w:rsidRPr="00CE124D">
              <w:rPr>
                <w:sz w:val="18"/>
                <w:szCs w:val="18"/>
              </w:rPr>
              <w:lastRenderedPageBreak/>
              <w:t>dlhodobé</w:t>
            </w:r>
          </w:p>
          <w:p w:rsidR="00346681" w:rsidRPr="00CE124D" w:rsidRDefault="00346681" w:rsidP="00BB53FB">
            <w:pPr>
              <w:spacing w:after="0" w:line="240" w:lineRule="auto"/>
              <w:rPr>
                <w:sz w:val="18"/>
                <w:szCs w:val="18"/>
              </w:rPr>
            </w:pPr>
            <w:r w:rsidRPr="00CE124D">
              <w:rPr>
                <w:sz w:val="18"/>
                <w:szCs w:val="18"/>
              </w:rPr>
              <w:t>-</w:t>
            </w:r>
            <w:r w:rsidR="00E824EE">
              <w:rPr>
                <w:sz w:val="18"/>
                <w:szCs w:val="18"/>
              </w:rPr>
              <w:t xml:space="preserve"> </w:t>
            </w:r>
            <w:r w:rsidRPr="00CE124D">
              <w:rPr>
                <w:sz w:val="18"/>
                <w:szCs w:val="18"/>
              </w:rPr>
              <w:t>technologické platformy</w:t>
            </w:r>
          </w:p>
          <w:p w:rsidR="00346681" w:rsidRPr="00CE124D" w:rsidRDefault="00346681" w:rsidP="006415AA">
            <w:pPr>
              <w:spacing w:after="0" w:line="240" w:lineRule="auto"/>
              <w:rPr>
                <w:sz w:val="18"/>
                <w:szCs w:val="18"/>
              </w:rPr>
            </w:pPr>
            <w:r w:rsidRPr="00CE124D">
              <w:rPr>
                <w:sz w:val="18"/>
                <w:szCs w:val="18"/>
              </w:rPr>
              <w:t>-</w:t>
            </w:r>
            <w:r w:rsidR="00E824EE">
              <w:rPr>
                <w:sz w:val="18"/>
                <w:szCs w:val="18"/>
              </w:rPr>
              <w:t xml:space="preserve"> </w:t>
            </w:r>
            <w:r w:rsidRPr="00CE124D">
              <w:rPr>
                <w:sz w:val="18"/>
                <w:szCs w:val="18"/>
              </w:rPr>
              <w:t>spoločné programy výskumu a vývoja s účasťou výskumných tímov z</w:t>
            </w:r>
            <w:r w:rsidR="00E824EE">
              <w:rPr>
                <w:sz w:val="18"/>
                <w:szCs w:val="18"/>
              </w:rPr>
              <w:t> </w:t>
            </w:r>
            <w:r w:rsidRPr="00CE124D">
              <w:rPr>
                <w:sz w:val="18"/>
                <w:szCs w:val="18"/>
              </w:rPr>
              <w:t>oboch</w:t>
            </w:r>
            <w:r w:rsidR="00E824EE">
              <w:rPr>
                <w:sz w:val="18"/>
                <w:szCs w:val="18"/>
              </w:rPr>
              <w:t xml:space="preserve"> </w:t>
            </w:r>
            <w:r w:rsidR="00E824EE" w:rsidRPr="00CE124D">
              <w:rPr>
                <w:sz w:val="18"/>
                <w:szCs w:val="18"/>
              </w:rPr>
              <w:t xml:space="preserve">sektorov </w:t>
            </w:r>
            <w:r w:rsidR="00E824EE">
              <w:rPr>
                <w:sz w:val="18"/>
                <w:szCs w:val="18"/>
              </w:rPr>
              <w:t>–</w:t>
            </w:r>
            <w:r w:rsidR="00E824EE" w:rsidRPr="00CE124D">
              <w:rPr>
                <w:sz w:val="18"/>
                <w:szCs w:val="18"/>
              </w:rPr>
              <w:t xml:space="preserve"> akademického</w:t>
            </w:r>
            <w:r w:rsidR="00E824EE">
              <w:rPr>
                <w:sz w:val="18"/>
                <w:szCs w:val="18"/>
              </w:rPr>
              <w:t xml:space="preserve"> </w:t>
            </w:r>
            <w:r w:rsidRPr="00CE124D">
              <w:rPr>
                <w:sz w:val="18"/>
                <w:szCs w:val="18"/>
              </w:rPr>
              <w:t xml:space="preserve">aj podnikateľského na podporu </w:t>
            </w:r>
            <w:r>
              <w:rPr>
                <w:sz w:val="18"/>
                <w:szCs w:val="18"/>
              </w:rPr>
              <w:t>výskumných a vývojových</w:t>
            </w:r>
            <w:r w:rsidRPr="00CE124D">
              <w:rPr>
                <w:sz w:val="18"/>
                <w:szCs w:val="18"/>
              </w:rPr>
              <w:t xml:space="preserve"> centier</w:t>
            </w:r>
          </w:p>
          <w:p w:rsidR="00346681" w:rsidRPr="00CE124D" w:rsidRDefault="00346681" w:rsidP="00BB53FB">
            <w:pPr>
              <w:spacing w:after="0" w:line="240" w:lineRule="auto"/>
              <w:rPr>
                <w:sz w:val="18"/>
                <w:szCs w:val="18"/>
              </w:rPr>
            </w:pPr>
          </w:p>
          <w:p w:rsidR="00346681" w:rsidRPr="00CE124D" w:rsidRDefault="00346681" w:rsidP="00BB53FB">
            <w:pPr>
              <w:spacing w:after="0" w:line="240" w:lineRule="auto"/>
              <w:rPr>
                <w:sz w:val="18"/>
                <w:szCs w:val="18"/>
              </w:rPr>
            </w:pPr>
          </w:p>
        </w:tc>
        <w:tc>
          <w:tcPr>
            <w:tcW w:w="2694"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lastRenderedPageBreak/>
              <w:t xml:space="preserve">- počet spoločných vzájomných </w:t>
            </w:r>
            <w:r w:rsidRPr="00CE124D">
              <w:rPr>
                <w:sz w:val="18"/>
                <w:szCs w:val="18"/>
              </w:rPr>
              <w:lastRenderedPageBreak/>
              <w:t>projektov</w:t>
            </w:r>
            <w:r>
              <w:rPr>
                <w:sz w:val="18"/>
                <w:szCs w:val="18"/>
              </w:rPr>
              <w:t xml:space="preserve"> </w:t>
            </w:r>
          </w:p>
          <w:p w:rsidR="00346681" w:rsidRPr="00CE124D" w:rsidRDefault="00346681" w:rsidP="00BB53FB">
            <w:pPr>
              <w:spacing w:after="0" w:line="240" w:lineRule="auto"/>
              <w:rPr>
                <w:sz w:val="18"/>
                <w:szCs w:val="18"/>
              </w:rPr>
            </w:pPr>
            <w:r w:rsidRPr="00CE124D">
              <w:rPr>
                <w:sz w:val="18"/>
                <w:szCs w:val="18"/>
              </w:rPr>
              <w:t>- počet vytvorených nových pracovných výskumných miest</w:t>
            </w:r>
          </w:p>
          <w:p w:rsidR="00346681" w:rsidRPr="00CE124D" w:rsidRDefault="00E824EE" w:rsidP="00E824EE">
            <w:pPr>
              <w:spacing w:after="0" w:line="240" w:lineRule="auto"/>
              <w:rPr>
                <w:sz w:val="18"/>
                <w:szCs w:val="18"/>
              </w:rPr>
            </w:pPr>
            <w:r>
              <w:rPr>
                <w:sz w:val="18"/>
                <w:szCs w:val="18"/>
              </w:rPr>
              <w:t xml:space="preserve">- </w:t>
            </w:r>
            <w:r w:rsidR="00346681" w:rsidRPr="00CE124D">
              <w:rPr>
                <w:sz w:val="18"/>
                <w:szCs w:val="18"/>
              </w:rPr>
              <w:t xml:space="preserve">počet patentov a licencií vzniknutých na základe výstupov </w:t>
            </w:r>
            <w:r w:rsidR="00346681">
              <w:rPr>
                <w:sz w:val="18"/>
                <w:szCs w:val="18"/>
              </w:rPr>
              <w:t>výskumu a vývoja</w:t>
            </w:r>
            <w:r w:rsidR="00346681" w:rsidRPr="00CE124D">
              <w:rPr>
                <w:sz w:val="18"/>
                <w:szCs w:val="18"/>
              </w:rPr>
              <w:t xml:space="preserve"> realizovaných v praxi</w:t>
            </w:r>
          </w:p>
        </w:tc>
        <w:tc>
          <w:tcPr>
            <w:tcW w:w="2268"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lastRenderedPageBreak/>
              <w:t xml:space="preserve">- konzorciá a združenia </w:t>
            </w:r>
            <w:r w:rsidRPr="00CE124D">
              <w:rPr>
                <w:sz w:val="18"/>
                <w:szCs w:val="18"/>
              </w:rPr>
              <w:lastRenderedPageBreak/>
              <w:t>podnikov a výskumných organizácií, SAV a vysokých škôl aktívnych v oblastiach tematických priorít</w:t>
            </w:r>
          </w:p>
        </w:tc>
        <w:tc>
          <w:tcPr>
            <w:tcW w:w="2612" w:type="dxa"/>
            <w:gridSpan w:val="2"/>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lastRenderedPageBreak/>
              <w:t>Všetky relevantné rezorty RIS3</w:t>
            </w: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pStyle w:val="Style47"/>
              <w:widowControl/>
              <w:spacing w:line="240" w:lineRule="auto"/>
              <w:ind w:firstLine="5"/>
              <w:rPr>
                <w:rStyle w:val="FontStyle57"/>
                <w:b w:val="0"/>
              </w:rPr>
            </w:pPr>
            <w:r w:rsidRPr="00CE124D">
              <w:rPr>
                <w:b/>
                <w:sz w:val="18"/>
                <w:szCs w:val="18"/>
              </w:rPr>
              <w:lastRenderedPageBreak/>
              <w:t xml:space="preserve">2.4. Systematická podpora a stimulácia medzinárodnej spolupráce vo vede a technike </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pStyle w:val="Style6"/>
              <w:widowControl/>
            </w:pPr>
          </w:p>
        </w:tc>
        <w:tc>
          <w:tcPr>
            <w:tcW w:w="2735" w:type="dxa"/>
            <w:tcBorders>
              <w:top w:val="single" w:sz="12" w:space="0" w:color="auto"/>
              <w:left w:val="single" w:sz="4" w:space="0" w:color="auto"/>
              <w:bottom w:val="single" w:sz="4"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bCs/>
                <w:sz w:val="18"/>
                <w:szCs w:val="18"/>
              </w:rPr>
              <w:t>2.4.1. Systémová zmena koordinácie</w:t>
            </w:r>
            <w:r>
              <w:rPr>
                <w:bCs/>
                <w:sz w:val="18"/>
                <w:szCs w:val="18"/>
              </w:rPr>
              <w:t xml:space="preserve"> </w:t>
            </w:r>
            <w:r w:rsidRPr="00CE124D">
              <w:rPr>
                <w:bCs/>
                <w:sz w:val="18"/>
                <w:szCs w:val="18"/>
              </w:rPr>
              <w:t>národných štruktúr pre Horizon 2020, ERC, ERANET</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rsidR="00346681" w:rsidRPr="00CE124D" w:rsidRDefault="00346681" w:rsidP="00BB53FB">
            <w:pPr>
              <w:spacing w:after="0" w:line="240" w:lineRule="auto"/>
              <w:rPr>
                <w:sz w:val="18"/>
                <w:szCs w:val="18"/>
              </w:rPr>
            </w:pPr>
            <w:r w:rsidRPr="00CE124D">
              <w:rPr>
                <w:sz w:val="18"/>
                <w:szCs w:val="18"/>
              </w:rPr>
              <w:t>-</w:t>
            </w:r>
            <w:r>
              <w:rPr>
                <w:sz w:val="18"/>
                <w:szCs w:val="18"/>
              </w:rPr>
              <w:t xml:space="preserve"> </w:t>
            </w:r>
            <w:r w:rsidRPr="00CE124D">
              <w:rPr>
                <w:sz w:val="18"/>
                <w:szCs w:val="18"/>
              </w:rPr>
              <w:t>audit, benchmarking efektívnosti účastí SR v medzinárodných programoch a inštitúciách výskumu a vývoja</w:t>
            </w:r>
          </w:p>
          <w:p w:rsidR="00346681" w:rsidRPr="00CE124D" w:rsidRDefault="00346681" w:rsidP="00BB53FB">
            <w:pPr>
              <w:pStyle w:val="Style10"/>
              <w:widowControl/>
              <w:spacing w:line="240" w:lineRule="auto"/>
              <w:ind w:left="10" w:hanging="10"/>
              <w:rPr>
                <w:rStyle w:val="FontStyle59"/>
              </w:rPr>
            </w:pPr>
          </w:p>
        </w:tc>
        <w:tc>
          <w:tcPr>
            <w:tcW w:w="2694" w:type="dxa"/>
            <w:vMerge w:val="restart"/>
            <w:tcBorders>
              <w:top w:val="single" w:sz="12" w:space="0" w:color="auto"/>
              <w:left w:val="single" w:sz="4" w:space="0" w:color="auto"/>
              <w:right w:val="single" w:sz="6" w:space="0" w:color="auto"/>
            </w:tcBorders>
            <w:vAlign w:val="center"/>
          </w:tcPr>
          <w:p w:rsidR="00346681" w:rsidRPr="00CE124D" w:rsidRDefault="00346681" w:rsidP="00BB53FB">
            <w:pPr>
              <w:spacing w:after="0" w:line="240" w:lineRule="auto"/>
              <w:rPr>
                <w:sz w:val="18"/>
                <w:szCs w:val="18"/>
              </w:rPr>
            </w:pP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podporených projektov</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realizovaných účastí jednotlivcov a tímov na projektoch medzinárodnej spolupráce vo vede a technike (najmä H2020 a ERC), ktoré využili podporu, alebo ku ktorým podpora prispela</w:t>
            </w:r>
          </w:p>
          <w:p w:rsidR="00346681" w:rsidRPr="00CE124D" w:rsidRDefault="00346681" w:rsidP="00BB53FB">
            <w:pPr>
              <w:spacing w:after="0" w:line="240" w:lineRule="auto"/>
              <w:rPr>
                <w:sz w:val="18"/>
                <w:szCs w:val="18"/>
              </w:rPr>
            </w:pPr>
            <w:r>
              <w:rPr>
                <w:sz w:val="18"/>
                <w:szCs w:val="18"/>
              </w:rPr>
              <w:t xml:space="preserve"> </w:t>
            </w:r>
            <w:r w:rsidR="009B4536">
              <w:rPr>
                <w:sz w:val="18"/>
                <w:szCs w:val="18"/>
              </w:rPr>
              <w:t xml:space="preserve">- </w:t>
            </w:r>
            <w:r w:rsidRPr="00CE124D">
              <w:rPr>
                <w:sz w:val="18"/>
                <w:szCs w:val="18"/>
              </w:rPr>
              <w:t>koeficient návratnosti účasti SR v</w:t>
            </w:r>
            <w:r w:rsidR="009B4536">
              <w:rPr>
                <w:sz w:val="18"/>
                <w:szCs w:val="18"/>
              </w:rPr>
              <w:t> </w:t>
            </w:r>
            <w:r w:rsidRPr="00CE124D">
              <w:rPr>
                <w:sz w:val="18"/>
                <w:szCs w:val="18"/>
              </w:rPr>
              <w:t>7</w:t>
            </w:r>
            <w:r w:rsidR="009B4536">
              <w:rPr>
                <w:sz w:val="18"/>
                <w:szCs w:val="18"/>
              </w:rPr>
              <w:t>.</w:t>
            </w:r>
            <w:r w:rsidRPr="00CE124D">
              <w:rPr>
                <w:sz w:val="18"/>
                <w:szCs w:val="18"/>
              </w:rPr>
              <w:t xml:space="preserve"> RP a</w:t>
            </w:r>
            <w:r w:rsidR="009B4536">
              <w:rPr>
                <w:sz w:val="18"/>
                <w:szCs w:val="18"/>
              </w:rPr>
              <w:t> </w:t>
            </w:r>
            <w:r w:rsidRPr="00CE124D">
              <w:rPr>
                <w:sz w:val="18"/>
                <w:szCs w:val="18"/>
              </w:rPr>
              <w:t>Horizon</w:t>
            </w:r>
            <w:r w:rsidR="009B4536">
              <w:rPr>
                <w:sz w:val="18"/>
                <w:szCs w:val="18"/>
              </w:rPr>
              <w:t xml:space="preserve"> </w:t>
            </w:r>
            <w:r w:rsidRPr="00CE124D">
              <w:rPr>
                <w:sz w:val="18"/>
                <w:szCs w:val="18"/>
              </w:rPr>
              <w:t>2020</w:t>
            </w:r>
          </w:p>
          <w:p w:rsidR="00346681" w:rsidRPr="00CE124D" w:rsidRDefault="00346681" w:rsidP="00BB53FB">
            <w:pPr>
              <w:spacing w:after="0" w:line="240" w:lineRule="auto"/>
              <w:rPr>
                <w:sz w:val="18"/>
                <w:szCs w:val="18"/>
              </w:rPr>
            </w:pPr>
            <w:r w:rsidRPr="00CE124D">
              <w:rPr>
                <w:sz w:val="18"/>
                <w:szCs w:val="18"/>
              </w:rPr>
              <w:t xml:space="preserve"> </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9B4536">
            <w:pPr>
              <w:spacing w:after="0" w:line="240" w:lineRule="auto"/>
              <w:rPr>
                <w:sz w:val="18"/>
                <w:szCs w:val="18"/>
              </w:rPr>
            </w:pPr>
            <w:r w:rsidRPr="00CE124D">
              <w:rPr>
                <w:sz w:val="18"/>
                <w:szCs w:val="18"/>
              </w:rPr>
              <w:t>- výskumné tímy verejných vysokých škôl, SAV, podnikov a iných výskumných</w:t>
            </w:r>
            <w:r w:rsidR="00092912">
              <w:rPr>
                <w:sz w:val="18"/>
                <w:szCs w:val="18"/>
              </w:rPr>
              <w:t xml:space="preserve"> </w:t>
            </w:r>
            <w:r w:rsidRPr="00CE124D">
              <w:rPr>
                <w:sz w:val="18"/>
                <w:szCs w:val="18"/>
              </w:rPr>
              <w:t>organizácií uchádzajúce sa o spoluprácu alebo spolupracujúce v medzinárodnom rozmere</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MŠVVaŠ</w:t>
            </w:r>
            <w:r w:rsidR="00F042FE">
              <w:rPr>
                <w:sz w:val="18"/>
                <w:szCs w:val="18"/>
              </w:rPr>
              <w:t xml:space="preserve"> SR</w:t>
            </w:r>
            <w:r w:rsidRPr="00CE124D">
              <w:rPr>
                <w:sz w:val="18"/>
                <w:szCs w:val="18"/>
              </w:rPr>
              <w:t>, MH SR</w:t>
            </w:r>
            <w:r>
              <w:rPr>
                <w:sz w:val="18"/>
                <w:szCs w:val="18"/>
              </w:rPr>
              <w:t xml:space="preserve"> a</w:t>
            </w:r>
            <w:r w:rsidR="00AE3955">
              <w:rPr>
                <w:sz w:val="18"/>
                <w:szCs w:val="18"/>
              </w:rPr>
              <w:t> </w:t>
            </w:r>
            <w:r>
              <w:rPr>
                <w:sz w:val="18"/>
                <w:szCs w:val="18"/>
              </w:rPr>
              <w:t>ostatné relevantné rezorty</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6" w:space="0" w:color="auto"/>
              <w:right w:val="single" w:sz="4" w:space="0" w:color="auto"/>
            </w:tcBorders>
            <w:vAlign w:val="center"/>
          </w:tcPr>
          <w:p w:rsidR="00346681" w:rsidRPr="00CE124D" w:rsidRDefault="00346681" w:rsidP="00BB53FB">
            <w:pPr>
              <w:pStyle w:val="Style6"/>
              <w:widowControl/>
            </w:pPr>
          </w:p>
        </w:tc>
        <w:tc>
          <w:tcPr>
            <w:tcW w:w="2735" w:type="dxa"/>
            <w:tcBorders>
              <w:top w:val="single" w:sz="4" w:space="0" w:color="auto"/>
              <w:left w:val="single" w:sz="4" w:space="0" w:color="auto"/>
              <w:bottom w:val="single" w:sz="4"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2.4.2. Zriadenie styčnej kancelárie pre výskum, vývoj a inovácie v Bruseli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6681" w:rsidRPr="00CE124D" w:rsidRDefault="00346681" w:rsidP="00BB53FB">
            <w:pPr>
              <w:pStyle w:val="Style10"/>
              <w:widowControl/>
              <w:spacing w:line="240" w:lineRule="auto"/>
              <w:ind w:left="10" w:hanging="10"/>
              <w:rPr>
                <w:rStyle w:val="FontStyle59"/>
              </w:rPr>
            </w:pPr>
            <w:r w:rsidRPr="00CE124D">
              <w:rPr>
                <w:rStyle w:val="FontStyle59"/>
              </w:rPr>
              <w:t>- realizačný projekt</w:t>
            </w:r>
          </w:p>
        </w:tc>
        <w:tc>
          <w:tcPr>
            <w:tcW w:w="2694" w:type="dxa"/>
            <w:vMerge/>
            <w:tcBorders>
              <w:left w:val="single" w:sz="4" w:space="0" w:color="auto"/>
              <w:right w:val="single" w:sz="6" w:space="0" w:color="auto"/>
            </w:tcBorders>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right w:val="single" w:sz="6" w:space="0" w:color="auto"/>
            </w:tcBorders>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6" w:space="0" w:color="auto"/>
              <w:right w:val="single" w:sz="4" w:space="0" w:color="auto"/>
            </w:tcBorders>
            <w:vAlign w:val="center"/>
          </w:tcPr>
          <w:p w:rsidR="00346681" w:rsidRPr="00CE124D" w:rsidRDefault="00346681" w:rsidP="00BB53FB">
            <w:pPr>
              <w:pStyle w:val="Style6"/>
              <w:widowControl/>
            </w:pPr>
          </w:p>
        </w:tc>
        <w:tc>
          <w:tcPr>
            <w:tcW w:w="2735" w:type="dxa"/>
            <w:tcBorders>
              <w:top w:val="single" w:sz="4" w:space="0" w:color="auto"/>
              <w:left w:val="single" w:sz="4" w:space="0" w:color="auto"/>
              <w:bottom w:val="single" w:sz="4"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2.4.3. Účasť slovenských subjektov v medzinárodných technologických platformách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6681" w:rsidRPr="00CE124D" w:rsidRDefault="00346681" w:rsidP="00BB53FB">
            <w:pPr>
              <w:pStyle w:val="Style10"/>
              <w:widowControl/>
              <w:spacing w:line="240" w:lineRule="auto"/>
              <w:ind w:left="10" w:hanging="10"/>
              <w:rPr>
                <w:sz w:val="18"/>
                <w:szCs w:val="18"/>
              </w:rPr>
            </w:pPr>
            <w:r w:rsidRPr="00CE124D">
              <w:rPr>
                <w:sz w:val="18"/>
                <w:szCs w:val="18"/>
              </w:rPr>
              <w:t>- podpora účasti</w:t>
            </w:r>
          </w:p>
          <w:p w:rsidR="00346681" w:rsidRPr="00CE124D" w:rsidRDefault="00346681" w:rsidP="00BB53FB">
            <w:pPr>
              <w:pStyle w:val="Style10"/>
              <w:widowControl/>
              <w:spacing w:line="240" w:lineRule="auto"/>
              <w:ind w:left="10" w:hanging="10"/>
              <w:rPr>
                <w:rStyle w:val="FontStyle59"/>
              </w:rPr>
            </w:pPr>
          </w:p>
        </w:tc>
        <w:tc>
          <w:tcPr>
            <w:tcW w:w="2694" w:type="dxa"/>
            <w:vMerge/>
            <w:tcBorders>
              <w:left w:val="single" w:sz="4" w:space="0" w:color="auto"/>
              <w:right w:val="single" w:sz="6" w:space="0" w:color="auto"/>
            </w:tcBorders>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right w:val="single" w:sz="6" w:space="0" w:color="auto"/>
            </w:tcBorders>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6" w:space="0" w:color="auto"/>
              <w:right w:val="single" w:sz="4" w:space="0" w:color="auto"/>
            </w:tcBorders>
            <w:vAlign w:val="center"/>
          </w:tcPr>
          <w:p w:rsidR="00346681" w:rsidRPr="00CE124D" w:rsidRDefault="00346681" w:rsidP="00BB53FB">
            <w:pPr>
              <w:pStyle w:val="Style6"/>
              <w:widowControl/>
            </w:pPr>
          </w:p>
        </w:tc>
        <w:tc>
          <w:tcPr>
            <w:tcW w:w="2735" w:type="dxa"/>
            <w:tcBorders>
              <w:top w:val="single" w:sz="4" w:space="0" w:color="auto"/>
              <w:left w:val="single" w:sz="4" w:space="0" w:color="auto"/>
              <w:bottom w:val="single" w:sz="4"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2.4.4. Stimulácia</w:t>
            </w:r>
            <w:r>
              <w:rPr>
                <w:sz w:val="18"/>
                <w:szCs w:val="18"/>
              </w:rPr>
              <w:t xml:space="preserve"> </w:t>
            </w:r>
            <w:r w:rsidRPr="00CE124D">
              <w:rPr>
                <w:sz w:val="18"/>
                <w:szCs w:val="18"/>
              </w:rPr>
              <w:t>cezhraničnej</w:t>
            </w:r>
            <w:r>
              <w:rPr>
                <w:sz w:val="18"/>
                <w:szCs w:val="18"/>
              </w:rPr>
              <w:t xml:space="preserve"> </w:t>
            </w:r>
            <w:r w:rsidRPr="00CE124D">
              <w:rPr>
                <w:sz w:val="18"/>
                <w:szCs w:val="18"/>
              </w:rPr>
              <w:t>a makroregionálnej spolupráce na výskum, vývoj a inovácie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6681" w:rsidRPr="00CE124D" w:rsidRDefault="00346681" w:rsidP="00BB53FB">
            <w:pPr>
              <w:pStyle w:val="Style10"/>
              <w:widowControl/>
              <w:spacing w:line="240" w:lineRule="auto"/>
              <w:ind w:left="10" w:hanging="10"/>
              <w:rPr>
                <w:rStyle w:val="FontStyle59"/>
              </w:rPr>
            </w:pPr>
            <w:r w:rsidRPr="00CE124D">
              <w:rPr>
                <w:rStyle w:val="FontStyle59"/>
              </w:rPr>
              <w:t>- podpora cezhraničných a transnacionálnych projektov s využitím flexibilít novej legislatívy E</w:t>
            </w:r>
            <w:r w:rsidR="009B4536">
              <w:rPr>
                <w:rStyle w:val="FontStyle59"/>
              </w:rPr>
              <w:t>Ú</w:t>
            </w:r>
          </w:p>
          <w:p w:rsidR="00346681" w:rsidRPr="00CE124D" w:rsidRDefault="00346681" w:rsidP="00BB53FB">
            <w:pPr>
              <w:pStyle w:val="Style10"/>
              <w:widowControl/>
              <w:spacing w:line="240" w:lineRule="auto"/>
              <w:ind w:left="10" w:hanging="10"/>
              <w:rPr>
                <w:rStyle w:val="FontStyle59"/>
              </w:rPr>
            </w:pPr>
          </w:p>
          <w:p w:rsidR="00346681" w:rsidRPr="00CE124D" w:rsidRDefault="00346681" w:rsidP="00BB53FB">
            <w:pPr>
              <w:pStyle w:val="Style10"/>
              <w:widowControl/>
              <w:spacing w:line="240" w:lineRule="auto"/>
              <w:ind w:left="10" w:hanging="10"/>
              <w:rPr>
                <w:rStyle w:val="FontStyle59"/>
              </w:rPr>
            </w:pPr>
          </w:p>
        </w:tc>
        <w:tc>
          <w:tcPr>
            <w:tcW w:w="2694" w:type="dxa"/>
            <w:vMerge/>
            <w:tcBorders>
              <w:left w:val="single" w:sz="4" w:space="0" w:color="auto"/>
              <w:right w:val="single" w:sz="6" w:space="0" w:color="auto"/>
            </w:tcBorders>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right w:val="single" w:sz="6" w:space="0" w:color="auto"/>
            </w:tcBorders>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6" w:space="0" w:color="auto"/>
              <w:right w:val="single" w:sz="4" w:space="0" w:color="auto"/>
            </w:tcBorders>
            <w:vAlign w:val="center"/>
          </w:tcPr>
          <w:p w:rsidR="00346681" w:rsidRPr="00CE124D" w:rsidRDefault="00346681" w:rsidP="00BB53FB">
            <w:pPr>
              <w:pStyle w:val="Style6"/>
              <w:widowControl/>
            </w:pPr>
          </w:p>
        </w:tc>
        <w:tc>
          <w:tcPr>
            <w:tcW w:w="2735" w:type="dxa"/>
            <w:tcBorders>
              <w:top w:val="single" w:sz="4"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2.4.5. Stimulácia MVTS prostredníctvom inštitucionálneho financovania verejných vysokých škôl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6681" w:rsidRPr="00CE124D" w:rsidRDefault="00346681" w:rsidP="00BB53FB">
            <w:pPr>
              <w:pStyle w:val="Style10"/>
              <w:widowControl/>
              <w:spacing w:line="240" w:lineRule="auto"/>
              <w:ind w:left="10" w:hanging="10"/>
              <w:rPr>
                <w:rStyle w:val="FontStyle59"/>
              </w:rPr>
            </w:pPr>
            <w:r w:rsidRPr="00CE124D">
              <w:rPr>
                <w:rStyle w:val="FontStyle59"/>
              </w:rPr>
              <w:t xml:space="preserve">- </w:t>
            </w:r>
            <w:r w:rsidR="009B4536">
              <w:rPr>
                <w:rStyle w:val="FontStyle59"/>
              </w:rPr>
              <w:t>l</w:t>
            </w:r>
            <w:r w:rsidRPr="00CE124D">
              <w:rPr>
                <w:rStyle w:val="FontStyle59"/>
              </w:rPr>
              <w:t>egislatívne zmeny</w:t>
            </w:r>
          </w:p>
        </w:tc>
        <w:tc>
          <w:tcPr>
            <w:tcW w:w="2694" w:type="dxa"/>
            <w:vMerge/>
            <w:tcBorders>
              <w:left w:val="single" w:sz="4" w:space="0" w:color="auto"/>
              <w:right w:val="single" w:sz="6" w:space="0" w:color="auto"/>
            </w:tcBorders>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right w:val="single" w:sz="6" w:space="0" w:color="auto"/>
            </w:tcBorders>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pStyle w:val="Style47"/>
              <w:widowControl/>
              <w:spacing w:line="240" w:lineRule="auto"/>
              <w:ind w:firstLine="5"/>
              <w:rPr>
                <w:rStyle w:val="FontStyle57"/>
              </w:rPr>
            </w:pPr>
          </w:p>
        </w:tc>
        <w:tc>
          <w:tcPr>
            <w:tcW w:w="100" w:type="dxa"/>
            <w:tcBorders>
              <w:top w:val="single" w:sz="6" w:space="0" w:color="auto"/>
              <w:left w:val="nil"/>
              <w:bottom w:val="single" w:sz="12" w:space="0" w:color="auto"/>
              <w:right w:val="single" w:sz="4" w:space="0" w:color="auto"/>
            </w:tcBorders>
            <w:vAlign w:val="center"/>
          </w:tcPr>
          <w:p w:rsidR="00346681" w:rsidRPr="00CE124D" w:rsidRDefault="00346681" w:rsidP="00BB53FB">
            <w:pPr>
              <w:pStyle w:val="Style6"/>
              <w:widowControl/>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9B4536">
            <w:pPr>
              <w:spacing w:after="0" w:line="240" w:lineRule="auto"/>
              <w:rPr>
                <w:sz w:val="18"/>
                <w:szCs w:val="18"/>
              </w:rPr>
            </w:pPr>
            <w:r w:rsidRPr="00CE124D">
              <w:rPr>
                <w:sz w:val="18"/>
                <w:szCs w:val="18"/>
              </w:rPr>
              <w:t xml:space="preserve">2.4.6. </w:t>
            </w:r>
            <w:r w:rsidR="009B4536">
              <w:rPr>
                <w:sz w:val="18"/>
                <w:szCs w:val="18"/>
              </w:rPr>
              <w:t>P</w:t>
            </w:r>
            <w:r w:rsidRPr="00CE124D">
              <w:rPr>
                <w:sz w:val="18"/>
                <w:szCs w:val="18"/>
              </w:rPr>
              <w:t xml:space="preserve">odpora tímov zapojených do </w:t>
            </w:r>
            <w:r w:rsidR="009B4536">
              <w:rPr>
                <w:sz w:val="18"/>
                <w:szCs w:val="18"/>
              </w:rPr>
              <w:t>medzinárodnej vedecko-technickej spolupráce</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rsidR="00346681" w:rsidRPr="00CE124D" w:rsidRDefault="00346681" w:rsidP="00BB53FB">
            <w:pPr>
              <w:pStyle w:val="Style10"/>
              <w:widowControl/>
              <w:spacing w:line="240" w:lineRule="auto"/>
              <w:ind w:left="10" w:hanging="10"/>
              <w:rPr>
                <w:rStyle w:val="FontStyle59"/>
              </w:rPr>
            </w:pPr>
            <w:r w:rsidRPr="00CE124D">
              <w:rPr>
                <w:sz w:val="18"/>
                <w:szCs w:val="18"/>
              </w:rPr>
              <w:t xml:space="preserve">- program dofinancovania medzinárodnej vedecko-technickej spolupráce </w:t>
            </w:r>
          </w:p>
        </w:tc>
        <w:tc>
          <w:tcPr>
            <w:tcW w:w="2694" w:type="dxa"/>
            <w:vMerge/>
            <w:tcBorders>
              <w:left w:val="single" w:sz="4" w:space="0" w:color="auto"/>
              <w:bottom w:val="single" w:sz="12" w:space="0" w:color="auto"/>
              <w:right w:val="single" w:sz="6" w:space="0" w:color="auto"/>
            </w:tcBorders>
            <w:vAlign w:val="center"/>
          </w:tcPr>
          <w:p w:rsidR="00346681" w:rsidRPr="00CE124D" w:rsidRDefault="00346681" w:rsidP="00BB53FB">
            <w:pPr>
              <w:pStyle w:val="Style18"/>
              <w:widowControl/>
              <w:spacing w:line="240" w:lineRule="auto"/>
              <w:rPr>
                <w:rStyle w:val="FontStyle59"/>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pStyle w:val="Style18"/>
              <w:widowControl/>
              <w:spacing w:line="240" w:lineRule="auto"/>
              <w:ind w:firstLine="10"/>
              <w:rPr>
                <w:rStyle w:val="FontStyle59"/>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pStyle w:val="Style10"/>
              <w:widowControl/>
              <w:spacing w:line="240" w:lineRule="auto"/>
              <w:ind w:firstLine="5"/>
              <w:rPr>
                <w:rStyle w:val="FontStyle59"/>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3.1. Stimulovanie KIBS, poznatkovo orientovaných služieb a kreatívneho priemyslu</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3.1.1.Modernizácia technológií v</w:t>
            </w:r>
            <w:r>
              <w:rPr>
                <w:sz w:val="18"/>
                <w:szCs w:val="18"/>
              </w:rPr>
              <w:t xml:space="preserve"> </w:t>
            </w:r>
            <w:r w:rsidRPr="00CE124D">
              <w:rPr>
                <w:sz w:val="18"/>
                <w:szCs w:val="18"/>
              </w:rPr>
              <w:t>kreatívnych odvetviach,</w:t>
            </w:r>
          </w:p>
        </w:tc>
        <w:tc>
          <w:tcPr>
            <w:tcW w:w="2693"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w:t>
            </w:r>
            <w:r>
              <w:rPr>
                <w:sz w:val="18"/>
                <w:szCs w:val="18"/>
              </w:rPr>
              <w:t xml:space="preserve"> </w:t>
            </w:r>
            <w:r w:rsidRPr="00CE124D">
              <w:rPr>
                <w:sz w:val="18"/>
                <w:szCs w:val="18"/>
              </w:rPr>
              <w:t>projekty</w:t>
            </w:r>
          </w:p>
          <w:p w:rsidR="00346681" w:rsidRPr="00CE124D" w:rsidRDefault="00346681" w:rsidP="00BB53FB">
            <w:pPr>
              <w:spacing w:after="0" w:line="240" w:lineRule="auto"/>
              <w:rPr>
                <w:sz w:val="18"/>
                <w:szCs w:val="18"/>
              </w:rPr>
            </w:pPr>
            <w:r w:rsidRPr="00CE124D">
              <w:rPr>
                <w:sz w:val="18"/>
                <w:szCs w:val="18"/>
              </w:rPr>
              <w:t>- granty</w:t>
            </w:r>
          </w:p>
          <w:p w:rsidR="00346681" w:rsidRPr="00CE124D" w:rsidRDefault="00346681" w:rsidP="00BB53FB">
            <w:pPr>
              <w:spacing w:after="0" w:line="240" w:lineRule="auto"/>
              <w:rPr>
                <w:sz w:val="18"/>
                <w:szCs w:val="18"/>
              </w:rPr>
            </w:pPr>
            <w:r w:rsidRPr="00CE124D">
              <w:rPr>
                <w:sz w:val="18"/>
                <w:szCs w:val="18"/>
              </w:rPr>
              <w:t>- inovačné vouchre</w:t>
            </w:r>
          </w:p>
          <w:p w:rsidR="00346681" w:rsidRPr="00CE124D" w:rsidRDefault="00346681" w:rsidP="00BB53FB">
            <w:pPr>
              <w:spacing w:after="0" w:line="240" w:lineRule="auto"/>
              <w:rPr>
                <w:sz w:val="18"/>
                <w:szCs w:val="18"/>
              </w:rPr>
            </w:pPr>
            <w:r w:rsidRPr="00CE124D">
              <w:rPr>
                <w:sz w:val="18"/>
                <w:szCs w:val="18"/>
              </w:rPr>
              <w:t>- start-upy</w:t>
            </w:r>
          </w:p>
          <w:p w:rsidR="00346681" w:rsidRDefault="00346681" w:rsidP="00BB53FB">
            <w:pPr>
              <w:spacing w:after="0" w:line="240" w:lineRule="auto"/>
              <w:rPr>
                <w:sz w:val="18"/>
                <w:szCs w:val="18"/>
              </w:rPr>
            </w:pPr>
            <w:r w:rsidRPr="00CE124D">
              <w:rPr>
                <w:sz w:val="18"/>
                <w:szCs w:val="18"/>
              </w:rPr>
              <w:t xml:space="preserve">- inkubátory </w:t>
            </w:r>
          </w:p>
          <w:p w:rsidR="00346681" w:rsidRDefault="00346681" w:rsidP="00E02C76">
            <w:pPr>
              <w:spacing w:after="0" w:line="240" w:lineRule="auto"/>
              <w:jc w:val="left"/>
              <w:rPr>
                <w:sz w:val="18"/>
                <w:szCs w:val="18"/>
              </w:rPr>
            </w:pPr>
            <w:r w:rsidRPr="001D32FD">
              <w:rPr>
                <w:sz w:val="18"/>
                <w:szCs w:val="18"/>
              </w:rPr>
              <w:t>- finančné nástroje (úverové, záručné schémy, rizikový kapitál</w:t>
            </w:r>
            <w:r>
              <w:rPr>
                <w:sz w:val="18"/>
                <w:szCs w:val="18"/>
              </w:rPr>
              <w:t>, mikropôžičky</w:t>
            </w:r>
            <w:r w:rsidRPr="001D32FD">
              <w:rPr>
                <w:sz w:val="18"/>
                <w:szCs w:val="18"/>
              </w:rPr>
              <w:t>)</w:t>
            </w:r>
          </w:p>
          <w:p w:rsidR="00346681" w:rsidRPr="00CE124D" w:rsidRDefault="00346681" w:rsidP="000C250F">
            <w:pPr>
              <w:spacing w:after="0" w:line="240" w:lineRule="auto"/>
              <w:rPr>
                <w:sz w:val="18"/>
                <w:szCs w:val="18"/>
              </w:rPr>
            </w:pP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podporených podnikov</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vytvorených nových pracovných miest v kreatívnom a poznatkovo intenzívnom priemysle</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udržaných pracovných miest</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podniky</w:t>
            </w:r>
            <w:r w:rsidRPr="000C250F">
              <w:rPr>
                <w:sz w:val="18"/>
                <w:szCs w:val="18"/>
              </w:rPr>
              <w:t xml:space="preserve"> </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MHSR a</w:t>
            </w:r>
            <w:r>
              <w:rPr>
                <w:sz w:val="18"/>
                <w:szCs w:val="18"/>
              </w:rPr>
              <w:t> </w:t>
            </w:r>
            <w:r w:rsidRPr="00CE124D">
              <w:rPr>
                <w:sz w:val="18"/>
                <w:szCs w:val="18"/>
              </w:rPr>
              <w:t>všetky relevantné rezorty</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3.1.2.Podpora realizácií výsledkov kreatívnych činností v hospodárskej a spoločenskej praxi, podpora tvorby prototypov</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3.1.3.Podpora využívania digitálnych technológií v kreatívnych a netechnologických oblastiach</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lastRenderedPageBreak/>
              <w:t>3.2. Podpora výskumu a inovácií v environmentálnych oblastiach</w:t>
            </w:r>
            <w:r w:rsidR="00252C16">
              <w:rPr>
                <w:b/>
                <w:sz w:val="18"/>
                <w:szCs w:val="18"/>
              </w:rPr>
              <w:t xml:space="preserve"> </w:t>
            </w:r>
            <w:r w:rsidR="00252C16" w:rsidRPr="00252C16">
              <w:rPr>
                <w:b/>
                <w:sz w:val="18"/>
                <w:szCs w:val="18"/>
              </w:rPr>
              <w:t>vrátane adaptácie na zmenu klímy</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3.2.1. Podpora výskumu a inovatívnych riešení v oblasti ekológie, environmentálnych problémov a dôsledkov klimatických zmien </w:t>
            </w:r>
          </w:p>
        </w:tc>
        <w:tc>
          <w:tcPr>
            <w:tcW w:w="2693"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výskumné granty</w:t>
            </w:r>
          </w:p>
          <w:p w:rsidR="00346681" w:rsidRPr="00CE124D" w:rsidRDefault="00346681" w:rsidP="00BB53FB">
            <w:pPr>
              <w:spacing w:after="0" w:line="240" w:lineRule="auto"/>
              <w:rPr>
                <w:sz w:val="18"/>
                <w:szCs w:val="18"/>
              </w:rPr>
            </w:pPr>
            <w:r w:rsidRPr="00CE124D">
              <w:rPr>
                <w:sz w:val="18"/>
                <w:szCs w:val="18"/>
              </w:rPr>
              <w:t>- projekty</w:t>
            </w:r>
          </w:p>
          <w:p w:rsidR="00346681" w:rsidRPr="00CE124D" w:rsidRDefault="00346681" w:rsidP="00BB53FB">
            <w:pPr>
              <w:spacing w:after="0" w:line="240" w:lineRule="auto"/>
              <w:rPr>
                <w:sz w:val="18"/>
                <w:szCs w:val="18"/>
              </w:rPr>
            </w:pPr>
            <w:r w:rsidRPr="00CE124D">
              <w:rPr>
                <w:sz w:val="18"/>
                <w:szCs w:val="18"/>
              </w:rPr>
              <w:t>- inovačné vouchre</w:t>
            </w:r>
          </w:p>
          <w:p w:rsidR="00346681" w:rsidRDefault="00346681" w:rsidP="00E02C76">
            <w:pPr>
              <w:spacing w:after="0" w:line="240" w:lineRule="auto"/>
              <w:jc w:val="left"/>
              <w:rPr>
                <w:sz w:val="18"/>
                <w:szCs w:val="18"/>
              </w:rPr>
            </w:pPr>
            <w:r>
              <w:rPr>
                <w:sz w:val="18"/>
                <w:szCs w:val="18"/>
              </w:rPr>
              <w:t xml:space="preserve">- </w:t>
            </w:r>
            <w:r w:rsidRPr="000C250F">
              <w:rPr>
                <w:sz w:val="18"/>
                <w:szCs w:val="18"/>
              </w:rPr>
              <w:t>úverový program</w:t>
            </w:r>
          </w:p>
          <w:p w:rsidR="00346681" w:rsidRPr="00CE124D" w:rsidRDefault="00346681" w:rsidP="00E02C76">
            <w:pPr>
              <w:spacing w:after="0" w:line="240" w:lineRule="auto"/>
              <w:jc w:val="left"/>
              <w:rPr>
                <w:sz w:val="18"/>
                <w:szCs w:val="18"/>
              </w:rPr>
            </w:pPr>
            <w:r>
              <w:rPr>
                <w:sz w:val="18"/>
                <w:szCs w:val="18"/>
              </w:rPr>
              <w:t>- partnerstvá, klastre</w:t>
            </w:r>
          </w:p>
          <w:p w:rsidR="00346681" w:rsidRPr="00CE124D" w:rsidRDefault="00346681" w:rsidP="00BB53FB">
            <w:pPr>
              <w:spacing w:after="0" w:line="240" w:lineRule="auto"/>
              <w:rPr>
                <w:sz w:val="18"/>
                <w:szCs w:val="18"/>
              </w:rPr>
            </w:pP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podporených podnikov</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vytvorených nových pracovných miest v kreatívnom a poznatkovo intenzívnom priemysle</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udržaných pracovných miest</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9B4536">
            <w:pPr>
              <w:spacing w:after="0" w:line="240" w:lineRule="auto"/>
              <w:rPr>
                <w:sz w:val="18"/>
                <w:szCs w:val="18"/>
              </w:rPr>
            </w:pPr>
            <w:r w:rsidRPr="00CE124D">
              <w:rPr>
                <w:sz w:val="18"/>
                <w:szCs w:val="18"/>
              </w:rPr>
              <w:t xml:space="preserve">- </w:t>
            </w:r>
            <w:r w:rsidRPr="000C250F">
              <w:rPr>
                <w:sz w:val="18"/>
                <w:szCs w:val="18"/>
              </w:rPr>
              <w:t>podniky,</w:t>
            </w:r>
            <w:r>
              <w:rPr>
                <w:sz w:val="18"/>
                <w:szCs w:val="18"/>
              </w:rPr>
              <w:t xml:space="preserve"> </w:t>
            </w:r>
            <w:r w:rsidRPr="00CE124D">
              <w:rPr>
                <w:sz w:val="18"/>
                <w:szCs w:val="18"/>
              </w:rPr>
              <w:t>vysoké školy, výskumné ústavy a</w:t>
            </w:r>
            <w:r>
              <w:rPr>
                <w:sz w:val="18"/>
                <w:szCs w:val="18"/>
              </w:rPr>
              <w:t> </w:t>
            </w:r>
            <w:r w:rsidRPr="00CE124D">
              <w:rPr>
                <w:sz w:val="18"/>
                <w:szCs w:val="18"/>
              </w:rPr>
              <w:t>SAV</w:t>
            </w:r>
            <w:r>
              <w:rPr>
                <w:sz w:val="18"/>
                <w:szCs w:val="18"/>
              </w:rPr>
              <w:t>, partnerstvá</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MH</w:t>
            </w:r>
            <w:r w:rsidR="00F042FE">
              <w:rPr>
                <w:sz w:val="18"/>
                <w:szCs w:val="18"/>
              </w:rPr>
              <w:t xml:space="preserve"> </w:t>
            </w:r>
            <w:r w:rsidRPr="00CE124D">
              <w:rPr>
                <w:sz w:val="18"/>
                <w:szCs w:val="18"/>
              </w:rPr>
              <w:t>SR a</w:t>
            </w:r>
            <w:r>
              <w:rPr>
                <w:sz w:val="18"/>
                <w:szCs w:val="18"/>
              </w:rPr>
              <w:t> </w:t>
            </w:r>
            <w:r w:rsidRPr="00CE124D">
              <w:rPr>
                <w:sz w:val="18"/>
                <w:szCs w:val="18"/>
              </w:rPr>
              <w:t>všetky relevantné rezorty</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3.2.2. Podpora výskumu a inovatívnych riešení v oblasti ekológie, najmä znižovania emisií a využitia odpadov</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3.2.3. Podpora výskumu a inovatívnych zameraných na riešenie environmentálnych záťaží</w:t>
            </w:r>
          </w:p>
        </w:tc>
        <w:tc>
          <w:tcPr>
            <w:tcW w:w="2693"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9B4536">
            <w:pPr>
              <w:spacing w:after="0" w:line="240" w:lineRule="auto"/>
              <w:rPr>
                <w:b/>
                <w:sz w:val="18"/>
                <w:szCs w:val="18"/>
              </w:rPr>
            </w:pPr>
            <w:r w:rsidRPr="00CE124D">
              <w:rPr>
                <w:b/>
                <w:sz w:val="18"/>
                <w:szCs w:val="18"/>
              </w:rPr>
              <w:t>3.3. Výskum a inovácie pre riešen</w:t>
            </w:r>
            <w:r w:rsidR="009B4536">
              <w:rPr>
                <w:b/>
                <w:sz w:val="18"/>
                <w:szCs w:val="18"/>
              </w:rPr>
              <w:t>ie</w:t>
            </w:r>
            <w:r w:rsidRPr="00CE124D">
              <w:rPr>
                <w:b/>
                <w:sz w:val="18"/>
                <w:szCs w:val="18"/>
              </w:rPr>
              <w:t xml:space="preserve"> významných spoločenských problémov na Slovensku</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3.3.1. Riešenie konkrétnych spoločenských problémov, najmä zameraných na inklúziu,</w:t>
            </w:r>
            <w:r>
              <w:rPr>
                <w:sz w:val="18"/>
                <w:szCs w:val="18"/>
              </w:rPr>
              <w:t xml:space="preserve"> </w:t>
            </w:r>
            <w:r w:rsidRPr="00CE124D">
              <w:rPr>
                <w:sz w:val="18"/>
                <w:szCs w:val="18"/>
              </w:rPr>
              <w:t>problémy marginalizovaných skupín, na riešenie zamestnanosti mladých a starnutie obyvateľstva</w:t>
            </w:r>
          </w:p>
        </w:tc>
        <w:tc>
          <w:tcPr>
            <w:tcW w:w="2693"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9B4536">
              <w:rPr>
                <w:sz w:val="18"/>
                <w:szCs w:val="18"/>
              </w:rPr>
              <w:t>v</w:t>
            </w:r>
            <w:r w:rsidRPr="00CE124D">
              <w:rPr>
                <w:sz w:val="18"/>
                <w:szCs w:val="18"/>
              </w:rPr>
              <w:t>ýskumné granty</w:t>
            </w:r>
          </w:p>
          <w:p w:rsidR="00346681" w:rsidRPr="00CE124D" w:rsidRDefault="00346681" w:rsidP="00BB53FB">
            <w:pPr>
              <w:spacing w:after="0" w:line="240" w:lineRule="auto"/>
              <w:rPr>
                <w:sz w:val="18"/>
                <w:szCs w:val="18"/>
              </w:rPr>
            </w:pPr>
            <w:r w:rsidRPr="00CE124D">
              <w:rPr>
                <w:sz w:val="18"/>
                <w:szCs w:val="18"/>
              </w:rPr>
              <w:t>- projekty</w:t>
            </w:r>
          </w:p>
          <w:p w:rsidR="00346681" w:rsidRPr="00CE124D" w:rsidRDefault="00346681" w:rsidP="00BB53FB">
            <w:pPr>
              <w:spacing w:after="0" w:line="240" w:lineRule="auto"/>
              <w:rPr>
                <w:sz w:val="18"/>
                <w:szCs w:val="18"/>
              </w:rPr>
            </w:pPr>
            <w:r w:rsidRPr="00CE124D">
              <w:rPr>
                <w:sz w:val="18"/>
                <w:szCs w:val="18"/>
              </w:rPr>
              <w:t>- spoločenské inovácie</w:t>
            </w:r>
          </w:p>
          <w:p w:rsidR="00346681" w:rsidRPr="00CE124D" w:rsidRDefault="00346681" w:rsidP="000C250F">
            <w:pPr>
              <w:spacing w:after="0" w:line="240" w:lineRule="auto"/>
              <w:jc w:val="left"/>
              <w:rPr>
                <w:sz w:val="18"/>
                <w:szCs w:val="18"/>
              </w:rPr>
            </w:pP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podporených podnikov</w:t>
            </w:r>
          </w:p>
          <w:p w:rsidR="00346681" w:rsidRDefault="009B4536" w:rsidP="00BB53FB">
            <w:pPr>
              <w:spacing w:after="0" w:line="240" w:lineRule="auto"/>
              <w:rPr>
                <w:sz w:val="18"/>
                <w:szCs w:val="18"/>
              </w:rPr>
            </w:pPr>
            <w:r>
              <w:rPr>
                <w:sz w:val="18"/>
                <w:szCs w:val="18"/>
              </w:rPr>
              <w:t xml:space="preserve">- </w:t>
            </w:r>
            <w:r w:rsidR="00346681" w:rsidRPr="00CE124D">
              <w:rPr>
                <w:sz w:val="18"/>
                <w:szCs w:val="18"/>
              </w:rPr>
              <w:t xml:space="preserve">počet vytvorených nových pracovných miest </w:t>
            </w:r>
          </w:p>
          <w:p w:rsidR="009C5846" w:rsidRPr="00CE124D" w:rsidRDefault="009C5846" w:rsidP="00BB53FB">
            <w:pPr>
              <w:spacing w:after="0" w:line="240" w:lineRule="auto"/>
              <w:rPr>
                <w:sz w:val="18"/>
                <w:szCs w:val="18"/>
              </w:rPr>
            </w:pP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udržaných pracovných miest</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podniky, organizácie verejnej a miestnej správy a</w:t>
            </w:r>
            <w:r w:rsidR="006E354B">
              <w:rPr>
                <w:sz w:val="18"/>
                <w:szCs w:val="18"/>
              </w:rPr>
              <w:t> </w:t>
            </w:r>
            <w:r w:rsidRPr="00CE124D">
              <w:rPr>
                <w:sz w:val="18"/>
                <w:szCs w:val="18"/>
              </w:rPr>
              <w:t>samosprávy</w:t>
            </w:r>
            <w:r w:rsidR="006E354B">
              <w:rPr>
                <w:sz w:val="18"/>
                <w:szCs w:val="18"/>
              </w:rPr>
              <w:t>, neziskové organizácie</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MH</w:t>
            </w:r>
            <w:r w:rsidR="00C81AFF">
              <w:rPr>
                <w:sz w:val="18"/>
                <w:szCs w:val="18"/>
              </w:rPr>
              <w:t xml:space="preserve"> </w:t>
            </w:r>
            <w:r w:rsidRPr="00CE124D">
              <w:rPr>
                <w:sz w:val="18"/>
                <w:szCs w:val="18"/>
              </w:rPr>
              <w:t>SR</w:t>
            </w:r>
            <w:r w:rsidR="006E354B">
              <w:rPr>
                <w:sz w:val="18"/>
                <w:szCs w:val="18"/>
              </w:rPr>
              <w:t xml:space="preserve">, </w:t>
            </w:r>
            <w:r w:rsidR="00294A15" w:rsidRPr="00CE124D">
              <w:rPr>
                <w:sz w:val="18"/>
                <w:szCs w:val="18"/>
              </w:rPr>
              <w:t>MŠVVaŠ</w:t>
            </w:r>
            <w:r w:rsidR="00294A15">
              <w:rPr>
                <w:sz w:val="18"/>
                <w:szCs w:val="18"/>
              </w:rPr>
              <w:t xml:space="preserve"> SR</w:t>
            </w:r>
            <w:r w:rsidR="006E354B">
              <w:rPr>
                <w:sz w:val="18"/>
                <w:szCs w:val="18"/>
              </w:rPr>
              <w:t>, MV</w:t>
            </w:r>
            <w:r w:rsidRPr="00CE124D">
              <w:rPr>
                <w:sz w:val="18"/>
                <w:szCs w:val="18"/>
              </w:rPr>
              <w:t xml:space="preserve"> </w:t>
            </w:r>
            <w:r w:rsidR="00294A15">
              <w:rPr>
                <w:sz w:val="18"/>
                <w:szCs w:val="18"/>
              </w:rPr>
              <w:t xml:space="preserve">SR </w:t>
            </w:r>
            <w:r w:rsidRPr="00CE124D">
              <w:rPr>
                <w:sz w:val="18"/>
                <w:szCs w:val="18"/>
              </w:rPr>
              <w:t>a</w:t>
            </w:r>
            <w:r>
              <w:rPr>
                <w:sz w:val="18"/>
                <w:szCs w:val="18"/>
              </w:rPr>
              <w:t> </w:t>
            </w:r>
            <w:r w:rsidRPr="00CE124D">
              <w:rPr>
                <w:sz w:val="18"/>
                <w:szCs w:val="18"/>
              </w:rPr>
              <w:t>všetky relevantné rezorty</w:t>
            </w: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3.3.2. Podpora pre spoločenské inovácie konkrétnych spoločenských problémov </w:t>
            </w:r>
          </w:p>
        </w:tc>
        <w:tc>
          <w:tcPr>
            <w:tcW w:w="2693"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rPr>
                <w:b/>
                <w:sz w:val="18"/>
                <w:szCs w:val="18"/>
              </w:rPr>
            </w:pPr>
            <w:r w:rsidRPr="00CE124D">
              <w:rPr>
                <w:b/>
                <w:sz w:val="18"/>
                <w:szCs w:val="18"/>
              </w:rPr>
              <w:t>3.4. Podpora otvorenej a inkluzív</w:t>
            </w:r>
            <w:r w:rsidR="00A97FF0">
              <w:rPr>
                <w:b/>
                <w:sz w:val="18"/>
                <w:szCs w:val="18"/>
              </w:rPr>
              <w:t>n</w:t>
            </w:r>
            <w:r w:rsidRPr="00CE124D">
              <w:rPr>
                <w:b/>
                <w:sz w:val="18"/>
                <w:szCs w:val="18"/>
              </w:rPr>
              <w:t>ej spoločnosti</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845DE8">
            <w:pPr>
              <w:spacing w:after="0" w:line="240" w:lineRule="auto"/>
              <w:rPr>
                <w:sz w:val="18"/>
                <w:szCs w:val="18"/>
              </w:rPr>
            </w:pPr>
            <w:r w:rsidRPr="00CE124D">
              <w:rPr>
                <w:sz w:val="18"/>
                <w:szCs w:val="18"/>
              </w:rPr>
              <w:t>3.4.1. Podpora zamestnania rizikových skupín účastníkov trhu práce</w:t>
            </w:r>
          </w:p>
        </w:tc>
        <w:tc>
          <w:tcPr>
            <w:tcW w:w="2693"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spoločenské inovácie</w:t>
            </w:r>
          </w:p>
          <w:p w:rsidR="00346681" w:rsidRPr="00CE124D" w:rsidRDefault="00346681" w:rsidP="00BB53FB">
            <w:pPr>
              <w:spacing w:after="0" w:line="240" w:lineRule="auto"/>
              <w:rPr>
                <w:sz w:val="18"/>
                <w:szCs w:val="18"/>
              </w:rPr>
            </w:pPr>
            <w:r w:rsidRPr="00CE124D">
              <w:rPr>
                <w:sz w:val="18"/>
                <w:szCs w:val="18"/>
              </w:rPr>
              <w:t>- programy a pilotné projekty</w:t>
            </w:r>
          </w:p>
          <w:p w:rsidR="00346681" w:rsidRDefault="00346681" w:rsidP="00E02C76">
            <w:pPr>
              <w:spacing w:after="0" w:line="240" w:lineRule="auto"/>
              <w:rPr>
                <w:sz w:val="18"/>
                <w:szCs w:val="18"/>
              </w:rPr>
            </w:pPr>
            <w:r w:rsidRPr="00CE124D">
              <w:rPr>
                <w:sz w:val="18"/>
                <w:szCs w:val="18"/>
              </w:rPr>
              <w:t>- daňové zvýhodnenie</w:t>
            </w:r>
          </w:p>
          <w:p w:rsidR="00346681" w:rsidRPr="00CE124D" w:rsidRDefault="00346681" w:rsidP="000C250F">
            <w:pPr>
              <w:spacing w:after="0" w:line="240" w:lineRule="auto"/>
              <w:jc w:val="left"/>
              <w:rPr>
                <w:sz w:val="18"/>
                <w:szCs w:val="18"/>
              </w:rPr>
            </w:pP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podporených podnikov</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podporených obyvateľov z marginalizovaných skupín</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vytvorených nových pracovných miest</w:t>
            </w:r>
          </w:p>
          <w:p w:rsidR="00346681" w:rsidRPr="00CE124D" w:rsidRDefault="009B4536" w:rsidP="00BB53FB">
            <w:pPr>
              <w:rPr>
                <w:sz w:val="18"/>
                <w:szCs w:val="18"/>
              </w:rPr>
            </w:pPr>
            <w:r>
              <w:rPr>
                <w:sz w:val="18"/>
                <w:szCs w:val="18"/>
              </w:rPr>
              <w:t xml:space="preserve">- </w:t>
            </w:r>
            <w:r w:rsidR="00346681" w:rsidRPr="00CE124D">
              <w:rPr>
                <w:sz w:val="18"/>
                <w:szCs w:val="18"/>
              </w:rPr>
              <w:t>počet udržaných pracovných miest</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C81AFF">
            <w:pPr>
              <w:rPr>
                <w:sz w:val="18"/>
                <w:szCs w:val="18"/>
              </w:rPr>
            </w:pPr>
            <w:r w:rsidRPr="00CE124D">
              <w:rPr>
                <w:sz w:val="18"/>
                <w:szCs w:val="18"/>
              </w:rPr>
              <w:t xml:space="preserve">- podniky, akademický sektor, </w:t>
            </w:r>
            <w:r w:rsidR="00C81AFF">
              <w:rPr>
                <w:sz w:val="18"/>
                <w:szCs w:val="18"/>
              </w:rPr>
              <w:t>verejná správa</w:t>
            </w:r>
            <w:r w:rsidR="009B4536">
              <w:rPr>
                <w:sz w:val="18"/>
                <w:szCs w:val="18"/>
              </w:rPr>
              <w:t>, neziskové organizácie</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rPr>
                <w:sz w:val="18"/>
                <w:szCs w:val="18"/>
              </w:rPr>
            </w:pPr>
            <w:r w:rsidRPr="00CE124D">
              <w:rPr>
                <w:sz w:val="18"/>
                <w:szCs w:val="18"/>
              </w:rPr>
              <w:t>MH</w:t>
            </w:r>
            <w:r w:rsidR="00F042FE">
              <w:rPr>
                <w:sz w:val="18"/>
                <w:szCs w:val="18"/>
              </w:rPr>
              <w:t xml:space="preserve"> </w:t>
            </w:r>
            <w:r w:rsidRPr="00CE124D">
              <w:rPr>
                <w:sz w:val="18"/>
                <w:szCs w:val="18"/>
              </w:rPr>
              <w:t>SR,</w:t>
            </w:r>
            <w:r w:rsidR="006E354B">
              <w:rPr>
                <w:sz w:val="18"/>
                <w:szCs w:val="18"/>
              </w:rPr>
              <w:t xml:space="preserve"> </w:t>
            </w:r>
            <w:r w:rsidR="00294A15" w:rsidRPr="00CE124D">
              <w:rPr>
                <w:sz w:val="18"/>
                <w:szCs w:val="18"/>
              </w:rPr>
              <w:t>MŠVVaŠ</w:t>
            </w:r>
            <w:r w:rsidR="00294A15">
              <w:rPr>
                <w:sz w:val="18"/>
                <w:szCs w:val="18"/>
              </w:rPr>
              <w:t xml:space="preserve"> SR</w:t>
            </w:r>
            <w:r w:rsidR="006E354B">
              <w:rPr>
                <w:sz w:val="18"/>
                <w:szCs w:val="18"/>
              </w:rPr>
              <w:t>, MV</w:t>
            </w:r>
            <w:r w:rsidR="00294A15">
              <w:rPr>
                <w:sz w:val="18"/>
                <w:szCs w:val="18"/>
              </w:rPr>
              <w:t xml:space="preserve"> SR</w:t>
            </w:r>
            <w:r w:rsidR="006E354B">
              <w:rPr>
                <w:sz w:val="18"/>
                <w:szCs w:val="18"/>
              </w:rPr>
              <w:t xml:space="preserve"> a všetky</w:t>
            </w:r>
            <w:r w:rsidRPr="00CE124D">
              <w:rPr>
                <w:sz w:val="18"/>
                <w:szCs w:val="18"/>
              </w:rPr>
              <w:t xml:space="preserve"> ostatné relevantné ministerstvá</w:t>
            </w:r>
          </w:p>
        </w:tc>
      </w:tr>
      <w:tr w:rsidR="00346681" w:rsidRPr="00CE124D" w:rsidTr="00C81AFF">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12"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845DE8">
            <w:pPr>
              <w:spacing w:after="0" w:line="240" w:lineRule="auto"/>
              <w:rPr>
                <w:sz w:val="18"/>
                <w:szCs w:val="18"/>
              </w:rPr>
            </w:pPr>
            <w:r w:rsidRPr="00CE124D">
              <w:rPr>
                <w:sz w:val="18"/>
                <w:szCs w:val="18"/>
              </w:rPr>
              <w:t>3.4.2. Podpora zvýhodnenia podnikateľov zamestnávajúcich občanov so zdravotným postihnutím</w:t>
            </w:r>
          </w:p>
        </w:tc>
        <w:tc>
          <w:tcPr>
            <w:tcW w:w="2693"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C81AFF">
        <w:trPr>
          <w:gridAfter w:val="1"/>
          <w:wAfter w:w="28" w:type="dxa"/>
        </w:trPr>
        <w:tc>
          <w:tcPr>
            <w:tcW w:w="1702" w:type="dxa"/>
            <w:vMerge w:val="restart"/>
            <w:tcBorders>
              <w:top w:val="single" w:sz="12" w:space="0" w:color="auto"/>
              <w:left w:val="single" w:sz="12" w:space="0" w:color="auto"/>
              <w:bottom w:val="single" w:sz="4"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3.5. Podpora dynamického podnikateľského prostredia priaznivého pre inovácie</w:t>
            </w:r>
          </w:p>
        </w:tc>
        <w:tc>
          <w:tcPr>
            <w:tcW w:w="100" w:type="dxa"/>
            <w:tcBorders>
              <w:top w:val="single" w:sz="12" w:space="0" w:color="auto"/>
              <w:left w:val="nil"/>
              <w:bottom w:val="single" w:sz="4"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4"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3.5.1. Podpora</w:t>
            </w:r>
            <w:r>
              <w:rPr>
                <w:sz w:val="18"/>
                <w:szCs w:val="18"/>
              </w:rPr>
              <w:t xml:space="preserve"> </w:t>
            </w:r>
            <w:r w:rsidRPr="00CE124D">
              <w:rPr>
                <w:sz w:val="18"/>
                <w:szCs w:val="18"/>
              </w:rPr>
              <w:t xml:space="preserve">podnikateľských aktivít </w:t>
            </w:r>
            <w:r w:rsidRPr="000C250F">
              <w:rPr>
                <w:sz w:val="18"/>
                <w:szCs w:val="18"/>
              </w:rPr>
              <w:t>najmä</w:t>
            </w:r>
            <w:r>
              <w:rPr>
                <w:sz w:val="18"/>
                <w:szCs w:val="18"/>
              </w:rPr>
              <w:t xml:space="preserve"> </w:t>
            </w:r>
            <w:r w:rsidRPr="00CE124D">
              <w:rPr>
                <w:sz w:val="18"/>
                <w:szCs w:val="18"/>
              </w:rPr>
              <w:t>v subjektoch pôsobiacich v prioritných odvetviach</w:t>
            </w:r>
          </w:p>
        </w:tc>
        <w:tc>
          <w:tcPr>
            <w:tcW w:w="2693" w:type="dxa"/>
            <w:vMerge w:val="restart"/>
            <w:tcBorders>
              <w:top w:val="single" w:sz="12" w:space="0" w:color="auto"/>
              <w:left w:val="single" w:sz="6" w:space="0" w:color="auto"/>
              <w:bottom w:val="single" w:sz="4"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w:t>
            </w:r>
            <w:r w:rsidR="009B4536">
              <w:rPr>
                <w:sz w:val="18"/>
                <w:szCs w:val="18"/>
              </w:rPr>
              <w:t>i</w:t>
            </w:r>
            <w:r w:rsidRPr="00CE124D">
              <w:rPr>
                <w:sz w:val="18"/>
                <w:szCs w:val="18"/>
              </w:rPr>
              <w:t xml:space="preserve">nkubátory </w:t>
            </w:r>
          </w:p>
          <w:p w:rsidR="00346681" w:rsidRPr="00CE124D" w:rsidRDefault="00346681" w:rsidP="00BB53FB">
            <w:pPr>
              <w:spacing w:after="0" w:line="240" w:lineRule="auto"/>
              <w:rPr>
                <w:sz w:val="18"/>
                <w:szCs w:val="18"/>
              </w:rPr>
            </w:pPr>
            <w:r w:rsidRPr="00CE124D">
              <w:rPr>
                <w:sz w:val="18"/>
                <w:szCs w:val="18"/>
              </w:rPr>
              <w:t>- start-up podniky</w:t>
            </w:r>
          </w:p>
          <w:p w:rsidR="00346681" w:rsidRPr="00CE124D" w:rsidRDefault="00346681" w:rsidP="00BB53FB">
            <w:pPr>
              <w:spacing w:after="0" w:line="240" w:lineRule="auto"/>
              <w:rPr>
                <w:sz w:val="18"/>
                <w:szCs w:val="18"/>
              </w:rPr>
            </w:pPr>
            <w:r>
              <w:rPr>
                <w:sz w:val="18"/>
                <w:szCs w:val="18"/>
              </w:rPr>
              <w:t xml:space="preserve">- </w:t>
            </w:r>
            <w:r w:rsidRPr="00CE124D">
              <w:rPr>
                <w:sz w:val="18"/>
                <w:szCs w:val="18"/>
              </w:rPr>
              <w:t>poradenstvo</w:t>
            </w:r>
          </w:p>
          <w:p w:rsidR="00346681" w:rsidRPr="00CE124D" w:rsidRDefault="00346681" w:rsidP="00BB53FB">
            <w:pPr>
              <w:spacing w:after="0" w:line="240" w:lineRule="auto"/>
              <w:rPr>
                <w:sz w:val="18"/>
                <w:szCs w:val="18"/>
              </w:rPr>
            </w:pPr>
            <w:r w:rsidRPr="00CE124D">
              <w:rPr>
                <w:sz w:val="18"/>
                <w:szCs w:val="18"/>
              </w:rPr>
              <w:t xml:space="preserve">- vzdelávanie </w:t>
            </w:r>
            <w:r w:rsidR="009B4536">
              <w:rPr>
                <w:sz w:val="18"/>
                <w:szCs w:val="18"/>
              </w:rPr>
              <w:t xml:space="preserve">zamerané </w:t>
            </w:r>
            <w:r w:rsidRPr="00CE124D">
              <w:rPr>
                <w:sz w:val="18"/>
                <w:szCs w:val="18"/>
              </w:rPr>
              <w:t>na zvyšovanie povedomia v oblasti</w:t>
            </w:r>
            <w:r>
              <w:rPr>
                <w:sz w:val="18"/>
                <w:szCs w:val="18"/>
              </w:rPr>
              <w:t xml:space="preserve"> </w:t>
            </w:r>
            <w:r w:rsidRPr="00CE124D">
              <w:rPr>
                <w:sz w:val="18"/>
                <w:szCs w:val="18"/>
              </w:rPr>
              <w:t>inovácií a</w:t>
            </w:r>
            <w:r>
              <w:rPr>
                <w:sz w:val="18"/>
                <w:szCs w:val="18"/>
              </w:rPr>
              <w:t xml:space="preserve"> </w:t>
            </w:r>
            <w:r w:rsidRPr="00CE124D">
              <w:rPr>
                <w:sz w:val="18"/>
                <w:szCs w:val="18"/>
              </w:rPr>
              <w:t>podnikania</w:t>
            </w:r>
          </w:p>
          <w:p w:rsidR="00346681" w:rsidRPr="00CE124D" w:rsidRDefault="00346681" w:rsidP="00BB53FB">
            <w:pPr>
              <w:spacing w:after="0" w:line="240" w:lineRule="auto"/>
              <w:rPr>
                <w:sz w:val="18"/>
                <w:szCs w:val="18"/>
              </w:rPr>
            </w:pPr>
            <w:r w:rsidRPr="00CE124D">
              <w:rPr>
                <w:sz w:val="18"/>
                <w:szCs w:val="18"/>
              </w:rPr>
              <w:t>- inovačné vouchre</w:t>
            </w:r>
          </w:p>
          <w:p w:rsidR="00346681" w:rsidRPr="00CE124D" w:rsidRDefault="00346681" w:rsidP="00BB53FB">
            <w:pPr>
              <w:spacing w:after="0" w:line="240" w:lineRule="auto"/>
              <w:rPr>
                <w:sz w:val="18"/>
                <w:szCs w:val="18"/>
              </w:rPr>
            </w:pPr>
            <w:r w:rsidRPr="00CE124D">
              <w:rPr>
                <w:sz w:val="18"/>
                <w:szCs w:val="18"/>
              </w:rPr>
              <w:t>- legislatívne zmeny pre znižovanie administratívnej</w:t>
            </w:r>
            <w:r>
              <w:rPr>
                <w:sz w:val="18"/>
                <w:szCs w:val="18"/>
              </w:rPr>
              <w:t xml:space="preserve"> </w:t>
            </w:r>
            <w:r w:rsidRPr="00CE124D">
              <w:rPr>
                <w:sz w:val="18"/>
                <w:szCs w:val="18"/>
              </w:rPr>
              <w:t>záťaže podnikania</w:t>
            </w:r>
          </w:p>
          <w:p w:rsidR="00346681" w:rsidRPr="00CE124D" w:rsidRDefault="00346681" w:rsidP="00BB53FB">
            <w:pPr>
              <w:spacing w:after="0" w:line="240" w:lineRule="auto"/>
              <w:rPr>
                <w:sz w:val="18"/>
                <w:szCs w:val="18"/>
              </w:rPr>
            </w:pPr>
            <w:r w:rsidRPr="00CE124D">
              <w:rPr>
                <w:sz w:val="18"/>
                <w:szCs w:val="18"/>
              </w:rPr>
              <w:t xml:space="preserve">- legislatívne zmeny na odstraňovanie prekážok v oblasti rozvoja kapitálového trhu </w:t>
            </w:r>
          </w:p>
          <w:p w:rsidR="00346681" w:rsidRDefault="00346681" w:rsidP="000C250F">
            <w:pPr>
              <w:spacing w:after="0" w:line="240" w:lineRule="auto"/>
              <w:jc w:val="left"/>
              <w:rPr>
                <w:sz w:val="18"/>
                <w:szCs w:val="18"/>
              </w:rPr>
            </w:pPr>
            <w:r w:rsidRPr="001D32FD">
              <w:rPr>
                <w:sz w:val="18"/>
                <w:szCs w:val="18"/>
              </w:rPr>
              <w:t>- finančné nástroje (úverové, záručné schémy, rizikový kapitál</w:t>
            </w:r>
            <w:r>
              <w:rPr>
                <w:sz w:val="18"/>
                <w:szCs w:val="18"/>
              </w:rPr>
              <w:t>, mikropôžičky</w:t>
            </w:r>
            <w:r w:rsidRPr="001D32FD">
              <w:rPr>
                <w:sz w:val="18"/>
                <w:szCs w:val="18"/>
              </w:rPr>
              <w:t>)</w:t>
            </w:r>
          </w:p>
          <w:p w:rsidR="00346681" w:rsidRDefault="00346681" w:rsidP="000C250F">
            <w:pPr>
              <w:spacing w:after="0" w:line="240" w:lineRule="auto"/>
              <w:jc w:val="left"/>
              <w:rPr>
                <w:sz w:val="18"/>
                <w:szCs w:val="18"/>
              </w:rPr>
            </w:pPr>
            <w:r>
              <w:rPr>
                <w:sz w:val="18"/>
                <w:szCs w:val="18"/>
              </w:rPr>
              <w:lastRenderedPageBreak/>
              <w:t>-podpora zapájania MSP do komunitárnych programov EÚ</w:t>
            </w:r>
          </w:p>
          <w:p w:rsidR="00346681" w:rsidRPr="00CE124D" w:rsidRDefault="00346681" w:rsidP="00BB53FB">
            <w:pPr>
              <w:spacing w:after="0" w:line="240" w:lineRule="auto"/>
              <w:rPr>
                <w:sz w:val="18"/>
                <w:szCs w:val="18"/>
              </w:rPr>
            </w:pPr>
          </w:p>
        </w:tc>
        <w:tc>
          <w:tcPr>
            <w:tcW w:w="2694" w:type="dxa"/>
            <w:vMerge w:val="restart"/>
            <w:tcBorders>
              <w:top w:val="single" w:sz="12" w:space="0" w:color="auto"/>
              <w:left w:val="single" w:sz="6" w:space="0" w:color="auto"/>
              <w:bottom w:val="single" w:sz="4"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lastRenderedPageBreak/>
              <w:t xml:space="preserve">- </w:t>
            </w:r>
            <w:r w:rsidR="00346681" w:rsidRPr="00CE124D">
              <w:rPr>
                <w:sz w:val="18"/>
                <w:szCs w:val="18"/>
              </w:rPr>
              <w:t>počet podporených podnikov</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udržaných pracovných miest</w:t>
            </w:r>
          </w:p>
          <w:p w:rsidR="00346681" w:rsidRPr="00CE124D" w:rsidRDefault="009B4536" w:rsidP="00BB53FB">
            <w:pPr>
              <w:spacing w:after="0" w:line="240" w:lineRule="auto"/>
              <w:rPr>
                <w:sz w:val="18"/>
                <w:szCs w:val="18"/>
              </w:rPr>
            </w:pPr>
            <w:r>
              <w:rPr>
                <w:sz w:val="18"/>
                <w:szCs w:val="18"/>
              </w:rPr>
              <w:t>- p</w:t>
            </w:r>
            <w:r w:rsidR="00C81AFF">
              <w:rPr>
                <w:sz w:val="18"/>
                <w:szCs w:val="18"/>
              </w:rPr>
              <w:t>očet vzniknutých start-</w:t>
            </w:r>
            <w:r w:rsidR="00346681" w:rsidRPr="00CE124D">
              <w:rPr>
                <w:sz w:val="18"/>
                <w:szCs w:val="18"/>
              </w:rPr>
              <w:t>up a spin- off podnikov</w:t>
            </w:r>
          </w:p>
          <w:p w:rsidR="00346681" w:rsidRPr="00CE124D" w:rsidRDefault="009B4536" w:rsidP="00BB53FB">
            <w:pPr>
              <w:spacing w:after="0" w:line="240" w:lineRule="auto"/>
              <w:rPr>
                <w:sz w:val="18"/>
                <w:szCs w:val="18"/>
              </w:rPr>
            </w:pPr>
            <w:r>
              <w:rPr>
                <w:sz w:val="18"/>
                <w:szCs w:val="18"/>
              </w:rPr>
              <w:t>-p</w:t>
            </w:r>
            <w:r w:rsidR="00346681" w:rsidRPr="00CE124D">
              <w:rPr>
                <w:sz w:val="18"/>
                <w:szCs w:val="18"/>
              </w:rPr>
              <w:t>očet vytvorených nových pracovných miest</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 MSP zavádzajúcich produktové alebo procesné inovácie</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 xml:space="preserve">% MSP zavádzajúcich marketingové alebo organizačné </w:t>
            </w:r>
            <w:r>
              <w:rPr>
                <w:sz w:val="18"/>
                <w:szCs w:val="18"/>
              </w:rPr>
              <w:t xml:space="preserve">- - - </w:t>
            </w:r>
            <w:r w:rsidR="00346681" w:rsidRPr="00CE124D">
              <w:rPr>
                <w:sz w:val="18"/>
                <w:szCs w:val="18"/>
              </w:rPr>
              <w:t>inovácie</w:t>
            </w:r>
          </w:p>
        </w:tc>
        <w:tc>
          <w:tcPr>
            <w:tcW w:w="2268" w:type="dxa"/>
            <w:vMerge w:val="restart"/>
            <w:tcBorders>
              <w:top w:val="single" w:sz="12" w:space="0" w:color="auto"/>
              <w:left w:val="single" w:sz="6" w:space="0" w:color="auto"/>
              <w:bottom w:val="single" w:sz="4" w:space="0" w:color="auto"/>
              <w:right w:val="single" w:sz="6" w:space="0" w:color="auto"/>
            </w:tcBorders>
            <w:vAlign w:val="center"/>
          </w:tcPr>
          <w:p w:rsidR="00346681" w:rsidRPr="00CE124D" w:rsidRDefault="00346681" w:rsidP="000C250F">
            <w:pPr>
              <w:spacing w:after="0" w:line="240" w:lineRule="auto"/>
              <w:rPr>
                <w:sz w:val="18"/>
                <w:szCs w:val="18"/>
              </w:rPr>
            </w:pPr>
            <w:r w:rsidRPr="00CE124D">
              <w:rPr>
                <w:sz w:val="18"/>
                <w:szCs w:val="18"/>
              </w:rPr>
              <w:t>- podniky</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MH SR</w:t>
            </w:r>
          </w:p>
        </w:tc>
      </w:tr>
      <w:tr w:rsidR="00346681" w:rsidRPr="00CE124D" w:rsidTr="00C81AFF">
        <w:trPr>
          <w:gridAfter w:val="1"/>
          <w:wAfter w:w="28" w:type="dxa"/>
        </w:trPr>
        <w:tc>
          <w:tcPr>
            <w:tcW w:w="1702" w:type="dxa"/>
            <w:vMerge/>
            <w:tcBorders>
              <w:top w:val="single" w:sz="4" w:space="0" w:color="auto"/>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4"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4"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3.5.2. Podpora aktivít smerujúcich k</w:t>
            </w:r>
            <w:r>
              <w:rPr>
                <w:sz w:val="18"/>
                <w:szCs w:val="18"/>
              </w:rPr>
              <w:t xml:space="preserve"> </w:t>
            </w:r>
            <w:r w:rsidRPr="00CE124D">
              <w:rPr>
                <w:sz w:val="18"/>
                <w:szCs w:val="18"/>
              </w:rPr>
              <w:t>odstraňovaniu legislatívnych a administratívnych bariér brániacich rýchlejšiemu rozvoju podnikania</w:t>
            </w:r>
          </w:p>
        </w:tc>
        <w:tc>
          <w:tcPr>
            <w:tcW w:w="2693" w:type="dxa"/>
            <w:vMerge/>
            <w:tcBorders>
              <w:top w:val="single" w:sz="4"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top w:val="single" w:sz="4"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top w:val="single" w:sz="4"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C81AFF">
        <w:trPr>
          <w:gridAfter w:val="1"/>
          <w:wAfter w:w="28" w:type="dxa"/>
        </w:trPr>
        <w:tc>
          <w:tcPr>
            <w:tcW w:w="1702" w:type="dxa"/>
            <w:vMerge/>
            <w:tcBorders>
              <w:left w:val="single" w:sz="12" w:space="0" w:color="auto"/>
              <w:bottom w:val="single" w:sz="4"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4"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3.5.3. Vytváranie podmienok pre zlepšenie prístupu nových podnikateľských subjektov ku štartovaciemu kapitálu</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C81AFF">
        <w:trPr>
          <w:gridAfter w:val="1"/>
          <w:wAfter w:w="28" w:type="dxa"/>
        </w:trPr>
        <w:tc>
          <w:tcPr>
            <w:tcW w:w="1702" w:type="dxa"/>
            <w:vMerge/>
            <w:tcBorders>
              <w:top w:val="single" w:sz="4" w:space="0" w:color="auto"/>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4"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3.5.4. Zvyšovanie inovačnej výkonnosti podnikov</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3.5.5.</w:t>
            </w:r>
            <w:r>
              <w:rPr>
                <w:sz w:val="18"/>
                <w:szCs w:val="18"/>
              </w:rPr>
              <w:t xml:space="preserve"> </w:t>
            </w:r>
            <w:r w:rsidRPr="00CE124D">
              <w:rPr>
                <w:sz w:val="18"/>
                <w:szCs w:val="18"/>
              </w:rPr>
              <w:t>Komercionalizácia</w:t>
            </w:r>
            <w:r>
              <w:rPr>
                <w:sz w:val="18"/>
                <w:szCs w:val="18"/>
              </w:rPr>
              <w:t xml:space="preserve"> </w:t>
            </w:r>
            <w:r w:rsidRPr="00CE124D">
              <w:rPr>
                <w:sz w:val="18"/>
                <w:szCs w:val="18"/>
              </w:rPr>
              <w:t>VaI riešení</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4" w:space="0" w:color="auto"/>
            </w:tcBorders>
            <w:vAlign w:val="center"/>
          </w:tcPr>
          <w:p w:rsidR="00346681" w:rsidRPr="00CE124D" w:rsidRDefault="00346681" w:rsidP="00E02C76">
            <w:pPr>
              <w:spacing w:after="0" w:line="240" w:lineRule="auto"/>
              <w:rPr>
                <w:sz w:val="18"/>
                <w:szCs w:val="18"/>
              </w:rPr>
            </w:pPr>
            <w:r>
              <w:rPr>
                <w:sz w:val="18"/>
                <w:szCs w:val="18"/>
              </w:rPr>
              <w:t>3.5.6. Internacionalizácia podnikov</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lastRenderedPageBreak/>
              <w:t>3.6. Ochrana a využívanie duševného vlastníctva</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3.6.1. Zlepšenie ochrany a využívania duševného vlastníctva a technologického transferu</w:t>
            </w:r>
          </w:p>
        </w:tc>
        <w:tc>
          <w:tcPr>
            <w:tcW w:w="2693"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úprava legislatívy pre využívania systému ochrany</w:t>
            </w:r>
            <w:r>
              <w:rPr>
                <w:sz w:val="18"/>
                <w:szCs w:val="18"/>
              </w:rPr>
              <w:t xml:space="preserve"> </w:t>
            </w:r>
            <w:r w:rsidRPr="00CE124D">
              <w:rPr>
                <w:sz w:val="18"/>
                <w:szCs w:val="18"/>
              </w:rPr>
              <w:t>duševného vlastníctva aj s ohľadom na potreby a praktické skúsenosti škôl s jej doterajším uplatňovaním</w:t>
            </w:r>
          </w:p>
          <w:p w:rsidR="00346681" w:rsidRPr="00CE124D" w:rsidRDefault="00346681" w:rsidP="00BB53FB">
            <w:pPr>
              <w:pStyle w:val="Odsekzoznamu1"/>
              <w:spacing w:after="0" w:line="240" w:lineRule="auto"/>
              <w:ind w:left="0"/>
              <w:jc w:val="left"/>
              <w:rPr>
                <w:sz w:val="18"/>
                <w:szCs w:val="18"/>
              </w:rPr>
            </w:pPr>
            <w:r w:rsidRPr="00CE124D">
              <w:rPr>
                <w:sz w:val="18"/>
                <w:szCs w:val="18"/>
              </w:rPr>
              <w:t>- vzdelávacie projekty</w:t>
            </w:r>
          </w:p>
          <w:p w:rsidR="00346681" w:rsidRPr="00CE124D" w:rsidRDefault="00346681" w:rsidP="00BB53FB">
            <w:pPr>
              <w:pStyle w:val="Odsekzoznamu1"/>
              <w:spacing w:after="0" w:line="240" w:lineRule="auto"/>
              <w:ind w:left="0"/>
              <w:jc w:val="left"/>
            </w:pPr>
            <w:r w:rsidRPr="00CE124D">
              <w:rPr>
                <w:sz w:val="18"/>
                <w:szCs w:val="18"/>
              </w:rPr>
              <w:t>- projekty ochrany duševného vlastníctva</w:t>
            </w:r>
          </w:p>
          <w:p w:rsidR="00346681" w:rsidRPr="00CE124D" w:rsidRDefault="00346681" w:rsidP="00BB53FB">
            <w:pPr>
              <w:spacing w:after="0" w:line="240" w:lineRule="auto"/>
              <w:rPr>
                <w:sz w:val="18"/>
                <w:szCs w:val="18"/>
              </w:rPr>
            </w:pP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vyškolených profesionálov</w:t>
            </w:r>
          </w:p>
          <w:p w:rsidR="00346681" w:rsidRPr="00CE124D" w:rsidRDefault="009B4536" w:rsidP="00321E3C">
            <w:pPr>
              <w:spacing w:after="0" w:line="240" w:lineRule="auto"/>
              <w:rPr>
                <w:sz w:val="18"/>
                <w:szCs w:val="18"/>
              </w:rPr>
            </w:pPr>
            <w:r>
              <w:rPr>
                <w:sz w:val="18"/>
                <w:szCs w:val="18"/>
              </w:rPr>
              <w:t>- p</w:t>
            </w:r>
            <w:r w:rsidR="00346681" w:rsidRPr="00CE124D">
              <w:rPr>
                <w:sz w:val="18"/>
                <w:szCs w:val="18"/>
              </w:rPr>
              <w:t xml:space="preserve">očet patentov a licencií vzniknutých na základe výstupov </w:t>
            </w:r>
            <w:r w:rsidR="00346681">
              <w:rPr>
                <w:sz w:val="18"/>
                <w:szCs w:val="18"/>
              </w:rPr>
              <w:t>výskumu a vývoja</w:t>
            </w:r>
            <w:r w:rsidR="00346681" w:rsidRPr="00CE124D">
              <w:rPr>
                <w:sz w:val="18"/>
                <w:szCs w:val="18"/>
              </w:rPr>
              <w:t xml:space="preserve"> realizovaných v praxi</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9B4536">
            <w:pPr>
              <w:spacing w:after="0" w:line="240" w:lineRule="auto"/>
              <w:rPr>
                <w:sz w:val="18"/>
                <w:szCs w:val="18"/>
              </w:rPr>
            </w:pPr>
            <w:r w:rsidRPr="00CE124D">
              <w:rPr>
                <w:sz w:val="18"/>
                <w:szCs w:val="18"/>
              </w:rPr>
              <w:t xml:space="preserve">- podniky, akademický sektor, </w:t>
            </w:r>
            <w:r w:rsidR="009B4536">
              <w:rPr>
                <w:sz w:val="18"/>
                <w:szCs w:val="18"/>
              </w:rPr>
              <w:t>vysoké školy</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MH SR, MŠVVaŠ SR, akademický sektor, VŠ</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3.6.2. Zvýšenie povedomia v oblasti ochrany a komercionalizácie</w:t>
            </w:r>
            <w:r>
              <w:rPr>
                <w:sz w:val="18"/>
                <w:szCs w:val="18"/>
              </w:rPr>
              <w:t xml:space="preserve"> </w:t>
            </w:r>
            <w:r w:rsidRPr="00CE124D">
              <w:rPr>
                <w:sz w:val="18"/>
                <w:szCs w:val="18"/>
              </w:rPr>
              <w:t>duševného vlastníctva</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4.1. zlepšenie kvality stredoškolského vzdelávania</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4.1.1.Racionalizácia siete stredných škôl vrátane zosúladenia kompetencií zriaďovateľa (vrátane štátneho súhlasu) a systému financovania</w:t>
            </w:r>
            <w:r>
              <w:rPr>
                <w:sz w:val="18"/>
                <w:szCs w:val="18"/>
              </w:rPr>
              <w:t xml:space="preserve"> </w:t>
            </w:r>
            <w:r w:rsidRPr="00CE124D">
              <w:rPr>
                <w:sz w:val="18"/>
                <w:szCs w:val="18"/>
              </w:rPr>
              <w:t>škôl</w:t>
            </w:r>
          </w:p>
        </w:tc>
        <w:tc>
          <w:tcPr>
            <w:tcW w:w="2693" w:type="dxa"/>
            <w:tcBorders>
              <w:top w:val="single" w:sz="12" w:space="0" w:color="auto"/>
              <w:left w:val="single" w:sz="6" w:space="0" w:color="auto"/>
              <w:bottom w:val="single" w:sz="4" w:space="0" w:color="auto"/>
              <w:right w:val="single" w:sz="6" w:space="0" w:color="auto"/>
            </w:tcBorders>
            <w:shd w:val="clear" w:color="auto" w:fill="auto"/>
            <w:vAlign w:val="center"/>
          </w:tcPr>
          <w:p w:rsidR="00346681" w:rsidRPr="00CE124D" w:rsidRDefault="00346681" w:rsidP="00BB53FB">
            <w:pPr>
              <w:spacing w:after="0" w:line="240" w:lineRule="auto"/>
              <w:rPr>
                <w:sz w:val="18"/>
                <w:szCs w:val="18"/>
              </w:rPr>
            </w:pPr>
          </w:p>
          <w:p w:rsidR="00346681" w:rsidRPr="00CE124D" w:rsidRDefault="00346681" w:rsidP="0021725F">
            <w:pPr>
              <w:spacing w:after="0" w:line="240" w:lineRule="auto"/>
              <w:rPr>
                <w:sz w:val="18"/>
                <w:szCs w:val="18"/>
              </w:rPr>
            </w:pPr>
            <w:r w:rsidRPr="00CE124D">
              <w:rPr>
                <w:sz w:val="18"/>
                <w:szCs w:val="18"/>
              </w:rPr>
              <w:t>-</w:t>
            </w:r>
            <w:r w:rsidR="009B4536">
              <w:rPr>
                <w:sz w:val="18"/>
                <w:szCs w:val="18"/>
              </w:rPr>
              <w:t xml:space="preserve"> </w:t>
            </w:r>
            <w:r w:rsidRPr="00CE124D">
              <w:rPr>
                <w:sz w:val="18"/>
                <w:szCs w:val="18"/>
              </w:rPr>
              <w:t xml:space="preserve">audit </w:t>
            </w:r>
          </w:p>
          <w:p w:rsidR="00346681" w:rsidRPr="00CE124D" w:rsidRDefault="00346681" w:rsidP="00BB53FB">
            <w:pPr>
              <w:spacing w:after="0" w:line="240" w:lineRule="auto"/>
              <w:rPr>
                <w:sz w:val="18"/>
                <w:szCs w:val="18"/>
              </w:rPr>
            </w:pPr>
            <w:r w:rsidRPr="00CE124D">
              <w:rPr>
                <w:sz w:val="18"/>
                <w:szCs w:val="18"/>
              </w:rPr>
              <w:t xml:space="preserve">- </w:t>
            </w:r>
            <w:r w:rsidR="009B4536">
              <w:rPr>
                <w:sz w:val="18"/>
                <w:szCs w:val="18"/>
              </w:rPr>
              <w:t>l</w:t>
            </w:r>
            <w:r w:rsidRPr="00CE124D">
              <w:rPr>
                <w:sz w:val="18"/>
                <w:szCs w:val="18"/>
              </w:rPr>
              <w:t>egislatívne zmeny</w:t>
            </w:r>
          </w:p>
          <w:p w:rsidR="00346681" w:rsidRPr="00CE124D" w:rsidRDefault="00346681" w:rsidP="00BB53FB">
            <w:pPr>
              <w:spacing w:after="0" w:line="240" w:lineRule="auto"/>
              <w:rPr>
                <w:sz w:val="18"/>
                <w:szCs w:val="18"/>
              </w:rPr>
            </w:pPr>
            <w:r w:rsidRPr="00CE124D">
              <w:rPr>
                <w:sz w:val="18"/>
                <w:szCs w:val="18"/>
              </w:rPr>
              <w:t>- daňové zvýhodnenia podnikateľom</w:t>
            </w:r>
          </w:p>
          <w:p w:rsidR="00346681" w:rsidRPr="00CE124D" w:rsidRDefault="00346681" w:rsidP="00BB53FB">
            <w:pPr>
              <w:spacing w:after="0" w:line="240" w:lineRule="auto"/>
              <w:rPr>
                <w:sz w:val="18"/>
                <w:szCs w:val="18"/>
              </w:rPr>
            </w:pPr>
            <w:r w:rsidRPr="00CE124D">
              <w:rPr>
                <w:sz w:val="18"/>
                <w:szCs w:val="18"/>
              </w:rPr>
              <w:t xml:space="preserve">- projekty podpory </w:t>
            </w:r>
          </w:p>
          <w:p w:rsidR="00346681" w:rsidRPr="00CE124D" w:rsidRDefault="00346681" w:rsidP="0021725F">
            <w:pPr>
              <w:spacing w:after="0" w:line="240" w:lineRule="auto"/>
              <w:rPr>
                <w:sz w:val="18"/>
                <w:szCs w:val="18"/>
              </w:rPr>
            </w:pP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zlúčených, resp. zrušených stredných škôl</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podnikov priamo podporujúcich stredné odborné školy</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spoločných odborných pracovísk škôl a podnikov, resp. inštitúcií spoločenskej praxe</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študentov, ktorý mali osoh z pracovísk podporovaných podnikmi</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stredné školy, zriaďovatelia stredných škôl, základné školy</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MŠVVaŠ</w:t>
            </w:r>
            <w:r w:rsidR="00F042FE">
              <w:rPr>
                <w:sz w:val="18"/>
                <w:szCs w:val="18"/>
              </w:rPr>
              <w:t xml:space="preserve"> SR</w:t>
            </w:r>
            <w:r w:rsidRPr="00CE124D">
              <w:rPr>
                <w:sz w:val="18"/>
                <w:szCs w:val="18"/>
              </w:rPr>
              <w:t xml:space="preserve"> v spolupráci s VÚC a zástupcami </w:t>
            </w:r>
            <w:r w:rsidR="00F042FE">
              <w:rPr>
                <w:sz w:val="18"/>
                <w:szCs w:val="18"/>
              </w:rPr>
              <w:t>stredných škôl</w:t>
            </w: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4.1.2.Posilnenie financovania</w:t>
            </w:r>
            <w:r>
              <w:rPr>
                <w:sz w:val="18"/>
                <w:szCs w:val="18"/>
              </w:rPr>
              <w:t xml:space="preserve"> </w:t>
            </w:r>
            <w:r w:rsidRPr="00CE124D">
              <w:rPr>
                <w:sz w:val="18"/>
                <w:szCs w:val="18"/>
              </w:rPr>
              <w:t>stredných</w:t>
            </w:r>
            <w:r>
              <w:rPr>
                <w:sz w:val="18"/>
                <w:szCs w:val="18"/>
              </w:rPr>
              <w:t xml:space="preserve"> </w:t>
            </w:r>
            <w:r w:rsidRPr="00CE124D">
              <w:rPr>
                <w:sz w:val="18"/>
                <w:szCs w:val="18"/>
              </w:rPr>
              <w:t>škôl najmä v oblasti technických</w:t>
            </w:r>
            <w:r>
              <w:rPr>
                <w:sz w:val="18"/>
                <w:szCs w:val="18"/>
              </w:rPr>
              <w:t xml:space="preserve"> </w:t>
            </w:r>
            <w:r w:rsidRPr="00CE124D">
              <w:rPr>
                <w:sz w:val="18"/>
                <w:szCs w:val="18"/>
              </w:rPr>
              <w:t>a prírodných vied tak, aby napĺňali poslanie RIS3</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rsidR="00346681" w:rsidRPr="00CE124D" w:rsidRDefault="009B4536" w:rsidP="009B4536">
            <w:pPr>
              <w:spacing w:after="0" w:line="240" w:lineRule="auto"/>
              <w:rPr>
                <w:sz w:val="18"/>
                <w:szCs w:val="18"/>
              </w:rPr>
            </w:pPr>
            <w:r>
              <w:rPr>
                <w:sz w:val="18"/>
                <w:szCs w:val="18"/>
              </w:rPr>
              <w:t>- l</w:t>
            </w:r>
            <w:r w:rsidR="00346681" w:rsidRPr="00CE124D">
              <w:rPr>
                <w:sz w:val="18"/>
                <w:szCs w:val="18"/>
              </w:rPr>
              <w:t xml:space="preserve">egislatívne zmeny vedúce k úprave financovania </w:t>
            </w:r>
            <w:r>
              <w:rPr>
                <w:sz w:val="18"/>
                <w:szCs w:val="18"/>
              </w:rPr>
              <w:t xml:space="preserve">stredných škôl </w:t>
            </w:r>
          </w:p>
        </w:tc>
        <w:tc>
          <w:tcPr>
            <w:tcW w:w="2694" w:type="dxa"/>
            <w:vMerge/>
            <w:tcBorders>
              <w:left w:val="single" w:sz="4"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4.2.Zlepšenie kvality vysokoškolského vzdelávania</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4.2.1.Realizácia opatrení odporúčaných v správe z auditu EUA</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rsidR="00346681" w:rsidRPr="00CE124D" w:rsidRDefault="009B4536" w:rsidP="00BB53FB">
            <w:pPr>
              <w:spacing w:after="0" w:line="240" w:lineRule="auto"/>
              <w:rPr>
                <w:sz w:val="18"/>
                <w:szCs w:val="18"/>
              </w:rPr>
            </w:pPr>
            <w:r>
              <w:rPr>
                <w:sz w:val="18"/>
                <w:szCs w:val="18"/>
              </w:rPr>
              <w:t>-</w:t>
            </w:r>
            <w:r w:rsidR="00092912">
              <w:rPr>
                <w:sz w:val="18"/>
                <w:szCs w:val="18"/>
              </w:rPr>
              <w:t xml:space="preserve"> </w:t>
            </w:r>
            <w:r>
              <w:rPr>
                <w:sz w:val="18"/>
                <w:szCs w:val="18"/>
              </w:rPr>
              <w:t>l</w:t>
            </w:r>
            <w:r w:rsidR="00346681" w:rsidRPr="00CE124D">
              <w:rPr>
                <w:sz w:val="18"/>
                <w:szCs w:val="18"/>
              </w:rPr>
              <w:t>egislatívne zmeny</w:t>
            </w:r>
          </w:p>
        </w:tc>
        <w:tc>
          <w:tcPr>
            <w:tcW w:w="2694" w:type="dxa"/>
            <w:vMerge w:val="restart"/>
            <w:tcBorders>
              <w:top w:val="single" w:sz="12" w:space="0" w:color="auto"/>
              <w:left w:val="single" w:sz="4"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študentov v odboroch dôležitých pre RIS3 SK špecializáciu</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vysoké školy</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MŠVVaŠ</w:t>
            </w:r>
            <w:r w:rsidR="00F042FE">
              <w:rPr>
                <w:sz w:val="18"/>
                <w:szCs w:val="18"/>
              </w:rPr>
              <w:t xml:space="preserve"> SR</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4.2.2.Posilnenie financovania excelentných verejných vysokých škôl najmä v oblasti technických a prírodných vied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6681" w:rsidRPr="00CE124D" w:rsidRDefault="009B4536" w:rsidP="00BB53FB">
            <w:pPr>
              <w:spacing w:after="0" w:line="240" w:lineRule="auto"/>
              <w:rPr>
                <w:sz w:val="18"/>
                <w:szCs w:val="18"/>
              </w:rPr>
            </w:pPr>
            <w:r>
              <w:rPr>
                <w:sz w:val="18"/>
                <w:szCs w:val="18"/>
              </w:rPr>
              <w:t>- l</w:t>
            </w:r>
            <w:r w:rsidR="00346681" w:rsidRPr="00CE124D">
              <w:rPr>
                <w:sz w:val="18"/>
                <w:szCs w:val="18"/>
              </w:rPr>
              <w:t>egislatívne zmeny vedúce k úprave inštitucionálneho financovania</w:t>
            </w:r>
          </w:p>
        </w:tc>
        <w:tc>
          <w:tcPr>
            <w:tcW w:w="2694" w:type="dxa"/>
            <w:vMerge/>
            <w:tcBorders>
              <w:left w:val="single" w:sz="4"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4.2.3.Zmena kategorizácie vysokých škôl tak, aby sa reflektovalo poslanie konkrétnych vysokých škôl</w:t>
            </w:r>
          </w:p>
        </w:tc>
        <w:tc>
          <w:tcPr>
            <w:tcW w:w="2693" w:type="dxa"/>
            <w:tcBorders>
              <w:top w:val="single" w:sz="4" w:space="0" w:color="auto"/>
              <w:left w:val="single" w:sz="6" w:space="0" w:color="auto"/>
              <w:bottom w:val="single" w:sz="12" w:space="0" w:color="auto"/>
              <w:right w:val="single" w:sz="6" w:space="0" w:color="auto"/>
            </w:tcBorders>
            <w:shd w:val="clear" w:color="auto" w:fill="auto"/>
            <w:vAlign w:val="center"/>
          </w:tcPr>
          <w:p w:rsidR="00346681" w:rsidRPr="00CE124D" w:rsidRDefault="009B4536" w:rsidP="00BB53FB">
            <w:pPr>
              <w:spacing w:after="0" w:line="240" w:lineRule="auto"/>
              <w:rPr>
                <w:sz w:val="18"/>
                <w:szCs w:val="18"/>
              </w:rPr>
            </w:pPr>
            <w:r>
              <w:rPr>
                <w:sz w:val="18"/>
                <w:szCs w:val="18"/>
              </w:rPr>
              <w:t>- l</w:t>
            </w:r>
            <w:r w:rsidR="00346681" w:rsidRPr="00CE124D">
              <w:rPr>
                <w:sz w:val="18"/>
                <w:szCs w:val="18"/>
              </w:rPr>
              <w:t>egislatívna zmena</w:t>
            </w:r>
          </w:p>
        </w:tc>
        <w:tc>
          <w:tcPr>
            <w:tcW w:w="2694"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Height w:val="50"/>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4.3.Zlepšenie zapojenia podnikov do vzdelávania</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4.3.1.Podpora školiacich pracovísk v podnikoch</w:t>
            </w:r>
          </w:p>
        </w:tc>
        <w:tc>
          <w:tcPr>
            <w:tcW w:w="2693"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l</w:t>
            </w:r>
            <w:r w:rsidR="00346681" w:rsidRPr="00CE124D">
              <w:rPr>
                <w:sz w:val="18"/>
                <w:szCs w:val="18"/>
              </w:rPr>
              <w:t>egislatívne zmeny</w:t>
            </w:r>
          </w:p>
          <w:p w:rsidR="00346681" w:rsidRPr="00CE124D" w:rsidRDefault="00346681" w:rsidP="00BB53FB">
            <w:pPr>
              <w:spacing w:after="0" w:line="240" w:lineRule="auto"/>
              <w:rPr>
                <w:sz w:val="18"/>
                <w:szCs w:val="18"/>
              </w:rPr>
            </w:pPr>
            <w:r w:rsidRPr="00CE124D">
              <w:rPr>
                <w:sz w:val="18"/>
                <w:szCs w:val="18"/>
              </w:rPr>
              <w:t>- daňové zvýhodnenia podnikateľom</w:t>
            </w:r>
          </w:p>
          <w:p w:rsidR="00346681" w:rsidRPr="00CE124D" w:rsidRDefault="00346681" w:rsidP="00BB53FB">
            <w:pPr>
              <w:spacing w:after="0" w:line="240" w:lineRule="auto"/>
              <w:rPr>
                <w:sz w:val="18"/>
                <w:szCs w:val="18"/>
              </w:rPr>
            </w:pPr>
            <w:r w:rsidRPr="00CE124D">
              <w:rPr>
                <w:sz w:val="18"/>
                <w:szCs w:val="18"/>
              </w:rPr>
              <w:t>- podpora školám</w:t>
            </w:r>
          </w:p>
          <w:p w:rsidR="00346681" w:rsidRPr="00CE124D" w:rsidRDefault="00346681" w:rsidP="00BB53FB">
            <w:pPr>
              <w:spacing w:after="0" w:line="240" w:lineRule="auto"/>
              <w:rPr>
                <w:sz w:val="18"/>
                <w:szCs w:val="18"/>
              </w:rPr>
            </w:pPr>
            <w:r w:rsidRPr="00CE124D">
              <w:rPr>
                <w:sz w:val="18"/>
                <w:szCs w:val="18"/>
              </w:rPr>
              <w:t>- projekty</w:t>
            </w:r>
          </w:p>
          <w:p w:rsidR="00346681" w:rsidRPr="00CE124D" w:rsidRDefault="00346681" w:rsidP="00BB53FB">
            <w:pPr>
              <w:spacing w:after="0" w:line="240" w:lineRule="auto"/>
              <w:rPr>
                <w:sz w:val="18"/>
                <w:szCs w:val="18"/>
              </w:rPr>
            </w:pPr>
            <w:r w:rsidRPr="00CE124D">
              <w:rPr>
                <w:sz w:val="18"/>
                <w:szCs w:val="18"/>
              </w:rPr>
              <w:t>- granty</w:t>
            </w:r>
          </w:p>
          <w:p w:rsidR="00346681" w:rsidRPr="00CE124D" w:rsidRDefault="00346681" w:rsidP="00BB53FB">
            <w:pPr>
              <w:spacing w:after="0" w:line="240" w:lineRule="auto"/>
              <w:rPr>
                <w:sz w:val="18"/>
                <w:szCs w:val="18"/>
              </w:rPr>
            </w:pPr>
            <w:r w:rsidRPr="00CE124D">
              <w:rPr>
                <w:sz w:val="18"/>
                <w:szCs w:val="18"/>
              </w:rPr>
              <w:t>- konferencie</w:t>
            </w:r>
          </w:p>
          <w:p w:rsidR="00346681" w:rsidRPr="00CE124D" w:rsidRDefault="00346681" w:rsidP="00BB53FB">
            <w:pPr>
              <w:spacing w:after="0" w:line="240" w:lineRule="auto"/>
              <w:rPr>
                <w:sz w:val="18"/>
                <w:szCs w:val="18"/>
              </w:rPr>
            </w:pPr>
            <w:r w:rsidRPr="00CE124D">
              <w:rPr>
                <w:sz w:val="18"/>
                <w:szCs w:val="18"/>
              </w:rPr>
              <w:t>- výstavy</w:t>
            </w:r>
          </w:p>
          <w:p w:rsidR="00346681" w:rsidRPr="00CE124D" w:rsidRDefault="00346681" w:rsidP="00BB53FB">
            <w:pPr>
              <w:spacing w:after="0" w:line="240" w:lineRule="auto"/>
              <w:rPr>
                <w:sz w:val="18"/>
                <w:szCs w:val="18"/>
              </w:rPr>
            </w:pPr>
            <w:r w:rsidRPr="00CE124D">
              <w:rPr>
                <w:sz w:val="18"/>
                <w:szCs w:val="18"/>
              </w:rPr>
              <w:t>- workshopy</w:t>
            </w:r>
          </w:p>
          <w:p w:rsidR="00346681" w:rsidRPr="00CE124D" w:rsidRDefault="00346681" w:rsidP="00BB53FB">
            <w:pPr>
              <w:spacing w:after="0" w:line="240" w:lineRule="auto"/>
              <w:rPr>
                <w:sz w:val="18"/>
                <w:szCs w:val="18"/>
              </w:rPr>
            </w:pPr>
            <w:r w:rsidRPr="00CE124D">
              <w:rPr>
                <w:sz w:val="18"/>
                <w:szCs w:val="18"/>
              </w:rPr>
              <w:t>- školenia</w:t>
            </w:r>
          </w:p>
          <w:p w:rsidR="00346681" w:rsidRPr="00CE124D" w:rsidRDefault="00346681" w:rsidP="00BB53FB">
            <w:pPr>
              <w:spacing w:after="0" w:line="240" w:lineRule="auto"/>
              <w:rPr>
                <w:sz w:val="18"/>
                <w:szCs w:val="18"/>
              </w:rPr>
            </w:pPr>
          </w:p>
          <w:p w:rsidR="00346681" w:rsidRPr="00CE124D" w:rsidRDefault="00346681" w:rsidP="00BB53FB">
            <w:pPr>
              <w:spacing w:after="0" w:line="240" w:lineRule="auto"/>
              <w:rPr>
                <w:sz w:val="18"/>
                <w:szCs w:val="18"/>
              </w:rPr>
            </w:pP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lastRenderedPageBreak/>
              <w:t xml:space="preserve">- </w:t>
            </w:r>
            <w:r w:rsidR="00346681" w:rsidRPr="00CE124D">
              <w:rPr>
                <w:sz w:val="18"/>
                <w:szCs w:val="18"/>
              </w:rPr>
              <w:t>počet podnikov priamo podporujúcich stredné odborné školy, vysoké školy</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spoločných odborných pracovísk škôl a podnikov, resp. inštitúcií spoločenskej praxe</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študentov, ktorý mali osoh z pracovísk podporovaných podnikmi</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 stredné školy, </w:t>
            </w:r>
          </w:p>
          <w:p w:rsidR="00346681" w:rsidRPr="00CE124D" w:rsidRDefault="00346681" w:rsidP="00BB53FB">
            <w:pPr>
              <w:spacing w:after="0" w:line="240" w:lineRule="auto"/>
              <w:rPr>
                <w:sz w:val="18"/>
                <w:szCs w:val="18"/>
              </w:rPr>
            </w:pPr>
            <w:r w:rsidRPr="00CE124D">
              <w:rPr>
                <w:sz w:val="18"/>
                <w:szCs w:val="18"/>
              </w:rPr>
              <w:t xml:space="preserve">- vysoké školy, </w:t>
            </w:r>
          </w:p>
          <w:p w:rsidR="00346681" w:rsidRPr="00CE124D" w:rsidRDefault="00346681" w:rsidP="00BB53FB">
            <w:pPr>
              <w:spacing w:after="0" w:line="240" w:lineRule="auto"/>
              <w:rPr>
                <w:sz w:val="18"/>
                <w:szCs w:val="18"/>
              </w:rPr>
            </w:pPr>
            <w:r w:rsidRPr="00CE124D">
              <w:rPr>
                <w:sz w:val="18"/>
                <w:szCs w:val="18"/>
              </w:rPr>
              <w:t xml:space="preserve">- podniky, </w:t>
            </w:r>
          </w:p>
          <w:p w:rsidR="00346681" w:rsidRPr="00CE124D" w:rsidRDefault="00346681" w:rsidP="00BB53FB">
            <w:pPr>
              <w:spacing w:after="0" w:line="240" w:lineRule="auto"/>
              <w:rPr>
                <w:sz w:val="18"/>
                <w:szCs w:val="18"/>
              </w:rPr>
            </w:pPr>
            <w:r w:rsidRPr="00CE124D">
              <w:rPr>
                <w:sz w:val="18"/>
                <w:szCs w:val="18"/>
              </w:rPr>
              <w:t>- inštitúcie spoločenskej praxe</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MŠVVaŠ</w:t>
            </w:r>
            <w:r w:rsidR="00F042FE">
              <w:rPr>
                <w:sz w:val="18"/>
                <w:szCs w:val="18"/>
              </w:rPr>
              <w:t xml:space="preserve"> SR</w:t>
            </w:r>
            <w:r w:rsidRPr="00CE124D">
              <w:rPr>
                <w:sz w:val="18"/>
                <w:szCs w:val="18"/>
              </w:rPr>
              <w:t>, MH SR</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4.3.2.Vytvorenie podmienok pre podniky, pre výkon</w:t>
            </w:r>
            <w:r>
              <w:rPr>
                <w:sz w:val="18"/>
                <w:szCs w:val="18"/>
              </w:rPr>
              <w:t xml:space="preserve"> </w:t>
            </w:r>
            <w:r w:rsidRPr="00CE124D">
              <w:rPr>
                <w:sz w:val="18"/>
                <w:szCs w:val="18"/>
              </w:rPr>
              <w:t>odbornej výchovy formou zakladania odborných stredných škôl, resp. spoločných pracovísk škôl a podnikov</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4.3.3.Motivácia podnikov k spolupráci zo školami v oblasti odborného vzdelávania</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4.3.4.Zlepšovanie vybavenosti stredných odborných a vysokých škôl v technicky/výskumne orientovaných študijných programoch</w:t>
            </w:r>
          </w:p>
        </w:tc>
        <w:tc>
          <w:tcPr>
            <w:tcW w:w="2693"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4.3.5.Zapojenie odborníkov z praxe do vzdelávacieho procesu</w:t>
            </w:r>
          </w:p>
        </w:tc>
        <w:tc>
          <w:tcPr>
            <w:tcW w:w="2693"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4.4. Zvýšenie dôrazu na vzdelávanie v odboroch rozhodujúcich pre prioritné oblasti RIS3</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4.4.1.Zlepšenie financovania</w:t>
            </w:r>
            <w:r>
              <w:rPr>
                <w:sz w:val="18"/>
                <w:szCs w:val="18"/>
              </w:rPr>
              <w:t xml:space="preserve"> </w:t>
            </w:r>
            <w:r w:rsidRPr="00CE124D">
              <w:rPr>
                <w:sz w:val="18"/>
                <w:szCs w:val="18"/>
              </w:rPr>
              <w:t>rozhodujúcich študijných odborov</w:t>
            </w:r>
            <w:r>
              <w:rPr>
                <w:sz w:val="18"/>
                <w:szCs w:val="18"/>
              </w:rPr>
              <w:t xml:space="preserve"> </w:t>
            </w:r>
            <w:r w:rsidRPr="00CE124D">
              <w:rPr>
                <w:sz w:val="18"/>
                <w:szCs w:val="18"/>
              </w:rPr>
              <w:t>podľa priorít RIS3 SK</w:t>
            </w:r>
          </w:p>
        </w:tc>
        <w:tc>
          <w:tcPr>
            <w:tcW w:w="2693" w:type="dxa"/>
            <w:tcBorders>
              <w:top w:val="single" w:sz="12" w:space="0" w:color="auto"/>
              <w:left w:val="single" w:sz="6" w:space="0" w:color="auto"/>
              <w:bottom w:val="single" w:sz="4" w:space="0" w:color="auto"/>
              <w:right w:val="single" w:sz="6" w:space="0" w:color="auto"/>
            </w:tcBorders>
            <w:shd w:val="clear" w:color="auto" w:fill="auto"/>
            <w:vAlign w:val="center"/>
          </w:tcPr>
          <w:p w:rsidR="00346681" w:rsidRPr="00CE124D" w:rsidRDefault="009B4536" w:rsidP="00BB53FB">
            <w:pPr>
              <w:spacing w:after="0" w:line="240" w:lineRule="auto"/>
              <w:rPr>
                <w:sz w:val="18"/>
                <w:szCs w:val="18"/>
              </w:rPr>
            </w:pPr>
            <w:r>
              <w:rPr>
                <w:sz w:val="18"/>
                <w:szCs w:val="18"/>
              </w:rPr>
              <w:t>- l</w:t>
            </w:r>
            <w:r w:rsidR="00346681" w:rsidRPr="00CE124D">
              <w:rPr>
                <w:sz w:val="18"/>
                <w:szCs w:val="18"/>
              </w:rPr>
              <w:t>egislatívne zmeny</w:t>
            </w:r>
          </w:p>
        </w:tc>
        <w:tc>
          <w:tcPr>
            <w:tcW w:w="2694" w:type="dxa"/>
            <w:vMerge w:val="restart"/>
            <w:tcBorders>
              <w:top w:val="single" w:sz="12" w:space="0" w:color="auto"/>
              <w:left w:val="single" w:sz="6" w:space="0" w:color="auto"/>
              <w:right w:val="single" w:sz="6" w:space="0" w:color="auto"/>
            </w:tcBorders>
            <w:vAlign w:val="center"/>
          </w:tcPr>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zvýšenie financovania odborov špecializácie RIS3 SK</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študentov študujúcich v preferovaných odboroch</w:t>
            </w:r>
          </w:p>
          <w:p w:rsidR="00346681" w:rsidRPr="00CE124D" w:rsidRDefault="009B4536" w:rsidP="00BB53FB">
            <w:pPr>
              <w:spacing w:after="0" w:line="240" w:lineRule="auto"/>
              <w:rPr>
                <w:sz w:val="18"/>
                <w:szCs w:val="18"/>
              </w:rPr>
            </w:pPr>
            <w:r>
              <w:rPr>
                <w:sz w:val="18"/>
                <w:szCs w:val="18"/>
              </w:rPr>
              <w:t xml:space="preserve">- </w:t>
            </w:r>
            <w:r w:rsidR="00346681" w:rsidRPr="00CE124D">
              <w:rPr>
                <w:sz w:val="18"/>
                <w:szCs w:val="18"/>
              </w:rPr>
              <w:t>počet udelených preferenčných štipendií</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základné školy</w:t>
            </w:r>
          </w:p>
          <w:p w:rsidR="00346681" w:rsidRPr="00CE124D" w:rsidRDefault="00346681" w:rsidP="00BB53FB">
            <w:pPr>
              <w:spacing w:after="0" w:line="240" w:lineRule="auto"/>
              <w:rPr>
                <w:sz w:val="18"/>
                <w:szCs w:val="18"/>
              </w:rPr>
            </w:pPr>
            <w:r w:rsidRPr="00CE124D">
              <w:rPr>
                <w:sz w:val="18"/>
                <w:szCs w:val="18"/>
              </w:rPr>
              <w:t xml:space="preserve">- stredné školy, </w:t>
            </w:r>
          </w:p>
          <w:p w:rsidR="00346681" w:rsidRPr="00CE124D" w:rsidRDefault="00346681" w:rsidP="00BB53FB">
            <w:pPr>
              <w:spacing w:after="0" w:line="240" w:lineRule="auto"/>
              <w:rPr>
                <w:sz w:val="18"/>
                <w:szCs w:val="18"/>
              </w:rPr>
            </w:pPr>
            <w:r w:rsidRPr="00CE124D">
              <w:rPr>
                <w:sz w:val="18"/>
                <w:szCs w:val="18"/>
              </w:rPr>
              <w:t xml:space="preserve">- vysoké školy, </w:t>
            </w:r>
          </w:p>
          <w:p w:rsidR="00346681" w:rsidRPr="00CE124D" w:rsidRDefault="00346681" w:rsidP="00BB53FB">
            <w:pPr>
              <w:spacing w:after="0" w:line="240" w:lineRule="auto"/>
              <w:rPr>
                <w:sz w:val="18"/>
                <w:szCs w:val="18"/>
              </w:rPr>
            </w:pPr>
            <w:r w:rsidRPr="00CE124D">
              <w:rPr>
                <w:sz w:val="18"/>
                <w:szCs w:val="18"/>
              </w:rPr>
              <w:t xml:space="preserve">- podniky, </w:t>
            </w:r>
          </w:p>
          <w:p w:rsidR="00346681" w:rsidRPr="00CE124D" w:rsidRDefault="00346681" w:rsidP="00BB53FB">
            <w:pPr>
              <w:spacing w:after="0" w:line="240" w:lineRule="auto"/>
              <w:rPr>
                <w:sz w:val="18"/>
                <w:szCs w:val="18"/>
              </w:rPr>
            </w:pPr>
            <w:r w:rsidRPr="00CE124D">
              <w:rPr>
                <w:sz w:val="18"/>
                <w:szCs w:val="18"/>
              </w:rPr>
              <w:t>- inštitúcie spoločenskej praxe</w:t>
            </w: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MŠVVaŠ SR, MH SR a ostatné relevantné rezorty</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xml:space="preserve">4.4.2.Motivácia na štúdium rozhodujúcich odborov podľa priorít RIS3 SK </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346681" w:rsidRPr="00CE124D" w:rsidRDefault="00346681" w:rsidP="00BB53FB">
            <w:pPr>
              <w:spacing w:after="0" w:line="240" w:lineRule="auto"/>
              <w:rPr>
                <w:sz w:val="18"/>
                <w:szCs w:val="18"/>
              </w:rPr>
            </w:pPr>
            <w:r w:rsidRPr="00CE124D">
              <w:rPr>
                <w:sz w:val="18"/>
                <w:szCs w:val="18"/>
              </w:rPr>
              <w:t xml:space="preserve">- </w:t>
            </w:r>
            <w:r w:rsidR="009B4536">
              <w:rPr>
                <w:sz w:val="18"/>
                <w:szCs w:val="18"/>
              </w:rPr>
              <w:t>g</w:t>
            </w:r>
            <w:r w:rsidRPr="00CE124D">
              <w:rPr>
                <w:sz w:val="18"/>
                <w:szCs w:val="18"/>
              </w:rPr>
              <w:t>ranty na podporu výskumu a vývoja pre mladých vedcov</w:t>
            </w:r>
          </w:p>
          <w:p w:rsidR="00346681" w:rsidRPr="00CE124D" w:rsidRDefault="00346681" w:rsidP="00BB53FB">
            <w:pPr>
              <w:spacing w:after="0" w:line="240" w:lineRule="auto"/>
              <w:rPr>
                <w:sz w:val="18"/>
                <w:szCs w:val="18"/>
              </w:rPr>
            </w:pPr>
            <w:r w:rsidRPr="00CE124D">
              <w:rPr>
                <w:sz w:val="18"/>
                <w:szCs w:val="18"/>
              </w:rPr>
              <w:t>- konferencie</w:t>
            </w:r>
          </w:p>
          <w:p w:rsidR="00346681" w:rsidRPr="00CE124D" w:rsidRDefault="00346681" w:rsidP="00BB53FB">
            <w:pPr>
              <w:spacing w:after="0" w:line="240" w:lineRule="auto"/>
              <w:rPr>
                <w:sz w:val="18"/>
                <w:szCs w:val="18"/>
              </w:rPr>
            </w:pPr>
            <w:r w:rsidRPr="00CE124D">
              <w:rPr>
                <w:sz w:val="18"/>
                <w:szCs w:val="18"/>
              </w:rPr>
              <w:t>- výstavy</w:t>
            </w:r>
          </w:p>
          <w:p w:rsidR="00346681" w:rsidRPr="00CE124D" w:rsidRDefault="00346681" w:rsidP="00BB53FB">
            <w:pPr>
              <w:spacing w:after="0" w:line="240" w:lineRule="auto"/>
              <w:rPr>
                <w:sz w:val="18"/>
                <w:szCs w:val="18"/>
              </w:rPr>
            </w:pPr>
            <w:r w:rsidRPr="00CE124D">
              <w:rPr>
                <w:sz w:val="18"/>
                <w:szCs w:val="18"/>
              </w:rPr>
              <w:t>- workshopy</w:t>
            </w:r>
          </w:p>
          <w:p w:rsidR="00346681" w:rsidRPr="00CE124D" w:rsidRDefault="00346681" w:rsidP="00BB53FB">
            <w:pPr>
              <w:spacing w:after="0" w:line="240" w:lineRule="auto"/>
              <w:rPr>
                <w:sz w:val="18"/>
                <w:szCs w:val="18"/>
              </w:rPr>
            </w:pPr>
            <w:r w:rsidRPr="00CE124D">
              <w:rPr>
                <w:sz w:val="18"/>
                <w:szCs w:val="18"/>
              </w:rPr>
              <w:t>- štipendiá</w:t>
            </w:r>
          </w:p>
        </w:tc>
        <w:tc>
          <w:tcPr>
            <w:tcW w:w="2694" w:type="dxa"/>
            <w:vMerge/>
            <w:tcBorders>
              <w:left w:val="single" w:sz="4"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6" w:space="0" w:color="auto"/>
            </w:tcBorders>
            <w:vAlign w:val="center"/>
          </w:tcPr>
          <w:p w:rsidR="00346681" w:rsidRPr="00CE124D" w:rsidRDefault="00346681" w:rsidP="009B4536">
            <w:pPr>
              <w:spacing w:after="0" w:line="240" w:lineRule="auto"/>
              <w:rPr>
                <w:sz w:val="18"/>
                <w:szCs w:val="18"/>
              </w:rPr>
            </w:pPr>
            <w:r w:rsidRPr="00CE124D">
              <w:rPr>
                <w:sz w:val="18"/>
                <w:szCs w:val="18"/>
              </w:rPr>
              <w:t>4.4.3.Zlepšiť podmienky pre zapájanie sa mladých vedcov do grantových programov vedy a výskumu</w:t>
            </w:r>
          </w:p>
        </w:tc>
        <w:tc>
          <w:tcPr>
            <w:tcW w:w="2693" w:type="dxa"/>
            <w:vMerge/>
            <w:tcBorders>
              <w:left w:val="single" w:sz="4" w:space="0" w:color="auto"/>
              <w:bottom w:val="single" w:sz="12" w:space="0" w:color="auto"/>
              <w:right w:val="single" w:sz="4" w:space="0" w:color="auto"/>
            </w:tcBorders>
            <w:shd w:val="clear" w:color="auto" w:fill="auto"/>
            <w:vAlign w:val="center"/>
          </w:tcPr>
          <w:p w:rsidR="00346681" w:rsidRPr="00CE124D" w:rsidRDefault="00346681" w:rsidP="00BB53FB">
            <w:pPr>
              <w:spacing w:after="0" w:line="240" w:lineRule="auto"/>
              <w:rPr>
                <w:sz w:val="18"/>
                <w:szCs w:val="18"/>
              </w:rPr>
            </w:pPr>
          </w:p>
        </w:tc>
        <w:tc>
          <w:tcPr>
            <w:tcW w:w="2694" w:type="dxa"/>
            <w:vMerge/>
            <w:tcBorders>
              <w:left w:val="single" w:sz="4"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val="restart"/>
            <w:tcBorders>
              <w:top w:val="single" w:sz="12" w:space="0" w:color="auto"/>
              <w:left w:val="single" w:sz="12" w:space="0" w:color="auto"/>
              <w:right w:val="nil"/>
            </w:tcBorders>
            <w:vAlign w:val="center"/>
          </w:tcPr>
          <w:p w:rsidR="00346681" w:rsidRPr="00CE124D" w:rsidRDefault="00346681" w:rsidP="00BB53FB">
            <w:pPr>
              <w:spacing w:after="0" w:line="240" w:lineRule="auto"/>
              <w:rPr>
                <w:b/>
                <w:sz w:val="18"/>
                <w:szCs w:val="18"/>
              </w:rPr>
            </w:pPr>
            <w:r w:rsidRPr="00CE124D">
              <w:rPr>
                <w:b/>
                <w:sz w:val="18"/>
                <w:szCs w:val="18"/>
              </w:rPr>
              <w:t>4.5.Podpora mobility vysokokvalifikovaných pracovníkov</w:t>
            </w:r>
          </w:p>
        </w:tc>
        <w:tc>
          <w:tcPr>
            <w:tcW w:w="100" w:type="dxa"/>
            <w:tcBorders>
              <w:top w:val="single" w:sz="12"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12" w:space="0" w:color="auto"/>
              <w:left w:val="single" w:sz="6" w:space="0" w:color="auto"/>
              <w:bottom w:val="single" w:sz="6"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4.5.1.Podpora kompatibility kvalifikácie a</w:t>
            </w:r>
            <w:r>
              <w:rPr>
                <w:sz w:val="18"/>
                <w:szCs w:val="18"/>
              </w:rPr>
              <w:t xml:space="preserve"> </w:t>
            </w:r>
            <w:r w:rsidRPr="00CE124D">
              <w:rPr>
                <w:sz w:val="18"/>
                <w:szCs w:val="18"/>
              </w:rPr>
              <w:t>akademických hodností medzi výskumom a akademickým sektorom a podpora vzájomnej mobility</w:t>
            </w:r>
          </w:p>
        </w:tc>
        <w:tc>
          <w:tcPr>
            <w:tcW w:w="2693" w:type="dxa"/>
            <w:vMerge w:val="restart"/>
            <w:tcBorders>
              <w:top w:val="single" w:sz="12" w:space="0" w:color="auto"/>
              <w:left w:val="single" w:sz="4" w:space="0" w:color="auto"/>
              <w:bottom w:val="single" w:sz="4" w:space="0" w:color="auto"/>
              <w:right w:val="single" w:sz="4" w:space="0" w:color="auto"/>
            </w:tcBorders>
            <w:vAlign w:val="center"/>
          </w:tcPr>
          <w:p w:rsidR="00346681" w:rsidRPr="00CE124D" w:rsidRDefault="00085720" w:rsidP="00BB53FB">
            <w:pPr>
              <w:spacing w:after="0" w:line="240" w:lineRule="auto"/>
              <w:rPr>
                <w:sz w:val="18"/>
                <w:szCs w:val="18"/>
              </w:rPr>
            </w:pPr>
            <w:r>
              <w:rPr>
                <w:sz w:val="18"/>
                <w:szCs w:val="18"/>
              </w:rPr>
              <w:t xml:space="preserve">- </w:t>
            </w:r>
            <w:r w:rsidR="00346681" w:rsidRPr="00CE124D">
              <w:rPr>
                <w:sz w:val="18"/>
                <w:szCs w:val="18"/>
              </w:rPr>
              <w:t>dlhodobé pracovné pobyty a stáž</w:t>
            </w:r>
            <w:r>
              <w:rPr>
                <w:sz w:val="18"/>
                <w:szCs w:val="18"/>
              </w:rPr>
              <w:t>e</w:t>
            </w:r>
            <w:r w:rsidR="00346681" w:rsidRPr="00CE124D">
              <w:rPr>
                <w:sz w:val="18"/>
                <w:szCs w:val="18"/>
              </w:rPr>
              <w:t>, doma aj v zahraničí – obojstranná mobilita zamestnancov podnikov a akademickej sféry</w:t>
            </w:r>
          </w:p>
          <w:p w:rsidR="00346681" w:rsidRPr="00CE124D" w:rsidRDefault="00346681" w:rsidP="00BB53FB">
            <w:pPr>
              <w:spacing w:after="0" w:line="240" w:lineRule="auto"/>
              <w:rPr>
                <w:sz w:val="18"/>
                <w:szCs w:val="18"/>
              </w:rPr>
            </w:pPr>
            <w:r w:rsidRPr="00CE124D">
              <w:rPr>
                <w:sz w:val="18"/>
                <w:szCs w:val="18"/>
              </w:rPr>
              <w:t>-</w:t>
            </w:r>
            <w:r>
              <w:rPr>
                <w:sz w:val="18"/>
                <w:szCs w:val="18"/>
              </w:rPr>
              <w:t xml:space="preserve"> </w:t>
            </w:r>
            <w:r w:rsidRPr="00CE124D">
              <w:rPr>
                <w:sz w:val="18"/>
                <w:szCs w:val="18"/>
              </w:rPr>
              <w:t>výmenné pobyty</w:t>
            </w:r>
          </w:p>
          <w:p w:rsidR="00346681" w:rsidRPr="00CE124D" w:rsidRDefault="00346681" w:rsidP="00BB53FB">
            <w:pPr>
              <w:spacing w:after="0" w:line="240" w:lineRule="auto"/>
              <w:rPr>
                <w:sz w:val="18"/>
                <w:szCs w:val="18"/>
              </w:rPr>
            </w:pPr>
            <w:r w:rsidRPr="00CE124D">
              <w:rPr>
                <w:sz w:val="18"/>
                <w:szCs w:val="18"/>
              </w:rPr>
              <w:t>- legislatívne zmeny</w:t>
            </w:r>
          </w:p>
          <w:p w:rsidR="00346681" w:rsidRPr="00CE124D" w:rsidRDefault="00346681" w:rsidP="00BB53FB">
            <w:pPr>
              <w:spacing w:after="0" w:line="240" w:lineRule="auto"/>
              <w:rPr>
                <w:sz w:val="18"/>
                <w:szCs w:val="18"/>
              </w:rPr>
            </w:pPr>
            <w:r w:rsidRPr="00CE124D">
              <w:rPr>
                <w:sz w:val="18"/>
                <w:szCs w:val="18"/>
              </w:rPr>
              <w:t>- reintegračný grant</w:t>
            </w:r>
          </w:p>
        </w:tc>
        <w:tc>
          <w:tcPr>
            <w:tcW w:w="2694" w:type="dxa"/>
            <w:vMerge w:val="restart"/>
            <w:tcBorders>
              <w:top w:val="single" w:sz="12" w:space="0" w:color="auto"/>
              <w:left w:val="single" w:sz="4"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počet mobilít</w:t>
            </w:r>
          </w:p>
        </w:tc>
        <w:tc>
          <w:tcPr>
            <w:tcW w:w="2268" w:type="dxa"/>
            <w:vMerge w:val="restart"/>
            <w:tcBorders>
              <w:top w:val="single" w:sz="12" w:space="0" w:color="auto"/>
              <w:left w:val="single" w:sz="6" w:space="0" w:color="auto"/>
              <w:right w:val="single" w:sz="6" w:space="0" w:color="auto"/>
            </w:tcBorders>
            <w:vAlign w:val="center"/>
          </w:tcPr>
          <w:p w:rsidR="00346681" w:rsidRPr="00CE124D" w:rsidRDefault="00346681" w:rsidP="00BB53FB">
            <w:pPr>
              <w:spacing w:after="0" w:line="240" w:lineRule="auto"/>
              <w:rPr>
                <w:sz w:val="18"/>
                <w:szCs w:val="18"/>
              </w:rPr>
            </w:pPr>
            <w:r w:rsidRPr="00CE124D">
              <w:rPr>
                <w:sz w:val="18"/>
                <w:szCs w:val="18"/>
              </w:rPr>
              <w:t>- odborní pracovníci v podnikoch, akademickom a výskumnom sektore</w:t>
            </w:r>
          </w:p>
          <w:p w:rsidR="00346681" w:rsidRPr="00CE124D" w:rsidRDefault="00346681" w:rsidP="00BB53FB">
            <w:pPr>
              <w:spacing w:after="0" w:line="240" w:lineRule="auto"/>
              <w:rPr>
                <w:sz w:val="18"/>
                <w:szCs w:val="18"/>
              </w:rPr>
            </w:pPr>
          </w:p>
        </w:tc>
        <w:tc>
          <w:tcPr>
            <w:tcW w:w="2612" w:type="dxa"/>
            <w:gridSpan w:val="2"/>
            <w:vMerge w:val="restart"/>
            <w:tcBorders>
              <w:top w:val="single" w:sz="12" w:space="0" w:color="auto"/>
              <w:left w:val="single" w:sz="6" w:space="0" w:color="auto"/>
              <w:right w:val="single" w:sz="12" w:space="0" w:color="auto"/>
            </w:tcBorders>
            <w:vAlign w:val="center"/>
          </w:tcPr>
          <w:p w:rsidR="00346681" w:rsidRPr="00CE124D" w:rsidRDefault="00346681" w:rsidP="00BB53FB">
            <w:pPr>
              <w:spacing w:after="0" w:line="240" w:lineRule="auto"/>
              <w:rPr>
                <w:sz w:val="18"/>
                <w:szCs w:val="18"/>
              </w:rPr>
            </w:pPr>
            <w:r w:rsidRPr="00CE124D">
              <w:rPr>
                <w:sz w:val="18"/>
                <w:szCs w:val="18"/>
              </w:rPr>
              <w:t>MŠVVaŠ SR</w:t>
            </w:r>
          </w:p>
        </w:tc>
      </w:tr>
      <w:tr w:rsidR="00346681" w:rsidRPr="00CE124D" w:rsidTr="002D4651">
        <w:trPr>
          <w:gridAfter w:val="1"/>
          <w:wAfter w:w="28" w:type="dxa"/>
        </w:trPr>
        <w:tc>
          <w:tcPr>
            <w:tcW w:w="1702" w:type="dxa"/>
            <w:vMerge/>
            <w:tcBorders>
              <w:left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6"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4.5.2.Vytvorenie podmienok pre návrat vysokokvalifikovaných pracovníkov po absolvovaní praxí a stáží v zahraničí späť na Slovensko a pre získanie vysokokvalifikovaných pracovníkov zo zahraničia pre pôsobenie v SR</w:t>
            </w:r>
          </w:p>
        </w:tc>
        <w:tc>
          <w:tcPr>
            <w:tcW w:w="2693" w:type="dxa"/>
            <w:vMerge/>
            <w:tcBorders>
              <w:top w:val="single" w:sz="4" w:space="0" w:color="auto"/>
              <w:left w:val="single" w:sz="4" w:space="0" w:color="auto"/>
              <w:bottom w:val="single" w:sz="4" w:space="0" w:color="auto"/>
              <w:right w:val="single" w:sz="4"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4"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right w:val="single" w:sz="12" w:space="0" w:color="auto"/>
            </w:tcBorders>
            <w:vAlign w:val="center"/>
          </w:tcPr>
          <w:p w:rsidR="00346681" w:rsidRPr="00CE124D" w:rsidRDefault="00346681" w:rsidP="00BB53FB">
            <w:pPr>
              <w:spacing w:after="0" w:line="240" w:lineRule="auto"/>
              <w:rPr>
                <w:sz w:val="18"/>
                <w:szCs w:val="18"/>
              </w:rPr>
            </w:pPr>
          </w:p>
        </w:tc>
      </w:tr>
      <w:tr w:rsidR="00346681" w:rsidRPr="00CE124D" w:rsidTr="002D4651">
        <w:trPr>
          <w:gridAfter w:val="1"/>
          <w:wAfter w:w="28" w:type="dxa"/>
        </w:trPr>
        <w:tc>
          <w:tcPr>
            <w:tcW w:w="1702" w:type="dxa"/>
            <w:vMerge/>
            <w:tcBorders>
              <w:left w:val="single" w:sz="12" w:space="0" w:color="auto"/>
              <w:bottom w:val="single" w:sz="12" w:space="0" w:color="auto"/>
              <w:right w:val="nil"/>
            </w:tcBorders>
            <w:vAlign w:val="center"/>
          </w:tcPr>
          <w:p w:rsidR="00346681" w:rsidRPr="00CE124D" w:rsidRDefault="00346681" w:rsidP="00BB53FB">
            <w:pPr>
              <w:spacing w:after="0" w:line="240" w:lineRule="auto"/>
              <w:rPr>
                <w:b/>
                <w:sz w:val="18"/>
                <w:szCs w:val="18"/>
              </w:rPr>
            </w:pPr>
          </w:p>
        </w:tc>
        <w:tc>
          <w:tcPr>
            <w:tcW w:w="100" w:type="dxa"/>
            <w:tcBorders>
              <w:top w:val="single" w:sz="6" w:space="0" w:color="auto"/>
              <w:left w:val="nil"/>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735" w:type="dxa"/>
            <w:tcBorders>
              <w:top w:val="single" w:sz="6" w:space="0" w:color="auto"/>
              <w:left w:val="single" w:sz="6" w:space="0" w:color="auto"/>
              <w:bottom w:val="single" w:sz="12" w:space="0" w:color="auto"/>
              <w:right w:val="single" w:sz="4" w:space="0" w:color="auto"/>
            </w:tcBorders>
            <w:vAlign w:val="center"/>
          </w:tcPr>
          <w:p w:rsidR="00346681" w:rsidRPr="00CE124D" w:rsidRDefault="00346681" w:rsidP="00BB53FB">
            <w:pPr>
              <w:spacing w:after="0" w:line="240" w:lineRule="auto"/>
              <w:rPr>
                <w:sz w:val="18"/>
                <w:szCs w:val="18"/>
              </w:rPr>
            </w:pPr>
            <w:r w:rsidRPr="00CE124D">
              <w:rPr>
                <w:sz w:val="18"/>
                <w:szCs w:val="18"/>
              </w:rPr>
              <w:t>4.5.3</w:t>
            </w:r>
            <w:r w:rsidR="00085720">
              <w:rPr>
                <w:sz w:val="18"/>
                <w:szCs w:val="18"/>
              </w:rPr>
              <w:t xml:space="preserve">. </w:t>
            </w:r>
            <w:r w:rsidRPr="00CE124D">
              <w:rPr>
                <w:sz w:val="18"/>
                <w:szCs w:val="18"/>
              </w:rPr>
              <w:t>Podpora imigrácie kvalifikovaných pracovníkov</w:t>
            </w:r>
          </w:p>
        </w:tc>
        <w:tc>
          <w:tcPr>
            <w:tcW w:w="2693" w:type="dxa"/>
            <w:vMerge/>
            <w:tcBorders>
              <w:top w:val="single" w:sz="4" w:space="0" w:color="auto"/>
              <w:left w:val="single" w:sz="4" w:space="0" w:color="auto"/>
              <w:bottom w:val="single" w:sz="12" w:space="0" w:color="auto"/>
              <w:right w:val="single" w:sz="4" w:space="0" w:color="auto"/>
            </w:tcBorders>
            <w:vAlign w:val="center"/>
          </w:tcPr>
          <w:p w:rsidR="00346681" w:rsidRPr="00CE124D" w:rsidRDefault="00346681" w:rsidP="00BB53FB">
            <w:pPr>
              <w:spacing w:after="0" w:line="240" w:lineRule="auto"/>
              <w:rPr>
                <w:sz w:val="18"/>
                <w:szCs w:val="18"/>
              </w:rPr>
            </w:pPr>
          </w:p>
        </w:tc>
        <w:tc>
          <w:tcPr>
            <w:tcW w:w="2694" w:type="dxa"/>
            <w:vMerge/>
            <w:tcBorders>
              <w:left w:val="single" w:sz="4"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268" w:type="dxa"/>
            <w:vMerge/>
            <w:tcBorders>
              <w:left w:val="single" w:sz="6" w:space="0" w:color="auto"/>
              <w:bottom w:val="single" w:sz="12" w:space="0" w:color="auto"/>
              <w:right w:val="single" w:sz="6" w:space="0" w:color="auto"/>
            </w:tcBorders>
            <w:vAlign w:val="center"/>
          </w:tcPr>
          <w:p w:rsidR="00346681" w:rsidRPr="00CE124D" w:rsidRDefault="00346681" w:rsidP="00BB53FB">
            <w:pPr>
              <w:spacing w:after="0" w:line="240" w:lineRule="auto"/>
              <w:rPr>
                <w:sz w:val="18"/>
                <w:szCs w:val="18"/>
              </w:rPr>
            </w:pPr>
          </w:p>
        </w:tc>
        <w:tc>
          <w:tcPr>
            <w:tcW w:w="2612" w:type="dxa"/>
            <w:gridSpan w:val="2"/>
            <w:vMerge/>
            <w:tcBorders>
              <w:left w:val="single" w:sz="6" w:space="0" w:color="auto"/>
              <w:bottom w:val="single" w:sz="12" w:space="0" w:color="auto"/>
              <w:right w:val="single" w:sz="12" w:space="0" w:color="auto"/>
            </w:tcBorders>
            <w:vAlign w:val="center"/>
          </w:tcPr>
          <w:p w:rsidR="00346681" w:rsidRPr="00CE124D" w:rsidRDefault="00346681" w:rsidP="00BB53FB">
            <w:pPr>
              <w:spacing w:after="0" w:line="240" w:lineRule="auto"/>
              <w:rPr>
                <w:sz w:val="18"/>
                <w:szCs w:val="18"/>
              </w:rPr>
            </w:pPr>
          </w:p>
        </w:tc>
      </w:tr>
    </w:tbl>
    <w:p w:rsidR="007763E8" w:rsidRDefault="007763E8" w:rsidP="007763E8"/>
    <w:p w:rsidR="00D17C5D" w:rsidRDefault="00D17C5D" w:rsidP="007763E8"/>
    <w:p w:rsidR="00D17C5D" w:rsidRPr="00D161CE" w:rsidRDefault="00D17C5D" w:rsidP="007763E8">
      <w:pPr>
        <w:sectPr w:rsidR="00D17C5D" w:rsidRPr="00D161CE" w:rsidSect="00AF2740">
          <w:headerReference w:type="default" r:id="rId30"/>
          <w:pgSz w:w="16838" w:h="11906" w:orient="landscape"/>
          <w:pgMar w:top="540" w:right="1418" w:bottom="899" w:left="1418" w:header="709" w:footer="709" w:gutter="0"/>
          <w:cols w:space="708"/>
          <w:docGrid w:linePitch="360"/>
        </w:sectPr>
      </w:pPr>
    </w:p>
    <w:p w:rsidR="009B4A3B" w:rsidRPr="00F87C5A" w:rsidRDefault="00F87C5A" w:rsidP="00F87C5A">
      <w:pPr>
        <w:pStyle w:val="Nadpis1"/>
      </w:pPr>
      <w:bookmarkStart w:id="209" w:name="_Toc366744190"/>
      <w:r>
        <w:lastRenderedPageBreak/>
        <w:t>Monitoring a hodnotenie</w:t>
      </w:r>
      <w:bookmarkEnd w:id="209"/>
    </w:p>
    <w:p w:rsidR="00266B17" w:rsidRDefault="00364A88" w:rsidP="00BA5CBF">
      <w:pPr>
        <w:spacing w:line="240" w:lineRule="auto"/>
        <w:ind w:firstLine="426"/>
      </w:pPr>
      <w:r>
        <w:t>Jednou z kľúčových podmienok pre dosiahnutie naplnenia zámerov RIS3 pre SR [1] je kon</w:t>
      </w:r>
      <w:r w:rsidR="007347E7">
        <w:t>centrácia všetkých zdrojov SR (</w:t>
      </w:r>
      <w:r>
        <w:t>ľudských, hmotných, nehmotných a finančných) v čase a priestore tak, aby postupne</w:t>
      </w:r>
      <w:r w:rsidR="00E13039">
        <w:t xml:space="preserve"> </w:t>
      </w:r>
      <w:r w:rsidR="000A0E63">
        <w:t>v </w:t>
      </w:r>
      <w:r>
        <w:t>časovom horizonte do roku 202</w:t>
      </w:r>
      <w:r w:rsidR="00CC6DB0">
        <w:t>0</w:t>
      </w:r>
      <w:r>
        <w:t xml:space="preserve"> boli ciele naplnené. </w:t>
      </w:r>
      <w:r w:rsidR="00167FDC">
        <w:t xml:space="preserve">Jednou z dôležitých </w:t>
      </w:r>
      <w:r w:rsidR="00181666">
        <w:t>podmie</w:t>
      </w:r>
      <w:r w:rsidR="00167FDC">
        <w:t>nok</w:t>
      </w:r>
      <w:r w:rsidR="00181666">
        <w:t xml:space="preserve"> </w:t>
      </w:r>
      <w:r w:rsidR="00167FDC">
        <w:t>pri zavedení nového riadiaceho systému</w:t>
      </w:r>
      <w:r w:rsidR="00181666">
        <w:t xml:space="preserve"> </w:t>
      </w:r>
      <w:r w:rsidR="00167FDC">
        <w:t>je účinný monitoring</w:t>
      </w:r>
      <w:r w:rsidR="00181666">
        <w:t>, ktorý bude poskytovať informácie o</w:t>
      </w:r>
      <w:r w:rsidR="00167FDC">
        <w:t xml:space="preserve"> jednotlivých aktivi</w:t>
      </w:r>
      <w:r>
        <w:t>t</w:t>
      </w:r>
      <w:r w:rsidR="00181666">
        <w:t>ách</w:t>
      </w:r>
      <w:r w:rsidR="00167FDC">
        <w:t xml:space="preserve">, </w:t>
      </w:r>
      <w:r>
        <w:t>identifikovať</w:t>
      </w:r>
      <w:r w:rsidR="00167FDC">
        <w:t xml:space="preserve"> a</w:t>
      </w:r>
      <w:r>
        <w:t xml:space="preserve"> diagnostikovať priebeh jednotliv</w:t>
      </w:r>
      <w:r w:rsidR="00167FDC">
        <w:t>ých akcií, dosahovanie</w:t>
      </w:r>
      <w:r w:rsidR="00E13039">
        <w:t xml:space="preserve"> </w:t>
      </w:r>
      <w:r w:rsidR="00167FDC">
        <w:t xml:space="preserve">čiastkových </w:t>
      </w:r>
      <w:r>
        <w:t xml:space="preserve">cieľov nielen z hľadiska čerpania finančných zdrojov, ale </w:t>
      </w:r>
      <w:r w:rsidR="000A0E63">
        <w:t xml:space="preserve">hlavne </w:t>
      </w:r>
      <w:r>
        <w:t>výsledného efektu pre hospodárstvo SR.</w:t>
      </w:r>
      <w:r w:rsidR="00266B17">
        <w:t xml:space="preserve"> </w:t>
      </w:r>
    </w:p>
    <w:p w:rsidR="00CC6DB0" w:rsidRPr="00310D58" w:rsidRDefault="00266B17" w:rsidP="007347E7">
      <w:pPr>
        <w:spacing w:line="240" w:lineRule="auto"/>
        <w:ind w:firstLine="426"/>
      </w:pPr>
      <w:r>
        <w:t>K</w:t>
      </w:r>
      <w:r w:rsidRPr="00266B17">
        <w:t xml:space="preserve">ľúčovým prvkom </w:t>
      </w:r>
      <w:r>
        <w:t xml:space="preserve">implementácie RIS3 </w:t>
      </w:r>
      <w:r w:rsidRPr="00266B17">
        <w:t xml:space="preserve">bude plánovací proces </w:t>
      </w:r>
      <w:r>
        <w:t>aktivít, ktoré budú</w:t>
      </w:r>
      <w:r w:rsidRPr="00266B17">
        <w:t xml:space="preserve"> vzájomne previazané, zdrojovo</w:t>
      </w:r>
      <w:r w:rsidR="00E13039">
        <w:t xml:space="preserve"> </w:t>
      </w:r>
      <w:r w:rsidRPr="00266B17">
        <w:t xml:space="preserve">a časovo vybilancované. Súčasťou tohto plánu bude plán monitorovania ako súbor </w:t>
      </w:r>
      <w:r w:rsidRPr="00D30AF7">
        <w:t>metrík</w:t>
      </w:r>
      <w:r w:rsidRPr="00266B17">
        <w:t xml:space="preserve"> hodnotiacich priebeh implementácie RIS3 na jednotlivých organizačných stupňoch. K tomu bude uspôsobený systém monitorovania napĺňania cieľov a priorít RIS3. Plán monitorovania bude obsahovať určenie merateľných </w:t>
      </w:r>
      <w:r w:rsidR="00310D58">
        <w:t xml:space="preserve"> ukazovateľov </w:t>
      </w:r>
      <w:r w:rsidRPr="00266B17">
        <w:t>v jednotlivých etapách implementácie, s určením termínu, organizačnej štruktúry</w:t>
      </w:r>
      <w:r w:rsidR="005237BC">
        <w:t>,</w:t>
      </w:r>
      <w:r w:rsidRPr="00266B17">
        <w:t xml:space="preserve"> ktorá bude monitorovanie vykonávať, </w:t>
      </w:r>
      <w:r w:rsidR="005237BC">
        <w:t xml:space="preserve">určenia zodpovednosti, </w:t>
      </w:r>
      <w:r w:rsidRPr="00266B17">
        <w:t>kto výsle</w:t>
      </w:r>
      <w:r w:rsidR="007347E7">
        <w:t>dky monitoringu posúdi a kto pri</w:t>
      </w:r>
      <w:r w:rsidRPr="00266B17">
        <w:t>jme opatrenia na korekciu priebehu implementácie pre dosiahnutie cieľov. Plán nebude hodnotiť len čerpani</w:t>
      </w:r>
      <w:r w:rsidR="005237BC">
        <w:t>e</w:t>
      </w:r>
      <w:r w:rsidRPr="00266B17">
        <w:t xml:space="preserve"> a oprávnenosť čerpania finančných zdrojov, ale bude vecne posudzovať postup pre dosiahnutie určených cieľov RIS3.</w:t>
      </w:r>
      <w:r>
        <w:t xml:space="preserve"> </w:t>
      </w:r>
      <w:r w:rsidR="00CC6DB0" w:rsidRPr="00310D58">
        <w:t>Rada vlády p</w:t>
      </w:r>
      <w:r w:rsidR="007347E7">
        <w:t>re vedu, techniku a inovácie (RVT</w:t>
      </w:r>
      <w:r w:rsidR="00CC6DB0" w:rsidRPr="00310D58">
        <w:t xml:space="preserve">I) je poradným </w:t>
      </w:r>
      <w:r w:rsidR="004A5409" w:rsidRPr="00FB0966">
        <w:t xml:space="preserve">orgánom </w:t>
      </w:r>
      <w:r w:rsidR="00CC6DB0" w:rsidRPr="006958A8">
        <w:t>vlády SR</w:t>
      </w:r>
      <w:r w:rsidR="00E13039" w:rsidRPr="006958A8">
        <w:t xml:space="preserve"> </w:t>
      </w:r>
      <w:r w:rsidR="00CC6DB0" w:rsidRPr="006958A8">
        <w:t xml:space="preserve">a vyjadruje sa k materiálom </w:t>
      </w:r>
      <w:r w:rsidR="004A5409" w:rsidRPr="006348B1">
        <w:t xml:space="preserve">z oblasti VaI </w:t>
      </w:r>
      <w:r w:rsidR="00CC6DB0" w:rsidRPr="006348B1">
        <w:t>všetkých zainteresovan</w:t>
      </w:r>
      <w:r w:rsidR="00CC6DB0" w:rsidRPr="00B10284">
        <w:t>ých štátnych inštitúcií. Vo vzťahu k RIS3</w:t>
      </w:r>
      <w:r w:rsidR="004A5409" w:rsidRPr="00B10284">
        <w:t xml:space="preserve"> je riadiaci</w:t>
      </w:r>
      <w:r w:rsidR="00CC6DB0" w:rsidRPr="00310D58">
        <w:t>m orgánom tejto stratégie</w:t>
      </w:r>
      <w:r w:rsidR="004A5409" w:rsidRPr="00310D58">
        <w:t>.</w:t>
      </w:r>
    </w:p>
    <w:p w:rsidR="00364A88" w:rsidRDefault="007347E7" w:rsidP="00BA5CBF">
      <w:pPr>
        <w:spacing w:line="240" w:lineRule="auto"/>
        <w:ind w:firstLine="426"/>
      </w:pPr>
      <w:r>
        <w:t>Stály výbor RVTI (SV RVT</w:t>
      </w:r>
      <w:r w:rsidR="00364A88" w:rsidRPr="00310D58">
        <w:t xml:space="preserve">I) </w:t>
      </w:r>
      <w:r w:rsidR="007D3156" w:rsidRPr="00310D58">
        <w:t>ako výkonný orgán</w:t>
      </w:r>
      <w:r w:rsidR="00364A88" w:rsidRPr="00310D58">
        <w:t xml:space="preserve"> </w:t>
      </w:r>
      <w:r w:rsidR="007D3156" w:rsidRPr="00310D58">
        <w:t>Rady vlády pre vedu, techniku a</w:t>
      </w:r>
      <w:r w:rsidR="00CC6DB0" w:rsidRPr="00310D58">
        <w:t> </w:t>
      </w:r>
      <w:r w:rsidR="007D3156" w:rsidRPr="00310D58">
        <w:t>inovácie</w:t>
      </w:r>
      <w:r w:rsidR="00CC6DB0" w:rsidRPr="00310D58">
        <w:t xml:space="preserve"> </w:t>
      </w:r>
      <w:r w:rsidR="007D3156" w:rsidRPr="00310D58">
        <w:t>bude</w:t>
      </w:r>
      <w:r w:rsidR="00364A88" w:rsidRPr="00310D58">
        <w:t xml:space="preserve"> </w:t>
      </w:r>
      <w:r w:rsidR="007D3156" w:rsidRPr="00310D58">
        <w:t>zodpovedať</w:t>
      </w:r>
      <w:r w:rsidR="00364A88" w:rsidRPr="00310D58">
        <w:t xml:space="preserve"> okrem iného </w:t>
      </w:r>
      <w:r w:rsidR="007D3156" w:rsidRPr="00310D58">
        <w:t xml:space="preserve">aj </w:t>
      </w:r>
      <w:r w:rsidR="00C847CD" w:rsidRPr="00310D58">
        <w:t>za zabezpečenie monitoringu</w:t>
      </w:r>
      <w:r w:rsidR="00476DE1" w:rsidRPr="00310D58">
        <w:t>.</w:t>
      </w:r>
      <w:r w:rsidR="00957C5B" w:rsidRPr="00310D58">
        <w:t xml:space="preserve"> Podporné činnos</w:t>
      </w:r>
      <w:r>
        <w:t>ti monitoringu pre potreby SV RVT</w:t>
      </w:r>
      <w:r w:rsidR="00957C5B" w:rsidRPr="00310D58">
        <w:t>I vykonáva analytický útvar ÚV SR.</w:t>
      </w:r>
    </w:p>
    <w:p w:rsidR="00957C5B" w:rsidRDefault="00957C5B" w:rsidP="00957C5B">
      <w:pPr>
        <w:spacing w:line="240" w:lineRule="auto"/>
      </w:pPr>
      <w:r>
        <w:t>Systém monitorovania implementácie RIS3 SK zahŕňa :</w:t>
      </w:r>
    </w:p>
    <w:p w:rsidR="00C117E0" w:rsidRDefault="00C117E0" w:rsidP="00791A72">
      <w:pPr>
        <w:numPr>
          <w:ilvl w:val="0"/>
          <w:numId w:val="28"/>
        </w:numPr>
        <w:spacing w:line="240" w:lineRule="auto"/>
      </w:pPr>
      <w:r>
        <w:t>zodpovednosť za metodickú činnosť (príprava metodických dokumentov tvoriacich horizontálny rámec pre implementáciu RIS3 SK)</w:t>
      </w:r>
      <w:r w:rsidR="005237BC">
        <w:t>,</w:t>
      </w:r>
    </w:p>
    <w:p w:rsidR="00957C5B" w:rsidRDefault="00957C5B" w:rsidP="00791A72">
      <w:pPr>
        <w:numPr>
          <w:ilvl w:val="0"/>
          <w:numId w:val="28"/>
        </w:numPr>
        <w:spacing w:line="240" w:lineRule="auto"/>
      </w:pPr>
      <w:r>
        <w:t>pravidelný reporting</w:t>
      </w:r>
      <w:r w:rsidR="005237BC">
        <w:t xml:space="preserve"> </w:t>
      </w:r>
      <w:r w:rsidR="007347E7">
        <w:t>pre potreby RVT</w:t>
      </w:r>
      <w:r>
        <w:t xml:space="preserve">I, vlády SR, EK </w:t>
      </w:r>
      <w:r w:rsidR="005237BC">
        <w:t xml:space="preserve">a </w:t>
      </w:r>
      <w:r>
        <w:t xml:space="preserve">ostatných subjektov zapojených do implementácie RIS3 SK. Reporting </w:t>
      </w:r>
      <w:r w:rsidR="005237BC">
        <w:t xml:space="preserve">bude </w:t>
      </w:r>
      <w:r>
        <w:t>obsah</w:t>
      </w:r>
      <w:r w:rsidR="005237BC">
        <w:t>ovať</w:t>
      </w:r>
      <w:r>
        <w:t xml:space="preserve"> správy o stave realizácie RIS3 SK a o príspevku opatrení k napĺňaniu cieľov RIS3 SK</w:t>
      </w:r>
      <w:r w:rsidR="00C117E0">
        <w:t>, ako aj o príspevku stratégie k napĺňaniu Partnerskej dohody</w:t>
      </w:r>
      <w:r w:rsidR="005237BC">
        <w:t xml:space="preserve"> SR na roky 2014 – 2020, </w:t>
      </w:r>
    </w:p>
    <w:p w:rsidR="00957C5B" w:rsidRDefault="00957C5B" w:rsidP="00791A72">
      <w:pPr>
        <w:numPr>
          <w:ilvl w:val="0"/>
          <w:numId w:val="28"/>
        </w:numPr>
        <w:spacing w:line="240" w:lineRule="auto"/>
      </w:pPr>
      <w:r>
        <w:t>formulovanie návrhov opatrení v prípade, keď implementácia RIS3 SK</w:t>
      </w:r>
      <w:r w:rsidR="00E13039">
        <w:t xml:space="preserve"> </w:t>
      </w:r>
      <w:r>
        <w:t>nevedie k výsledkom v plánovanom čase alebo rozsahu</w:t>
      </w:r>
      <w:r w:rsidR="005237BC">
        <w:t>,</w:t>
      </w:r>
      <w:r>
        <w:t xml:space="preserve"> </w:t>
      </w:r>
    </w:p>
    <w:p w:rsidR="00266B17" w:rsidRDefault="00266B17" w:rsidP="00791A72">
      <w:pPr>
        <w:numPr>
          <w:ilvl w:val="0"/>
          <w:numId w:val="28"/>
        </w:numPr>
        <w:spacing w:line="240" w:lineRule="auto"/>
      </w:pPr>
      <w:r>
        <w:t>povinnosť riešiteľov</w:t>
      </w:r>
      <w:r w:rsidRPr="00266B17">
        <w:t xml:space="preserve"> projektov z verejných finančných zdrojov</w:t>
      </w:r>
      <w:r>
        <w:t xml:space="preserve">, ktorí </w:t>
      </w:r>
      <w:r w:rsidRPr="00266B17">
        <w:t>budú musieť pri schvaľovaní projektu predložiť samostatný plán monitorovania stavu riešenia projektu a jeho organizačného a vecného zabezpečenia</w:t>
      </w:r>
      <w:r w:rsidR="005237BC">
        <w:t>.</w:t>
      </w:r>
    </w:p>
    <w:p w:rsidR="00364A88" w:rsidRDefault="00037090" w:rsidP="00364A88">
      <w:pPr>
        <w:spacing w:line="240" w:lineRule="auto"/>
      </w:pPr>
      <w:r>
        <w:t>Realizácia</w:t>
      </w:r>
      <w:r w:rsidR="00E13039">
        <w:t xml:space="preserve"> </w:t>
      </w:r>
      <w:r w:rsidR="00364A88">
        <w:t xml:space="preserve">monitoringu RIS3 SK na </w:t>
      </w:r>
      <w:r>
        <w:t xml:space="preserve">výkonnej </w:t>
      </w:r>
      <w:r w:rsidR="00364A88">
        <w:t>úrovni</w:t>
      </w:r>
      <w:r>
        <w:t>:</w:t>
      </w:r>
      <w:r w:rsidR="00364A88">
        <w:t xml:space="preserve"> </w:t>
      </w:r>
    </w:p>
    <w:p w:rsidR="00037090" w:rsidRDefault="00037090" w:rsidP="00791A72">
      <w:pPr>
        <w:numPr>
          <w:ilvl w:val="0"/>
          <w:numId w:val="27"/>
        </w:numPr>
        <w:spacing w:line="240" w:lineRule="auto"/>
      </w:pPr>
      <w:r>
        <w:t>za monitor</w:t>
      </w:r>
      <w:r w:rsidR="007347E7">
        <w:t>ing je zodpovedný Stály výbor RVT</w:t>
      </w:r>
      <w:r>
        <w:t>I</w:t>
      </w:r>
      <w:r w:rsidR="005237BC">
        <w:t>,</w:t>
      </w:r>
    </w:p>
    <w:p w:rsidR="00364A88" w:rsidRDefault="00957C5B" w:rsidP="00791A72">
      <w:pPr>
        <w:numPr>
          <w:ilvl w:val="0"/>
          <w:numId w:val="27"/>
        </w:numPr>
        <w:spacing w:line="240" w:lineRule="auto"/>
      </w:pPr>
      <w:r>
        <w:t xml:space="preserve">analytický útvar ÚV SR </w:t>
      </w:r>
      <w:r w:rsidR="00364A88">
        <w:t xml:space="preserve">v spolupráci s ÚOŠS (najmä MH </w:t>
      </w:r>
      <w:r w:rsidR="005237BC">
        <w:t xml:space="preserve">SR </w:t>
      </w:r>
      <w:r w:rsidR="00364A88">
        <w:t>a</w:t>
      </w:r>
      <w:r w:rsidR="005237BC">
        <w:t> </w:t>
      </w:r>
      <w:r w:rsidR="00364A88">
        <w:t>MŠVV</w:t>
      </w:r>
      <w:r w:rsidR="005237BC">
        <w:t>a</w:t>
      </w:r>
      <w:r w:rsidR="00364A88">
        <w:t>Š</w:t>
      </w:r>
      <w:r w:rsidR="005237BC">
        <w:t xml:space="preserve"> SR</w:t>
      </w:r>
      <w:r w:rsidR="00364A88">
        <w:t xml:space="preserve">) </w:t>
      </w:r>
      <w:r w:rsidR="00C847CD">
        <w:t xml:space="preserve">monitoruje </w:t>
      </w:r>
      <w:r w:rsidR="00364A88">
        <w:t>relevantné merateľné ukazovatele výstupov, výsledkov a dopadov,</w:t>
      </w:r>
      <w:r w:rsidR="00E13039">
        <w:t xml:space="preserve"> </w:t>
      </w:r>
      <w:r w:rsidR="00364A88">
        <w:t>nástrojov a</w:t>
      </w:r>
      <w:r w:rsidR="00E13039">
        <w:t xml:space="preserve"> </w:t>
      </w:r>
      <w:r w:rsidR="00364A88">
        <w:t>opatrení pre RIS3 SK</w:t>
      </w:r>
      <w:r w:rsidR="005237BC">
        <w:t>,</w:t>
      </w:r>
    </w:p>
    <w:p w:rsidR="00F87C5A" w:rsidRDefault="00364A88" w:rsidP="00791A72">
      <w:pPr>
        <w:numPr>
          <w:ilvl w:val="0"/>
          <w:numId w:val="27"/>
        </w:numPr>
        <w:spacing w:line="240" w:lineRule="auto"/>
      </w:pPr>
      <w:r>
        <w:t>na základe údajov z ÚOŠS, Š</w:t>
      </w:r>
      <w:r w:rsidR="005237BC">
        <w:t>tatistického úradu</w:t>
      </w:r>
      <w:r>
        <w:t>, iných z</w:t>
      </w:r>
      <w:r w:rsidR="00C847CD">
        <w:t>drojov, výročných a záverečných správ</w:t>
      </w:r>
      <w:r w:rsidR="005237BC">
        <w:t xml:space="preserve"> ap.</w:t>
      </w:r>
      <w:r w:rsidR="00C847CD">
        <w:t xml:space="preserve"> </w:t>
      </w:r>
      <w:r>
        <w:t>analytický útvar ÚV SR uvedené údaje sumarizuje a vo vzťahu k stratégii ako celku</w:t>
      </w:r>
      <w:r w:rsidR="00E13039">
        <w:t xml:space="preserve"> </w:t>
      </w:r>
      <w:r>
        <w:t>spracuje do implementačnej</w:t>
      </w:r>
      <w:r w:rsidR="00E13039">
        <w:t xml:space="preserve"> </w:t>
      </w:r>
      <w:r>
        <w:t>správy na výročnom</w:t>
      </w:r>
      <w:r w:rsidR="00E13039">
        <w:t xml:space="preserve"> </w:t>
      </w:r>
      <w:r>
        <w:t>základe do záverečnej správy RIS3 SK</w:t>
      </w:r>
      <w:r w:rsidR="005237BC">
        <w:t>.</w:t>
      </w:r>
    </w:p>
    <w:p w:rsidR="00F87C5A" w:rsidRPr="00BA5CBF" w:rsidRDefault="00F87C5A" w:rsidP="00F87C5A">
      <w:pPr>
        <w:spacing w:line="240" w:lineRule="auto"/>
        <w:rPr>
          <w:i/>
        </w:rPr>
      </w:pPr>
      <w:r>
        <w:br w:type="page"/>
      </w:r>
      <w:r w:rsidRPr="00BA5CBF">
        <w:rPr>
          <w:b/>
          <w:i/>
        </w:rPr>
        <w:lastRenderedPageBreak/>
        <w:t>Obr</w:t>
      </w:r>
      <w:r w:rsidR="00BA5CBF" w:rsidRPr="00BA5CBF">
        <w:rPr>
          <w:b/>
          <w:i/>
        </w:rPr>
        <w:t>ázok</w:t>
      </w:r>
      <w:r w:rsidRPr="00BA5CBF">
        <w:rPr>
          <w:b/>
          <w:i/>
        </w:rPr>
        <w:t xml:space="preserve"> </w:t>
      </w:r>
      <w:r w:rsidR="00D00787">
        <w:rPr>
          <w:b/>
          <w:i/>
        </w:rPr>
        <w:t>4</w:t>
      </w:r>
      <w:r w:rsidRPr="00BA5CBF">
        <w:rPr>
          <w:i/>
        </w:rPr>
        <w:t xml:space="preserve"> Schéma zaradenia </w:t>
      </w:r>
      <w:r w:rsidR="007347E7">
        <w:rPr>
          <w:i/>
        </w:rPr>
        <w:t>procesu monitorovania</w:t>
      </w:r>
      <w:r w:rsidRPr="00BA5CBF">
        <w:rPr>
          <w:i/>
        </w:rPr>
        <w:t xml:space="preserve"> do všetkých procesov implementácie RIS3</w:t>
      </w:r>
    </w:p>
    <w:p w:rsidR="00364A88" w:rsidRDefault="00CD6B77" w:rsidP="00364A88">
      <w:pPr>
        <w:spacing w:line="240" w:lineRule="auto"/>
      </w:pPr>
      <w:r>
        <w:rPr>
          <w:noProof/>
          <w:lang w:eastAsia="sk-SK"/>
        </w:rPr>
        <w:drawing>
          <wp:inline distT="0" distB="0" distL="0" distR="0" wp14:anchorId="58782FB8" wp14:editId="15CB7BCA">
            <wp:extent cx="4305300" cy="2324100"/>
            <wp:effectExtent l="0" t="0" r="0" b="0"/>
            <wp:docPr id="1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05300" cy="2324100"/>
                    </a:xfrm>
                    <a:prstGeom prst="rect">
                      <a:avLst/>
                    </a:prstGeom>
                    <a:noFill/>
                    <a:ln>
                      <a:noFill/>
                    </a:ln>
                  </pic:spPr>
                </pic:pic>
              </a:graphicData>
            </a:graphic>
          </wp:inline>
        </w:drawing>
      </w:r>
    </w:p>
    <w:p w:rsidR="00364A88" w:rsidRPr="0078037E" w:rsidRDefault="00364A88" w:rsidP="00364A88">
      <w:pPr>
        <w:spacing w:line="240" w:lineRule="auto"/>
        <w:rPr>
          <w:highlight w:val="yellow"/>
        </w:rPr>
      </w:pPr>
    </w:p>
    <w:p w:rsidR="00F87C5A" w:rsidRPr="00BA5CBF" w:rsidRDefault="00BA5CBF" w:rsidP="00F87C5A">
      <w:pPr>
        <w:spacing w:line="240" w:lineRule="auto"/>
        <w:rPr>
          <w:i/>
        </w:rPr>
      </w:pPr>
      <w:r w:rsidRPr="00BA5CBF">
        <w:rPr>
          <w:b/>
          <w:i/>
        </w:rPr>
        <w:t xml:space="preserve">Obrázok </w:t>
      </w:r>
      <w:r w:rsidR="00D00787">
        <w:rPr>
          <w:b/>
          <w:i/>
        </w:rPr>
        <w:t>5</w:t>
      </w:r>
      <w:r w:rsidR="00F87C5A" w:rsidRPr="00BA5CBF">
        <w:rPr>
          <w:i/>
        </w:rPr>
        <w:t xml:space="preserve"> Inštitucionálna štruktúra monitorovania RIS3 SK </w:t>
      </w:r>
    </w:p>
    <w:p w:rsidR="00C77D76" w:rsidRDefault="00CD6B77" w:rsidP="00364A88">
      <w:pPr>
        <w:spacing w:line="240" w:lineRule="auto"/>
        <w:rPr>
          <w:highlight w:val="yellow"/>
        </w:rPr>
      </w:pPr>
      <w:r>
        <w:rPr>
          <w:noProof/>
          <w:lang w:eastAsia="sk-SK"/>
        </w:rPr>
        <w:drawing>
          <wp:inline distT="0" distB="0" distL="0" distR="0" wp14:anchorId="3A58B4F9" wp14:editId="78237DF5">
            <wp:extent cx="6184900" cy="3086100"/>
            <wp:effectExtent l="0" t="0" r="0" b="0"/>
            <wp:docPr id="15" name="Obrázok 15" descr="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verna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84900" cy="3086100"/>
                    </a:xfrm>
                    <a:prstGeom prst="rect">
                      <a:avLst/>
                    </a:prstGeom>
                    <a:noFill/>
                    <a:ln>
                      <a:noFill/>
                    </a:ln>
                  </pic:spPr>
                </pic:pic>
              </a:graphicData>
            </a:graphic>
          </wp:inline>
        </w:drawing>
      </w:r>
    </w:p>
    <w:p w:rsidR="009B4A3B" w:rsidRPr="00493CF5" w:rsidRDefault="009B4A3B" w:rsidP="00F87C5A">
      <w:pPr>
        <w:pStyle w:val="Nadpis1"/>
      </w:pPr>
      <w:r w:rsidRPr="000E1A05">
        <w:rPr>
          <w:rFonts w:ascii="Times New Roman" w:hAnsi="Times New Roman"/>
          <w:b/>
          <w:bCs/>
          <w:sz w:val="24"/>
          <w:szCs w:val="24"/>
          <w:lang w:eastAsia="sk-SK"/>
        </w:rPr>
        <w:br w:type="page"/>
      </w:r>
      <w:bookmarkStart w:id="210" w:name="_Toc356863592"/>
      <w:bookmarkStart w:id="211" w:name="_Toc360576036"/>
      <w:bookmarkStart w:id="212" w:name="_Toc365831829"/>
      <w:bookmarkStart w:id="213" w:name="_Toc365832021"/>
      <w:bookmarkStart w:id="214" w:name="_Toc366744191"/>
      <w:r w:rsidRPr="00493CF5">
        <w:lastRenderedPageBreak/>
        <w:t>Záver</w:t>
      </w:r>
      <w:bookmarkEnd w:id="210"/>
      <w:bookmarkEnd w:id="211"/>
      <w:bookmarkEnd w:id="212"/>
      <w:bookmarkEnd w:id="213"/>
      <w:bookmarkEnd w:id="214"/>
    </w:p>
    <w:p w:rsidR="00191D7E" w:rsidRDefault="00191D7E" w:rsidP="00464C59">
      <w:pPr>
        <w:rPr>
          <w:i/>
          <w:iCs/>
          <w:highlight w:val="yellow"/>
        </w:rPr>
      </w:pPr>
    </w:p>
    <w:p w:rsidR="001C2517" w:rsidRDefault="003C55D7" w:rsidP="003C55D7">
      <w:pPr>
        <w:rPr>
          <w:iCs/>
        </w:rPr>
      </w:pPr>
      <w:r>
        <w:rPr>
          <w:iCs/>
        </w:rPr>
        <w:tab/>
      </w:r>
      <w:r w:rsidR="007347E7">
        <w:rPr>
          <w:iCs/>
        </w:rPr>
        <w:t>Najbližšie kroky</w:t>
      </w:r>
      <w:r w:rsidR="001C2517">
        <w:rPr>
          <w:iCs/>
        </w:rPr>
        <w:t xml:space="preserve"> budú zamerané na </w:t>
      </w:r>
      <w:r w:rsidR="00064395" w:rsidRPr="000D0E31">
        <w:rPr>
          <w:iCs/>
        </w:rPr>
        <w:t>prediskutovani</w:t>
      </w:r>
      <w:r w:rsidR="001C2517">
        <w:rPr>
          <w:iCs/>
        </w:rPr>
        <w:t>e</w:t>
      </w:r>
      <w:r w:rsidR="00064395" w:rsidRPr="000D0E31">
        <w:rPr>
          <w:iCs/>
        </w:rPr>
        <w:t xml:space="preserve"> </w:t>
      </w:r>
      <w:r w:rsidR="004976C1">
        <w:rPr>
          <w:iCs/>
        </w:rPr>
        <w:t xml:space="preserve">aktuálnej verzie návrhu RIS3 </w:t>
      </w:r>
      <w:r w:rsidR="00064395" w:rsidRPr="000D0E31">
        <w:rPr>
          <w:iCs/>
        </w:rPr>
        <w:t>s</w:t>
      </w:r>
      <w:r w:rsidR="001C2517">
        <w:rPr>
          <w:iCs/>
        </w:rPr>
        <w:t xml:space="preserve">o všetkými  relevantnými partnermi pri dodržaní princípu partnerstva </w:t>
      </w:r>
      <w:r w:rsidR="00064395" w:rsidRPr="000D0E31">
        <w:rPr>
          <w:iCs/>
        </w:rPr>
        <w:t>a</w:t>
      </w:r>
      <w:r w:rsidR="001C2517">
        <w:rPr>
          <w:iCs/>
        </w:rPr>
        <w:t> </w:t>
      </w:r>
      <w:r w:rsidR="001C2517" w:rsidRPr="009733A4">
        <w:rPr>
          <w:i/>
          <w:iCs/>
        </w:rPr>
        <w:t xml:space="preserve">quadruple </w:t>
      </w:r>
      <w:r w:rsidR="00504DB0" w:rsidRPr="009733A4">
        <w:rPr>
          <w:i/>
          <w:iCs/>
        </w:rPr>
        <w:t>helix</w:t>
      </w:r>
      <w:r w:rsidR="00504DB0">
        <w:rPr>
          <w:iCs/>
        </w:rPr>
        <w:t xml:space="preserve"> modelu</w:t>
      </w:r>
      <w:r w:rsidR="004976C1">
        <w:rPr>
          <w:iCs/>
        </w:rPr>
        <w:t xml:space="preserve">. </w:t>
      </w:r>
      <w:r w:rsidR="00504DB0">
        <w:rPr>
          <w:iCs/>
        </w:rPr>
        <w:t xml:space="preserve">  </w:t>
      </w:r>
    </w:p>
    <w:p w:rsidR="00064395" w:rsidRPr="005918D5" w:rsidRDefault="001C2517" w:rsidP="00064395">
      <w:pPr>
        <w:jc w:val="left"/>
        <w:rPr>
          <w:iCs/>
        </w:rPr>
        <w:sectPr w:rsidR="00064395" w:rsidRPr="005918D5" w:rsidSect="00C81906">
          <w:pgSz w:w="11906" w:h="16838"/>
          <w:pgMar w:top="1417" w:right="1417" w:bottom="1417" w:left="1417" w:header="708" w:footer="708" w:gutter="0"/>
          <w:cols w:space="282"/>
          <w:docGrid w:linePitch="360"/>
        </w:sectPr>
      </w:pPr>
      <w:r>
        <w:rPr>
          <w:iCs/>
        </w:rPr>
        <w:tab/>
        <w:t>Ďalšou úlohou je zabezpečenie premietnutia RIS3 do aktualizovaného návrhu P</w:t>
      </w:r>
      <w:r w:rsidR="003C55D7">
        <w:rPr>
          <w:iCs/>
        </w:rPr>
        <w:t xml:space="preserve">artnerskej dohody </w:t>
      </w:r>
      <w:r>
        <w:rPr>
          <w:iCs/>
        </w:rPr>
        <w:t xml:space="preserve"> </w:t>
      </w:r>
      <w:r w:rsidR="003C55D7">
        <w:rPr>
          <w:iCs/>
        </w:rPr>
        <w:t xml:space="preserve">SR </w:t>
      </w:r>
      <w:r w:rsidR="009733A4">
        <w:rPr>
          <w:iCs/>
        </w:rPr>
        <w:t xml:space="preserve">na roky 2014 – </w:t>
      </w:r>
      <w:r>
        <w:rPr>
          <w:iCs/>
        </w:rPr>
        <w:t xml:space="preserve">2020, jej rozpracovanie v relevantných </w:t>
      </w:r>
      <w:r w:rsidR="003C55D7">
        <w:rPr>
          <w:iCs/>
        </w:rPr>
        <w:t xml:space="preserve">operačných programoch EŠIF 2014 – 2020 </w:t>
      </w:r>
      <w:r>
        <w:rPr>
          <w:iCs/>
        </w:rPr>
        <w:t xml:space="preserve">a rozpracovanie </w:t>
      </w:r>
      <w:r w:rsidR="003C55D7">
        <w:rPr>
          <w:iCs/>
        </w:rPr>
        <w:t>stratégie do a</w:t>
      </w:r>
      <w:r>
        <w:rPr>
          <w:iCs/>
        </w:rPr>
        <w:t>kčného plánu na najbližších 12 mesiacov</w:t>
      </w:r>
      <w:r w:rsidR="005918D5">
        <w:rPr>
          <w:iCs/>
        </w:rPr>
        <w:t>.</w:t>
      </w:r>
    </w:p>
    <w:p w:rsidR="006B43A9" w:rsidRPr="00483AE9" w:rsidRDefault="006B43A9" w:rsidP="00191D7E">
      <w:pPr>
        <w:pStyle w:val="Nadpis1"/>
        <w:numPr>
          <w:ilvl w:val="0"/>
          <w:numId w:val="34"/>
        </w:numPr>
      </w:pPr>
      <w:bookmarkStart w:id="215" w:name="_Toc366744192"/>
      <w:r w:rsidRPr="000D4A62">
        <w:lastRenderedPageBreak/>
        <w:t>PRÍLOHY</w:t>
      </w:r>
      <w:bookmarkEnd w:id="215"/>
    </w:p>
    <w:tbl>
      <w:tblPr>
        <w:tblW w:w="15300" w:type="dxa"/>
        <w:tblInd w:w="-886" w:type="dxa"/>
        <w:tblCellMar>
          <w:left w:w="0" w:type="dxa"/>
          <w:right w:w="0" w:type="dxa"/>
        </w:tblCellMar>
        <w:tblLook w:val="0000" w:firstRow="0" w:lastRow="0" w:firstColumn="0" w:lastColumn="0" w:noHBand="0" w:noVBand="0"/>
      </w:tblPr>
      <w:tblGrid>
        <w:gridCol w:w="1597"/>
        <w:gridCol w:w="2155"/>
        <w:gridCol w:w="3030"/>
        <w:gridCol w:w="3564"/>
        <w:gridCol w:w="4954"/>
      </w:tblGrid>
      <w:tr w:rsidR="00191D7E">
        <w:trPr>
          <w:trHeight w:val="315"/>
        </w:trPr>
        <w:tc>
          <w:tcPr>
            <w:tcW w:w="145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tcPr>
          <w:p w:rsidR="00191D7E" w:rsidRDefault="00191D7E" w:rsidP="004A5868">
            <w:pPr>
              <w:jc w:val="center"/>
              <w:rPr>
                <w:b/>
                <w:bCs/>
                <w:color w:val="000000"/>
                <w:sz w:val="24"/>
                <w:szCs w:val="24"/>
              </w:rPr>
            </w:pPr>
            <w:r>
              <w:rPr>
                <w:b/>
                <w:bCs/>
                <w:color w:val="000000"/>
              </w:rPr>
              <w:t>Strategické ciele</w:t>
            </w:r>
          </w:p>
        </w:tc>
        <w:tc>
          <w:tcPr>
            <w:tcW w:w="21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tcPr>
          <w:p w:rsidR="00191D7E" w:rsidRDefault="00191D7E" w:rsidP="004A5868">
            <w:pPr>
              <w:jc w:val="center"/>
              <w:rPr>
                <w:b/>
                <w:bCs/>
                <w:color w:val="000000"/>
                <w:sz w:val="24"/>
                <w:szCs w:val="24"/>
              </w:rPr>
            </w:pPr>
            <w:r>
              <w:rPr>
                <w:b/>
                <w:bCs/>
                <w:color w:val="000000"/>
              </w:rPr>
              <w:t>A. Silné stránky</w:t>
            </w:r>
          </w:p>
        </w:tc>
        <w:tc>
          <w:tcPr>
            <w:tcW w:w="30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tcPr>
          <w:p w:rsidR="00191D7E" w:rsidRDefault="00191D7E" w:rsidP="004A5868">
            <w:pPr>
              <w:jc w:val="center"/>
              <w:rPr>
                <w:b/>
                <w:bCs/>
                <w:color w:val="000000"/>
                <w:sz w:val="24"/>
                <w:szCs w:val="24"/>
              </w:rPr>
            </w:pPr>
            <w:r>
              <w:rPr>
                <w:b/>
                <w:bCs/>
                <w:color w:val="000000"/>
              </w:rPr>
              <w:t>B. Príležitosti</w:t>
            </w:r>
          </w:p>
        </w:tc>
        <w:tc>
          <w:tcPr>
            <w:tcW w:w="36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tcPr>
          <w:p w:rsidR="00191D7E" w:rsidRDefault="00191D7E" w:rsidP="004A5868">
            <w:pPr>
              <w:jc w:val="center"/>
              <w:rPr>
                <w:b/>
                <w:bCs/>
                <w:color w:val="000000"/>
                <w:sz w:val="24"/>
                <w:szCs w:val="24"/>
              </w:rPr>
            </w:pPr>
            <w:r>
              <w:rPr>
                <w:b/>
                <w:bCs/>
                <w:color w:val="000000"/>
              </w:rPr>
              <w:t>C. Slabé stránky</w:t>
            </w:r>
          </w:p>
        </w:tc>
        <w:tc>
          <w:tcPr>
            <w:tcW w:w="502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tcPr>
          <w:p w:rsidR="00191D7E" w:rsidRDefault="00191D7E" w:rsidP="004A5868">
            <w:pPr>
              <w:jc w:val="center"/>
              <w:rPr>
                <w:b/>
                <w:bCs/>
                <w:color w:val="000000"/>
                <w:sz w:val="24"/>
                <w:szCs w:val="24"/>
              </w:rPr>
            </w:pPr>
            <w:r>
              <w:rPr>
                <w:b/>
                <w:bCs/>
                <w:color w:val="000000"/>
              </w:rPr>
              <w:t>D. Hrozby</w:t>
            </w:r>
          </w:p>
        </w:tc>
      </w:tr>
      <w:tr w:rsidR="00191D7E">
        <w:trPr>
          <w:trHeight w:val="6921"/>
        </w:trPr>
        <w:tc>
          <w:tcPr>
            <w:tcW w:w="145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191D7E" w:rsidRPr="00C81906" w:rsidRDefault="00191D7E" w:rsidP="00DD69C3">
            <w:pPr>
              <w:spacing w:after="0" w:line="240" w:lineRule="auto"/>
              <w:ind w:left="180" w:right="166"/>
              <w:rPr>
                <w:bCs/>
                <w:color w:val="000000"/>
                <w:sz w:val="18"/>
                <w:szCs w:val="18"/>
              </w:rPr>
            </w:pPr>
            <w:r w:rsidRPr="00C81906">
              <w:rPr>
                <w:b/>
                <w:bCs/>
                <w:color w:val="000000"/>
                <w:sz w:val="18"/>
                <w:szCs w:val="18"/>
              </w:rPr>
              <w:t>I.</w:t>
            </w:r>
            <w:r>
              <w:rPr>
                <w:bCs/>
                <w:color w:val="000000"/>
                <w:sz w:val="18"/>
                <w:szCs w:val="18"/>
              </w:rPr>
              <w:t> </w:t>
            </w:r>
            <w:r w:rsidRPr="00C81906">
              <w:rPr>
                <w:bCs/>
                <w:color w:val="000000"/>
                <w:sz w:val="18"/>
                <w:szCs w:val="18"/>
              </w:rPr>
              <w:t>Prehĺbiť integráciu a ukotvenie kľúčových hospodárskych (hlavne priemyselných)</w:t>
            </w:r>
            <w:r w:rsidR="00DD69C3">
              <w:rPr>
                <w:bCs/>
                <w:color w:val="000000"/>
                <w:sz w:val="18"/>
                <w:szCs w:val="18"/>
              </w:rPr>
              <w:t xml:space="preserve"> </w:t>
            </w:r>
            <w:r w:rsidRPr="00C81906">
              <w:rPr>
                <w:bCs/>
                <w:color w:val="000000"/>
                <w:sz w:val="18"/>
                <w:szCs w:val="18"/>
              </w:rPr>
              <w:t>odvetví, ktoré zvyšujú miestnu pridanú hodnotu, prostredníctvom spolupráce miestnych dodávateľských reťazcov a podporou ich vzájomného sieťovania</w:t>
            </w:r>
          </w:p>
        </w:tc>
        <w:tc>
          <w:tcPr>
            <w:tcW w:w="21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Pr="008E34E6" w:rsidRDefault="00AE5259" w:rsidP="004A5868">
            <w:pPr>
              <w:spacing w:after="0" w:line="240" w:lineRule="auto"/>
              <w:ind w:left="166" w:right="166"/>
              <w:rPr>
                <w:b/>
                <w:bCs/>
                <w:color w:val="FF0000"/>
                <w:sz w:val="18"/>
                <w:szCs w:val="18"/>
              </w:rPr>
            </w:pPr>
            <w:r>
              <w:rPr>
                <w:bCs/>
                <w:color w:val="000000"/>
                <w:sz w:val="18"/>
                <w:szCs w:val="18"/>
              </w:rPr>
              <w:t>I.A.1. Kľ</w:t>
            </w:r>
            <w:r w:rsidR="00191D7E" w:rsidRPr="008E34E6">
              <w:rPr>
                <w:bCs/>
                <w:color w:val="000000"/>
                <w:sz w:val="18"/>
                <w:szCs w:val="18"/>
              </w:rPr>
              <w:t xml:space="preserve">účové priemyselné odvetvia zastúpené </w:t>
            </w:r>
            <w:r w:rsidR="00DD69C3">
              <w:rPr>
                <w:bCs/>
                <w:color w:val="000000"/>
                <w:sz w:val="18"/>
                <w:szCs w:val="18"/>
              </w:rPr>
              <w:t xml:space="preserve">v </w:t>
            </w:r>
            <w:r w:rsidR="003B35FF">
              <w:rPr>
                <w:bCs/>
                <w:color w:val="000000"/>
                <w:sz w:val="18"/>
                <w:szCs w:val="18"/>
              </w:rPr>
              <w:t>MNS</w:t>
            </w:r>
            <w:r w:rsidR="00191D7E" w:rsidRPr="008E34E6">
              <w:rPr>
                <w:bCs/>
                <w:color w:val="000000"/>
                <w:sz w:val="18"/>
                <w:szCs w:val="18"/>
              </w:rPr>
              <w:t xml:space="preserve"> (automobilový, elektrotechnický, hutnícky a</w:t>
            </w:r>
            <w:r w:rsidR="00DD69C3">
              <w:rPr>
                <w:bCs/>
                <w:color w:val="000000"/>
                <w:sz w:val="18"/>
                <w:szCs w:val="18"/>
              </w:rPr>
              <w:t> </w:t>
            </w:r>
            <w:r w:rsidR="00191D7E" w:rsidRPr="008E34E6">
              <w:rPr>
                <w:bCs/>
                <w:color w:val="000000"/>
                <w:sz w:val="18"/>
                <w:szCs w:val="18"/>
              </w:rPr>
              <w:t>chemický</w:t>
            </w:r>
            <w:r w:rsidR="00DD69C3">
              <w:rPr>
                <w:bCs/>
                <w:color w:val="000000"/>
                <w:sz w:val="18"/>
                <w:szCs w:val="18"/>
              </w:rPr>
              <w:t>)</w:t>
            </w:r>
          </w:p>
          <w:p w:rsidR="00191D7E" w:rsidRDefault="00191D7E" w:rsidP="004A5868">
            <w:pPr>
              <w:spacing w:after="0" w:line="240" w:lineRule="auto"/>
              <w:ind w:left="166" w:right="166"/>
              <w:rPr>
                <w:bCs/>
                <w:color w:val="000000"/>
                <w:sz w:val="18"/>
                <w:szCs w:val="18"/>
              </w:rPr>
            </w:pPr>
            <w:r w:rsidRPr="00C81906">
              <w:rPr>
                <w:bCs/>
                <w:color w:val="000000"/>
                <w:sz w:val="18"/>
                <w:szCs w:val="18"/>
              </w:rPr>
              <w:br/>
            </w:r>
            <w:r w:rsidRPr="00C81906">
              <w:rPr>
                <w:b/>
                <w:bCs/>
                <w:color w:val="000000"/>
                <w:sz w:val="18"/>
                <w:szCs w:val="18"/>
              </w:rPr>
              <w:t>I.A.2.</w:t>
            </w:r>
            <w:r w:rsidRPr="00C81906">
              <w:rPr>
                <w:bCs/>
                <w:color w:val="000000"/>
                <w:sz w:val="18"/>
                <w:szCs w:val="18"/>
              </w:rPr>
              <w:t xml:space="preserve"> Konkurenčne schopná</w:t>
            </w:r>
            <w:r w:rsidR="00134F8E">
              <w:rPr>
                <w:bCs/>
                <w:color w:val="000000"/>
                <w:sz w:val="18"/>
                <w:szCs w:val="18"/>
              </w:rPr>
              <w:t xml:space="preserve"> </w:t>
            </w:r>
            <w:r w:rsidRPr="00C81906">
              <w:rPr>
                <w:bCs/>
                <w:color w:val="000000"/>
                <w:sz w:val="18"/>
                <w:szCs w:val="18"/>
              </w:rPr>
              <w:t>technologická a výrobková úroveň v exportných odvetviach</w:t>
            </w:r>
          </w:p>
          <w:p w:rsidR="00191D7E" w:rsidRDefault="00191D7E" w:rsidP="004A5868">
            <w:pPr>
              <w:spacing w:after="0" w:line="240" w:lineRule="auto"/>
              <w:ind w:left="166" w:right="166"/>
              <w:rPr>
                <w:bCs/>
                <w:color w:val="000000"/>
                <w:sz w:val="18"/>
                <w:szCs w:val="18"/>
              </w:rPr>
            </w:pPr>
            <w:r w:rsidRPr="00C81906">
              <w:rPr>
                <w:bCs/>
                <w:color w:val="000000"/>
                <w:sz w:val="18"/>
                <w:szCs w:val="18"/>
              </w:rPr>
              <w:br/>
            </w:r>
            <w:r w:rsidRPr="00C81906">
              <w:rPr>
                <w:b/>
                <w:bCs/>
                <w:color w:val="000000"/>
                <w:sz w:val="18"/>
                <w:szCs w:val="18"/>
              </w:rPr>
              <w:t>I.A.3.</w:t>
            </w:r>
            <w:r w:rsidRPr="00C81906">
              <w:rPr>
                <w:bCs/>
                <w:color w:val="000000"/>
                <w:sz w:val="18"/>
                <w:szCs w:val="18"/>
              </w:rPr>
              <w:t xml:space="preserve"> Zvyšujúci sa záujem</w:t>
            </w:r>
            <w:r w:rsidR="00134F8E">
              <w:rPr>
                <w:bCs/>
                <w:color w:val="000000"/>
                <w:sz w:val="18"/>
                <w:szCs w:val="18"/>
              </w:rPr>
              <w:t xml:space="preserve"> </w:t>
            </w:r>
            <w:r w:rsidRPr="00C81906">
              <w:rPr>
                <w:bCs/>
                <w:color w:val="000000"/>
                <w:sz w:val="18"/>
                <w:szCs w:val="18"/>
              </w:rPr>
              <w:t>podnikov a priemyselných zoskupení</w:t>
            </w:r>
            <w:r w:rsidR="00134F8E">
              <w:rPr>
                <w:bCs/>
                <w:color w:val="000000"/>
                <w:sz w:val="18"/>
                <w:szCs w:val="18"/>
              </w:rPr>
              <w:t xml:space="preserve"> </w:t>
            </w:r>
            <w:r w:rsidRPr="00C81906">
              <w:rPr>
                <w:bCs/>
                <w:color w:val="000000"/>
                <w:sz w:val="18"/>
                <w:szCs w:val="18"/>
              </w:rPr>
              <w:t>o znovuvybudovanie podnikových</w:t>
            </w:r>
            <w:r w:rsidR="00134F8E">
              <w:rPr>
                <w:bCs/>
                <w:color w:val="000000"/>
                <w:sz w:val="18"/>
                <w:szCs w:val="18"/>
              </w:rPr>
              <w:t xml:space="preserve"> </w:t>
            </w:r>
            <w:r w:rsidRPr="00C81906">
              <w:rPr>
                <w:bCs/>
                <w:color w:val="000000"/>
                <w:sz w:val="18"/>
                <w:szCs w:val="18"/>
              </w:rPr>
              <w:t>VaI štruktúr (entít)</w:t>
            </w:r>
          </w:p>
          <w:p w:rsidR="00191D7E" w:rsidRPr="00C81906" w:rsidRDefault="00191D7E" w:rsidP="00DD69C3">
            <w:pPr>
              <w:spacing w:after="0" w:line="240" w:lineRule="auto"/>
              <w:ind w:left="166" w:right="166"/>
              <w:rPr>
                <w:bCs/>
                <w:color w:val="000000"/>
                <w:sz w:val="18"/>
                <w:szCs w:val="18"/>
              </w:rPr>
            </w:pPr>
            <w:r w:rsidRPr="00C81906">
              <w:rPr>
                <w:bCs/>
                <w:color w:val="000000"/>
                <w:sz w:val="18"/>
                <w:szCs w:val="18"/>
              </w:rPr>
              <w:br/>
            </w:r>
            <w:r w:rsidRPr="00C81906">
              <w:rPr>
                <w:b/>
                <w:bCs/>
                <w:color w:val="000000"/>
                <w:sz w:val="18"/>
                <w:szCs w:val="18"/>
              </w:rPr>
              <w:t>I.A.4.</w:t>
            </w:r>
            <w:r w:rsidRPr="00C81906">
              <w:rPr>
                <w:bCs/>
                <w:color w:val="000000"/>
                <w:sz w:val="18"/>
                <w:szCs w:val="18"/>
              </w:rPr>
              <w:t xml:space="preserve"> Rastúci podiel informačných služieb na exporte služieb </w:t>
            </w:r>
            <w:r w:rsidRPr="00C81906">
              <w:rPr>
                <w:bCs/>
                <w:color w:val="000000"/>
                <w:sz w:val="18"/>
                <w:szCs w:val="18"/>
              </w:rPr>
              <w:br/>
            </w:r>
          </w:p>
        </w:tc>
        <w:tc>
          <w:tcPr>
            <w:tcW w:w="30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66" w:right="166"/>
              <w:rPr>
                <w:bCs/>
                <w:color w:val="000000"/>
                <w:sz w:val="18"/>
                <w:szCs w:val="18"/>
              </w:rPr>
            </w:pPr>
            <w:r w:rsidRPr="00C81906">
              <w:rPr>
                <w:b/>
                <w:bCs/>
                <w:color w:val="000000"/>
                <w:sz w:val="18"/>
                <w:szCs w:val="18"/>
              </w:rPr>
              <w:t>I.B.1.</w:t>
            </w:r>
            <w:r w:rsidRPr="00C81906">
              <w:rPr>
                <w:bCs/>
                <w:color w:val="000000"/>
                <w:sz w:val="18"/>
                <w:szCs w:val="18"/>
              </w:rPr>
              <w:t xml:space="preserve"> Rozšírenie zapojenia domácich subdodávateľov do globálnych dodávateľských reťazcov </w:t>
            </w:r>
            <w:r w:rsidR="003B35FF">
              <w:rPr>
                <w:bCs/>
                <w:color w:val="000000"/>
                <w:sz w:val="18"/>
                <w:szCs w:val="18"/>
              </w:rPr>
              <w:t>MNS</w:t>
            </w:r>
            <w:r w:rsidR="00134F8E">
              <w:rPr>
                <w:bCs/>
                <w:color w:val="000000"/>
                <w:sz w:val="18"/>
                <w:szCs w:val="18"/>
              </w:rPr>
              <w:t xml:space="preserve"> </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I.B.2.</w:t>
            </w:r>
            <w:r w:rsidRPr="00C81906">
              <w:rPr>
                <w:bCs/>
                <w:color w:val="000000"/>
                <w:sz w:val="18"/>
                <w:szCs w:val="18"/>
              </w:rPr>
              <w:t xml:space="preserve"> Vytvorenie prepojení VaI </w:t>
            </w:r>
            <w:r w:rsidR="003B35FF">
              <w:rPr>
                <w:bCs/>
                <w:color w:val="000000"/>
                <w:sz w:val="18"/>
                <w:szCs w:val="18"/>
              </w:rPr>
              <w:t>MNS</w:t>
            </w:r>
            <w:r w:rsidRPr="00C81906">
              <w:rPr>
                <w:bCs/>
                <w:color w:val="000000"/>
                <w:sz w:val="18"/>
                <w:szCs w:val="18"/>
              </w:rPr>
              <w:t xml:space="preserve"> spoločností do spolupráce s domácimi podnikateľskými VaI štruktúrami </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I.B.3.</w:t>
            </w:r>
            <w:r w:rsidRPr="00C81906">
              <w:rPr>
                <w:bCs/>
                <w:color w:val="000000"/>
                <w:sz w:val="18"/>
                <w:szCs w:val="18"/>
              </w:rPr>
              <w:t xml:space="preserve"> Koncentrácia VaI centier na limitovaný počet prioritných oblastí RIS3</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I.B.4.</w:t>
            </w:r>
            <w:r w:rsidRPr="00C81906">
              <w:rPr>
                <w:bCs/>
                <w:color w:val="000000"/>
                <w:sz w:val="18"/>
                <w:szCs w:val="18"/>
              </w:rPr>
              <w:t xml:space="preserve"> Prehĺbenie </w:t>
            </w:r>
            <w:r w:rsidR="008D1196">
              <w:rPr>
                <w:bCs/>
                <w:color w:val="000000"/>
                <w:sz w:val="18"/>
                <w:szCs w:val="18"/>
              </w:rPr>
              <w:t>trialógu akademickej sféry, podnikateľského sektora a verejnej správy</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I.B.5.</w:t>
            </w:r>
            <w:r w:rsidRPr="00C81906">
              <w:rPr>
                <w:bCs/>
                <w:color w:val="000000"/>
                <w:sz w:val="18"/>
                <w:szCs w:val="18"/>
              </w:rPr>
              <w:t xml:space="preserve"> Potenciál využívania pôdneho fondu a domácich strategických prírodných zdrojov (voda, drevo, magnezit) v inovatívnom</w:t>
            </w:r>
            <w:r w:rsidR="00134F8E">
              <w:rPr>
                <w:bCs/>
                <w:color w:val="000000"/>
                <w:sz w:val="18"/>
                <w:szCs w:val="18"/>
              </w:rPr>
              <w:t xml:space="preserve"> </w:t>
            </w:r>
            <w:r w:rsidRPr="00C81906">
              <w:rPr>
                <w:bCs/>
                <w:color w:val="000000"/>
                <w:sz w:val="18"/>
                <w:szCs w:val="18"/>
              </w:rPr>
              <w:t>hospodárstve</w:t>
            </w:r>
          </w:p>
          <w:p w:rsidR="00191D7E" w:rsidRDefault="00191D7E" w:rsidP="004A5868">
            <w:pPr>
              <w:spacing w:after="0" w:line="240" w:lineRule="auto"/>
              <w:ind w:left="166" w:right="166"/>
              <w:rPr>
                <w:bCs/>
                <w:color w:val="000000"/>
                <w:sz w:val="18"/>
                <w:szCs w:val="18"/>
              </w:rPr>
            </w:pPr>
          </w:p>
          <w:p w:rsidR="00191D7E" w:rsidRPr="00C81906" w:rsidRDefault="00191D7E" w:rsidP="004A5868">
            <w:pPr>
              <w:spacing w:after="0" w:line="240" w:lineRule="auto"/>
              <w:ind w:left="166" w:right="166"/>
              <w:rPr>
                <w:bCs/>
                <w:color w:val="000000"/>
                <w:sz w:val="18"/>
                <w:szCs w:val="18"/>
              </w:rPr>
            </w:pPr>
            <w:r w:rsidRPr="00C81906">
              <w:rPr>
                <w:b/>
                <w:bCs/>
                <w:color w:val="000000"/>
                <w:sz w:val="18"/>
                <w:szCs w:val="18"/>
              </w:rPr>
              <w:t>I.B.6.</w:t>
            </w:r>
            <w:r w:rsidRPr="00C81906">
              <w:rPr>
                <w:bCs/>
                <w:color w:val="000000"/>
                <w:sz w:val="18"/>
                <w:szCs w:val="18"/>
              </w:rPr>
              <w:t xml:space="preserve"> Podpora prechodu na zelené technológie, materiály a produkty vyplývajúci z nežiad</w:t>
            </w:r>
            <w:r w:rsidR="00DD69C3">
              <w:rPr>
                <w:bCs/>
                <w:color w:val="000000"/>
                <w:sz w:val="18"/>
                <w:szCs w:val="18"/>
              </w:rPr>
              <w:t>u</w:t>
            </w:r>
            <w:r w:rsidRPr="00C81906">
              <w:rPr>
                <w:bCs/>
                <w:color w:val="000000"/>
                <w:sz w:val="18"/>
                <w:szCs w:val="18"/>
              </w:rPr>
              <w:t>cich ekologických zmien a</w:t>
            </w:r>
            <w:r w:rsidR="00C5561D">
              <w:rPr>
                <w:bCs/>
                <w:color w:val="000000"/>
                <w:sz w:val="18"/>
                <w:szCs w:val="18"/>
              </w:rPr>
              <w:t xml:space="preserve"> podpora legislatívnych zmien</w:t>
            </w:r>
            <w:r w:rsidRPr="00C81906">
              <w:rPr>
                <w:bCs/>
                <w:color w:val="000000"/>
                <w:sz w:val="18"/>
                <w:szCs w:val="18"/>
              </w:rPr>
              <w:br/>
            </w:r>
            <w:r w:rsidRPr="00C81906">
              <w:rPr>
                <w:bCs/>
                <w:color w:val="000000"/>
                <w:sz w:val="18"/>
                <w:szCs w:val="18"/>
              </w:rPr>
              <w:br/>
            </w:r>
          </w:p>
        </w:tc>
        <w:tc>
          <w:tcPr>
            <w:tcW w:w="3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66" w:right="166"/>
              <w:rPr>
                <w:bCs/>
                <w:color w:val="000000"/>
                <w:sz w:val="18"/>
                <w:szCs w:val="18"/>
              </w:rPr>
            </w:pPr>
            <w:r w:rsidRPr="00C81906">
              <w:rPr>
                <w:b/>
                <w:bCs/>
                <w:color w:val="000000"/>
                <w:sz w:val="18"/>
                <w:szCs w:val="18"/>
              </w:rPr>
              <w:t>I.C.1.</w:t>
            </w:r>
            <w:r w:rsidRPr="00C81906">
              <w:rPr>
                <w:bCs/>
                <w:color w:val="000000"/>
                <w:sz w:val="18"/>
                <w:szCs w:val="18"/>
              </w:rPr>
              <w:t xml:space="preserve"> Nedostatočný podiel vlastných (slovenských) VaI aktivít v exportných odvetviach na Slovensku</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I.C.2</w:t>
            </w:r>
            <w:r w:rsidRPr="00C81906">
              <w:rPr>
                <w:bCs/>
                <w:color w:val="000000"/>
                <w:sz w:val="18"/>
                <w:szCs w:val="18"/>
              </w:rPr>
              <w:t xml:space="preserve">. Absencia podnikového priemyselného výskumu na Slovensku </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I.C.3.</w:t>
            </w:r>
            <w:r w:rsidRPr="00C81906">
              <w:rPr>
                <w:bCs/>
                <w:color w:val="000000"/>
                <w:sz w:val="18"/>
                <w:szCs w:val="18"/>
              </w:rPr>
              <w:t xml:space="preserve"> Nedostatočné zapojenie domácich podnikateľských subjektov do subdodávateľských reťazcov </w:t>
            </w:r>
            <w:r w:rsidR="003B35FF">
              <w:rPr>
                <w:bCs/>
                <w:color w:val="000000"/>
                <w:sz w:val="18"/>
                <w:szCs w:val="18"/>
              </w:rPr>
              <w:t>MNS</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I.C.4.</w:t>
            </w:r>
            <w:r w:rsidRPr="00C81906">
              <w:rPr>
                <w:bCs/>
                <w:color w:val="000000"/>
                <w:sz w:val="18"/>
                <w:szCs w:val="18"/>
              </w:rPr>
              <w:t xml:space="preserve"> Podkapitalizácia podnikateľských subjektov spojená s nízkou inovačnou výkonnosťou, najmä MSP</w:t>
            </w:r>
            <w:r w:rsidRPr="00C81906">
              <w:rPr>
                <w:bCs/>
                <w:color w:val="000000"/>
                <w:sz w:val="18"/>
                <w:szCs w:val="18"/>
              </w:rPr>
              <w:br/>
            </w:r>
          </w:p>
          <w:p w:rsidR="00191D7E" w:rsidRDefault="00191D7E" w:rsidP="004A5868">
            <w:pPr>
              <w:spacing w:after="0" w:line="240" w:lineRule="auto"/>
              <w:ind w:left="166" w:right="166"/>
              <w:rPr>
                <w:bCs/>
                <w:color w:val="000000"/>
                <w:sz w:val="18"/>
                <w:szCs w:val="18"/>
              </w:rPr>
            </w:pPr>
            <w:r w:rsidRPr="00C81906">
              <w:rPr>
                <w:b/>
                <w:bCs/>
                <w:color w:val="000000"/>
                <w:sz w:val="18"/>
                <w:szCs w:val="18"/>
              </w:rPr>
              <w:t>I.C.5.</w:t>
            </w:r>
            <w:r w:rsidRPr="00C81906">
              <w:rPr>
                <w:bCs/>
                <w:color w:val="000000"/>
                <w:sz w:val="18"/>
                <w:szCs w:val="18"/>
              </w:rPr>
              <w:t xml:space="preserve"> Marginálna aplikácia revolvingových schém vrátane rizikového kapitálu na podporu VaI a absencia systému aplikácie rizikového kapitálu</w:t>
            </w:r>
            <w:r>
              <w:rPr>
                <w:bCs/>
                <w:color w:val="000000"/>
                <w:sz w:val="18"/>
                <w:szCs w:val="18"/>
              </w:rPr>
              <w:t xml:space="preserve"> </w:t>
            </w:r>
            <w:r w:rsidRPr="00C81906">
              <w:rPr>
                <w:bCs/>
                <w:color w:val="000000"/>
                <w:sz w:val="18"/>
                <w:szCs w:val="18"/>
              </w:rPr>
              <w:br/>
            </w:r>
          </w:p>
          <w:p w:rsidR="00191D7E" w:rsidRPr="00C81906" w:rsidRDefault="00191D7E" w:rsidP="004A5868">
            <w:pPr>
              <w:spacing w:after="0" w:line="240" w:lineRule="auto"/>
              <w:ind w:left="166" w:right="166"/>
              <w:rPr>
                <w:bCs/>
                <w:color w:val="000000"/>
                <w:sz w:val="18"/>
                <w:szCs w:val="18"/>
              </w:rPr>
            </w:pPr>
            <w:r w:rsidRPr="00C81906">
              <w:rPr>
                <w:b/>
                <w:bCs/>
                <w:color w:val="000000"/>
                <w:sz w:val="18"/>
                <w:szCs w:val="18"/>
              </w:rPr>
              <w:t>I.C.6</w:t>
            </w:r>
            <w:r w:rsidRPr="00C81906">
              <w:rPr>
                <w:bCs/>
                <w:color w:val="000000"/>
                <w:sz w:val="18"/>
                <w:szCs w:val="18"/>
              </w:rPr>
              <w:t>. Nízka vlastná pridaná hodnota produkcie domácich podnikateľských subjektov</w:t>
            </w:r>
            <w:r w:rsidRPr="00C81906">
              <w:rPr>
                <w:bCs/>
                <w:color w:val="000000"/>
                <w:sz w:val="18"/>
                <w:szCs w:val="18"/>
              </w:rPr>
              <w:br/>
            </w:r>
            <w:r w:rsidRPr="00C81906">
              <w:rPr>
                <w:bCs/>
                <w:color w:val="000000"/>
                <w:sz w:val="18"/>
                <w:szCs w:val="18"/>
              </w:rPr>
              <w:br/>
            </w:r>
            <w:r w:rsidRPr="00C81906">
              <w:rPr>
                <w:bCs/>
                <w:color w:val="000000"/>
                <w:sz w:val="18"/>
                <w:szCs w:val="18"/>
              </w:rPr>
              <w:br/>
            </w:r>
            <w:r w:rsidRPr="00C81906">
              <w:rPr>
                <w:bCs/>
                <w:color w:val="000000"/>
                <w:sz w:val="18"/>
                <w:szCs w:val="18"/>
              </w:rPr>
              <w:br/>
            </w:r>
          </w:p>
        </w:tc>
        <w:tc>
          <w:tcPr>
            <w:tcW w:w="5026"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64" w:right="68"/>
              <w:rPr>
                <w:bCs/>
                <w:color w:val="000000"/>
                <w:sz w:val="18"/>
                <w:szCs w:val="18"/>
              </w:rPr>
            </w:pPr>
            <w:r w:rsidRPr="00C81906">
              <w:rPr>
                <w:b/>
                <w:bCs/>
                <w:color w:val="000000"/>
                <w:sz w:val="18"/>
                <w:szCs w:val="18"/>
              </w:rPr>
              <w:t xml:space="preserve">I.D.1. </w:t>
            </w:r>
            <w:r w:rsidRPr="00C81906">
              <w:rPr>
                <w:bCs/>
                <w:color w:val="000000"/>
                <w:sz w:val="18"/>
                <w:szCs w:val="18"/>
              </w:rPr>
              <w:t>Presun investorov do</w:t>
            </w:r>
            <w:r w:rsidR="00134F8E">
              <w:rPr>
                <w:bCs/>
                <w:color w:val="000000"/>
                <w:sz w:val="18"/>
                <w:szCs w:val="18"/>
              </w:rPr>
              <w:t xml:space="preserve"> </w:t>
            </w:r>
            <w:r w:rsidRPr="00C81906">
              <w:rPr>
                <w:bCs/>
                <w:color w:val="000000"/>
                <w:sz w:val="18"/>
                <w:szCs w:val="18"/>
              </w:rPr>
              <w:t>teritórií s inými komparatívnymi výhodami ako SR(EÚ)</w:t>
            </w:r>
            <w:r w:rsidRPr="00C81906">
              <w:rPr>
                <w:bCs/>
                <w:color w:val="000000"/>
                <w:sz w:val="18"/>
                <w:szCs w:val="18"/>
              </w:rPr>
              <w:br/>
            </w:r>
          </w:p>
          <w:p w:rsidR="00191D7E" w:rsidRDefault="00191D7E" w:rsidP="004A5868">
            <w:pPr>
              <w:spacing w:after="0" w:line="240" w:lineRule="auto"/>
              <w:ind w:left="164" w:right="68"/>
              <w:rPr>
                <w:bCs/>
                <w:color w:val="000000"/>
                <w:sz w:val="18"/>
                <w:szCs w:val="18"/>
              </w:rPr>
            </w:pPr>
            <w:r w:rsidRPr="00540D2B">
              <w:rPr>
                <w:b/>
                <w:bCs/>
                <w:color w:val="000000"/>
                <w:sz w:val="18"/>
                <w:szCs w:val="18"/>
              </w:rPr>
              <w:t>I.D.2.</w:t>
            </w:r>
            <w:r w:rsidRPr="00540D2B">
              <w:rPr>
                <w:bCs/>
                <w:color w:val="000000"/>
                <w:sz w:val="18"/>
                <w:szCs w:val="18"/>
              </w:rPr>
              <w:t xml:space="preserve"> Nedostatok investícií do produktov a technológií založených na znalostiach aj v dôsledku nepreviazanosti </w:t>
            </w:r>
            <w:r w:rsidR="003B35FF">
              <w:rPr>
                <w:bCs/>
                <w:color w:val="000000"/>
                <w:sz w:val="18"/>
                <w:szCs w:val="18"/>
              </w:rPr>
              <w:t>MNS</w:t>
            </w:r>
            <w:r w:rsidRPr="00540D2B">
              <w:rPr>
                <w:bCs/>
                <w:color w:val="000000"/>
                <w:sz w:val="18"/>
                <w:szCs w:val="18"/>
              </w:rPr>
              <w:t xml:space="preserve"> na lokálnu infraštruktúru</w:t>
            </w:r>
            <w:r w:rsidRPr="00C81906">
              <w:rPr>
                <w:bCs/>
                <w:color w:val="000000"/>
                <w:sz w:val="18"/>
                <w:szCs w:val="18"/>
              </w:rPr>
              <w:t xml:space="preserve"> VaI</w:t>
            </w:r>
            <w:r w:rsidRPr="00C81906">
              <w:rPr>
                <w:bCs/>
                <w:color w:val="000000"/>
                <w:sz w:val="18"/>
                <w:szCs w:val="18"/>
              </w:rPr>
              <w:br/>
            </w:r>
          </w:p>
          <w:p w:rsidR="00191D7E" w:rsidRPr="00C81906" w:rsidRDefault="00191D7E" w:rsidP="004A5868">
            <w:pPr>
              <w:spacing w:after="0" w:line="240" w:lineRule="auto"/>
              <w:ind w:left="164" w:right="68"/>
              <w:rPr>
                <w:bCs/>
                <w:color w:val="000000"/>
                <w:sz w:val="18"/>
                <w:szCs w:val="18"/>
              </w:rPr>
            </w:pPr>
            <w:r w:rsidRPr="00C81906">
              <w:rPr>
                <w:b/>
                <w:bCs/>
                <w:color w:val="000000"/>
                <w:sz w:val="18"/>
                <w:szCs w:val="18"/>
              </w:rPr>
              <w:t>I.D.3.</w:t>
            </w:r>
            <w:r w:rsidRPr="00C81906">
              <w:rPr>
                <w:bCs/>
                <w:color w:val="000000"/>
                <w:sz w:val="18"/>
                <w:szCs w:val="18"/>
              </w:rPr>
              <w:t xml:space="preserve"> Neochota podnikateľských subjektov investovať do VaI na Slovensku</w:t>
            </w:r>
          </w:p>
        </w:tc>
      </w:tr>
      <w:tr w:rsidR="00191D7E">
        <w:trPr>
          <w:trHeight w:val="8190"/>
        </w:trPr>
        <w:tc>
          <w:tcPr>
            <w:tcW w:w="145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191D7E" w:rsidRPr="00C81906" w:rsidRDefault="00191D7E" w:rsidP="004A5868">
            <w:pPr>
              <w:spacing w:after="0" w:line="240" w:lineRule="auto"/>
              <w:ind w:left="181" w:right="164"/>
              <w:rPr>
                <w:bCs/>
                <w:color w:val="000000"/>
                <w:sz w:val="18"/>
                <w:szCs w:val="18"/>
              </w:rPr>
            </w:pPr>
            <w:r w:rsidRPr="00C81906">
              <w:rPr>
                <w:b/>
                <w:bCs/>
                <w:color w:val="000000"/>
                <w:sz w:val="18"/>
                <w:szCs w:val="18"/>
              </w:rPr>
              <w:lastRenderedPageBreak/>
              <w:t>II.</w:t>
            </w:r>
            <w:r w:rsidR="00134F8E">
              <w:rPr>
                <w:bCs/>
                <w:color w:val="000000"/>
                <w:sz w:val="18"/>
                <w:szCs w:val="18"/>
              </w:rPr>
              <w:t xml:space="preserve"> </w:t>
            </w:r>
            <w:r w:rsidRPr="00C81906">
              <w:rPr>
                <w:bCs/>
                <w:color w:val="000000"/>
                <w:sz w:val="18"/>
                <w:szCs w:val="18"/>
              </w:rPr>
              <w:t>Zvýšiť príspevok výskumu k hospodárskemu rastu cestou globálnej excelentnosti a lokálnej relevantnosti</w:t>
            </w:r>
          </w:p>
        </w:tc>
        <w:tc>
          <w:tcPr>
            <w:tcW w:w="21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Pr="00C81906" w:rsidRDefault="00191D7E" w:rsidP="00DD69C3">
            <w:pPr>
              <w:spacing w:after="0" w:line="240" w:lineRule="auto"/>
              <w:ind w:left="181" w:right="164"/>
              <w:rPr>
                <w:bCs/>
                <w:color w:val="000000"/>
                <w:sz w:val="18"/>
                <w:szCs w:val="18"/>
              </w:rPr>
            </w:pPr>
            <w:r w:rsidRPr="00C81906">
              <w:rPr>
                <w:b/>
                <w:bCs/>
                <w:color w:val="000000"/>
                <w:sz w:val="18"/>
                <w:szCs w:val="18"/>
              </w:rPr>
              <w:t>II.A.1.</w:t>
            </w:r>
            <w:r w:rsidRPr="00C81906">
              <w:rPr>
                <w:bCs/>
                <w:color w:val="000000"/>
                <w:sz w:val="18"/>
                <w:szCs w:val="18"/>
              </w:rPr>
              <w:t xml:space="preserve"> Dobré výsledky vo vybraných vedných a technologických disciplínach , s koncentrovanými výskumnými tímami a pracoviskami (materiály a nanotechnológie;</w:t>
            </w:r>
            <w:r w:rsidR="00DD69C3">
              <w:rPr>
                <w:bCs/>
                <w:color w:val="000000"/>
                <w:sz w:val="18"/>
                <w:szCs w:val="18"/>
              </w:rPr>
              <w:t>IKT</w:t>
            </w:r>
            <w:r w:rsidRPr="00C81906">
              <w:rPr>
                <w:bCs/>
                <w:color w:val="000000"/>
                <w:sz w:val="18"/>
                <w:szCs w:val="18"/>
              </w:rPr>
              <w:t>; biomedicína a biotechnológie; priemyselné technológie; energetika a energie; životné prostredie a pôdohospodárstvo; spoločenské a humanitné vedy )</w:t>
            </w:r>
          </w:p>
        </w:tc>
        <w:tc>
          <w:tcPr>
            <w:tcW w:w="30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81" w:right="164"/>
              <w:rPr>
                <w:bCs/>
                <w:color w:val="000000"/>
                <w:sz w:val="18"/>
                <w:szCs w:val="18"/>
              </w:rPr>
            </w:pPr>
            <w:r w:rsidRPr="00C81906">
              <w:rPr>
                <w:b/>
                <w:bCs/>
                <w:color w:val="000000"/>
                <w:sz w:val="18"/>
                <w:szCs w:val="18"/>
              </w:rPr>
              <w:t>II.B.1.</w:t>
            </w:r>
            <w:r w:rsidRPr="00C81906">
              <w:rPr>
                <w:bCs/>
                <w:color w:val="000000"/>
                <w:sz w:val="18"/>
                <w:szCs w:val="18"/>
              </w:rPr>
              <w:t xml:space="preserve"> Nová "Priemyselná stratégia EÚ (Industry 2020)" smerujúca k revitalizácii európskeho priemyslu</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II.B.2</w:t>
            </w:r>
            <w:r w:rsidRPr="00C81906">
              <w:rPr>
                <w:bCs/>
                <w:color w:val="000000"/>
                <w:sz w:val="18"/>
                <w:szCs w:val="18"/>
              </w:rPr>
              <w:t>. Odstránenie bariér spolupráce (zlepšenie koherencie) prostredníctvom štvorpartity (quadruple</w:t>
            </w:r>
            <w:r w:rsidR="007347E7">
              <w:rPr>
                <w:bCs/>
                <w:color w:val="000000"/>
                <w:sz w:val="18"/>
                <w:szCs w:val="18"/>
              </w:rPr>
              <w:t xml:space="preserve"> </w:t>
            </w:r>
            <w:r w:rsidRPr="00C81906">
              <w:rPr>
                <w:bCs/>
                <w:color w:val="000000"/>
                <w:sz w:val="18"/>
                <w:szCs w:val="18"/>
              </w:rPr>
              <w:t xml:space="preserve">helix) ako základného princípu verejnej správy (governance) VaI </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II.B.3.</w:t>
            </w:r>
            <w:r w:rsidRPr="00C81906">
              <w:rPr>
                <w:bCs/>
                <w:color w:val="000000"/>
                <w:sz w:val="18"/>
                <w:szCs w:val="18"/>
              </w:rPr>
              <w:t xml:space="preserve"> Podpora VaI projektov v rámci krajín V4 a Dunajskej stratégie a spájanie v rámci ERA aj s využitím potenciálu regiónu Centrope (Bratislava-Brno-Viedeň)</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II.B.4.</w:t>
            </w:r>
            <w:r w:rsidRPr="00C81906">
              <w:rPr>
                <w:bCs/>
                <w:color w:val="000000"/>
                <w:sz w:val="18"/>
                <w:szCs w:val="18"/>
              </w:rPr>
              <w:t xml:space="preserve"> Lepšie využívanie komunitárnych programov, najmä Horizon 2020 a systému programov a projektov ESFRI</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II.B.5</w:t>
            </w:r>
            <w:r w:rsidRPr="00C81906">
              <w:rPr>
                <w:bCs/>
                <w:color w:val="000000"/>
                <w:sz w:val="18"/>
                <w:szCs w:val="18"/>
              </w:rPr>
              <w:t xml:space="preserve">. Využitie Európskych technologických platforiem zapojením národných technologických platforiem do ich činnosti </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II.B.6.</w:t>
            </w:r>
            <w:r w:rsidRPr="00C81906">
              <w:rPr>
                <w:bCs/>
                <w:color w:val="000000"/>
                <w:sz w:val="18"/>
                <w:szCs w:val="18"/>
              </w:rPr>
              <w:t xml:space="preserve"> Širšie využitie znalostí SR v bezuhlíkovej energetike, vrátane bezpečnosti, akceptovanou spoločnosťou</w:t>
            </w:r>
            <w:r>
              <w:rPr>
                <w:bCs/>
                <w:color w:val="000000"/>
                <w:sz w:val="18"/>
                <w:szCs w:val="18"/>
              </w:rPr>
              <w:t xml:space="preserve"> </w:t>
            </w:r>
          </w:p>
          <w:p w:rsidR="00540D2B" w:rsidRDefault="00540D2B" w:rsidP="004A5868">
            <w:pPr>
              <w:spacing w:after="0" w:line="240" w:lineRule="auto"/>
              <w:ind w:left="181" w:right="164"/>
              <w:rPr>
                <w:bCs/>
                <w:color w:val="000000"/>
                <w:sz w:val="18"/>
                <w:szCs w:val="18"/>
              </w:rPr>
            </w:pPr>
          </w:p>
          <w:p w:rsidR="00321E3C" w:rsidRDefault="00191D7E" w:rsidP="00321E3C">
            <w:pPr>
              <w:spacing w:after="0" w:line="240" w:lineRule="auto"/>
              <w:ind w:left="181" w:right="164"/>
              <w:rPr>
                <w:bCs/>
                <w:color w:val="FF0000"/>
                <w:sz w:val="18"/>
                <w:szCs w:val="18"/>
              </w:rPr>
            </w:pPr>
            <w:r w:rsidRPr="00C81906">
              <w:rPr>
                <w:b/>
                <w:bCs/>
                <w:color w:val="000000"/>
                <w:sz w:val="18"/>
                <w:szCs w:val="18"/>
              </w:rPr>
              <w:t>II.B.7.</w:t>
            </w:r>
            <w:r w:rsidRPr="00C81906">
              <w:rPr>
                <w:bCs/>
                <w:color w:val="000000"/>
                <w:sz w:val="18"/>
                <w:szCs w:val="18"/>
              </w:rPr>
              <w:t xml:space="preserve"> Nedostatočne využitý potenciál pôdohospodárstva a vodného hospodárstva</w:t>
            </w:r>
          </w:p>
          <w:p w:rsidR="00191D7E" w:rsidRPr="00C81906" w:rsidRDefault="00191D7E" w:rsidP="00321E3C">
            <w:pPr>
              <w:spacing w:after="0" w:line="240" w:lineRule="auto"/>
              <w:ind w:left="181" w:right="164"/>
              <w:rPr>
                <w:bCs/>
                <w:color w:val="000000"/>
                <w:sz w:val="18"/>
                <w:szCs w:val="18"/>
              </w:rPr>
            </w:pPr>
          </w:p>
        </w:tc>
        <w:tc>
          <w:tcPr>
            <w:tcW w:w="3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81" w:right="164"/>
              <w:rPr>
                <w:bCs/>
                <w:color w:val="000000"/>
                <w:sz w:val="18"/>
                <w:szCs w:val="18"/>
              </w:rPr>
            </w:pPr>
            <w:r w:rsidRPr="00C81906">
              <w:rPr>
                <w:b/>
                <w:bCs/>
                <w:color w:val="000000"/>
                <w:sz w:val="18"/>
                <w:szCs w:val="18"/>
              </w:rPr>
              <w:t>II.C.1.</w:t>
            </w:r>
            <w:r w:rsidRPr="00C81906">
              <w:rPr>
                <w:bCs/>
                <w:color w:val="000000"/>
                <w:sz w:val="18"/>
                <w:szCs w:val="18"/>
              </w:rPr>
              <w:t xml:space="preserve"> Absencia komplexnej stratégie VaI a jej implementácie</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sz w:val="18"/>
                <w:szCs w:val="18"/>
              </w:rPr>
              <w:t>II.C.2</w:t>
            </w:r>
            <w:r w:rsidRPr="00C81906">
              <w:rPr>
                <w:bCs/>
                <w:sz w:val="18"/>
                <w:szCs w:val="18"/>
              </w:rPr>
              <w:t>. Nadmerný počet široko definovaných priorít štátnej politiky v oblasti vedy</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II.C.3.</w:t>
            </w:r>
            <w:r w:rsidRPr="00C81906">
              <w:rPr>
                <w:bCs/>
                <w:color w:val="000000"/>
                <w:sz w:val="18"/>
                <w:szCs w:val="18"/>
              </w:rPr>
              <w:t xml:space="preserve"> Fragmentácia zdrojov budovania infraštruktúry VaI na národnej úrovni (ŠR, ŠF)</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II.C.4</w:t>
            </w:r>
            <w:r w:rsidRPr="00C81906">
              <w:rPr>
                <w:bCs/>
                <w:color w:val="000000"/>
                <w:sz w:val="18"/>
                <w:szCs w:val="18"/>
              </w:rPr>
              <w:t xml:space="preserve">. Extenzívne budovaná infraštruktúra VaI </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II.C.5.</w:t>
            </w:r>
            <w:r w:rsidRPr="00C81906">
              <w:rPr>
                <w:bCs/>
                <w:color w:val="000000"/>
                <w:sz w:val="18"/>
                <w:szCs w:val="18"/>
              </w:rPr>
              <w:t xml:space="preserve"> Bariéry prístupu firiem k infraštruktúre verejných VaI pracovísk</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 xml:space="preserve">II.C.6. </w:t>
            </w:r>
            <w:r w:rsidRPr="00C81906">
              <w:rPr>
                <w:bCs/>
                <w:color w:val="000000"/>
                <w:sz w:val="18"/>
                <w:szCs w:val="18"/>
              </w:rPr>
              <w:t>Administratívne bariéry</w:t>
            </w:r>
            <w:r w:rsidR="00134F8E">
              <w:rPr>
                <w:bCs/>
                <w:color w:val="000000"/>
                <w:sz w:val="18"/>
                <w:szCs w:val="18"/>
              </w:rPr>
              <w:t xml:space="preserve"> </w:t>
            </w:r>
            <w:r w:rsidRPr="00C81906">
              <w:rPr>
                <w:bCs/>
                <w:color w:val="000000"/>
                <w:sz w:val="18"/>
                <w:szCs w:val="18"/>
              </w:rPr>
              <w:t>implementácie</w:t>
            </w:r>
            <w:r w:rsidR="00134F8E">
              <w:rPr>
                <w:bCs/>
                <w:color w:val="000000"/>
                <w:sz w:val="18"/>
                <w:szCs w:val="18"/>
              </w:rPr>
              <w:t xml:space="preserve"> </w:t>
            </w:r>
            <w:r w:rsidRPr="00C81906">
              <w:rPr>
                <w:bCs/>
                <w:color w:val="000000"/>
                <w:sz w:val="18"/>
                <w:szCs w:val="18"/>
              </w:rPr>
              <w:t>projektov financovaných zo štrukturálnych fondov EÚ do praxe</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II.C.7.</w:t>
            </w:r>
            <w:r w:rsidRPr="00C81906">
              <w:rPr>
                <w:bCs/>
                <w:color w:val="000000"/>
                <w:sz w:val="18"/>
                <w:szCs w:val="18"/>
              </w:rPr>
              <w:t xml:space="preserve"> Nízka úroveň spolupráce medzi akademickým sektorom a priemyslom</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 xml:space="preserve">II.C.8. </w:t>
            </w:r>
            <w:r w:rsidRPr="00C81906">
              <w:rPr>
                <w:bCs/>
                <w:color w:val="000000"/>
                <w:sz w:val="18"/>
                <w:szCs w:val="18"/>
              </w:rPr>
              <w:t>Nízky podiel národných zdrojov na financovanie</w:t>
            </w:r>
            <w:r w:rsidR="00134F8E">
              <w:rPr>
                <w:bCs/>
                <w:color w:val="000000"/>
                <w:sz w:val="18"/>
                <w:szCs w:val="18"/>
              </w:rPr>
              <w:t xml:space="preserve"> </w:t>
            </w:r>
            <w:r w:rsidRPr="00C81906">
              <w:rPr>
                <w:bCs/>
                <w:color w:val="000000"/>
                <w:sz w:val="18"/>
                <w:szCs w:val="18"/>
              </w:rPr>
              <w:t>VaI</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C81906">
              <w:rPr>
                <w:b/>
                <w:bCs/>
                <w:color w:val="000000"/>
                <w:sz w:val="18"/>
                <w:szCs w:val="18"/>
              </w:rPr>
              <w:t>II.C.9.</w:t>
            </w:r>
            <w:r w:rsidRPr="00C81906">
              <w:rPr>
                <w:bCs/>
                <w:color w:val="000000"/>
                <w:sz w:val="18"/>
                <w:szCs w:val="18"/>
              </w:rPr>
              <w:t xml:space="preserve"> Nízke zapojenie slovenských subjektov do 7. rámcového programu</w:t>
            </w:r>
            <w:r w:rsidR="00DD69C3">
              <w:rPr>
                <w:bCs/>
                <w:color w:val="000000"/>
                <w:sz w:val="18"/>
                <w:szCs w:val="18"/>
              </w:rPr>
              <w:t xml:space="preserve"> EÚ</w:t>
            </w:r>
            <w:r w:rsidRPr="00C81906">
              <w:rPr>
                <w:bCs/>
                <w:color w:val="000000"/>
                <w:sz w:val="18"/>
                <w:szCs w:val="18"/>
              </w:rPr>
              <w:t xml:space="preserve"> </w:t>
            </w:r>
          </w:p>
          <w:p w:rsidR="00191D7E" w:rsidRPr="00C81906" w:rsidRDefault="00191D7E" w:rsidP="004A5868">
            <w:pPr>
              <w:spacing w:after="0" w:line="240" w:lineRule="auto"/>
              <w:ind w:left="181" w:right="164"/>
              <w:rPr>
                <w:bCs/>
                <w:color w:val="000000"/>
                <w:sz w:val="18"/>
                <w:szCs w:val="18"/>
              </w:rPr>
            </w:pPr>
            <w:r w:rsidRPr="00C81906">
              <w:rPr>
                <w:b/>
                <w:bCs/>
                <w:color w:val="000000"/>
                <w:sz w:val="18"/>
                <w:szCs w:val="18"/>
              </w:rPr>
              <w:t>II.C.10.</w:t>
            </w:r>
            <w:r w:rsidRPr="00C81906">
              <w:rPr>
                <w:bCs/>
                <w:color w:val="000000"/>
                <w:sz w:val="18"/>
                <w:szCs w:val="18"/>
              </w:rPr>
              <w:t xml:space="preserve"> Nedostatočná konkurencieschopnosť slovenských organizácií VaI v rámci EU</w:t>
            </w:r>
            <w:r w:rsidRPr="00C81906">
              <w:rPr>
                <w:bCs/>
                <w:color w:val="000000"/>
                <w:sz w:val="18"/>
                <w:szCs w:val="18"/>
              </w:rPr>
              <w:br/>
            </w:r>
            <w:r w:rsidRPr="00C81906">
              <w:rPr>
                <w:bCs/>
                <w:color w:val="000000"/>
                <w:sz w:val="18"/>
                <w:szCs w:val="18"/>
              </w:rPr>
              <w:br/>
            </w:r>
            <w:r w:rsidRPr="00C81906">
              <w:rPr>
                <w:bCs/>
                <w:color w:val="000000"/>
                <w:sz w:val="18"/>
                <w:szCs w:val="18"/>
              </w:rPr>
              <w:br/>
            </w:r>
            <w:r w:rsidRPr="00C81906">
              <w:rPr>
                <w:bCs/>
                <w:color w:val="000000"/>
                <w:sz w:val="18"/>
                <w:szCs w:val="18"/>
              </w:rPr>
              <w:br/>
            </w:r>
            <w:r w:rsidRPr="00C81906">
              <w:rPr>
                <w:bCs/>
                <w:color w:val="000000"/>
                <w:sz w:val="18"/>
                <w:szCs w:val="18"/>
              </w:rPr>
              <w:br/>
              <w:t xml:space="preserve"> </w:t>
            </w:r>
          </w:p>
        </w:tc>
        <w:tc>
          <w:tcPr>
            <w:tcW w:w="5026"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Pr="00C81906" w:rsidRDefault="00191D7E" w:rsidP="004A5868">
            <w:pPr>
              <w:spacing w:after="0" w:line="240" w:lineRule="auto"/>
              <w:ind w:left="181" w:right="164"/>
              <w:rPr>
                <w:bCs/>
                <w:color w:val="000000"/>
                <w:sz w:val="18"/>
                <w:szCs w:val="18"/>
              </w:rPr>
            </w:pPr>
            <w:r w:rsidRPr="00C81906">
              <w:rPr>
                <w:b/>
                <w:bCs/>
                <w:color w:val="000000"/>
                <w:sz w:val="18"/>
                <w:szCs w:val="18"/>
              </w:rPr>
              <w:t>II.D.1.</w:t>
            </w:r>
            <w:r w:rsidRPr="00C81906">
              <w:rPr>
                <w:bCs/>
                <w:color w:val="000000"/>
                <w:sz w:val="18"/>
                <w:szCs w:val="18"/>
              </w:rPr>
              <w:t xml:space="preserve"> Obmedzenie žiaducej finančnej podpory VaI systému v BA kraji</w:t>
            </w:r>
          </w:p>
        </w:tc>
      </w:tr>
      <w:tr w:rsidR="00191D7E">
        <w:trPr>
          <w:trHeight w:val="5026"/>
        </w:trPr>
        <w:tc>
          <w:tcPr>
            <w:tcW w:w="145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191D7E" w:rsidRPr="00C81906" w:rsidRDefault="00191D7E" w:rsidP="004A5868">
            <w:pPr>
              <w:spacing w:after="0" w:line="240" w:lineRule="auto"/>
              <w:ind w:left="181" w:right="164"/>
              <w:rPr>
                <w:bCs/>
                <w:color w:val="000000"/>
                <w:sz w:val="18"/>
                <w:szCs w:val="18"/>
              </w:rPr>
            </w:pPr>
            <w:r w:rsidRPr="00FC6A5A">
              <w:rPr>
                <w:b/>
                <w:bCs/>
                <w:color w:val="000000"/>
                <w:sz w:val="18"/>
                <w:szCs w:val="18"/>
              </w:rPr>
              <w:lastRenderedPageBreak/>
              <w:t>III.</w:t>
            </w:r>
            <w:r w:rsidRPr="00C81906">
              <w:rPr>
                <w:bCs/>
                <w:color w:val="000000"/>
                <w:sz w:val="18"/>
                <w:szCs w:val="18"/>
              </w:rPr>
              <w:t> Vytvárať dynamickú, otvorenú a inkluzívnu inovatívnu spoločnosť</w:t>
            </w:r>
          </w:p>
        </w:tc>
        <w:tc>
          <w:tcPr>
            <w:tcW w:w="21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81" w:right="164"/>
              <w:rPr>
                <w:bCs/>
                <w:color w:val="000000"/>
                <w:sz w:val="18"/>
                <w:szCs w:val="18"/>
              </w:rPr>
            </w:pPr>
            <w:r w:rsidRPr="00FC6A5A">
              <w:rPr>
                <w:b/>
                <w:bCs/>
                <w:color w:val="000000"/>
                <w:sz w:val="18"/>
                <w:szCs w:val="18"/>
              </w:rPr>
              <w:t>III.A.1.</w:t>
            </w:r>
            <w:r w:rsidRPr="00C81906">
              <w:rPr>
                <w:bCs/>
                <w:color w:val="000000"/>
                <w:sz w:val="18"/>
                <w:szCs w:val="18"/>
              </w:rPr>
              <w:t xml:space="preserve"> Dynamický rast využívania IKT vo všetkých podnikateľských procesoch</w:t>
            </w:r>
          </w:p>
          <w:p w:rsidR="00191D7E" w:rsidRDefault="00191D7E" w:rsidP="004A5868">
            <w:pPr>
              <w:spacing w:after="0" w:line="240" w:lineRule="auto"/>
              <w:ind w:left="181" w:right="164"/>
              <w:rPr>
                <w:bCs/>
                <w:color w:val="000000"/>
                <w:sz w:val="18"/>
                <w:szCs w:val="18"/>
              </w:rPr>
            </w:pPr>
          </w:p>
          <w:p w:rsidR="00191D7E" w:rsidRDefault="00191D7E" w:rsidP="004A5868">
            <w:pPr>
              <w:spacing w:after="0" w:line="240" w:lineRule="auto"/>
              <w:ind w:left="181" w:right="164"/>
              <w:rPr>
                <w:bCs/>
                <w:color w:val="000000"/>
                <w:sz w:val="18"/>
                <w:szCs w:val="18"/>
              </w:rPr>
            </w:pPr>
          </w:p>
          <w:p w:rsidR="00191D7E" w:rsidRPr="008E34E6" w:rsidRDefault="00191D7E" w:rsidP="004A5868">
            <w:pPr>
              <w:spacing w:after="0" w:line="240" w:lineRule="auto"/>
              <w:ind w:left="181" w:right="164"/>
              <w:rPr>
                <w:bCs/>
                <w:color w:val="000000"/>
                <w:sz w:val="18"/>
                <w:szCs w:val="18"/>
              </w:rPr>
            </w:pPr>
          </w:p>
        </w:tc>
        <w:tc>
          <w:tcPr>
            <w:tcW w:w="30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81" w:right="164"/>
              <w:rPr>
                <w:bCs/>
                <w:color w:val="000000"/>
                <w:sz w:val="18"/>
                <w:szCs w:val="18"/>
              </w:rPr>
            </w:pPr>
            <w:r w:rsidRPr="00FC6A5A">
              <w:rPr>
                <w:b/>
                <w:bCs/>
                <w:color w:val="000000"/>
                <w:sz w:val="18"/>
                <w:szCs w:val="18"/>
              </w:rPr>
              <w:t xml:space="preserve">III.B.1. </w:t>
            </w:r>
            <w:r w:rsidRPr="00C81906">
              <w:rPr>
                <w:bCs/>
                <w:color w:val="000000"/>
                <w:sz w:val="18"/>
                <w:szCs w:val="18"/>
              </w:rPr>
              <w:t>Rozvoj sociálnych inovácií a kreatívneho priemyslu</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III.B.2.</w:t>
            </w:r>
            <w:r w:rsidRPr="00C81906">
              <w:rPr>
                <w:bCs/>
                <w:color w:val="000000"/>
                <w:sz w:val="18"/>
                <w:szCs w:val="18"/>
              </w:rPr>
              <w:t xml:space="preserve"> Vstup národných inovatívnych firiem na globálne trhy</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 xml:space="preserve">III.B.3. </w:t>
            </w:r>
            <w:r w:rsidRPr="00C81906">
              <w:rPr>
                <w:bCs/>
                <w:color w:val="000000"/>
                <w:sz w:val="18"/>
                <w:szCs w:val="18"/>
              </w:rPr>
              <w:t>Podpora</w:t>
            </w:r>
            <w:r w:rsidR="00AE5259">
              <w:rPr>
                <w:bCs/>
                <w:color w:val="000000"/>
                <w:sz w:val="18"/>
                <w:szCs w:val="18"/>
              </w:rPr>
              <w:t xml:space="preserve"> vzniku a rozvoja inovatívnych spin-off a s</w:t>
            </w:r>
            <w:r w:rsidRPr="00C81906">
              <w:rPr>
                <w:bCs/>
                <w:color w:val="000000"/>
                <w:sz w:val="18"/>
                <w:szCs w:val="18"/>
              </w:rPr>
              <w:t>tart-up firiem</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III.B.4.</w:t>
            </w:r>
            <w:r w:rsidRPr="00C81906">
              <w:rPr>
                <w:bCs/>
                <w:color w:val="000000"/>
                <w:sz w:val="18"/>
                <w:szCs w:val="18"/>
              </w:rPr>
              <w:t xml:space="preserve"> Využitie potenciálu sieťovania (podniky, VaI štruktúry)</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III.B.5.</w:t>
            </w:r>
            <w:r w:rsidRPr="00C81906">
              <w:rPr>
                <w:bCs/>
                <w:color w:val="000000"/>
                <w:sz w:val="18"/>
                <w:szCs w:val="18"/>
              </w:rPr>
              <w:t xml:space="preserve"> Finančnými nástrojmi motivovať podnikateľské subjekty k podpore inovácii a technologických transferov (inovačné vouchery, fondy rizikového kapitálu)</w:t>
            </w:r>
            <w:r w:rsidRPr="00C81906">
              <w:rPr>
                <w:bCs/>
                <w:color w:val="000000"/>
                <w:sz w:val="18"/>
                <w:szCs w:val="18"/>
              </w:rPr>
              <w:br/>
            </w:r>
          </w:p>
          <w:p w:rsidR="00191D7E" w:rsidRPr="00C81906" w:rsidRDefault="00191D7E" w:rsidP="004A5868">
            <w:pPr>
              <w:spacing w:after="0" w:line="240" w:lineRule="auto"/>
              <w:ind w:left="181" w:right="164"/>
              <w:rPr>
                <w:bCs/>
                <w:color w:val="000000"/>
                <w:sz w:val="18"/>
                <w:szCs w:val="18"/>
              </w:rPr>
            </w:pPr>
            <w:r w:rsidRPr="00FC6A5A">
              <w:rPr>
                <w:b/>
                <w:bCs/>
                <w:color w:val="000000"/>
                <w:sz w:val="18"/>
                <w:szCs w:val="18"/>
              </w:rPr>
              <w:t>III.B.6.</w:t>
            </w:r>
            <w:r w:rsidRPr="00C81906">
              <w:rPr>
                <w:bCs/>
                <w:color w:val="000000"/>
                <w:sz w:val="18"/>
                <w:szCs w:val="18"/>
              </w:rPr>
              <w:t xml:space="preserve"> Využitie potenciálu služieb a produktov v oblasti IKT v kontexte Digitálnej agendy 2020 </w:t>
            </w:r>
            <w:r w:rsidRPr="00C81906">
              <w:rPr>
                <w:bCs/>
                <w:color w:val="000000"/>
                <w:sz w:val="18"/>
                <w:szCs w:val="18"/>
              </w:rPr>
              <w:br/>
            </w:r>
            <w:r w:rsidRPr="00C81906">
              <w:rPr>
                <w:bCs/>
                <w:color w:val="000000"/>
                <w:sz w:val="18"/>
                <w:szCs w:val="18"/>
              </w:rPr>
              <w:br/>
            </w:r>
            <w:r w:rsidRPr="00C81906">
              <w:rPr>
                <w:bCs/>
                <w:color w:val="000000"/>
                <w:sz w:val="18"/>
                <w:szCs w:val="18"/>
              </w:rPr>
              <w:br/>
            </w:r>
            <w:r w:rsidRPr="00C81906">
              <w:rPr>
                <w:bCs/>
                <w:color w:val="000000"/>
                <w:sz w:val="18"/>
                <w:szCs w:val="18"/>
              </w:rPr>
              <w:br/>
            </w:r>
            <w:r w:rsidRPr="00C81906">
              <w:rPr>
                <w:bCs/>
                <w:color w:val="000000"/>
                <w:sz w:val="18"/>
                <w:szCs w:val="18"/>
              </w:rPr>
              <w:br/>
            </w:r>
            <w:r w:rsidRPr="00C81906">
              <w:rPr>
                <w:bCs/>
                <w:color w:val="000000"/>
                <w:sz w:val="18"/>
                <w:szCs w:val="18"/>
              </w:rPr>
              <w:br/>
            </w:r>
            <w:r w:rsidRPr="00C81906">
              <w:rPr>
                <w:bCs/>
                <w:color w:val="000000"/>
                <w:sz w:val="18"/>
                <w:szCs w:val="18"/>
              </w:rPr>
              <w:br/>
            </w:r>
          </w:p>
        </w:tc>
        <w:tc>
          <w:tcPr>
            <w:tcW w:w="3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81" w:right="164"/>
              <w:rPr>
                <w:bCs/>
                <w:color w:val="000000"/>
                <w:sz w:val="18"/>
                <w:szCs w:val="18"/>
              </w:rPr>
            </w:pPr>
            <w:r w:rsidRPr="00FC6A5A">
              <w:rPr>
                <w:b/>
                <w:bCs/>
                <w:color w:val="000000"/>
                <w:sz w:val="18"/>
                <w:szCs w:val="18"/>
              </w:rPr>
              <w:t>III.C.1.</w:t>
            </w:r>
            <w:r w:rsidRPr="00C81906">
              <w:rPr>
                <w:bCs/>
                <w:color w:val="000000"/>
                <w:sz w:val="18"/>
                <w:szCs w:val="18"/>
              </w:rPr>
              <w:t xml:space="preserve"> Nefunkčný národný inovačný systém </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III.C.2.</w:t>
            </w:r>
            <w:r w:rsidRPr="00C81906">
              <w:rPr>
                <w:bCs/>
                <w:color w:val="000000"/>
                <w:sz w:val="18"/>
                <w:szCs w:val="18"/>
              </w:rPr>
              <w:t xml:space="preserve"> Bariéry využívania ochrany práv duševného vlastníctva</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III.C.3.</w:t>
            </w:r>
            <w:r w:rsidRPr="00C81906">
              <w:rPr>
                <w:bCs/>
                <w:color w:val="000000"/>
                <w:sz w:val="18"/>
                <w:szCs w:val="18"/>
              </w:rPr>
              <w:t xml:space="preserve"> Neefektívne využitie zdrojov pre transfer poznatkov a technológií do praxe</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III.C.4.</w:t>
            </w:r>
            <w:r w:rsidRPr="00C81906">
              <w:rPr>
                <w:bCs/>
                <w:color w:val="000000"/>
                <w:sz w:val="18"/>
                <w:szCs w:val="18"/>
              </w:rPr>
              <w:t xml:space="preserve"> Absencia nepriamych nástrojov a motivačného prostredia na podporu VaI</w:t>
            </w:r>
            <w:r w:rsidRPr="00C81906">
              <w:rPr>
                <w:bCs/>
                <w:color w:val="000000"/>
                <w:sz w:val="18"/>
                <w:szCs w:val="18"/>
              </w:rPr>
              <w:br/>
            </w:r>
          </w:p>
          <w:p w:rsidR="00191D7E" w:rsidRDefault="00191D7E" w:rsidP="004A5868">
            <w:pPr>
              <w:spacing w:after="0" w:line="240" w:lineRule="auto"/>
              <w:ind w:left="181" w:right="164"/>
              <w:rPr>
                <w:bCs/>
                <w:color w:val="000000"/>
                <w:sz w:val="18"/>
                <w:szCs w:val="18"/>
              </w:rPr>
            </w:pPr>
            <w:r w:rsidRPr="00FC6A5A">
              <w:rPr>
                <w:b/>
                <w:bCs/>
                <w:color w:val="000000"/>
                <w:sz w:val="18"/>
                <w:szCs w:val="18"/>
              </w:rPr>
              <w:t>III.C.5.</w:t>
            </w:r>
            <w:r w:rsidRPr="00C81906">
              <w:rPr>
                <w:bCs/>
                <w:color w:val="000000"/>
                <w:sz w:val="18"/>
                <w:szCs w:val="18"/>
              </w:rPr>
              <w:t xml:space="preserve"> Nízka vymožiteľnosť práva</w:t>
            </w:r>
            <w:r w:rsidRPr="00C81906">
              <w:rPr>
                <w:bCs/>
                <w:color w:val="000000"/>
                <w:sz w:val="18"/>
                <w:szCs w:val="18"/>
              </w:rPr>
              <w:br/>
            </w:r>
          </w:p>
          <w:p w:rsidR="00191D7E" w:rsidRPr="00C81906" w:rsidRDefault="00191D7E" w:rsidP="00DD69C3">
            <w:pPr>
              <w:spacing w:after="0" w:line="240" w:lineRule="auto"/>
              <w:ind w:left="181" w:right="164"/>
              <w:rPr>
                <w:bCs/>
                <w:color w:val="000000"/>
                <w:sz w:val="18"/>
                <w:szCs w:val="18"/>
              </w:rPr>
            </w:pPr>
            <w:r w:rsidRPr="00FC6A5A">
              <w:rPr>
                <w:b/>
                <w:bCs/>
                <w:color w:val="000000"/>
                <w:sz w:val="18"/>
                <w:szCs w:val="18"/>
              </w:rPr>
              <w:t>III.C.6.</w:t>
            </w:r>
            <w:r w:rsidRPr="00C81906">
              <w:rPr>
                <w:bCs/>
                <w:color w:val="000000"/>
                <w:sz w:val="18"/>
                <w:szCs w:val="18"/>
              </w:rPr>
              <w:t xml:space="preserve"> Absencia legislatívy stimulujúcej obstarávanie inovatívnych produktov</w:t>
            </w:r>
            <w:r>
              <w:rPr>
                <w:bCs/>
                <w:color w:val="000000"/>
                <w:sz w:val="18"/>
                <w:szCs w:val="18"/>
              </w:rPr>
              <w:t xml:space="preserve">  </w:t>
            </w:r>
            <w:r w:rsidRPr="008E34E6">
              <w:rPr>
                <w:bCs/>
                <w:color w:val="FF0000"/>
                <w:sz w:val="18"/>
                <w:szCs w:val="18"/>
              </w:rPr>
              <w:br/>
            </w:r>
          </w:p>
        </w:tc>
        <w:tc>
          <w:tcPr>
            <w:tcW w:w="5026"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Pr="00C81906" w:rsidRDefault="00191D7E" w:rsidP="00DD69C3">
            <w:pPr>
              <w:spacing w:after="0" w:line="240" w:lineRule="auto"/>
              <w:ind w:left="181" w:right="164"/>
              <w:rPr>
                <w:bCs/>
                <w:color w:val="000000"/>
                <w:sz w:val="18"/>
                <w:szCs w:val="18"/>
              </w:rPr>
            </w:pPr>
            <w:r w:rsidRPr="00FC6A5A">
              <w:rPr>
                <w:b/>
                <w:bCs/>
                <w:color w:val="000000"/>
                <w:sz w:val="18"/>
                <w:szCs w:val="18"/>
              </w:rPr>
              <w:t>III.D.1.</w:t>
            </w:r>
            <w:r w:rsidRPr="00C81906">
              <w:rPr>
                <w:bCs/>
                <w:color w:val="000000"/>
                <w:sz w:val="18"/>
                <w:szCs w:val="18"/>
              </w:rPr>
              <w:t xml:space="preserve"> Autonómne pôsobenie sektorov vzdelávania,</w:t>
            </w:r>
            <w:r w:rsidR="00134F8E">
              <w:rPr>
                <w:bCs/>
                <w:color w:val="000000"/>
                <w:sz w:val="18"/>
                <w:szCs w:val="18"/>
              </w:rPr>
              <w:t xml:space="preserve"> </w:t>
            </w:r>
            <w:r w:rsidRPr="00C81906">
              <w:rPr>
                <w:bCs/>
                <w:color w:val="000000"/>
                <w:sz w:val="18"/>
                <w:szCs w:val="18"/>
              </w:rPr>
              <w:t>VaI a podnikateľskej praxe, ktorého dôsledkom je rozdielne chápanie VaI</w:t>
            </w:r>
          </w:p>
        </w:tc>
      </w:tr>
      <w:tr w:rsidR="00191D7E">
        <w:trPr>
          <w:trHeight w:val="4307"/>
        </w:trPr>
        <w:tc>
          <w:tcPr>
            <w:tcW w:w="145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lastRenderedPageBreak/>
              <w:t>IV.</w:t>
            </w:r>
            <w:r w:rsidR="00134F8E">
              <w:rPr>
                <w:bCs/>
                <w:color w:val="000000"/>
                <w:sz w:val="18"/>
                <w:szCs w:val="18"/>
              </w:rPr>
              <w:t xml:space="preserve"> </w:t>
            </w:r>
            <w:r w:rsidRPr="009146BB">
              <w:rPr>
                <w:bCs/>
                <w:color w:val="000000"/>
                <w:sz w:val="18"/>
                <w:szCs w:val="18"/>
              </w:rPr>
              <w:t>Zlepšiť kvalitu ľudských zdrojov pre inovatívne Slovensko</w:t>
            </w:r>
          </w:p>
        </w:tc>
        <w:tc>
          <w:tcPr>
            <w:tcW w:w="21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t>IV.A.1.</w:t>
            </w:r>
            <w:r w:rsidRPr="009146BB">
              <w:rPr>
                <w:bCs/>
                <w:color w:val="000000"/>
                <w:sz w:val="18"/>
                <w:szCs w:val="18"/>
              </w:rPr>
              <w:t xml:space="preserve"> Kvalitné ľudské zdroje v</w:t>
            </w:r>
            <w:r w:rsidR="00DD69C3">
              <w:rPr>
                <w:bCs/>
                <w:color w:val="000000"/>
                <w:sz w:val="18"/>
                <w:szCs w:val="18"/>
              </w:rPr>
              <w:t> </w:t>
            </w:r>
            <w:r w:rsidRPr="009146BB">
              <w:rPr>
                <w:bCs/>
                <w:color w:val="000000"/>
                <w:sz w:val="18"/>
                <w:szCs w:val="18"/>
              </w:rPr>
              <w:t>konkurenčne</w:t>
            </w:r>
            <w:r w:rsidR="00DD69C3">
              <w:rPr>
                <w:bCs/>
                <w:color w:val="000000"/>
                <w:sz w:val="18"/>
                <w:szCs w:val="18"/>
              </w:rPr>
              <w:t xml:space="preserve"> </w:t>
            </w:r>
            <w:r w:rsidRPr="009146BB">
              <w:rPr>
                <w:bCs/>
                <w:color w:val="000000"/>
                <w:sz w:val="18"/>
                <w:szCs w:val="18"/>
              </w:rPr>
              <w:t>schopných výrobných odvetviach vyplývajúce z tradícií</w:t>
            </w:r>
          </w:p>
          <w:p w:rsidR="00191D7E" w:rsidRDefault="00191D7E" w:rsidP="004A5868">
            <w:pPr>
              <w:spacing w:after="0" w:line="240" w:lineRule="auto"/>
              <w:ind w:left="181" w:right="164"/>
              <w:rPr>
                <w:bCs/>
                <w:color w:val="000000"/>
                <w:sz w:val="18"/>
                <w:szCs w:val="18"/>
              </w:rPr>
            </w:pPr>
          </w:p>
          <w:p w:rsidR="00191D7E" w:rsidRPr="008E34E6" w:rsidRDefault="00191D7E" w:rsidP="004A5868">
            <w:pPr>
              <w:spacing w:after="0" w:line="240" w:lineRule="auto"/>
              <w:ind w:left="181" w:right="164"/>
              <w:rPr>
                <w:bCs/>
                <w:color w:val="000000"/>
                <w:sz w:val="18"/>
                <w:szCs w:val="18"/>
              </w:rPr>
            </w:pPr>
          </w:p>
        </w:tc>
        <w:tc>
          <w:tcPr>
            <w:tcW w:w="306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t>IV.B.1.</w:t>
            </w:r>
            <w:r w:rsidRPr="009146BB">
              <w:rPr>
                <w:bCs/>
                <w:color w:val="000000"/>
                <w:sz w:val="18"/>
                <w:szCs w:val="18"/>
              </w:rPr>
              <w:t xml:space="preserve"> Obnovenie tradície odborného a technického vzdelávania </w:t>
            </w:r>
          </w:p>
          <w:p w:rsidR="00191D7E" w:rsidRDefault="00191D7E" w:rsidP="004A5868">
            <w:pPr>
              <w:spacing w:after="0" w:line="240" w:lineRule="auto"/>
              <w:ind w:left="181" w:right="164"/>
              <w:rPr>
                <w:bCs/>
                <w:color w:val="000000"/>
                <w:sz w:val="18"/>
                <w:szCs w:val="18"/>
              </w:rPr>
            </w:pPr>
          </w:p>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t>IV.B.2.</w:t>
            </w:r>
            <w:r w:rsidRPr="009146BB">
              <w:rPr>
                <w:bCs/>
                <w:color w:val="000000"/>
                <w:sz w:val="18"/>
                <w:szCs w:val="18"/>
              </w:rPr>
              <w:t xml:space="preserve"> Vytvorenie podmienok pre návrat občanov SR pôsobiacich v zahraničných VaI štruktúrach</w:t>
            </w:r>
          </w:p>
          <w:p w:rsidR="00191D7E" w:rsidRDefault="00191D7E" w:rsidP="004A5868">
            <w:pPr>
              <w:spacing w:after="0" w:line="240" w:lineRule="auto"/>
              <w:ind w:left="181" w:right="164"/>
              <w:rPr>
                <w:bCs/>
                <w:color w:val="000000"/>
                <w:sz w:val="18"/>
                <w:szCs w:val="18"/>
              </w:rPr>
            </w:pPr>
          </w:p>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t>IV.B.3.</w:t>
            </w:r>
            <w:r w:rsidRPr="009146BB">
              <w:rPr>
                <w:bCs/>
                <w:color w:val="000000"/>
                <w:sz w:val="18"/>
                <w:szCs w:val="18"/>
              </w:rPr>
              <w:t xml:space="preserve"> Podpora prílevu zahraničných VaI pracovníkov a štúdia zahraničných študentov na Slovensko</w:t>
            </w:r>
          </w:p>
          <w:p w:rsidR="00191D7E" w:rsidRDefault="00191D7E" w:rsidP="004A5868">
            <w:pPr>
              <w:spacing w:after="0" w:line="240" w:lineRule="auto"/>
              <w:ind w:left="181" w:right="164"/>
              <w:rPr>
                <w:bCs/>
                <w:color w:val="000000"/>
                <w:sz w:val="18"/>
                <w:szCs w:val="18"/>
              </w:rPr>
            </w:pPr>
          </w:p>
          <w:p w:rsidR="00191D7E" w:rsidRPr="008E34E6" w:rsidRDefault="00191D7E" w:rsidP="005936F3">
            <w:pPr>
              <w:spacing w:after="0" w:line="240" w:lineRule="auto"/>
              <w:ind w:left="181" w:right="164"/>
              <w:rPr>
                <w:bCs/>
                <w:color w:val="000000"/>
                <w:sz w:val="18"/>
                <w:szCs w:val="18"/>
              </w:rPr>
            </w:pPr>
            <w:r w:rsidRPr="009146BB">
              <w:rPr>
                <w:b/>
                <w:bCs/>
                <w:color w:val="000000"/>
                <w:sz w:val="18"/>
                <w:szCs w:val="18"/>
              </w:rPr>
              <w:t>IV.B.4.</w:t>
            </w:r>
            <w:r w:rsidRPr="009146BB">
              <w:rPr>
                <w:bCs/>
                <w:color w:val="000000"/>
                <w:sz w:val="18"/>
                <w:szCs w:val="18"/>
              </w:rPr>
              <w:t xml:space="preserve"> Zapojenie mladých VaI pracovníkov na riešení praktických podnikových problémov</w:t>
            </w:r>
            <w:r>
              <w:rPr>
                <w:bCs/>
                <w:color w:val="000000"/>
                <w:sz w:val="18"/>
                <w:szCs w:val="18"/>
              </w:rPr>
              <w:t xml:space="preserve"> -</w:t>
            </w:r>
          </w:p>
        </w:tc>
        <w:tc>
          <w:tcPr>
            <w:tcW w:w="3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t>IV.C.1.</w:t>
            </w:r>
            <w:r w:rsidRPr="009146BB">
              <w:rPr>
                <w:bCs/>
                <w:color w:val="000000"/>
                <w:sz w:val="18"/>
                <w:szCs w:val="18"/>
              </w:rPr>
              <w:t xml:space="preserve"> Systém vzdelávania nie je previazaný s potrebami praxe osobitne v oblasti technických a prírodných vied </w:t>
            </w:r>
          </w:p>
          <w:p w:rsidR="00191D7E" w:rsidRDefault="00191D7E" w:rsidP="004A5868">
            <w:pPr>
              <w:spacing w:after="0" w:line="240" w:lineRule="auto"/>
              <w:ind w:left="181" w:right="164"/>
              <w:rPr>
                <w:bCs/>
                <w:color w:val="000000"/>
                <w:sz w:val="18"/>
                <w:szCs w:val="18"/>
              </w:rPr>
            </w:pPr>
          </w:p>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t>IV.C.2.</w:t>
            </w:r>
            <w:r w:rsidRPr="009146BB">
              <w:rPr>
                <w:bCs/>
                <w:color w:val="000000"/>
                <w:sz w:val="18"/>
                <w:szCs w:val="18"/>
              </w:rPr>
              <w:t xml:space="preserve"> Absencia sy</w:t>
            </w:r>
            <w:r w:rsidR="00DD69C3">
              <w:rPr>
                <w:bCs/>
                <w:color w:val="000000"/>
                <w:sz w:val="18"/>
                <w:szCs w:val="18"/>
              </w:rPr>
              <w:t>s</w:t>
            </w:r>
            <w:r w:rsidRPr="009146BB">
              <w:rPr>
                <w:bCs/>
                <w:color w:val="000000"/>
                <w:sz w:val="18"/>
                <w:szCs w:val="18"/>
              </w:rPr>
              <w:t>tému a podpory podnikateľského vzdelávania a rozvoja kreativity vo vzdelávacom procese</w:t>
            </w:r>
          </w:p>
          <w:p w:rsidR="00191D7E" w:rsidRDefault="00191D7E" w:rsidP="004A5868">
            <w:pPr>
              <w:spacing w:after="0" w:line="240" w:lineRule="auto"/>
              <w:ind w:left="181" w:right="164"/>
              <w:rPr>
                <w:bCs/>
                <w:color w:val="000000"/>
                <w:sz w:val="18"/>
                <w:szCs w:val="18"/>
              </w:rPr>
            </w:pPr>
          </w:p>
          <w:p w:rsidR="00191D7E" w:rsidRPr="009146BB" w:rsidRDefault="00191D7E" w:rsidP="004A5868">
            <w:pPr>
              <w:spacing w:after="0" w:line="240" w:lineRule="auto"/>
              <w:ind w:left="181" w:right="164"/>
              <w:rPr>
                <w:bCs/>
                <w:color w:val="000000"/>
                <w:sz w:val="18"/>
                <w:szCs w:val="18"/>
              </w:rPr>
            </w:pPr>
            <w:r w:rsidRPr="009146BB">
              <w:rPr>
                <w:b/>
                <w:bCs/>
                <w:color w:val="000000"/>
                <w:sz w:val="18"/>
                <w:szCs w:val="18"/>
              </w:rPr>
              <w:t>IV.C.3.</w:t>
            </w:r>
            <w:r w:rsidRPr="009146BB">
              <w:rPr>
                <w:bCs/>
                <w:color w:val="000000"/>
                <w:sz w:val="18"/>
                <w:szCs w:val="18"/>
              </w:rPr>
              <w:t xml:space="preserve"> Nízky počet výkonných VaI pracovníkov orientovaných na praktické využitie výsledkov</w:t>
            </w:r>
          </w:p>
        </w:tc>
        <w:tc>
          <w:tcPr>
            <w:tcW w:w="5026"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spacing w:after="0" w:line="240" w:lineRule="auto"/>
              <w:ind w:left="181" w:right="164"/>
              <w:rPr>
                <w:bCs/>
                <w:color w:val="000000"/>
                <w:sz w:val="18"/>
                <w:szCs w:val="18"/>
              </w:rPr>
            </w:pPr>
            <w:r w:rsidRPr="009146BB">
              <w:rPr>
                <w:b/>
                <w:bCs/>
                <w:color w:val="000000"/>
                <w:sz w:val="18"/>
                <w:szCs w:val="18"/>
              </w:rPr>
              <w:t>IV.D.1.</w:t>
            </w:r>
            <w:r w:rsidRPr="009146BB">
              <w:rPr>
                <w:bCs/>
                <w:color w:val="000000"/>
                <w:sz w:val="18"/>
                <w:szCs w:val="18"/>
              </w:rPr>
              <w:t xml:space="preserve"> Meniaca sa štruktúra obyvateľstva so vzrastajúcim podielom obyvateľstva s nedostatočnou kvalitou vzdelania a nízkymi pracovnými zručnosťami</w:t>
            </w:r>
          </w:p>
          <w:p w:rsidR="005918D5" w:rsidRDefault="005918D5" w:rsidP="004A5868">
            <w:pPr>
              <w:spacing w:after="0" w:line="240" w:lineRule="auto"/>
              <w:ind w:left="181" w:right="164"/>
              <w:rPr>
                <w:bCs/>
                <w:color w:val="000000"/>
                <w:sz w:val="18"/>
                <w:szCs w:val="18"/>
              </w:rPr>
            </w:pPr>
          </w:p>
          <w:p w:rsidR="00191D7E" w:rsidRPr="008E34E6" w:rsidRDefault="00191D7E" w:rsidP="004A5868">
            <w:pPr>
              <w:spacing w:after="0" w:line="240" w:lineRule="auto"/>
              <w:ind w:left="181" w:right="164"/>
              <w:rPr>
                <w:bCs/>
                <w:color w:val="000000"/>
                <w:sz w:val="18"/>
                <w:szCs w:val="18"/>
              </w:rPr>
            </w:pPr>
            <w:r w:rsidRPr="009146BB">
              <w:rPr>
                <w:b/>
                <w:bCs/>
                <w:color w:val="000000"/>
                <w:sz w:val="18"/>
                <w:szCs w:val="18"/>
              </w:rPr>
              <w:t>IV.D.2.</w:t>
            </w:r>
            <w:r w:rsidRPr="009146BB">
              <w:rPr>
                <w:bCs/>
                <w:color w:val="000000"/>
                <w:sz w:val="18"/>
                <w:szCs w:val="18"/>
              </w:rPr>
              <w:t xml:space="preserve"> Pretrvávajúca orientácia vzdelávania do oblastí nekorešpondujúcich s</w:t>
            </w:r>
            <w:r w:rsidR="00134F8E">
              <w:rPr>
                <w:bCs/>
                <w:color w:val="000000"/>
                <w:sz w:val="18"/>
                <w:szCs w:val="18"/>
              </w:rPr>
              <w:t xml:space="preserve"> </w:t>
            </w:r>
            <w:r w:rsidRPr="009146BB">
              <w:rPr>
                <w:bCs/>
                <w:color w:val="000000"/>
                <w:sz w:val="18"/>
                <w:szCs w:val="18"/>
              </w:rPr>
              <w:t>potrebami hospodárskej praxe a znalostnej spoločnosti</w:t>
            </w:r>
            <w:r>
              <w:rPr>
                <w:bCs/>
                <w:color w:val="000000"/>
                <w:sz w:val="18"/>
                <w:szCs w:val="18"/>
              </w:rPr>
              <w:t xml:space="preserve"> </w:t>
            </w:r>
          </w:p>
          <w:p w:rsidR="00191D7E" w:rsidRDefault="00191D7E" w:rsidP="004A5868">
            <w:pPr>
              <w:spacing w:after="0" w:line="240" w:lineRule="auto"/>
              <w:ind w:left="181" w:right="164"/>
              <w:rPr>
                <w:bCs/>
                <w:color w:val="000000"/>
                <w:sz w:val="18"/>
                <w:szCs w:val="18"/>
              </w:rPr>
            </w:pPr>
          </w:p>
          <w:p w:rsidR="00191D7E" w:rsidRPr="008E34E6" w:rsidRDefault="00191D7E" w:rsidP="004A5868">
            <w:pPr>
              <w:spacing w:after="0" w:line="240" w:lineRule="auto"/>
              <w:ind w:left="181" w:right="164"/>
              <w:rPr>
                <w:bCs/>
                <w:color w:val="FF0000"/>
                <w:sz w:val="18"/>
                <w:szCs w:val="18"/>
              </w:rPr>
            </w:pPr>
            <w:r w:rsidRPr="009146BB">
              <w:rPr>
                <w:b/>
                <w:bCs/>
                <w:color w:val="000000"/>
                <w:sz w:val="18"/>
                <w:szCs w:val="18"/>
              </w:rPr>
              <w:t>IV.D.3.</w:t>
            </w:r>
            <w:r w:rsidRPr="009146BB">
              <w:rPr>
                <w:bCs/>
                <w:color w:val="000000"/>
                <w:sz w:val="18"/>
                <w:szCs w:val="18"/>
              </w:rPr>
              <w:t xml:space="preserve"> Zhoršujúca sa štruktúra absolventov vzdelávacieho procesu. Chýbajúci absolventi najmä v technických</w:t>
            </w:r>
            <w:r w:rsidR="00134F8E">
              <w:rPr>
                <w:bCs/>
                <w:color w:val="000000"/>
                <w:sz w:val="18"/>
                <w:szCs w:val="18"/>
              </w:rPr>
              <w:t xml:space="preserve"> </w:t>
            </w:r>
            <w:r w:rsidRPr="009146BB">
              <w:rPr>
                <w:bCs/>
                <w:color w:val="000000"/>
                <w:sz w:val="18"/>
                <w:szCs w:val="18"/>
              </w:rPr>
              <w:t>a prírodovedných smeroch</w:t>
            </w:r>
            <w:r>
              <w:rPr>
                <w:bCs/>
                <w:color w:val="000000"/>
                <w:sz w:val="18"/>
                <w:szCs w:val="18"/>
              </w:rPr>
              <w:t xml:space="preserve"> </w:t>
            </w:r>
          </w:p>
          <w:p w:rsidR="00191D7E" w:rsidRDefault="00191D7E" w:rsidP="004A5868">
            <w:pPr>
              <w:spacing w:after="0" w:line="240" w:lineRule="auto"/>
              <w:ind w:left="181" w:right="164"/>
              <w:rPr>
                <w:bCs/>
                <w:color w:val="000000"/>
                <w:sz w:val="18"/>
                <w:szCs w:val="18"/>
              </w:rPr>
            </w:pPr>
          </w:p>
          <w:p w:rsidR="00191D7E" w:rsidRDefault="00191D7E" w:rsidP="004A5868">
            <w:pPr>
              <w:spacing w:after="0" w:line="240" w:lineRule="auto"/>
              <w:ind w:left="181" w:right="164"/>
              <w:rPr>
                <w:bCs/>
                <w:color w:val="000000"/>
                <w:sz w:val="18"/>
                <w:szCs w:val="18"/>
              </w:rPr>
            </w:pPr>
            <w:r w:rsidRPr="009146BB">
              <w:rPr>
                <w:b/>
                <w:bCs/>
                <w:color w:val="000000"/>
                <w:sz w:val="18"/>
                <w:szCs w:val="18"/>
              </w:rPr>
              <w:t>IV.D.4.</w:t>
            </w:r>
            <w:r w:rsidRPr="009146BB">
              <w:rPr>
                <w:bCs/>
                <w:color w:val="000000"/>
                <w:sz w:val="18"/>
                <w:szCs w:val="18"/>
              </w:rPr>
              <w:t xml:space="preserve"> </w:t>
            </w:r>
            <w:r w:rsidRPr="005918D5">
              <w:rPr>
                <w:bCs/>
                <w:color w:val="000000"/>
                <w:sz w:val="18"/>
                <w:szCs w:val="18"/>
              </w:rPr>
              <w:t>Pretrvávajúci odliv talentov do zahraničia</w:t>
            </w:r>
            <w:r w:rsidR="00134F8E" w:rsidRPr="00D30AF7">
              <w:rPr>
                <w:bCs/>
                <w:color w:val="000000"/>
                <w:sz w:val="18"/>
                <w:szCs w:val="18"/>
              </w:rPr>
              <w:t xml:space="preserve"> </w:t>
            </w:r>
          </w:p>
          <w:p w:rsidR="00AE5259" w:rsidRPr="00D30AF7" w:rsidRDefault="00AE5259" w:rsidP="004A5868">
            <w:pPr>
              <w:spacing w:after="0" w:line="240" w:lineRule="auto"/>
              <w:ind w:left="181" w:right="164"/>
              <w:rPr>
                <w:bCs/>
                <w:color w:val="000000"/>
                <w:sz w:val="18"/>
                <w:szCs w:val="18"/>
              </w:rPr>
            </w:pPr>
          </w:p>
          <w:p w:rsidR="00191D7E" w:rsidRPr="008E34E6" w:rsidRDefault="00191D7E" w:rsidP="00D30AF7">
            <w:pPr>
              <w:spacing w:after="0" w:line="240" w:lineRule="auto"/>
              <w:ind w:left="181" w:right="164"/>
              <w:rPr>
                <w:bCs/>
                <w:color w:val="000000"/>
                <w:sz w:val="18"/>
                <w:szCs w:val="18"/>
              </w:rPr>
            </w:pPr>
            <w:r w:rsidRPr="00D30AF7">
              <w:rPr>
                <w:b/>
                <w:bCs/>
                <w:color w:val="000000"/>
                <w:sz w:val="18"/>
                <w:szCs w:val="18"/>
              </w:rPr>
              <w:t>IV.D.5.</w:t>
            </w:r>
            <w:r w:rsidRPr="00D30AF7">
              <w:rPr>
                <w:bCs/>
                <w:color w:val="000000"/>
                <w:sz w:val="18"/>
                <w:szCs w:val="18"/>
              </w:rPr>
              <w:t xml:space="preserve"> Nevyváženosť vekovej štruktúry zamestnancov</w:t>
            </w:r>
          </w:p>
        </w:tc>
      </w:tr>
    </w:tbl>
    <w:p w:rsidR="00191D7E" w:rsidRDefault="00191D7E" w:rsidP="00191D7E">
      <w:pPr>
        <w:sectPr w:rsidR="00191D7E" w:rsidSect="00191D7E">
          <w:pgSz w:w="16838" w:h="11906" w:orient="landscape"/>
          <w:pgMar w:top="899" w:right="1418" w:bottom="1418" w:left="1418" w:header="709" w:footer="709" w:gutter="0"/>
          <w:cols w:space="282"/>
          <w:docGrid w:linePitch="360"/>
        </w:sectPr>
      </w:pPr>
    </w:p>
    <w:p w:rsidR="00191D7E" w:rsidRPr="00262C6C" w:rsidRDefault="00191D7E" w:rsidP="00191D7E">
      <w:pPr>
        <w:rPr>
          <w:color w:val="00B050"/>
          <w:sz w:val="28"/>
          <w:szCs w:val="28"/>
        </w:rPr>
      </w:pPr>
    </w:p>
    <w:tbl>
      <w:tblPr>
        <w:tblW w:w="7820" w:type="dxa"/>
        <w:tblCellMar>
          <w:left w:w="0" w:type="dxa"/>
          <w:right w:w="0" w:type="dxa"/>
        </w:tblCellMar>
        <w:tblLook w:val="0000" w:firstRow="0" w:lastRow="0" w:firstColumn="0" w:lastColumn="0" w:noHBand="0" w:noVBand="0"/>
      </w:tblPr>
      <w:tblGrid>
        <w:gridCol w:w="2380"/>
        <w:gridCol w:w="1600"/>
        <w:gridCol w:w="1280"/>
        <w:gridCol w:w="1220"/>
        <w:gridCol w:w="1340"/>
      </w:tblGrid>
      <w:tr w:rsidR="00191D7E">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tcPr>
          <w:p w:rsidR="00191D7E" w:rsidRDefault="00191D7E" w:rsidP="004A5868">
            <w:pPr>
              <w:rPr>
                <w:color w:val="000000"/>
                <w:sz w:val="22"/>
                <w:szCs w:val="22"/>
              </w:rPr>
            </w:pPr>
            <w:r>
              <w:rPr>
                <w:color w:val="000000"/>
                <w:sz w:val="22"/>
                <w:szCs w:val="22"/>
              </w:rPr>
              <w:t>Oblasti tém</w:t>
            </w:r>
          </w:p>
        </w:tc>
        <w:tc>
          <w:tcPr>
            <w:tcW w:w="2880" w:type="dxa"/>
            <w:gridSpan w:val="2"/>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191D7E" w:rsidRDefault="00191D7E" w:rsidP="004A5868">
            <w:pPr>
              <w:jc w:val="center"/>
              <w:rPr>
                <w:color w:val="000000"/>
                <w:sz w:val="22"/>
                <w:szCs w:val="22"/>
              </w:rPr>
            </w:pPr>
            <w:r>
              <w:rPr>
                <w:color w:val="000000"/>
                <w:sz w:val="22"/>
                <w:szCs w:val="22"/>
              </w:rPr>
              <w:t xml:space="preserve">Vonkajšie </w:t>
            </w:r>
          </w:p>
        </w:tc>
        <w:tc>
          <w:tcPr>
            <w:tcW w:w="2560" w:type="dxa"/>
            <w:gridSpan w:val="2"/>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191D7E" w:rsidRDefault="00191D7E" w:rsidP="004A5868">
            <w:pPr>
              <w:jc w:val="center"/>
              <w:rPr>
                <w:color w:val="000000"/>
                <w:sz w:val="22"/>
                <w:szCs w:val="22"/>
              </w:rPr>
            </w:pPr>
            <w:r>
              <w:rPr>
                <w:color w:val="000000"/>
                <w:sz w:val="22"/>
                <w:szCs w:val="22"/>
              </w:rPr>
              <w:t>Vnútorné</w:t>
            </w:r>
          </w:p>
        </w:tc>
      </w:tr>
      <w:tr w:rsidR="00191D7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191D7E" w:rsidRDefault="00191D7E" w:rsidP="004A5868">
            <w:pPr>
              <w:rPr>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191D7E" w:rsidRDefault="00191D7E" w:rsidP="004A5868">
            <w:pPr>
              <w:rPr>
                <w:color w:val="000000"/>
                <w:sz w:val="22"/>
                <w:szCs w:val="22"/>
              </w:rPr>
            </w:pPr>
            <w:r>
              <w:rPr>
                <w:color w:val="000000"/>
                <w:sz w:val="22"/>
                <w:szCs w:val="22"/>
              </w:rPr>
              <w:t>Príležitosti</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191D7E" w:rsidRDefault="00191D7E" w:rsidP="004A5868">
            <w:pPr>
              <w:rPr>
                <w:color w:val="000000"/>
                <w:sz w:val="22"/>
                <w:szCs w:val="22"/>
              </w:rPr>
            </w:pPr>
            <w:r>
              <w:rPr>
                <w:color w:val="000000"/>
                <w:sz w:val="22"/>
                <w:szCs w:val="22"/>
              </w:rPr>
              <w:t>Hrozby</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191D7E" w:rsidRDefault="00191D7E" w:rsidP="004A5868">
            <w:pPr>
              <w:rPr>
                <w:color w:val="000000"/>
                <w:sz w:val="22"/>
                <w:szCs w:val="22"/>
              </w:rPr>
            </w:pPr>
            <w:r>
              <w:rPr>
                <w:color w:val="000000"/>
                <w:sz w:val="22"/>
                <w:szCs w:val="22"/>
              </w:rPr>
              <w:t>Slabé S</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191D7E" w:rsidRDefault="00191D7E" w:rsidP="004A5868">
            <w:pPr>
              <w:rPr>
                <w:color w:val="000000"/>
                <w:sz w:val="22"/>
                <w:szCs w:val="22"/>
              </w:rPr>
            </w:pPr>
            <w:r>
              <w:rPr>
                <w:color w:val="000000"/>
                <w:sz w:val="22"/>
                <w:szCs w:val="22"/>
              </w:rPr>
              <w:t>Silné S</w:t>
            </w:r>
          </w:p>
        </w:tc>
      </w:tr>
      <w:tr w:rsidR="00191D7E">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tcPr>
          <w:p w:rsidR="00191D7E" w:rsidRDefault="00191D7E" w:rsidP="004A5868">
            <w:pPr>
              <w:rPr>
                <w:color w:val="000000"/>
                <w:sz w:val="22"/>
                <w:szCs w:val="22"/>
              </w:rPr>
            </w:pPr>
            <w:r>
              <w:rPr>
                <w:color w:val="000000"/>
                <w:sz w:val="22"/>
                <w:szCs w:val="22"/>
              </w:rPr>
              <w:t>Hospodárske prostredie</w:t>
            </w:r>
          </w:p>
        </w:tc>
        <w:tc>
          <w:tcPr>
            <w:tcW w:w="1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IB1, IIB1, IIIB2, IIIB4, IVB1</w:t>
            </w:r>
          </w:p>
        </w:tc>
        <w:tc>
          <w:tcPr>
            <w:tcW w:w="128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ID1, ID3, IVD1, IVD2, IVD3</w:t>
            </w:r>
          </w:p>
        </w:tc>
        <w:tc>
          <w:tcPr>
            <w:tcW w:w="122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IC3, IC4, IC6, IIIC5, IVC1, IVC2</w:t>
            </w:r>
          </w:p>
        </w:tc>
        <w:tc>
          <w:tcPr>
            <w:tcW w:w="134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IA1,IA2, IA4, IVA1</w:t>
            </w:r>
          </w:p>
        </w:tc>
      </w:tr>
      <w:tr w:rsidR="00191D7E">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tcPr>
          <w:p w:rsidR="00191D7E" w:rsidRDefault="00191D7E" w:rsidP="004A5868">
            <w:pPr>
              <w:rPr>
                <w:color w:val="000000"/>
                <w:sz w:val="22"/>
                <w:szCs w:val="22"/>
              </w:rPr>
            </w:pPr>
            <w:r>
              <w:rPr>
                <w:color w:val="000000"/>
                <w:sz w:val="22"/>
                <w:szCs w:val="22"/>
              </w:rPr>
              <w:t>Veda</w:t>
            </w:r>
          </w:p>
        </w:tc>
        <w:tc>
          <w:tcPr>
            <w:tcW w:w="1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IB3, IVB2, IVB3</w:t>
            </w:r>
          </w:p>
        </w:tc>
        <w:tc>
          <w:tcPr>
            <w:tcW w:w="128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IID1, IVD4, IVD5</w:t>
            </w:r>
          </w:p>
        </w:tc>
        <w:tc>
          <w:tcPr>
            <w:tcW w:w="122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IC2, IIC2, IIC3, IIC4, IIIC2</w:t>
            </w:r>
          </w:p>
        </w:tc>
        <w:tc>
          <w:tcPr>
            <w:tcW w:w="134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IIA1</w:t>
            </w:r>
          </w:p>
        </w:tc>
      </w:tr>
      <w:tr w:rsidR="00191D7E">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tcPr>
          <w:p w:rsidR="00191D7E" w:rsidRDefault="00191D7E" w:rsidP="004A5868">
            <w:pPr>
              <w:rPr>
                <w:color w:val="000000"/>
                <w:sz w:val="22"/>
                <w:szCs w:val="22"/>
              </w:rPr>
            </w:pPr>
            <w:r>
              <w:rPr>
                <w:color w:val="000000"/>
                <w:sz w:val="22"/>
                <w:szCs w:val="22"/>
              </w:rPr>
              <w:t>Inovačné prostredie</w:t>
            </w:r>
          </w:p>
        </w:tc>
        <w:tc>
          <w:tcPr>
            <w:tcW w:w="1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IB2, IB4, IB5, IB6, IIB2, IIB6, IIB7, IIIB1, IIIB3, IIIB5, IIIB6 , IVB4</w:t>
            </w:r>
          </w:p>
        </w:tc>
        <w:tc>
          <w:tcPr>
            <w:tcW w:w="128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ID2, IIID1</w:t>
            </w:r>
          </w:p>
        </w:tc>
        <w:tc>
          <w:tcPr>
            <w:tcW w:w="122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IC1, IC5, IIC1, IIC5, IIC6, IIC7, IIC8, IIIC1, IIIC3, IIIC4, IIIC6, IVC3</w:t>
            </w:r>
          </w:p>
        </w:tc>
        <w:tc>
          <w:tcPr>
            <w:tcW w:w="134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IA3, IIIA1, IVA2</w:t>
            </w:r>
          </w:p>
        </w:tc>
      </w:tr>
      <w:tr w:rsidR="00191D7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tcPr>
          <w:p w:rsidR="00191D7E" w:rsidRDefault="00191D7E" w:rsidP="004A5868">
            <w:pPr>
              <w:rPr>
                <w:color w:val="000000"/>
                <w:sz w:val="22"/>
                <w:szCs w:val="22"/>
              </w:rPr>
            </w:pPr>
            <w:r>
              <w:rPr>
                <w:color w:val="000000"/>
                <w:sz w:val="22"/>
                <w:szCs w:val="22"/>
              </w:rPr>
              <w:t>ERA</w:t>
            </w:r>
          </w:p>
        </w:tc>
        <w:tc>
          <w:tcPr>
            <w:tcW w:w="160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IIB3, IIB4, IIB5</w:t>
            </w:r>
          </w:p>
        </w:tc>
        <w:tc>
          <w:tcPr>
            <w:tcW w:w="128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 </w:t>
            </w:r>
          </w:p>
        </w:tc>
        <w:tc>
          <w:tcPr>
            <w:tcW w:w="122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IIC9, IIC10</w:t>
            </w:r>
          </w:p>
        </w:tc>
        <w:tc>
          <w:tcPr>
            <w:tcW w:w="1340" w:type="dxa"/>
            <w:tcBorders>
              <w:top w:val="nil"/>
              <w:left w:val="nil"/>
              <w:bottom w:val="single" w:sz="4" w:space="0" w:color="auto"/>
              <w:right w:val="single" w:sz="4" w:space="0" w:color="auto"/>
            </w:tcBorders>
            <w:shd w:val="clear" w:color="auto" w:fill="auto"/>
            <w:tcMar>
              <w:top w:w="14" w:type="dxa"/>
              <w:left w:w="14" w:type="dxa"/>
              <w:bottom w:w="0" w:type="dxa"/>
              <w:right w:w="14" w:type="dxa"/>
            </w:tcMar>
          </w:tcPr>
          <w:p w:rsidR="00191D7E" w:rsidRDefault="00191D7E" w:rsidP="004A5868">
            <w:pPr>
              <w:rPr>
                <w:color w:val="000000"/>
                <w:sz w:val="16"/>
                <w:szCs w:val="16"/>
              </w:rPr>
            </w:pPr>
            <w:r>
              <w:rPr>
                <w:color w:val="000000"/>
                <w:sz w:val="16"/>
                <w:szCs w:val="16"/>
              </w:rPr>
              <w:t> </w:t>
            </w:r>
          </w:p>
        </w:tc>
      </w:tr>
    </w:tbl>
    <w:p w:rsidR="00191D7E" w:rsidRDefault="00191D7E" w:rsidP="00464C59">
      <w:pPr>
        <w:rPr>
          <w:i/>
          <w:iCs/>
        </w:rPr>
      </w:pPr>
    </w:p>
    <w:p w:rsidR="00191D7E" w:rsidRDefault="00191D7E" w:rsidP="00464C59">
      <w:pPr>
        <w:rPr>
          <w:i/>
          <w:iCs/>
        </w:rPr>
      </w:pPr>
    </w:p>
    <w:p w:rsidR="00191D7E" w:rsidRDefault="00191D7E" w:rsidP="00464C59">
      <w:pPr>
        <w:rPr>
          <w:i/>
          <w:iCs/>
        </w:rPr>
      </w:pPr>
    </w:p>
    <w:p w:rsidR="00191D7E" w:rsidRDefault="00191D7E" w:rsidP="00464C59">
      <w:pPr>
        <w:rPr>
          <w:i/>
          <w:iCs/>
        </w:rPr>
        <w:sectPr w:rsidR="00191D7E" w:rsidSect="00C81906">
          <w:pgSz w:w="11906" w:h="16838"/>
          <w:pgMar w:top="1417" w:right="1417" w:bottom="1417" w:left="1417" w:header="708" w:footer="708" w:gutter="0"/>
          <w:cols w:space="282"/>
          <w:docGrid w:linePitch="360"/>
        </w:sectPr>
      </w:pPr>
    </w:p>
    <w:tbl>
      <w:tblPr>
        <w:tblpPr w:leftFromText="141" w:rightFromText="141" w:horzAnchor="margin" w:tblpXSpec="center" w:tblpY="294"/>
        <w:tblW w:w="15660" w:type="dxa"/>
        <w:tblCellMar>
          <w:left w:w="70" w:type="dxa"/>
          <w:right w:w="70" w:type="dxa"/>
        </w:tblCellMar>
        <w:tblLook w:val="0000" w:firstRow="0" w:lastRow="0" w:firstColumn="0" w:lastColumn="0" w:noHBand="0" w:noVBand="0"/>
      </w:tblPr>
      <w:tblGrid>
        <w:gridCol w:w="1407"/>
        <w:gridCol w:w="3308"/>
        <w:gridCol w:w="3370"/>
        <w:gridCol w:w="2612"/>
        <w:gridCol w:w="4963"/>
      </w:tblGrid>
      <w:tr w:rsidR="00191D7E" w:rsidRPr="00191D7E">
        <w:trPr>
          <w:trHeight w:val="470"/>
        </w:trPr>
        <w:tc>
          <w:tcPr>
            <w:tcW w:w="14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lastRenderedPageBreak/>
              <w:t>Oblasti tém</w:t>
            </w:r>
          </w:p>
        </w:tc>
        <w:tc>
          <w:tcPr>
            <w:tcW w:w="6678" w:type="dxa"/>
            <w:gridSpan w:val="2"/>
            <w:tcBorders>
              <w:top w:val="single" w:sz="4" w:space="0" w:color="auto"/>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Vonkajšie</w:t>
            </w:r>
          </w:p>
        </w:tc>
        <w:tc>
          <w:tcPr>
            <w:tcW w:w="7575" w:type="dxa"/>
            <w:gridSpan w:val="2"/>
            <w:tcBorders>
              <w:top w:val="single" w:sz="4" w:space="0" w:color="auto"/>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Vnútorné</w:t>
            </w:r>
          </w:p>
        </w:tc>
      </w:tr>
      <w:tr w:rsidR="00191D7E" w:rsidRPr="00191D7E">
        <w:trPr>
          <w:trHeight w:val="354"/>
        </w:trPr>
        <w:tc>
          <w:tcPr>
            <w:tcW w:w="1407" w:type="dxa"/>
            <w:vMerge/>
            <w:tcBorders>
              <w:top w:val="single" w:sz="4" w:space="0" w:color="auto"/>
              <w:left w:val="single" w:sz="4" w:space="0" w:color="auto"/>
              <w:bottom w:val="single" w:sz="4" w:space="0" w:color="000000"/>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Príležitosti</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Hrozby</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Slabé stránky</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Silné stránky</w:t>
            </w:r>
          </w:p>
        </w:tc>
      </w:tr>
      <w:tr w:rsidR="00191D7E" w:rsidRPr="00191D7E">
        <w:trPr>
          <w:trHeight w:val="1054"/>
        </w:trPr>
        <w:tc>
          <w:tcPr>
            <w:tcW w:w="140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Hospodárske prostredie</w:t>
            </w: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I.B.1. Rozšírenie zapojenia domácich subdodávateľov do globálnych dodávateľských reťazcov </w:t>
            </w:r>
            <w:r w:rsidR="003B35FF">
              <w:rPr>
                <w:rFonts w:cs="Times New Roman"/>
                <w:b/>
                <w:bCs/>
                <w:color w:val="000000"/>
                <w:sz w:val="18"/>
                <w:szCs w:val="18"/>
                <w:lang w:eastAsia="sk-SK"/>
              </w:rPr>
              <w:t>MNS</w:t>
            </w:r>
            <w:r w:rsidR="00134F8E">
              <w:rPr>
                <w:rFonts w:cs="Times New Roman"/>
                <w:b/>
                <w:bCs/>
                <w:color w:val="000000"/>
                <w:sz w:val="18"/>
                <w:szCs w:val="18"/>
                <w:lang w:eastAsia="sk-SK"/>
              </w:rPr>
              <w:t xml:space="preserve">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I.D.1. Presun investorov do</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teritórií s inými komparatívnymi výhodami ako SR(EÚ)</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I.C.3. Nedostatočné zapojenie domácich podnikateľských subjektov do subdodávateľských reťazcov </w:t>
            </w:r>
            <w:r w:rsidR="003B35FF">
              <w:rPr>
                <w:rFonts w:cs="Times New Roman"/>
                <w:b/>
                <w:bCs/>
                <w:color w:val="000000"/>
                <w:sz w:val="18"/>
                <w:szCs w:val="18"/>
                <w:lang w:eastAsia="sk-SK"/>
              </w:rPr>
              <w:t>MNS</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AE5259" w:rsidP="004A5868">
            <w:pPr>
              <w:spacing w:after="0" w:line="240" w:lineRule="auto"/>
              <w:jc w:val="left"/>
              <w:rPr>
                <w:rFonts w:cs="Times New Roman"/>
                <w:b/>
                <w:bCs/>
                <w:color w:val="000000"/>
                <w:sz w:val="18"/>
                <w:szCs w:val="18"/>
                <w:lang w:eastAsia="sk-SK"/>
              </w:rPr>
            </w:pPr>
            <w:r>
              <w:rPr>
                <w:rFonts w:cs="Times New Roman"/>
                <w:b/>
                <w:bCs/>
                <w:color w:val="000000"/>
                <w:sz w:val="18"/>
                <w:szCs w:val="18"/>
                <w:lang w:eastAsia="sk-SK"/>
              </w:rPr>
              <w:t>I.A.1. Kľ</w:t>
            </w:r>
            <w:r w:rsidR="00191D7E" w:rsidRPr="00191D7E">
              <w:rPr>
                <w:rFonts w:cs="Times New Roman"/>
                <w:b/>
                <w:bCs/>
                <w:color w:val="000000"/>
                <w:sz w:val="18"/>
                <w:szCs w:val="18"/>
                <w:lang w:eastAsia="sk-SK"/>
              </w:rPr>
              <w:t xml:space="preserve">účové priemyselné odvetvia zastúpené </w:t>
            </w:r>
            <w:r w:rsidR="003B35FF">
              <w:rPr>
                <w:rFonts w:cs="Times New Roman"/>
                <w:b/>
                <w:bCs/>
                <w:color w:val="000000"/>
                <w:sz w:val="18"/>
                <w:szCs w:val="18"/>
                <w:lang w:eastAsia="sk-SK"/>
              </w:rPr>
              <w:t>MNS</w:t>
            </w:r>
            <w:r w:rsidR="00191D7E" w:rsidRPr="00191D7E">
              <w:rPr>
                <w:rFonts w:cs="Times New Roman"/>
                <w:b/>
                <w:bCs/>
                <w:color w:val="000000"/>
                <w:sz w:val="18"/>
                <w:szCs w:val="18"/>
                <w:lang w:eastAsia="sk-SK"/>
              </w:rPr>
              <w:t xml:space="preserve"> s jestvujúcimi lokalizovanými subdodávateľskými</w:t>
            </w:r>
            <w:r w:rsidR="00134F8E">
              <w:rPr>
                <w:rFonts w:cs="Times New Roman"/>
                <w:b/>
                <w:bCs/>
                <w:color w:val="000000"/>
                <w:sz w:val="18"/>
                <w:szCs w:val="18"/>
                <w:lang w:eastAsia="sk-SK"/>
              </w:rPr>
              <w:t xml:space="preserve"> </w:t>
            </w:r>
            <w:r w:rsidR="00191D7E" w:rsidRPr="00191D7E">
              <w:rPr>
                <w:rFonts w:cs="Times New Roman"/>
                <w:b/>
                <w:bCs/>
                <w:color w:val="000000"/>
                <w:sz w:val="18"/>
                <w:szCs w:val="18"/>
                <w:lang w:eastAsia="sk-SK"/>
              </w:rPr>
              <w:t>podnikmi</w:t>
            </w:r>
          </w:p>
        </w:tc>
      </w:tr>
      <w:tr w:rsidR="00191D7E" w:rsidRPr="00191D7E">
        <w:trPr>
          <w:trHeight w:val="903"/>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II.B.1. Nová "Priemyselná stratégia EÚ (Industry 2020)" smerujúca k revitalizácii európskeho priemyslu</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I.D.3. Neochota podnikateľských subjektov investovať do VaI na Slovensku</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I.C.4. Podkapitalizácia podnikateľských subjekt</w:t>
            </w:r>
            <w:r w:rsidR="00AE5259">
              <w:rPr>
                <w:rFonts w:cs="Times New Roman"/>
                <w:b/>
                <w:bCs/>
                <w:color w:val="000000"/>
                <w:sz w:val="18"/>
                <w:szCs w:val="18"/>
                <w:lang w:eastAsia="sk-SK"/>
              </w:rPr>
              <w:t>o</w:t>
            </w:r>
            <w:r w:rsidRPr="00191D7E">
              <w:rPr>
                <w:rFonts w:cs="Times New Roman"/>
                <w:b/>
                <w:bCs/>
                <w:color w:val="000000"/>
                <w:sz w:val="18"/>
                <w:szCs w:val="18"/>
                <w:lang w:eastAsia="sk-SK"/>
              </w:rPr>
              <w:t>v spojená s nízkou inovačnou výkonnosťou, najmä MSP</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I.A.2. Konkurencieschopná</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technologická a výrobková úroveň v exportných odvetviach</w:t>
            </w:r>
          </w:p>
        </w:tc>
      </w:tr>
      <w:tr w:rsidR="00191D7E" w:rsidRPr="00191D7E">
        <w:trPr>
          <w:trHeight w:val="880"/>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III.B.2. Vstup národných inovatívnych firiem na globálne trhy</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IV.D.1. Meniaca sa štruktúra obyvateľstva so vzrastajúcim podielom obyvateľstva s nedostatočnou kvalitou vzdelania a nízkymi pracovnými zručnosťami</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I.C.6. Nízka vlastná pridaná hodnota produkcie domácich podnikateľských subjektov</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I.A.4. Rastúci podiel informačných služieb na exporte služieb</w:t>
            </w:r>
          </w:p>
        </w:tc>
      </w:tr>
      <w:tr w:rsidR="00191D7E" w:rsidRPr="00191D7E">
        <w:trPr>
          <w:trHeight w:val="884"/>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III.B.4. Využitie potenciálu sieťovania (podniky, VaI štruktúry)</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IV.D.2. Pretrvávajúca orientácia vzdelávania do oblastí nekorešpondujúcich s</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potrebami hospodárskej praxe a znalostnej spoločnosti</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III.C.5. Nízka vymožiteľnosť práva </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IV.A.1. Kvalitné ľudské zdroje v konkurencieschopných výrobných odvetviach vyplývajúce z tradícií</w:t>
            </w:r>
          </w:p>
        </w:tc>
      </w:tr>
      <w:tr w:rsidR="00191D7E" w:rsidRPr="00191D7E">
        <w:trPr>
          <w:trHeight w:val="1067"/>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IV.B.1. Obnovenie tradície odborného a technického vzdelávania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IV.D.3. Zhoršujúca sa štruktúra absolventov vzdelávacieho procesu. Chýbajúci absolventi najmä v technických</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a prírodovedných smeroch</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IV.C.1. Nepreviazanosť systému vzdelávania s potrebami praxe, osobitne v oblasti technických a prírodných vied </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890"/>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IV.C.2. Absencia systému a podpory podnikateľského vzdelávania a rozvoja kreativity vo vzdelávacom procese</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1470"/>
        </w:trPr>
        <w:tc>
          <w:tcPr>
            <w:tcW w:w="140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Veda</w:t>
            </w: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I.B.3. Koncentrácia VaI centier na limitovaný počet prioritných oblastí RIS3</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II.D.1. Obmed</w:t>
            </w:r>
            <w:r w:rsidR="00AE5259">
              <w:rPr>
                <w:rFonts w:cs="Times New Roman"/>
                <w:b/>
                <w:bCs/>
                <w:color w:val="000000"/>
                <w:sz w:val="18"/>
                <w:szCs w:val="18"/>
                <w:lang w:eastAsia="sk-SK"/>
              </w:rPr>
              <w:t>zenie žiadu</w:t>
            </w:r>
            <w:r w:rsidRPr="00191D7E">
              <w:rPr>
                <w:rFonts w:cs="Times New Roman"/>
                <w:b/>
                <w:bCs/>
                <w:color w:val="000000"/>
                <w:sz w:val="18"/>
                <w:szCs w:val="18"/>
                <w:lang w:eastAsia="sk-SK"/>
              </w:rPr>
              <w:t>cej finančnej podpory VaI systému v BA kraji</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I.C.2. Absencia podnikového priemyselného výskumu na Slovensku </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II.A.1. Dobré výsledky vo vybraných vedných a technologických disciplínach , s koncentrovanými výskumnými tímami a pracoviskami (materiály a nanotechnológie; Informačné a komunikačné technológie; biomedicína a biotechnológie; priemyselné technológie; energetika a energie; životné prostredie a pôdohospodárstvo; spoločenské a humanitné vedy ).</w:t>
            </w:r>
          </w:p>
        </w:tc>
      </w:tr>
      <w:tr w:rsidR="00191D7E" w:rsidRPr="00191D7E">
        <w:trPr>
          <w:trHeight w:val="829"/>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IV.B.2. Vytvorenie podmienok pre návrat občanov SR pôsobiacich v zahraničných VaI štruktúrach</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IV.D.4. Pretrvávajúci odliv talentov do zahraničia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II.C.2. Nadmerný počet široko definovaných priorít štátnej politiky v oblasti vedy</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829"/>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IV.B.3. Podpora prílevu zahraničných VaI pracovníkov a</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zahraničných študentov na Slovensko</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IV.D.5. Nevyváženosť vekovej štruktúry zamestnancov</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II.C.3. Fragmentácia zdrojov budovania infraštruktúry VaI na národnej úrovni (ŠR, ŠF)</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529"/>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II.C.4. Extenzívne budovaná infraštruktúra VaI</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536"/>
        </w:trPr>
        <w:tc>
          <w:tcPr>
            <w:tcW w:w="1407" w:type="dxa"/>
            <w:vMerge/>
            <w:tcBorders>
              <w:top w:val="nil"/>
              <w:left w:val="single" w:sz="4" w:space="0" w:color="auto"/>
              <w:bottom w:val="single" w:sz="4" w:space="0" w:color="auto"/>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III.C.2. Bariéry využívania systému ochrany práv duševného vlastníctva</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585"/>
        </w:trPr>
        <w:tc>
          <w:tcPr>
            <w:tcW w:w="1407" w:type="dxa"/>
            <w:vMerge w:val="restart"/>
            <w:tcBorders>
              <w:top w:val="nil"/>
              <w:left w:val="single" w:sz="4" w:space="0" w:color="auto"/>
              <w:bottom w:val="nil"/>
              <w:right w:val="single" w:sz="4" w:space="0" w:color="auto"/>
            </w:tcBorders>
            <w:shd w:val="clear" w:color="auto" w:fill="auto"/>
            <w:noWrap/>
            <w:textDirection w:val="btLr"/>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Inovačné prostredie</w:t>
            </w: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I.B.2. Vytvorenie prepojení VaI </w:t>
            </w:r>
            <w:r w:rsidR="003B35FF">
              <w:rPr>
                <w:rFonts w:cs="Times New Roman"/>
                <w:b/>
                <w:bCs/>
                <w:color w:val="000000"/>
                <w:sz w:val="18"/>
                <w:szCs w:val="18"/>
                <w:lang w:eastAsia="sk-SK"/>
              </w:rPr>
              <w:t>MNS</w:t>
            </w:r>
            <w:r w:rsidRPr="00191D7E">
              <w:rPr>
                <w:rFonts w:cs="Times New Roman"/>
                <w:b/>
                <w:bCs/>
                <w:color w:val="000000"/>
                <w:sz w:val="18"/>
                <w:szCs w:val="18"/>
                <w:lang w:eastAsia="sk-SK"/>
              </w:rPr>
              <w:t xml:space="preserve"> spoločností do spolupráce s domácimi podnikateľskými VaI štruktúrami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I.D.2. Nedostatok investícií do produktov a technológií založených na znalostiach aj v dôsledku nepreviazanosti </w:t>
            </w:r>
            <w:r w:rsidR="003B35FF">
              <w:rPr>
                <w:rFonts w:cs="Times New Roman"/>
                <w:b/>
                <w:bCs/>
                <w:color w:val="000000"/>
                <w:sz w:val="18"/>
                <w:szCs w:val="18"/>
                <w:lang w:eastAsia="sk-SK"/>
              </w:rPr>
              <w:t>MNS</w:t>
            </w:r>
            <w:r w:rsidRPr="00191D7E">
              <w:rPr>
                <w:rFonts w:cs="Times New Roman"/>
                <w:b/>
                <w:bCs/>
                <w:color w:val="000000"/>
                <w:sz w:val="18"/>
                <w:szCs w:val="18"/>
                <w:lang w:eastAsia="sk-SK"/>
              </w:rPr>
              <w:t xml:space="preserve"> na lokálnu infraštruktúru VaI</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I.C.1. Nedostatočný podiel vlastných (slovenských) VaI aktivít v exportných odvetviach na Slovensku</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I.A.3. Zvyšujúci sa záujem</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podnikov a priemyselných zoskupení</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o znovuvybudovanie podnikových</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VaI štruktúr (entít)</w:t>
            </w:r>
          </w:p>
        </w:tc>
      </w:tr>
      <w:tr w:rsidR="00191D7E" w:rsidRPr="00191D7E">
        <w:trPr>
          <w:trHeight w:val="782"/>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8D1196">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I.B.4. Prehĺbenie </w:t>
            </w:r>
            <w:r w:rsidR="008D1196">
              <w:rPr>
                <w:rFonts w:cs="Times New Roman"/>
                <w:b/>
                <w:bCs/>
                <w:color w:val="000000"/>
                <w:sz w:val="18"/>
                <w:szCs w:val="18"/>
                <w:lang w:eastAsia="sk-SK"/>
              </w:rPr>
              <w:t>trialógu akademickej sféry, podnikateľského</w:t>
            </w:r>
            <w:r w:rsidRPr="00191D7E">
              <w:rPr>
                <w:rFonts w:cs="Times New Roman"/>
                <w:b/>
                <w:bCs/>
                <w:color w:val="000000"/>
                <w:sz w:val="18"/>
                <w:szCs w:val="18"/>
                <w:lang w:eastAsia="sk-SK"/>
              </w:rPr>
              <w:t xml:space="preserve"> sektor</w:t>
            </w:r>
            <w:r w:rsidR="008D1196">
              <w:rPr>
                <w:rFonts w:cs="Times New Roman"/>
                <w:b/>
                <w:bCs/>
                <w:color w:val="000000"/>
                <w:sz w:val="18"/>
                <w:szCs w:val="18"/>
                <w:lang w:eastAsia="sk-SK"/>
              </w:rPr>
              <w:t>a a verejnej správy</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DD69C3">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III.D.1. Autonómne pôsobenie sektorov vzdelávania,</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VaI a podnikateľskej praxe, ktorého dôsledkom je rozdielne chápanie VaI</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I.C.5. Marginálna aplikácia revolvingových schém vrátane rizikového kapitálu na podporu VaI a absencia systému aplikácie rizikového kapitálu</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III.A.1. Dynamický rast využívania IKT vo všetkých podnikateľských procesoch</w:t>
            </w:r>
          </w:p>
        </w:tc>
      </w:tr>
      <w:tr w:rsidR="00191D7E" w:rsidRPr="00191D7E">
        <w:trPr>
          <w:trHeight w:val="742"/>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I.B.5. Potenciál využívania pôdneho fondu a domácich strategických prírodných zdrojov (voda, drevo, magnezit) v inovatívnom</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hospodárstve</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II.C.1. Absencia komplexnej stratégie VaI a jej implementácie</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IV.A.2. Disciplinované, motivovateľné a adaptabilné ľudské zdroje.</w:t>
            </w:r>
          </w:p>
        </w:tc>
      </w:tr>
      <w:tr w:rsidR="00191D7E" w:rsidRPr="00191D7E">
        <w:trPr>
          <w:trHeight w:val="940"/>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I.B.6. Podpora prechodu na zelené technológie, materiály </w:t>
            </w:r>
            <w:r w:rsidR="007347E7">
              <w:rPr>
                <w:rFonts w:cs="Times New Roman"/>
                <w:b/>
                <w:bCs/>
                <w:color w:val="000000"/>
                <w:sz w:val="18"/>
                <w:szCs w:val="18"/>
                <w:lang w:eastAsia="sk-SK"/>
              </w:rPr>
              <w:t>a produkty vyplývajúci z nežiadu</w:t>
            </w:r>
            <w:r w:rsidRPr="00191D7E">
              <w:rPr>
                <w:rFonts w:cs="Times New Roman"/>
                <w:b/>
                <w:bCs/>
                <w:color w:val="000000"/>
                <w:sz w:val="18"/>
                <w:szCs w:val="18"/>
                <w:lang w:eastAsia="sk-SK"/>
              </w:rPr>
              <w:t>cich ekologických zmien a</w:t>
            </w:r>
            <w:r w:rsidR="00C5561D">
              <w:rPr>
                <w:rFonts w:cs="Times New Roman"/>
                <w:b/>
                <w:bCs/>
                <w:color w:val="000000"/>
                <w:sz w:val="18"/>
                <w:szCs w:val="18"/>
                <w:lang w:eastAsia="sk-SK"/>
              </w:rPr>
              <w:t xml:space="preserve"> podpora </w:t>
            </w:r>
            <w:r w:rsidRPr="00191D7E">
              <w:rPr>
                <w:rFonts w:cs="Times New Roman"/>
                <w:b/>
                <w:bCs/>
                <w:color w:val="000000"/>
                <w:sz w:val="18"/>
                <w:szCs w:val="18"/>
                <w:lang w:eastAsia="sk-SK"/>
              </w:rPr>
              <w:t>legislatív</w:t>
            </w:r>
            <w:r w:rsidR="00C5561D">
              <w:rPr>
                <w:rFonts w:cs="Times New Roman"/>
                <w:b/>
                <w:bCs/>
                <w:color w:val="000000"/>
                <w:sz w:val="18"/>
                <w:szCs w:val="18"/>
                <w:lang w:eastAsia="sk-SK"/>
              </w:rPr>
              <w:t>nych zmien</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II.C.5. Bariéry prístupu firiem k infraštruktúre verejných VaI pracovísk</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888"/>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II.B.2. Odstránenie bariér spolupráce (zlepšenie koherencie) prostredníctvom štvorpartity (quadruple</w:t>
            </w:r>
            <w:r w:rsidR="007347E7">
              <w:rPr>
                <w:rFonts w:cs="Times New Roman"/>
                <w:b/>
                <w:bCs/>
                <w:color w:val="000000"/>
                <w:sz w:val="18"/>
                <w:szCs w:val="18"/>
                <w:lang w:eastAsia="sk-SK"/>
              </w:rPr>
              <w:t xml:space="preserve"> </w:t>
            </w:r>
            <w:r w:rsidRPr="00191D7E">
              <w:rPr>
                <w:rFonts w:cs="Times New Roman"/>
                <w:b/>
                <w:bCs/>
                <w:color w:val="000000"/>
                <w:sz w:val="18"/>
                <w:szCs w:val="18"/>
                <w:lang w:eastAsia="sk-SK"/>
              </w:rPr>
              <w:t xml:space="preserve">helix) ako základného princípu verejnej správy (governance) VaI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II.C.6. Administratívne bariéry implementácie projektov financovaných zo štrukturálnych fondov EÚ do praxe</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848"/>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II.B.6. Širšie využitie znalostí SR v bezuhlíkovej energetike, vrátane bezpečnosti, akceptovanou spoločnosťou</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II.C.7. Nízka úroveň spolupráce medzi akademickým sektorom</w:t>
            </w:r>
            <w:r w:rsidR="00134F8E">
              <w:rPr>
                <w:rFonts w:cs="Times New Roman"/>
                <w:b/>
                <w:bCs/>
                <w:color w:val="000000"/>
                <w:sz w:val="18"/>
                <w:szCs w:val="18"/>
                <w:lang w:eastAsia="sk-SK"/>
              </w:rPr>
              <w:t xml:space="preserve"> </w:t>
            </w:r>
            <w:r w:rsidRPr="00191D7E">
              <w:rPr>
                <w:rFonts w:cs="Times New Roman"/>
                <w:b/>
                <w:bCs/>
                <w:color w:val="000000"/>
                <w:sz w:val="18"/>
                <w:szCs w:val="18"/>
                <w:lang w:eastAsia="sk-SK"/>
              </w:rPr>
              <w:t>a priemyslom</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714"/>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II.B.7. Nedostatočne využitý potenciál pôdohospodárstva a vodného hospodárstva</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II.C.8. Nízky podiel národných zdrojov na financovaní VaI</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469"/>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III.B.1. Rozvoj sociálnych inovácií a kreatívneho priemyslu</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III.C.1. Nefunkčný národný inovačný systém</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469"/>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III.B.3. Podpora vzniku a rozvoja inovatívnych </w:t>
            </w:r>
            <w:r w:rsidR="00DD69C3">
              <w:rPr>
                <w:rFonts w:cs="Times New Roman"/>
                <w:b/>
                <w:bCs/>
                <w:color w:val="000000"/>
                <w:sz w:val="18"/>
                <w:szCs w:val="18"/>
                <w:lang w:eastAsia="sk-SK"/>
              </w:rPr>
              <w:t>s</w:t>
            </w:r>
            <w:r w:rsidRPr="00191D7E">
              <w:rPr>
                <w:rFonts w:cs="Times New Roman"/>
                <w:b/>
                <w:bCs/>
                <w:color w:val="000000"/>
                <w:sz w:val="18"/>
                <w:szCs w:val="18"/>
                <w:lang w:eastAsia="sk-SK"/>
              </w:rPr>
              <w:t xml:space="preserve">pin-off a </w:t>
            </w:r>
            <w:r w:rsidR="00DD69C3">
              <w:rPr>
                <w:rFonts w:cs="Times New Roman"/>
                <w:b/>
                <w:bCs/>
                <w:color w:val="000000"/>
                <w:sz w:val="18"/>
                <w:szCs w:val="18"/>
                <w:lang w:eastAsia="sk-SK"/>
              </w:rPr>
              <w:t>s</w:t>
            </w:r>
            <w:r w:rsidRPr="00191D7E">
              <w:rPr>
                <w:rFonts w:cs="Times New Roman"/>
                <w:b/>
                <w:bCs/>
                <w:color w:val="000000"/>
                <w:sz w:val="18"/>
                <w:szCs w:val="18"/>
                <w:lang w:eastAsia="sk-SK"/>
              </w:rPr>
              <w:t>tart-up firiem</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III.C.3. Neefektívne využitie zdrojov pre transfer poznatkov a technológií do praxe</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891"/>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III.B.5. Existencia finančných nástrojov na motiváciu podnikateľských subjektov k podpore inovácii a technologických transferov (inovačné vouchery, fondy rizikového kapitálu)</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III.C.4. Absencia nepriamych nástrojov a motivačného prostredia na podporu VaI</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490"/>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III.B.6. Využitie potenciálu služieb a produktov v oblasti IKT v kontexte Digitálnej agendy 2020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III.C.6. Absencia legislatívy stimulujúcej obstarávanie inovatívnych produktov</w:t>
            </w:r>
          </w:p>
        </w:tc>
        <w:tc>
          <w:tcPr>
            <w:tcW w:w="4963" w:type="dxa"/>
            <w:tcBorders>
              <w:top w:val="nil"/>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552"/>
        </w:trPr>
        <w:tc>
          <w:tcPr>
            <w:tcW w:w="1407" w:type="dxa"/>
            <w:vMerge/>
            <w:tcBorders>
              <w:top w:val="nil"/>
              <w:left w:val="single" w:sz="4" w:space="0" w:color="auto"/>
              <w:bottom w:val="nil"/>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IV.B.4. Zapojenie mladých VaI pracovníkov na riešení praktických podnikových problémov </w:t>
            </w:r>
          </w:p>
        </w:tc>
        <w:tc>
          <w:tcPr>
            <w:tcW w:w="3370" w:type="dxa"/>
            <w:tcBorders>
              <w:top w:val="nil"/>
              <w:left w:val="nil"/>
              <w:bottom w:val="nil"/>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IV.C.3. Nízky počet výkonných VaI pracovníkov orientovaných na praktické využitie výsledkov </w:t>
            </w:r>
          </w:p>
        </w:tc>
        <w:tc>
          <w:tcPr>
            <w:tcW w:w="4963" w:type="dxa"/>
            <w:tcBorders>
              <w:top w:val="nil"/>
              <w:left w:val="single" w:sz="4" w:space="0" w:color="auto"/>
              <w:bottom w:val="nil"/>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780"/>
        </w:trPr>
        <w:tc>
          <w:tcPr>
            <w:tcW w:w="140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191D7E" w:rsidRPr="00191D7E" w:rsidRDefault="00191D7E" w:rsidP="004A5868">
            <w:pPr>
              <w:spacing w:after="0" w:line="240" w:lineRule="auto"/>
              <w:jc w:val="center"/>
              <w:rPr>
                <w:rFonts w:cs="Times New Roman"/>
                <w:b/>
                <w:bCs/>
                <w:color w:val="000000"/>
                <w:sz w:val="18"/>
                <w:szCs w:val="18"/>
                <w:lang w:eastAsia="sk-SK"/>
              </w:rPr>
            </w:pPr>
            <w:r w:rsidRPr="00191D7E">
              <w:rPr>
                <w:rFonts w:cs="Times New Roman"/>
                <w:b/>
                <w:bCs/>
                <w:color w:val="000000"/>
                <w:sz w:val="18"/>
                <w:szCs w:val="18"/>
                <w:lang w:eastAsia="sk-SK"/>
              </w:rPr>
              <w:t>ERA</w:t>
            </w: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II.B.3. Podpora VaI projektov v rámci krajín V4 a Dunajskej stratégie a spájanie v rámci ERA aj s využitím potenciálu regiónu Centrope (Bratislava-Brno-Viedeň)</w:t>
            </w:r>
          </w:p>
        </w:tc>
        <w:tc>
          <w:tcPr>
            <w:tcW w:w="3370" w:type="dxa"/>
            <w:tcBorders>
              <w:top w:val="single" w:sz="4" w:space="0" w:color="auto"/>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nil"/>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II.C.9. Nízke zapojenie slovenských subjektov do 7. rámcového programu (FP 7)</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919"/>
        </w:trPr>
        <w:tc>
          <w:tcPr>
            <w:tcW w:w="1407" w:type="dxa"/>
            <w:vMerge/>
            <w:tcBorders>
              <w:top w:val="single" w:sz="4" w:space="0" w:color="auto"/>
              <w:left w:val="single" w:sz="4" w:space="0" w:color="auto"/>
              <w:bottom w:val="single" w:sz="4" w:space="0" w:color="000000"/>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II.B.4. Lepšie využívanie komunitárnych programov, najmä Horizon 2020 a systému programov a projektov ESFRI</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II.C.10. Nedostatočná konkurencieschopnosť slovenských organizácii VaI v rámci EÚ</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r w:rsidR="00191D7E" w:rsidRPr="00191D7E">
        <w:trPr>
          <w:trHeight w:val="716"/>
        </w:trPr>
        <w:tc>
          <w:tcPr>
            <w:tcW w:w="1407" w:type="dxa"/>
            <w:vMerge/>
            <w:tcBorders>
              <w:top w:val="single" w:sz="4" w:space="0" w:color="auto"/>
              <w:left w:val="single" w:sz="4" w:space="0" w:color="auto"/>
              <w:bottom w:val="single" w:sz="4" w:space="0" w:color="000000"/>
              <w:right w:val="single" w:sz="4" w:space="0" w:color="auto"/>
            </w:tcBorders>
            <w:vAlign w:val="center"/>
          </w:tcPr>
          <w:p w:rsidR="00191D7E" w:rsidRPr="00191D7E" w:rsidRDefault="00191D7E" w:rsidP="004A5868">
            <w:pPr>
              <w:spacing w:after="0" w:line="240" w:lineRule="auto"/>
              <w:jc w:val="left"/>
              <w:rPr>
                <w:rFonts w:cs="Times New Roman"/>
                <w:b/>
                <w:bCs/>
                <w:color w:val="000000"/>
                <w:sz w:val="18"/>
                <w:szCs w:val="18"/>
                <w:lang w:eastAsia="sk-SK"/>
              </w:rPr>
            </w:pPr>
          </w:p>
        </w:tc>
        <w:tc>
          <w:tcPr>
            <w:tcW w:w="3308"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xml:space="preserve">II.B.5. Využitie Európskych technologických platforiem zapojením národných technologických platforiem do ich činnosti </w:t>
            </w:r>
          </w:p>
        </w:tc>
        <w:tc>
          <w:tcPr>
            <w:tcW w:w="3370"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2612"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c>
          <w:tcPr>
            <w:tcW w:w="4963" w:type="dxa"/>
            <w:tcBorders>
              <w:top w:val="nil"/>
              <w:left w:val="nil"/>
              <w:bottom w:val="single" w:sz="4" w:space="0" w:color="auto"/>
              <w:right w:val="single" w:sz="4" w:space="0" w:color="auto"/>
            </w:tcBorders>
            <w:shd w:val="clear" w:color="auto" w:fill="auto"/>
            <w:vAlign w:val="center"/>
          </w:tcPr>
          <w:p w:rsidR="00191D7E" w:rsidRPr="00191D7E" w:rsidRDefault="00191D7E" w:rsidP="004A5868">
            <w:pPr>
              <w:spacing w:after="0" w:line="240" w:lineRule="auto"/>
              <w:jc w:val="left"/>
              <w:rPr>
                <w:rFonts w:cs="Times New Roman"/>
                <w:b/>
                <w:bCs/>
                <w:color w:val="000000"/>
                <w:sz w:val="18"/>
                <w:szCs w:val="18"/>
                <w:lang w:eastAsia="sk-SK"/>
              </w:rPr>
            </w:pPr>
            <w:r w:rsidRPr="00191D7E">
              <w:rPr>
                <w:rFonts w:cs="Times New Roman"/>
                <w:b/>
                <w:bCs/>
                <w:color w:val="000000"/>
                <w:sz w:val="18"/>
                <w:szCs w:val="18"/>
                <w:lang w:eastAsia="sk-SK"/>
              </w:rPr>
              <w:t> </w:t>
            </w:r>
          </w:p>
        </w:tc>
      </w:tr>
    </w:tbl>
    <w:p w:rsidR="00191D7E" w:rsidRPr="00191D7E" w:rsidRDefault="00191D7E" w:rsidP="00464C59">
      <w:pPr>
        <w:rPr>
          <w:iCs/>
        </w:rPr>
      </w:pPr>
    </w:p>
    <w:sectPr w:rsidR="00191D7E" w:rsidRPr="00191D7E" w:rsidSect="00191D7E">
      <w:pgSz w:w="16838" w:h="11906" w:orient="landscape"/>
      <w:pgMar w:top="899" w:right="1418" w:bottom="1418"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22" w:rsidRDefault="00605222" w:rsidP="002437B9">
      <w:pPr>
        <w:spacing w:after="0" w:line="240" w:lineRule="auto"/>
      </w:pPr>
      <w:r>
        <w:separator/>
      </w:r>
    </w:p>
  </w:endnote>
  <w:endnote w:type="continuationSeparator" w:id="0">
    <w:p w:rsidR="00605222" w:rsidRDefault="00605222"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2" w:rsidRDefault="000D4A62">
    <w:pPr>
      <w:pStyle w:val="Pta"/>
    </w:pPr>
    <w:r>
      <w:fldChar w:fldCharType="begin"/>
    </w:r>
    <w:r>
      <w:instrText xml:space="preserve"> TIME \@ "d. M. yyyy H:mm" </w:instrText>
    </w:r>
    <w:r>
      <w:fldChar w:fldCharType="separate"/>
    </w:r>
    <w:r w:rsidR="00835315">
      <w:rPr>
        <w:noProof/>
      </w:rPr>
      <w:t>12. 9. 2013 13:47</w:t>
    </w:r>
    <w:r>
      <w:rPr>
        <w:noProof/>
      </w:rPr>
      <w:fldChar w:fldCharType="end"/>
    </w:r>
    <w:r>
      <w:tab/>
    </w:r>
    <w:r>
      <w:tab/>
    </w:r>
    <w:r>
      <w:fldChar w:fldCharType="begin"/>
    </w:r>
    <w:r>
      <w:instrText>PAGE   \* MERGEFORMAT</w:instrText>
    </w:r>
    <w:r>
      <w:fldChar w:fldCharType="separate"/>
    </w:r>
    <w:r w:rsidR="0083531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2" w:rsidRDefault="000D4A62">
    <w:pPr>
      <w:pStyle w:val="Pta"/>
    </w:pPr>
    <w:r>
      <w:fldChar w:fldCharType="begin"/>
    </w:r>
    <w:r>
      <w:instrText xml:space="preserve"> TIME \@ "d. M. yyyy H:mm" </w:instrText>
    </w:r>
    <w:r>
      <w:fldChar w:fldCharType="separate"/>
    </w:r>
    <w:r w:rsidR="00835315">
      <w:rPr>
        <w:noProof/>
      </w:rPr>
      <w:t>12. 9. 2013 13:47</w:t>
    </w:r>
    <w:r>
      <w:rPr>
        <w:noProof/>
      </w:rPr>
      <w:fldChar w:fldCharType="end"/>
    </w:r>
    <w:r>
      <w:tab/>
    </w:r>
    <w:r>
      <w:tab/>
    </w:r>
    <w:r>
      <w:fldChar w:fldCharType="begin"/>
    </w:r>
    <w:r>
      <w:instrText>PAGE   \* MERGEFORMAT</w:instrText>
    </w:r>
    <w:r>
      <w:fldChar w:fldCharType="separate"/>
    </w:r>
    <w:r w:rsidR="00835315">
      <w:rPr>
        <w:noProof/>
      </w:rPr>
      <w:t>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22" w:rsidRDefault="00605222" w:rsidP="002437B9">
      <w:pPr>
        <w:spacing w:after="0" w:line="240" w:lineRule="auto"/>
      </w:pPr>
      <w:r>
        <w:separator/>
      </w:r>
    </w:p>
  </w:footnote>
  <w:footnote w:type="continuationSeparator" w:id="0">
    <w:p w:rsidR="00605222" w:rsidRDefault="00605222" w:rsidP="002437B9">
      <w:pPr>
        <w:spacing w:after="0" w:line="240" w:lineRule="auto"/>
      </w:pPr>
      <w:r>
        <w:continuationSeparator/>
      </w:r>
    </w:p>
  </w:footnote>
  <w:footnote w:id="1">
    <w:p w:rsidR="000D4A62" w:rsidRDefault="000D4A62">
      <w:pPr>
        <w:pStyle w:val="Textpoznmkypodiarou"/>
      </w:pPr>
      <w:r>
        <w:rPr>
          <w:rStyle w:val="Odkaznapoznmkupodiarou"/>
          <w:rFonts w:cs="Calibri"/>
        </w:rPr>
        <w:footnoteRef/>
      </w:r>
      <w:r w:rsidRPr="00FC2EB5">
        <w:rPr>
          <w:sz w:val="18"/>
          <w:szCs w:val="18"/>
        </w:rPr>
        <w:t>I</w:t>
      </w:r>
      <w:r w:rsidRPr="00FC2EB5">
        <w:rPr>
          <w:spacing w:val="-2"/>
          <w:sz w:val="18"/>
          <w:szCs w:val="18"/>
        </w:rPr>
        <w:t>n</w:t>
      </w:r>
      <w:r w:rsidRPr="00FC2EB5">
        <w:rPr>
          <w:spacing w:val="1"/>
          <w:sz w:val="18"/>
          <w:szCs w:val="18"/>
        </w:rPr>
        <w:t>d</w:t>
      </w:r>
      <w:r w:rsidRPr="00FC2EB5">
        <w:rPr>
          <w:sz w:val="18"/>
          <w:szCs w:val="18"/>
        </w:rPr>
        <w:t>ex</w:t>
      </w:r>
      <w:r>
        <w:rPr>
          <w:sz w:val="18"/>
          <w:szCs w:val="18"/>
        </w:rPr>
        <w:t xml:space="preserve"> </w:t>
      </w:r>
      <w:r w:rsidRPr="00FC2EB5">
        <w:rPr>
          <w:spacing w:val="1"/>
          <w:sz w:val="18"/>
          <w:szCs w:val="18"/>
        </w:rPr>
        <w:t>RC</w:t>
      </w:r>
      <w:r w:rsidRPr="00FC2EB5">
        <w:rPr>
          <w:sz w:val="18"/>
          <w:szCs w:val="18"/>
        </w:rPr>
        <w:t>A</w:t>
      </w:r>
      <w:r>
        <w:rPr>
          <w:sz w:val="18"/>
          <w:szCs w:val="18"/>
        </w:rPr>
        <w:t xml:space="preserve"> </w:t>
      </w:r>
      <w:r w:rsidRPr="00FC2EB5">
        <w:rPr>
          <w:spacing w:val="1"/>
          <w:sz w:val="18"/>
          <w:szCs w:val="18"/>
        </w:rPr>
        <w:t>v</w:t>
      </w:r>
      <w:r w:rsidRPr="00FC2EB5">
        <w:rPr>
          <w:spacing w:val="-2"/>
          <w:sz w:val="18"/>
          <w:szCs w:val="18"/>
        </w:rPr>
        <w:t>y</w:t>
      </w:r>
      <w:r w:rsidRPr="00FC2EB5">
        <w:rPr>
          <w:spacing w:val="-1"/>
          <w:sz w:val="18"/>
          <w:szCs w:val="18"/>
        </w:rPr>
        <w:t>šš</w:t>
      </w:r>
      <w:r w:rsidRPr="00FC2EB5">
        <w:rPr>
          <w:sz w:val="18"/>
          <w:szCs w:val="18"/>
        </w:rPr>
        <w:t>í</w:t>
      </w:r>
      <w:r>
        <w:rPr>
          <w:sz w:val="18"/>
          <w:szCs w:val="18"/>
        </w:rPr>
        <w:t xml:space="preserve"> </w:t>
      </w:r>
      <w:r w:rsidRPr="00FC2EB5">
        <w:rPr>
          <w:spacing w:val="2"/>
          <w:sz w:val="18"/>
          <w:szCs w:val="18"/>
        </w:rPr>
        <w:t>a</w:t>
      </w:r>
      <w:r w:rsidRPr="00FC2EB5">
        <w:rPr>
          <w:spacing w:val="-2"/>
          <w:sz w:val="18"/>
          <w:szCs w:val="18"/>
        </w:rPr>
        <w:t>k</w:t>
      </w:r>
      <w:r w:rsidRPr="00FC2EB5">
        <w:rPr>
          <w:sz w:val="18"/>
          <w:szCs w:val="18"/>
        </w:rPr>
        <w:t>o</w:t>
      </w:r>
      <w:r>
        <w:rPr>
          <w:sz w:val="18"/>
          <w:szCs w:val="18"/>
        </w:rPr>
        <w:t xml:space="preserve"> </w:t>
      </w:r>
      <w:r w:rsidRPr="00FC2EB5">
        <w:rPr>
          <w:sz w:val="18"/>
          <w:szCs w:val="18"/>
        </w:rPr>
        <w:t>1</w:t>
      </w:r>
      <w:r>
        <w:rPr>
          <w:sz w:val="18"/>
          <w:szCs w:val="18"/>
        </w:rPr>
        <w:t xml:space="preserve"> </w:t>
      </w:r>
      <w:r w:rsidRPr="00FC2EB5">
        <w:rPr>
          <w:spacing w:val="-1"/>
          <w:sz w:val="18"/>
          <w:szCs w:val="18"/>
        </w:rPr>
        <w:t>i</w:t>
      </w:r>
      <w:r w:rsidRPr="00FC2EB5">
        <w:rPr>
          <w:spacing w:val="-2"/>
          <w:sz w:val="18"/>
          <w:szCs w:val="18"/>
        </w:rPr>
        <w:t>n</w:t>
      </w:r>
      <w:r w:rsidRPr="00FC2EB5">
        <w:rPr>
          <w:spacing w:val="3"/>
          <w:sz w:val="18"/>
          <w:szCs w:val="18"/>
        </w:rPr>
        <w:t>d</w:t>
      </w:r>
      <w:r w:rsidRPr="00FC2EB5">
        <w:rPr>
          <w:spacing w:val="-1"/>
          <w:sz w:val="18"/>
          <w:szCs w:val="18"/>
        </w:rPr>
        <w:t>i</w:t>
      </w:r>
      <w:r w:rsidRPr="00FC2EB5">
        <w:rPr>
          <w:spacing w:val="-2"/>
          <w:sz w:val="18"/>
          <w:szCs w:val="18"/>
        </w:rPr>
        <w:t>ku</w:t>
      </w:r>
      <w:r w:rsidRPr="00FC2EB5">
        <w:rPr>
          <w:spacing w:val="2"/>
          <w:sz w:val="18"/>
          <w:szCs w:val="18"/>
        </w:rPr>
        <w:t>j</w:t>
      </w:r>
      <w:r w:rsidRPr="00FC2EB5">
        <w:rPr>
          <w:sz w:val="18"/>
          <w:szCs w:val="18"/>
        </w:rPr>
        <w:t>e</w:t>
      </w:r>
      <w:r>
        <w:rPr>
          <w:sz w:val="18"/>
          <w:szCs w:val="18"/>
        </w:rPr>
        <w:t xml:space="preserve"> </w:t>
      </w:r>
      <w:r w:rsidRPr="00FC2EB5">
        <w:rPr>
          <w:spacing w:val="-2"/>
          <w:sz w:val="18"/>
          <w:szCs w:val="18"/>
        </w:rPr>
        <w:t>k</w:t>
      </w:r>
      <w:r w:rsidRPr="00FC2EB5">
        <w:rPr>
          <w:spacing w:val="3"/>
          <w:sz w:val="18"/>
          <w:szCs w:val="18"/>
        </w:rPr>
        <w:t>o</w:t>
      </w:r>
      <w:r w:rsidRPr="00FC2EB5">
        <w:rPr>
          <w:spacing w:val="-2"/>
          <w:sz w:val="18"/>
          <w:szCs w:val="18"/>
        </w:rPr>
        <w:t>m</w:t>
      </w:r>
      <w:r w:rsidRPr="00FC2EB5">
        <w:rPr>
          <w:spacing w:val="1"/>
          <w:sz w:val="18"/>
          <w:szCs w:val="18"/>
        </w:rPr>
        <w:t>p</w:t>
      </w:r>
      <w:r w:rsidRPr="00FC2EB5">
        <w:rPr>
          <w:sz w:val="18"/>
          <w:szCs w:val="18"/>
        </w:rPr>
        <w:t>ara</w:t>
      </w:r>
      <w:r w:rsidRPr="00FC2EB5">
        <w:rPr>
          <w:spacing w:val="-1"/>
          <w:sz w:val="18"/>
          <w:szCs w:val="18"/>
        </w:rPr>
        <w:t>tí</w:t>
      </w:r>
      <w:r w:rsidRPr="00FC2EB5">
        <w:rPr>
          <w:spacing w:val="1"/>
          <w:sz w:val="18"/>
          <w:szCs w:val="18"/>
        </w:rPr>
        <w:t>vn</w:t>
      </w:r>
      <w:r w:rsidRPr="00FC2EB5">
        <w:rPr>
          <w:sz w:val="18"/>
          <w:szCs w:val="18"/>
        </w:rPr>
        <w:t>u</w:t>
      </w:r>
      <w:r>
        <w:rPr>
          <w:sz w:val="18"/>
          <w:szCs w:val="18"/>
        </w:rPr>
        <w:t xml:space="preserve"> </w:t>
      </w:r>
      <w:r w:rsidRPr="00FC2EB5">
        <w:rPr>
          <w:spacing w:val="1"/>
          <w:sz w:val="18"/>
          <w:szCs w:val="18"/>
        </w:rPr>
        <w:t>v</w:t>
      </w:r>
      <w:r w:rsidRPr="00FC2EB5">
        <w:rPr>
          <w:spacing w:val="-2"/>
          <w:sz w:val="18"/>
          <w:szCs w:val="18"/>
        </w:rPr>
        <w:t>ýh</w:t>
      </w:r>
      <w:r w:rsidRPr="00FC2EB5">
        <w:rPr>
          <w:spacing w:val="1"/>
          <w:sz w:val="18"/>
          <w:szCs w:val="18"/>
        </w:rPr>
        <w:t>o</w:t>
      </w:r>
      <w:r w:rsidRPr="00FC2EB5">
        <w:rPr>
          <w:spacing w:val="3"/>
          <w:sz w:val="18"/>
          <w:szCs w:val="18"/>
        </w:rPr>
        <w:t>d</w:t>
      </w:r>
      <w:r w:rsidRPr="00FC2EB5">
        <w:rPr>
          <w:sz w:val="18"/>
          <w:szCs w:val="18"/>
        </w:rPr>
        <w:t>u</w:t>
      </w:r>
      <w:r>
        <w:rPr>
          <w:sz w:val="18"/>
          <w:szCs w:val="18"/>
        </w:rPr>
        <w:t xml:space="preserve"> </w:t>
      </w:r>
      <w:r w:rsidRPr="00FC2EB5">
        <w:rPr>
          <w:sz w:val="18"/>
          <w:szCs w:val="18"/>
        </w:rPr>
        <w:t>a</w:t>
      </w:r>
      <w:r>
        <w:rPr>
          <w:sz w:val="18"/>
          <w:szCs w:val="18"/>
        </w:rPr>
        <w:t xml:space="preserve"> </w:t>
      </w:r>
      <w:r w:rsidRPr="00FC2EB5">
        <w:rPr>
          <w:spacing w:val="-1"/>
          <w:sz w:val="18"/>
          <w:szCs w:val="18"/>
        </w:rPr>
        <w:t>š</w:t>
      </w:r>
      <w:r w:rsidRPr="00FC2EB5">
        <w:rPr>
          <w:spacing w:val="1"/>
          <w:sz w:val="18"/>
          <w:szCs w:val="18"/>
        </w:rPr>
        <w:t>p</w:t>
      </w:r>
      <w:r w:rsidRPr="00FC2EB5">
        <w:rPr>
          <w:sz w:val="18"/>
          <w:szCs w:val="18"/>
        </w:rPr>
        <w:t>ec</w:t>
      </w:r>
      <w:r w:rsidRPr="00FC2EB5">
        <w:rPr>
          <w:spacing w:val="-1"/>
          <w:sz w:val="18"/>
          <w:szCs w:val="18"/>
        </w:rPr>
        <w:t>i</w:t>
      </w:r>
      <w:r w:rsidRPr="00FC2EB5">
        <w:rPr>
          <w:sz w:val="18"/>
          <w:szCs w:val="18"/>
        </w:rPr>
        <w:t>a</w:t>
      </w:r>
      <w:r w:rsidRPr="00FC2EB5">
        <w:rPr>
          <w:spacing w:val="-1"/>
          <w:sz w:val="18"/>
          <w:szCs w:val="18"/>
        </w:rPr>
        <w:t>li</w:t>
      </w:r>
      <w:r w:rsidRPr="00FC2EB5">
        <w:rPr>
          <w:sz w:val="18"/>
          <w:szCs w:val="18"/>
        </w:rPr>
        <w:t>zác</w:t>
      </w:r>
      <w:r w:rsidRPr="00FC2EB5">
        <w:rPr>
          <w:spacing w:val="-1"/>
          <w:sz w:val="18"/>
          <w:szCs w:val="18"/>
        </w:rPr>
        <w:t>i</w:t>
      </w:r>
      <w:r w:rsidRPr="00FC2EB5">
        <w:rPr>
          <w:sz w:val="18"/>
          <w:szCs w:val="18"/>
        </w:rPr>
        <w:t>u</w:t>
      </w:r>
      <w:r>
        <w:rPr>
          <w:sz w:val="18"/>
          <w:szCs w:val="18"/>
        </w:rPr>
        <w:t xml:space="preserve"> </w:t>
      </w:r>
      <w:r w:rsidRPr="00FC2EB5">
        <w:rPr>
          <w:spacing w:val="1"/>
          <w:sz w:val="18"/>
          <w:szCs w:val="18"/>
        </w:rPr>
        <w:t>d</w:t>
      </w:r>
      <w:r w:rsidRPr="00FC2EB5">
        <w:rPr>
          <w:spacing w:val="2"/>
          <w:sz w:val="18"/>
          <w:szCs w:val="18"/>
        </w:rPr>
        <w:t>a</w:t>
      </w:r>
      <w:r w:rsidRPr="00FC2EB5">
        <w:rPr>
          <w:spacing w:val="-2"/>
          <w:sz w:val="18"/>
          <w:szCs w:val="18"/>
        </w:rPr>
        <w:t>n</w:t>
      </w:r>
      <w:r w:rsidRPr="00FC2EB5">
        <w:rPr>
          <w:sz w:val="18"/>
          <w:szCs w:val="18"/>
        </w:rPr>
        <w:t>ej</w:t>
      </w:r>
      <w:r>
        <w:rPr>
          <w:sz w:val="18"/>
          <w:szCs w:val="18"/>
        </w:rPr>
        <w:t xml:space="preserve"> </w:t>
      </w:r>
      <w:r w:rsidRPr="00FC2EB5">
        <w:rPr>
          <w:spacing w:val="-2"/>
          <w:sz w:val="18"/>
          <w:szCs w:val="18"/>
        </w:rPr>
        <w:t>k</w:t>
      </w:r>
      <w:r w:rsidRPr="00FC2EB5">
        <w:rPr>
          <w:sz w:val="18"/>
          <w:szCs w:val="18"/>
        </w:rPr>
        <w:t>ra</w:t>
      </w:r>
      <w:r w:rsidRPr="00FC2EB5">
        <w:rPr>
          <w:spacing w:val="2"/>
          <w:sz w:val="18"/>
          <w:szCs w:val="18"/>
        </w:rPr>
        <w:t>j</w:t>
      </w:r>
      <w:r w:rsidRPr="00FC2EB5">
        <w:rPr>
          <w:spacing w:val="-1"/>
          <w:sz w:val="18"/>
          <w:szCs w:val="18"/>
        </w:rPr>
        <w:t>i</w:t>
      </w:r>
      <w:r w:rsidRPr="00FC2EB5">
        <w:rPr>
          <w:spacing w:val="1"/>
          <w:sz w:val="18"/>
          <w:szCs w:val="18"/>
        </w:rPr>
        <w:t>n</w:t>
      </w:r>
      <w:r w:rsidRPr="00FC2EB5">
        <w:rPr>
          <w:sz w:val="18"/>
          <w:szCs w:val="18"/>
        </w:rPr>
        <w:t>y</w:t>
      </w:r>
      <w:r>
        <w:rPr>
          <w:sz w:val="18"/>
          <w:szCs w:val="18"/>
        </w:rPr>
        <w:t xml:space="preserve"> </w:t>
      </w:r>
      <w:r w:rsidRPr="00FC2EB5">
        <w:rPr>
          <w:spacing w:val="-2"/>
          <w:sz w:val="18"/>
          <w:szCs w:val="18"/>
        </w:rPr>
        <w:t>n</w:t>
      </w:r>
      <w:r w:rsidRPr="00FC2EB5">
        <w:rPr>
          <w:sz w:val="18"/>
          <w:szCs w:val="18"/>
        </w:rPr>
        <w:t>a</w:t>
      </w:r>
      <w:r>
        <w:rPr>
          <w:sz w:val="18"/>
          <w:szCs w:val="18"/>
        </w:rPr>
        <w:t xml:space="preserve"> </w:t>
      </w:r>
      <w:r w:rsidRPr="00FC2EB5">
        <w:rPr>
          <w:spacing w:val="-2"/>
          <w:sz w:val="18"/>
          <w:szCs w:val="18"/>
        </w:rPr>
        <w:t>u</w:t>
      </w:r>
      <w:r w:rsidRPr="00FC2EB5">
        <w:rPr>
          <w:sz w:val="18"/>
          <w:szCs w:val="18"/>
        </w:rPr>
        <w:t>r</w:t>
      </w:r>
      <w:r w:rsidRPr="00FC2EB5">
        <w:rPr>
          <w:spacing w:val="-2"/>
          <w:sz w:val="18"/>
          <w:szCs w:val="18"/>
        </w:rPr>
        <w:t>č</w:t>
      </w:r>
      <w:r w:rsidRPr="00FC2EB5">
        <w:rPr>
          <w:spacing w:val="-1"/>
          <w:sz w:val="18"/>
          <w:szCs w:val="18"/>
        </w:rPr>
        <w:t>i</w:t>
      </w:r>
      <w:r w:rsidRPr="00FC2EB5">
        <w:rPr>
          <w:spacing w:val="2"/>
          <w:sz w:val="18"/>
          <w:szCs w:val="18"/>
        </w:rPr>
        <w:t>t</w:t>
      </w:r>
      <w:r w:rsidRPr="00FC2EB5">
        <w:rPr>
          <w:sz w:val="18"/>
          <w:szCs w:val="18"/>
        </w:rPr>
        <w:t>ý</w:t>
      </w:r>
      <w:r>
        <w:rPr>
          <w:sz w:val="18"/>
          <w:szCs w:val="18"/>
        </w:rPr>
        <w:t xml:space="preserve"> </w:t>
      </w:r>
      <w:r w:rsidRPr="00FC2EB5">
        <w:rPr>
          <w:spacing w:val="-1"/>
          <w:sz w:val="18"/>
          <w:szCs w:val="18"/>
        </w:rPr>
        <w:t>t</w:t>
      </w:r>
      <w:r w:rsidRPr="00FC2EB5">
        <w:rPr>
          <w:spacing w:val="3"/>
          <w:sz w:val="18"/>
          <w:szCs w:val="18"/>
        </w:rPr>
        <w:t>o</w:t>
      </w:r>
      <w:r w:rsidRPr="00FC2EB5">
        <w:rPr>
          <w:spacing w:val="-2"/>
          <w:sz w:val="18"/>
          <w:szCs w:val="18"/>
        </w:rPr>
        <w:t>v</w:t>
      </w:r>
      <w:r w:rsidRPr="00FC2EB5">
        <w:rPr>
          <w:sz w:val="18"/>
          <w:szCs w:val="18"/>
        </w:rPr>
        <w:t>ar</w:t>
      </w:r>
      <w:r>
        <w:rPr>
          <w:sz w:val="18"/>
          <w:szCs w:val="18"/>
        </w:rPr>
        <w:t xml:space="preserve"> </w:t>
      </w:r>
      <w:r w:rsidRPr="00FC2EB5">
        <w:rPr>
          <w:sz w:val="18"/>
          <w:szCs w:val="18"/>
        </w:rPr>
        <w:t>a</w:t>
      </w:r>
      <w:r w:rsidRPr="00FC2EB5">
        <w:rPr>
          <w:spacing w:val="-1"/>
          <w:sz w:val="18"/>
          <w:szCs w:val="18"/>
        </w:rPr>
        <w:t>l</w:t>
      </w:r>
      <w:r w:rsidRPr="00FC2EB5">
        <w:rPr>
          <w:sz w:val="18"/>
          <w:szCs w:val="18"/>
        </w:rPr>
        <w:t>e</w:t>
      </w:r>
      <w:r w:rsidRPr="00FC2EB5">
        <w:rPr>
          <w:spacing w:val="1"/>
          <w:sz w:val="18"/>
          <w:szCs w:val="18"/>
        </w:rPr>
        <w:t>b</w:t>
      </w:r>
      <w:r w:rsidRPr="00FC2EB5">
        <w:rPr>
          <w:sz w:val="18"/>
          <w:szCs w:val="18"/>
        </w:rPr>
        <w:t>o</w:t>
      </w:r>
      <w:r>
        <w:rPr>
          <w:sz w:val="18"/>
          <w:szCs w:val="18"/>
        </w:rPr>
        <w:t xml:space="preserve"> </w:t>
      </w:r>
      <w:r w:rsidRPr="00FC2EB5">
        <w:rPr>
          <w:spacing w:val="-1"/>
          <w:sz w:val="18"/>
          <w:szCs w:val="18"/>
        </w:rPr>
        <w:t>sl</w:t>
      </w:r>
      <w:r w:rsidRPr="00FC2EB5">
        <w:rPr>
          <w:spacing w:val="-2"/>
          <w:sz w:val="18"/>
          <w:szCs w:val="18"/>
        </w:rPr>
        <w:t>u</w:t>
      </w:r>
      <w:r w:rsidRPr="00FC2EB5">
        <w:rPr>
          <w:sz w:val="18"/>
          <w:szCs w:val="18"/>
        </w:rPr>
        <w:t>ž</w:t>
      </w:r>
      <w:r w:rsidRPr="00FC2EB5">
        <w:rPr>
          <w:spacing w:val="3"/>
          <w:sz w:val="18"/>
          <w:szCs w:val="18"/>
        </w:rPr>
        <w:t>b</w:t>
      </w:r>
      <w:r w:rsidRPr="00FC2EB5">
        <w:rPr>
          <w:sz w:val="18"/>
          <w:szCs w:val="18"/>
        </w:rPr>
        <w:t>u</w:t>
      </w:r>
      <w:r>
        <w:rPr>
          <w:sz w:val="18"/>
          <w:szCs w:val="18"/>
        </w:rPr>
        <w:t xml:space="preserve"> </w:t>
      </w:r>
      <w:r w:rsidRPr="00FC2EB5">
        <w:rPr>
          <w:sz w:val="18"/>
          <w:szCs w:val="18"/>
        </w:rPr>
        <w:t>v</w:t>
      </w:r>
      <w:r>
        <w:rPr>
          <w:sz w:val="18"/>
          <w:szCs w:val="18"/>
        </w:rPr>
        <w:t xml:space="preserve"> </w:t>
      </w:r>
      <w:r w:rsidRPr="00FC2EB5">
        <w:rPr>
          <w:spacing w:val="1"/>
          <w:sz w:val="18"/>
          <w:szCs w:val="18"/>
        </w:rPr>
        <w:t>po</w:t>
      </w:r>
      <w:r w:rsidRPr="00FC2EB5">
        <w:rPr>
          <w:sz w:val="18"/>
          <w:szCs w:val="18"/>
        </w:rPr>
        <w:t>r</w:t>
      </w:r>
      <w:r w:rsidRPr="00FC2EB5">
        <w:rPr>
          <w:spacing w:val="1"/>
          <w:sz w:val="18"/>
          <w:szCs w:val="18"/>
        </w:rPr>
        <w:t>o</w:t>
      </w:r>
      <w:r w:rsidRPr="00FC2EB5">
        <w:rPr>
          <w:spacing w:val="-2"/>
          <w:sz w:val="18"/>
          <w:szCs w:val="18"/>
        </w:rPr>
        <w:t>vn</w:t>
      </w:r>
      <w:r w:rsidRPr="00FC2EB5">
        <w:rPr>
          <w:spacing w:val="2"/>
          <w:sz w:val="18"/>
          <w:szCs w:val="18"/>
        </w:rPr>
        <w:t>a</w:t>
      </w:r>
      <w:r w:rsidRPr="00FC2EB5">
        <w:rPr>
          <w:spacing w:val="-2"/>
          <w:sz w:val="18"/>
          <w:szCs w:val="18"/>
        </w:rPr>
        <w:t>n</w:t>
      </w:r>
      <w:r w:rsidRPr="00FC2EB5">
        <w:rPr>
          <w:sz w:val="18"/>
          <w:szCs w:val="18"/>
        </w:rPr>
        <w:t>í</w:t>
      </w:r>
      <w:r>
        <w:rPr>
          <w:sz w:val="18"/>
          <w:szCs w:val="18"/>
        </w:rPr>
        <w:t xml:space="preserve"> </w:t>
      </w:r>
      <w:r w:rsidRPr="00FC2EB5">
        <w:rPr>
          <w:sz w:val="18"/>
          <w:szCs w:val="18"/>
        </w:rPr>
        <w:t>s</w:t>
      </w:r>
      <w:r>
        <w:rPr>
          <w:sz w:val="18"/>
          <w:szCs w:val="18"/>
        </w:rPr>
        <w:t> </w:t>
      </w:r>
      <w:r w:rsidRPr="00FC2EB5">
        <w:rPr>
          <w:sz w:val="18"/>
          <w:szCs w:val="18"/>
        </w:rPr>
        <w:t>EÚ</w:t>
      </w:r>
      <w:r w:rsidRPr="00FC2EB5">
        <w:rPr>
          <w:spacing w:val="1"/>
          <w:sz w:val="18"/>
          <w:szCs w:val="18"/>
        </w:rPr>
        <w:t>27</w:t>
      </w:r>
      <w:r w:rsidRPr="00FC2EB5">
        <w:rPr>
          <w:sz w:val="18"/>
          <w:szCs w:val="18"/>
        </w:rPr>
        <w:t>.</w:t>
      </w:r>
      <w:r>
        <w:rPr>
          <w:sz w:val="18"/>
          <w:szCs w:val="18"/>
        </w:rPr>
        <w:t xml:space="preserve"> </w:t>
      </w:r>
      <w:r w:rsidRPr="00FC2EB5">
        <w:rPr>
          <w:sz w:val="18"/>
          <w:szCs w:val="18"/>
        </w:rPr>
        <w:t>I</w:t>
      </w:r>
      <w:r w:rsidRPr="00FC2EB5">
        <w:rPr>
          <w:spacing w:val="-2"/>
          <w:sz w:val="18"/>
          <w:szCs w:val="18"/>
        </w:rPr>
        <w:t>n</w:t>
      </w:r>
      <w:r w:rsidRPr="00FC2EB5">
        <w:rPr>
          <w:spacing w:val="1"/>
          <w:sz w:val="18"/>
          <w:szCs w:val="18"/>
        </w:rPr>
        <w:t>d</w:t>
      </w:r>
      <w:r w:rsidRPr="00FC2EB5">
        <w:rPr>
          <w:sz w:val="18"/>
          <w:szCs w:val="18"/>
        </w:rPr>
        <w:t>ex</w:t>
      </w:r>
      <w:r>
        <w:rPr>
          <w:sz w:val="18"/>
          <w:szCs w:val="18"/>
        </w:rPr>
        <w:t xml:space="preserve"> </w:t>
      </w:r>
      <w:r w:rsidRPr="00FC2EB5">
        <w:rPr>
          <w:spacing w:val="-2"/>
          <w:sz w:val="18"/>
          <w:szCs w:val="18"/>
        </w:rPr>
        <w:t>n</w:t>
      </w:r>
      <w:r w:rsidRPr="00FC2EB5">
        <w:rPr>
          <w:spacing w:val="-1"/>
          <w:sz w:val="18"/>
          <w:szCs w:val="18"/>
        </w:rPr>
        <w:t>i</w:t>
      </w:r>
      <w:r w:rsidRPr="00FC2EB5">
        <w:rPr>
          <w:sz w:val="18"/>
          <w:szCs w:val="18"/>
        </w:rPr>
        <w:t>ž</w:t>
      </w:r>
      <w:r w:rsidRPr="00FC2EB5">
        <w:rPr>
          <w:spacing w:val="-1"/>
          <w:sz w:val="18"/>
          <w:szCs w:val="18"/>
        </w:rPr>
        <w:t>š</w:t>
      </w:r>
      <w:r w:rsidRPr="00FC2EB5">
        <w:rPr>
          <w:sz w:val="18"/>
          <w:szCs w:val="18"/>
        </w:rPr>
        <w:t>í</w:t>
      </w:r>
      <w:r>
        <w:rPr>
          <w:sz w:val="18"/>
          <w:szCs w:val="18"/>
        </w:rPr>
        <w:t xml:space="preserve"> </w:t>
      </w:r>
      <w:r w:rsidRPr="00FC2EB5">
        <w:rPr>
          <w:spacing w:val="2"/>
          <w:sz w:val="18"/>
          <w:szCs w:val="18"/>
        </w:rPr>
        <w:t>a</w:t>
      </w:r>
      <w:r w:rsidRPr="00FC2EB5">
        <w:rPr>
          <w:spacing w:val="-2"/>
          <w:sz w:val="18"/>
          <w:szCs w:val="18"/>
        </w:rPr>
        <w:t>k</w:t>
      </w:r>
      <w:r w:rsidRPr="00FC2EB5">
        <w:rPr>
          <w:sz w:val="18"/>
          <w:szCs w:val="18"/>
        </w:rPr>
        <w:t>o</w:t>
      </w:r>
      <w:r>
        <w:rPr>
          <w:sz w:val="18"/>
          <w:szCs w:val="18"/>
        </w:rPr>
        <w:t xml:space="preserve"> </w:t>
      </w:r>
      <w:r w:rsidRPr="00FC2EB5">
        <w:rPr>
          <w:sz w:val="18"/>
          <w:szCs w:val="18"/>
        </w:rPr>
        <w:t>1</w:t>
      </w:r>
      <w:r>
        <w:rPr>
          <w:sz w:val="18"/>
          <w:szCs w:val="18"/>
        </w:rPr>
        <w:t xml:space="preserve"> </w:t>
      </w:r>
      <w:r w:rsidRPr="00FC2EB5">
        <w:rPr>
          <w:spacing w:val="-1"/>
          <w:sz w:val="18"/>
          <w:szCs w:val="18"/>
        </w:rPr>
        <w:t>i</w:t>
      </w:r>
      <w:r w:rsidRPr="00FC2EB5">
        <w:rPr>
          <w:spacing w:val="-2"/>
          <w:sz w:val="18"/>
          <w:szCs w:val="18"/>
        </w:rPr>
        <w:t>n</w:t>
      </w:r>
      <w:r w:rsidRPr="00FC2EB5">
        <w:rPr>
          <w:spacing w:val="1"/>
          <w:sz w:val="18"/>
          <w:szCs w:val="18"/>
        </w:rPr>
        <w:t>d</w:t>
      </w:r>
      <w:r w:rsidRPr="00FC2EB5">
        <w:rPr>
          <w:spacing w:val="-1"/>
          <w:sz w:val="18"/>
          <w:szCs w:val="18"/>
        </w:rPr>
        <w:t>i</w:t>
      </w:r>
      <w:r w:rsidRPr="00FC2EB5">
        <w:rPr>
          <w:spacing w:val="1"/>
          <w:sz w:val="18"/>
          <w:szCs w:val="18"/>
        </w:rPr>
        <w:t>k</w:t>
      </w:r>
      <w:r w:rsidRPr="00FC2EB5">
        <w:rPr>
          <w:spacing w:val="-2"/>
          <w:sz w:val="18"/>
          <w:szCs w:val="18"/>
        </w:rPr>
        <w:t>u</w:t>
      </w:r>
      <w:r w:rsidRPr="00FC2EB5">
        <w:rPr>
          <w:spacing w:val="2"/>
          <w:sz w:val="18"/>
          <w:szCs w:val="18"/>
        </w:rPr>
        <w:t>j</w:t>
      </w:r>
      <w:r w:rsidRPr="00FC2EB5">
        <w:rPr>
          <w:sz w:val="18"/>
          <w:szCs w:val="18"/>
        </w:rPr>
        <w:t>e,</w:t>
      </w:r>
      <w:r>
        <w:rPr>
          <w:sz w:val="18"/>
          <w:szCs w:val="18"/>
        </w:rPr>
        <w:t xml:space="preserve"> </w:t>
      </w:r>
      <w:r w:rsidRPr="00FC2EB5">
        <w:rPr>
          <w:sz w:val="18"/>
          <w:szCs w:val="18"/>
        </w:rPr>
        <w:t>že</w:t>
      </w:r>
      <w:r>
        <w:rPr>
          <w:sz w:val="18"/>
          <w:szCs w:val="18"/>
        </w:rPr>
        <w:t xml:space="preserve"> </w:t>
      </w:r>
      <w:r w:rsidRPr="00FC2EB5">
        <w:rPr>
          <w:sz w:val="18"/>
          <w:szCs w:val="18"/>
        </w:rPr>
        <w:t>v</w:t>
      </w:r>
      <w:r>
        <w:rPr>
          <w:sz w:val="18"/>
          <w:szCs w:val="18"/>
        </w:rPr>
        <w:t xml:space="preserve"> </w:t>
      </w:r>
      <w:r w:rsidRPr="00FC2EB5">
        <w:rPr>
          <w:spacing w:val="1"/>
          <w:sz w:val="18"/>
          <w:szCs w:val="18"/>
        </w:rPr>
        <w:t>d</w:t>
      </w:r>
      <w:r w:rsidRPr="00FC2EB5">
        <w:rPr>
          <w:sz w:val="18"/>
          <w:szCs w:val="18"/>
        </w:rPr>
        <w:t>a</w:t>
      </w:r>
      <w:r w:rsidRPr="00FC2EB5">
        <w:rPr>
          <w:spacing w:val="-2"/>
          <w:sz w:val="18"/>
          <w:szCs w:val="18"/>
        </w:rPr>
        <w:t>n</w:t>
      </w:r>
      <w:r w:rsidRPr="00FC2EB5">
        <w:rPr>
          <w:sz w:val="18"/>
          <w:szCs w:val="18"/>
        </w:rPr>
        <w:t>ej</w:t>
      </w:r>
      <w:r>
        <w:rPr>
          <w:sz w:val="18"/>
          <w:szCs w:val="18"/>
        </w:rPr>
        <w:t xml:space="preserve"> </w:t>
      </w:r>
      <w:r w:rsidRPr="00FC2EB5">
        <w:rPr>
          <w:spacing w:val="-2"/>
          <w:sz w:val="18"/>
          <w:szCs w:val="18"/>
        </w:rPr>
        <w:t>k</w:t>
      </w:r>
      <w:r w:rsidRPr="00FC2EB5">
        <w:rPr>
          <w:spacing w:val="3"/>
          <w:sz w:val="18"/>
          <w:szCs w:val="18"/>
        </w:rPr>
        <w:t>o</w:t>
      </w:r>
      <w:r w:rsidRPr="00FC2EB5">
        <w:rPr>
          <w:spacing w:val="-5"/>
          <w:sz w:val="18"/>
          <w:szCs w:val="18"/>
        </w:rPr>
        <w:t>m</w:t>
      </w:r>
      <w:r w:rsidRPr="00FC2EB5">
        <w:rPr>
          <w:spacing w:val="1"/>
          <w:sz w:val="18"/>
          <w:szCs w:val="18"/>
        </w:rPr>
        <w:t>od</w:t>
      </w:r>
      <w:r w:rsidRPr="00FC2EB5">
        <w:rPr>
          <w:spacing w:val="-1"/>
          <w:sz w:val="18"/>
          <w:szCs w:val="18"/>
        </w:rPr>
        <w:t>it</w:t>
      </w:r>
      <w:r w:rsidRPr="00FC2EB5">
        <w:rPr>
          <w:sz w:val="18"/>
          <w:szCs w:val="18"/>
        </w:rPr>
        <w:t>e</w:t>
      </w:r>
      <w:r>
        <w:rPr>
          <w:sz w:val="18"/>
          <w:szCs w:val="18"/>
        </w:rPr>
        <w:t xml:space="preserve"> </w:t>
      </w:r>
      <w:r w:rsidRPr="00FC2EB5">
        <w:rPr>
          <w:spacing w:val="-2"/>
          <w:sz w:val="18"/>
          <w:szCs w:val="18"/>
        </w:rPr>
        <w:t>k</w:t>
      </w:r>
      <w:r w:rsidRPr="00FC2EB5">
        <w:rPr>
          <w:sz w:val="18"/>
          <w:szCs w:val="18"/>
        </w:rPr>
        <w:t>ra</w:t>
      </w:r>
      <w:r w:rsidRPr="00FC2EB5">
        <w:rPr>
          <w:spacing w:val="2"/>
          <w:sz w:val="18"/>
          <w:szCs w:val="18"/>
        </w:rPr>
        <w:t>j</w:t>
      </w:r>
      <w:r w:rsidRPr="00FC2EB5">
        <w:rPr>
          <w:spacing w:val="-1"/>
          <w:sz w:val="18"/>
          <w:szCs w:val="18"/>
        </w:rPr>
        <w:t>i</w:t>
      </w:r>
      <w:r w:rsidRPr="00FC2EB5">
        <w:rPr>
          <w:spacing w:val="-2"/>
          <w:sz w:val="18"/>
          <w:szCs w:val="18"/>
        </w:rPr>
        <w:t>n</w:t>
      </w:r>
      <w:r w:rsidRPr="00FC2EB5">
        <w:rPr>
          <w:sz w:val="18"/>
          <w:szCs w:val="18"/>
        </w:rPr>
        <w:t>a</w:t>
      </w:r>
      <w:r>
        <w:rPr>
          <w:sz w:val="18"/>
          <w:szCs w:val="18"/>
        </w:rPr>
        <w:t xml:space="preserve"> </w:t>
      </w:r>
      <w:r w:rsidRPr="00FC2EB5">
        <w:rPr>
          <w:spacing w:val="2"/>
          <w:sz w:val="18"/>
          <w:szCs w:val="18"/>
        </w:rPr>
        <w:t>e</w:t>
      </w:r>
      <w:r w:rsidRPr="00FC2EB5">
        <w:rPr>
          <w:spacing w:val="-2"/>
          <w:sz w:val="18"/>
          <w:szCs w:val="18"/>
        </w:rPr>
        <w:t>x</w:t>
      </w:r>
      <w:r w:rsidRPr="00FC2EB5">
        <w:rPr>
          <w:spacing w:val="1"/>
          <w:sz w:val="18"/>
          <w:szCs w:val="18"/>
        </w:rPr>
        <w:t>po</w:t>
      </w:r>
      <w:r w:rsidRPr="00FC2EB5">
        <w:rPr>
          <w:sz w:val="18"/>
          <w:szCs w:val="18"/>
        </w:rPr>
        <w:t>r</w:t>
      </w:r>
      <w:r w:rsidRPr="00FC2EB5">
        <w:rPr>
          <w:spacing w:val="-1"/>
          <w:sz w:val="18"/>
          <w:szCs w:val="18"/>
        </w:rPr>
        <w:t>t</w:t>
      </w:r>
      <w:r w:rsidRPr="00FC2EB5">
        <w:rPr>
          <w:spacing w:val="-2"/>
          <w:sz w:val="18"/>
          <w:szCs w:val="18"/>
        </w:rPr>
        <w:t>u</w:t>
      </w:r>
      <w:r w:rsidRPr="00FC2EB5">
        <w:rPr>
          <w:spacing w:val="2"/>
          <w:sz w:val="18"/>
          <w:szCs w:val="18"/>
        </w:rPr>
        <w:t>j</w:t>
      </w:r>
      <w:r w:rsidRPr="00FC2EB5">
        <w:rPr>
          <w:sz w:val="18"/>
          <w:szCs w:val="18"/>
        </w:rPr>
        <w:t>e</w:t>
      </w:r>
      <w:r>
        <w:rPr>
          <w:sz w:val="18"/>
          <w:szCs w:val="18"/>
        </w:rPr>
        <w:t xml:space="preserve"> </w:t>
      </w:r>
      <w:r w:rsidRPr="00FC2EB5">
        <w:rPr>
          <w:spacing w:val="-5"/>
          <w:sz w:val="18"/>
          <w:szCs w:val="18"/>
        </w:rPr>
        <w:t>m</w:t>
      </w:r>
      <w:r w:rsidRPr="00FC2EB5">
        <w:rPr>
          <w:spacing w:val="2"/>
          <w:sz w:val="18"/>
          <w:szCs w:val="18"/>
        </w:rPr>
        <w:t>e</w:t>
      </w:r>
      <w:r w:rsidRPr="00FC2EB5">
        <w:rPr>
          <w:spacing w:val="-2"/>
          <w:sz w:val="18"/>
          <w:szCs w:val="18"/>
        </w:rPr>
        <w:t>n</w:t>
      </w:r>
      <w:r w:rsidRPr="00FC2EB5">
        <w:rPr>
          <w:sz w:val="18"/>
          <w:szCs w:val="18"/>
        </w:rPr>
        <w:t>e</w:t>
      </w:r>
      <w:r w:rsidRPr="00FC2EB5">
        <w:rPr>
          <w:spacing w:val="2"/>
          <w:sz w:val="18"/>
          <w:szCs w:val="18"/>
        </w:rPr>
        <w:t>j</w:t>
      </w:r>
      <w:r w:rsidRPr="00FC2EB5">
        <w:rPr>
          <w:sz w:val="18"/>
          <w:szCs w:val="18"/>
        </w:rPr>
        <w:t>,</w:t>
      </w:r>
      <w:r>
        <w:rPr>
          <w:sz w:val="18"/>
          <w:szCs w:val="18"/>
        </w:rPr>
        <w:t xml:space="preserve"> </w:t>
      </w:r>
      <w:r w:rsidRPr="00FC2EB5">
        <w:rPr>
          <w:sz w:val="18"/>
          <w:szCs w:val="18"/>
        </w:rPr>
        <w:t>a</w:t>
      </w:r>
      <w:r w:rsidRPr="00FC2EB5">
        <w:rPr>
          <w:spacing w:val="-2"/>
          <w:sz w:val="18"/>
          <w:szCs w:val="18"/>
        </w:rPr>
        <w:t>k</w:t>
      </w:r>
      <w:r w:rsidRPr="00FC2EB5">
        <w:rPr>
          <w:sz w:val="18"/>
          <w:szCs w:val="18"/>
        </w:rPr>
        <w:t>o</w:t>
      </w:r>
      <w:r>
        <w:rPr>
          <w:sz w:val="18"/>
          <w:szCs w:val="18"/>
        </w:rPr>
        <w:t xml:space="preserve"> </w:t>
      </w:r>
      <w:r w:rsidRPr="00FC2EB5">
        <w:rPr>
          <w:spacing w:val="2"/>
          <w:sz w:val="18"/>
          <w:szCs w:val="18"/>
        </w:rPr>
        <w:t>j</w:t>
      </w:r>
      <w:r w:rsidRPr="00FC2EB5">
        <w:rPr>
          <w:sz w:val="18"/>
          <w:szCs w:val="18"/>
        </w:rPr>
        <w:t>e</w:t>
      </w:r>
      <w:r>
        <w:rPr>
          <w:sz w:val="18"/>
          <w:szCs w:val="18"/>
        </w:rPr>
        <w:t xml:space="preserve"> </w:t>
      </w:r>
      <w:r w:rsidRPr="00FC2EB5">
        <w:rPr>
          <w:spacing w:val="1"/>
          <w:sz w:val="18"/>
          <w:szCs w:val="18"/>
        </w:rPr>
        <w:t>p</w:t>
      </w:r>
      <w:r w:rsidRPr="00FC2EB5">
        <w:rPr>
          <w:sz w:val="18"/>
          <w:szCs w:val="18"/>
        </w:rPr>
        <w:t>r</w:t>
      </w:r>
      <w:r w:rsidRPr="00FC2EB5">
        <w:rPr>
          <w:spacing w:val="-1"/>
          <w:sz w:val="18"/>
          <w:szCs w:val="18"/>
        </w:rPr>
        <w:t>i</w:t>
      </w:r>
      <w:r w:rsidRPr="00FC2EB5">
        <w:rPr>
          <w:sz w:val="18"/>
          <w:szCs w:val="18"/>
        </w:rPr>
        <w:t>e</w:t>
      </w:r>
      <w:r w:rsidRPr="00FC2EB5">
        <w:rPr>
          <w:spacing w:val="-5"/>
          <w:sz w:val="18"/>
          <w:szCs w:val="18"/>
        </w:rPr>
        <w:t>m</w:t>
      </w:r>
      <w:r w:rsidRPr="00FC2EB5">
        <w:rPr>
          <w:sz w:val="18"/>
          <w:szCs w:val="18"/>
        </w:rPr>
        <w:t>er</w:t>
      </w:r>
      <w:r>
        <w:rPr>
          <w:sz w:val="18"/>
          <w:szCs w:val="18"/>
        </w:rPr>
        <w:t xml:space="preserve"> </w:t>
      </w:r>
      <w:r w:rsidRPr="00FC2EB5">
        <w:rPr>
          <w:sz w:val="18"/>
          <w:szCs w:val="18"/>
        </w:rPr>
        <w:t>za</w:t>
      </w:r>
      <w:r>
        <w:rPr>
          <w:sz w:val="18"/>
          <w:szCs w:val="18"/>
        </w:rPr>
        <w:t xml:space="preserve"> </w:t>
      </w:r>
      <w:r w:rsidRPr="00FC2EB5">
        <w:rPr>
          <w:sz w:val="18"/>
          <w:szCs w:val="18"/>
        </w:rPr>
        <w:t>ce</w:t>
      </w:r>
      <w:r w:rsidRPr="00FC2EB5">
        <w:rPr>
          <w:spacing w:val="2"/>
          <w:sz w:val="18"/>
          <w:szCs w:val="18"/>
        </w:rPr>
        <w:t>l</w:t>
      </w:r>
      <w:r w:rsidRPr="00FC2EB5">
        <w:rPr>
          <w:sz w:val="18"/>
          <w:szCs w:val="18"/>
        </w:rPr>
        <w:t>ú</w:t>
      </w:r>
      <w:r>
        <w:rPr>
          <w:sz w:val="18"/>
          <w:szCs w:val="18"/>
        </w:rPr>
        <w:t xml:space="preserve"> </w:t>
      </w:r>
      <w:r w:rsidRPr="00FC2EB5">
        <w:rPr>
          <w:spacing w:val="1"/>
          <w:sz w:val="18"/>
          <w:szCs w:val="18"/>
        </w:rPr>
        <w:t>s</w:t>
      </w:r>
      <w:r w:rsidRPr="00FC2EB5">
        <w:rPr>
          <w:spacing w:val="-2"/>
          <w:sz w:val="18"/>
          <w:szCs w:val="18"/>
        </w:rPr>
        <w:t>ku</w:t>
      </w:r>
      <w:r w:rsidRPr="00FC2EB5">
        <w:rPr>
          <w:spacing w:val="1"/>
          <w:sz w:val="18"/>
          <w:szCs w:val="18"/>
        </w:rPr>
        <w:t>p</w:t>
      </w:r>
      <w:r w:rsidRPr="00FC2EB5">
        <w:rPr>
          <w:spacing w:val="2"/>
          <w:sz w:val="18"/>
          <w:szCs w:val="18"/>
        </w:rPr>
        <w:t>i</w:t>
      </w:r>
      <w:r w:rsidRPr="00FC2EB5">
        <w:rPr>
          <w:spacing w:val="-2"/>
          <w:sz w:val="18"/>
          <w:szCs w:val="18"/>
        </w:rPr>
        <w:t>nu</w:t>
      </w:r>
      <w:r w:rsidRPr="00FC2EB5">
        <w:rPr>
          <w:sz w:val="18"/>
          <w:szCs w:val="18"/>
        </w:rPr>
        <w:t>.</w:t>
      </w:r>
    </w:p>
  </w:footnote>
  <w:footnote w:id="2">
    <w:p w:rsidR="000D4A62" w:rsidRPr="009F20BA" w:rsidRDefault="000D4A62" w:rsidP="00F12812">
      <w:pPr>
        <w:pStyle w:val="Textpoznmkypodiarou"/>
        <w:rPr>
          <w:sz w:val="16"/>
          <w:szCs w:val="16"/>
        </w:rPr>
      </w:pPr>
      <w:r w:rsidRPr="009F20BA">
        <w:rPr>
          <w:rStyle w:val="Odkaznapoznmkupodiarou"/>
          <w:sz w:val="16"/>
          <w:szCs w:val="16"/>
        </w:rPr>
        <w:footnoteRef/>
      </w:r>
      <w:r w:rsidRPr="009F20BA">
        <w:rPr>
          <w:sz w:val="16"/>
          <w:szCs w:val="16"/>
        </w:rPr>
        <w:t>Národná stratégia trvalo udržateľného rozvoja(prijatá vládou SR dňa 10. 10. 2001)</w:t>
      </w:r>
    </w:p>
  </w:footnote>
  <w:footnote w:id="3">
    <w:p w:rsidR="000D4A62" w:rsidRPr="009F20BA" w:rsidRDefault="000D4A62" w:rsidP="00F12812">
      <w:pPr>
        <w:pStyle w:val="Textpoznmkypodiarou"/>
        <w:rPr>
          <w:sz w:val="16"/>
          <w:szCs w:val="16"/>
        </w:rPr>
      </w:pPr>
      <w:r w:rsidRPr="009F20BA">
        <w:rPr>
          <w:rStyle w:val="Odkaznapoznmkupodiarou"/>
          <w:sz w:val="16"/>
          <w:szCs w:val="16"/>
        </w:rPr>
        <w:footnoteRef/>
      </w:r>
      <w:r w:rsidRPr="009F20BA">
        <w:rPr>
          <w:sz w:val="16"/>
          <w:szCs w:val="16"/>
        </w:rPr>
        <w:t>Nejedlík, P. a Minďaš, J. (2011): Dôsledky klimatickej zmeny</w:t>
      </w:r>
      <w:r>
        <w:rPr>
          <w:sz w:val="16"/>
          <w:szCs w:val="16"/>
        </w:rPr>
        <w:t xml:space="preserve"> </w:t>
      </w:r>
      <w:r w:rsidRPr="009F20BA">
        <w:rPr>
          <w:sz w:val="16"/>
          <w:szCs w:val="16"/>
        </w:rPr>
        <w:t>a možné adaptačné opatrenia</w:t>
      </w:r>
      <w:r>
        <w:rPr>
          <w:sz w:val="16"/>
          <w:szCs w:val="16"/>
        </w:rPr>
        <w:t xml:space="preserve"> </w:t>
      </w:r>
      <w:r w:rsidRPr="009F20BA">
        <w:rPr>
          <w:sz w:val="16"/>
          <w:szCs w:val="16"/>
        </w:rPr>
        <w:t>v jednotlivých sektoroch, Slovenský hydrometeorologický ústav, Projekt OPŽP-PO3-08-5 ITMS 24130120015.</w:t>
      </w:r>
    </w:p>
  </w:footnote>
  <w:footnote w:id="4">
    <w:p w:rsidR="000D4A62" w:rsidRPr="009F20BA" w:rsidRDefault="000D4A62" w:rsidP="00EB57E1">
      <w:pPr>
        <w:autoSpaceDE w:val="0"/>
        <w:autoSpaceDN w:val="0"/>
        <w:adjustRightInd w:val="0"/>
        <w:spacing w:after="0" w:line="240" w:lineRule="auto"/>
        <w:rPr>
          <w:rFonts w:cs="Arial"/>
          <w:sz w:val="16"/>
          <w:szCs w:val="16"/>
          <w:lang w:val="pt-BR"/>
        </w:rPr>
      </w:pPr>
      <w:r w:rsidRPr="009F20BA">
        <w:rPr>
          <w:rStyle w:val="Odkaznapoznmkupodiarou"/>
          <w:sz w:val="16"/>
          <w:szCs w:val="16"/>
        </w:rPr>
        <w:footnoteRef/>
      </w:r>
      <w:r w:rsidRPr="009F20BA">
        <w:rPr>
          <w:sz w:val="16"/>
          <w:szCs w:val="16"/>
        </w:rPr>
        <w:t xml:space="preserve"> </w:t>
      </w:r>
      <w:r w:rsidRPr="009F20BA">
        <w:rPr>
          <w:rFonts w:cs="Arial"/>
          <w:sz w:val="16"/>
          <w:szCs w:val="16"/>
          <w:lang w:val="en-US"/>
        </w:rPr>
        <w:t xml:space="preserve">Štátny geologický ústav Dionýza Štúra. </w:t>
      </w:r>
      <w:r w:rsidRPr="009F20BA">
        <w:rPr>
          <w:rFonts w:cs="Arial"/>
          <w:sz w:val="16"/>
          <w:szCs w:val="16"/>
          <w:lang w:val="pt-BR"/>
        </w:rPr>
        <w:t>Nerastné suroviny SR 2009. Špišská Nová Ves - Bratislava 2009.</w:t>
      </w:r>
    </w:p>
    <w:p w:rsidR="000D4A62" w:rsidRDefault="000D4A62" w:rsidP="00EB57E1">
      <w:pPr>
        <w:autoSpaceDE w:val="0"/>
        <w:autoSpaceDN w:val="0"/>
        <w:adjustRightInd w:val="0"/>
        <w:spacing w:after="0" w:line="240" w:lineRule="auto"/>
      </w:pPr>
    </w:p>
  </w:footnote>
  <w:footnote w:id="5">
    <w:p w:rsidR="000D4A62" w:rsidRPr="002D65CE" w:rsidRDefault="000D4A62" w:rsidP="00565F84">
      <w:pPr>
        <w:pStyle w:val="Textpoznmkypodiarou"/>
        <w:rPr>
          <w:lang w:val="sk-SK"/>
        </w:rPr>
      </w:pPr>
      <w:r>
        <w:rPr>
          <w:rStyle w:val="Odkaznapoznmkupodiarou"/>
        </w:rPr>
        <w:footnoteRef/>
      </w:r>
      <w:r w:rsidRPr="002D65CE">
        <w:rPr>
          <w:lang w:val="sk-SK"/>
        </w:rPr>
        <w:t xml:space="preserve"> Za OP Výskum a vývoj sú vo výzvach roku 2012 započítané alokácie na budovanie vedeckých parkov a výskumných centier, nie zazmluvnená výška NFP. </w:t>
      </w:r>
    </w:p>
  </w:footnote>
  <w:footnote w:id="6">
    <w:p w:rsidR="000D4A62" w:rsidRPr="00F37B8F" w:rsidRDefault="000D4A62" w:rsidP="0051441B">
      <w:pPr>
        <w:pStyle w:val="Textpoznmkypodiarou"/>
        <w:rPr>
          <w:lang w:val="sk-SK"/>
        </w:rPr>
      </w:pPr>
      <w:r>
        <w:rPr>
          <w:rStyle w:val="Odkaznapoznmkupodiarou"/>
          <w:rFonts w:cs="Calibri"/>
        </w:rPr>
        <w:footnoteRef/>
      </w:r>
      <w:r w:rsidRPr="00FF3B94">
        <w:rPr>
          <w:lang w:val="sk-SK"/>
        </w:rPr>
        <w:t xml:space="preserve"> Ide o sumárne číslo za všetky projekty, nie o počet jedinečných účastníkov. </w:t>
      </w:r>
    </w:p>
  </w:footnote>
  <w:footnote w:id="7">
    <w:p w:rsidR="000D4A62" w:rsidRPr="00AE5259" w:rsidRDefault="000D4A62">
      <w:pPr>
        <w:pStyle w:val="Textpoznmkypodiarou"/>
        <w:rPr>
          <w:rFonts w:asciiTheme="minorHAnsi" w:hAnsiTheme="minorHAnsi" w:cstheme="minorHAnsi"/>
          <w:sz w:val="18"/>
          <w:szCs w:val="18"/>
          <w:lang w:val="pl-PL"/>
        </w:rPr>
      </w:pPr>
      <w:r w:rsidRPr="00AE5259">
        <w:rPr>
          <w:rStyle w:val="Odkaznapoznmkupodiarou"/>
          <w:rFonts w:asciiTheme="minorHAnsi" w:hAnsiTheme="minorHAnsi" w:cstheme="minorHAnsi"/>
          <w:sz w:val="18"/>
          <w:szCs w:val="18"/>
        </w:rPr>
        <w:footnoteRef/>
      </w:r>
      <w:r>
        <w:rPr>
          <w:rFonts w:asciiTheme="minorHAnsi" w:hAnsiTheme="minorHAnsi" w:cstheme="minorHAnsi"/>
          <w:spacing w:val="3"/>
          <w:sz w:val="18"/>
          <w:szCs w:val="18"/>
          <w:lang w:val="sk-SK"/>
        </w:rPr>
        <w:t xml:space="preserve"> </w:t>
      </w:r>
      <w:r w:rsidRPr="00A105D0">
        <w:rPr>
          <w:rFonts w:asciiTheme="minorHAnsi" w:hAnsiTheme="minorHAnsi" w:cstheme="minorHAnsi"/>
          <w:spacing w:val="3"/>
          <w:sz w:val="18"/>
          <w:szCs w:val="18"/>
          <w:lang w:val="sk-SK"/>
        </w:rPr>
        <w:t>P</w:t>
      </w:r>
      <w:r w:rsidRPr="00A105D0">
        <w:rPr>
          <w:rFonts w:asciiTheme="minorHAnsi" w:hAnsiTheme="minorHAnsi" w:cstheme="minorHAnsi"/>
          <w:sz w:val="18"/>
          <w:szCs w:val="18"/>
          <w:lang w:val="sk-SK"/>
        </w:rPr>
        <w:t>r</w:t>
      </w:r>
      <w:r w:rsidRPr="00A105D0">
        <w:rPr>
          <w:rFonts w:asciiTheme="minorHAnsi" w:hAnsiTheme="minorHAnsi" w:cstheme="minorHAnsi"/>
          <w:spacing w:val="1"/>
          <w:sz w:val="18"/>
          <w:szCs w:val="18"/>
          <w:lang w:val="sk-SK"/>
        </w:rPr>
        <w:t>o</w:t>
      </w:r>
      <w:r w:rsidRPr="00A105D0">
        <w:rPr>
          <w:rFonts w:asciiTheme="minorHAnsi" w:hAnsiTheme="minorHAnsi" w:cstheme="minorHAnsi"/>
          <w:sz w:val="18"/>
          <w:szCs w:val="18"/>
          <w:lang w:val="sk-SK"/>
        </w:rPr>
        <w:t>j</w:t>
      </w:r>
      <w:r w:rsidRPr="00A105D0">
        <w:rPr>
          <w:rFonts w:asciiTheme="minorHAnsi" w:hAnsiTheme="minorHAnsi" w:cstheme="minorHAnsi"/>
          <w:spacing w:val="-1"/>
          <w:sz w:val="18"/>
          <w:szCs w:val="18"/>
          <w:lang w:val="sk-SK"/>
        </w:rPr>
        <w:t>e</w:t>
      </w:r>
      <w:r w:rsidRPr="00A105D0">
        <w:rPr>
          <w:rFonts w:asciiTheme="minorHAnsi" w:hAnsiTheme="minorHAnsi" w:cstheme="minorHAnsi"/>
          <w:sz w:val="18"/>
          <w:szCs w:val="18"/>
          <w:lang w:val="sk-SK"/>
        </w:rPr>
        <w:t xml:space="preserve">kty </w:t>
      </w:r>
      <w:r w:rsidRPr="00A105D0">
        <w:rPr>
          <w:rFonts w:asciiTheme="minorHAnsi" w:hAnsiTheme="minorHAnsi" w:cstheme="minorHAnsi"/>
          <w:spacing w:val="-1"/>
          <w:sz w:val="18"/>
          <w:szCs w:val="18"/>
          <w:lang w:val="sk-SK"/>
        </w:rPr>
        <w:t>s</w:t>
      </w:r>
      <w:r w:rsidRPr="00A105D0">
        <w:rPr>
          <w:rFonts w:asciiTheme="minorHAnsi" w:hAnsiTheme="minorHAnsi" w:cstheme="minorHAnsi"/>
          <w:sz w:val="18"/>
          <w:szCs w:val="18"/>
          <w:lang w:val="sk-SK"/>
        </w:rPr>
        <w:t xml:space="preserve">a </w:t>
      </w:r>
      <w:r w:rsidRPr="00A105D0">
        <w:rPr>
          <w:rFonts w:asciiTheme="minorHAnsi" w:hAnsiTheme="minorHAnsi" w:cstheme="minorHAnsi"/>
          <w:spacing w:val="-1"/>
          <w:sz w:val="18"/>
          <w:szCs w:val="18"/>
          <w:lang w:val="sk-SK"/>
        </w:rPr>
        <w:t>za</w:t>
      </w:r>
      <w:r w:rsidRPr="00A105D0">
        <w:rPr>
          <w:rFonts w:asciiTheme="minorHAnsi" w:hAnsiTheme="minorHAnsi" w:cstheme="minorHAnsi"/>
          <w:spacing w:val="-2"/>
          <w:sz w:val="18"/>
          <w:szCs w:val="18"/>
          <w:lang w:val="sk-SK"/>
        </w:rPr>
        <w:t>č</w:t>
      </w:r>
      <w:r w:rsidRPr="00A105D0">
        <w:rPr>
          <w:rFonts w:asciiTheme="minorHAnsi" w:hAnsiTheme="minorHAnsi" w:cstheme="minorHAnsi"/>
          <w:sz w:val="18"/>
          <w:szCs w:val="18"/>
          <w:lang w:val="sk-SK"/>
        </w:rPr>
        <w:t>í</w:t>
      </w:r>
      <w:r w:rsidRPr="00A105D0">
        <w:rPr>
          <w:rFonts w:asciiTheme="minorHAnsi" w:hAnsiTheme="minorHAnsi" w:cstheme="minorHAnsi"/>
          <w:spacing w:val="1"/>
          <w:sz w:val="18"/>
          <w:szCs w:val="18"/>
          <w:lang w:val="sk-SK"/>
        </w:rPr>
        <w:t>n</w:t>
      </w:r>
      <w:r w:rsidRPr="00A105D0">
        <w:rPr>
          <w:rFonts w:asciiTheme="minorHAnsi" w:hAnsiTheme="minorHAnsi" w:cstheme="minorHAnsi"/>
          <w:spacing w:val="-1"/>
          <w:sz w:val="18"/>
          <w:szCs w:val="18"/>
          <w:lang w:val="sk-SK"/>
        </w:rPr>
        <w:t>a</w:t>
      </w:r>
      <w:r w:rsidRPr="00A105D0">
        <w:rPr>
          <w:rFonts w:asciiTheme="minorHAnsi" w:hAnsiTheme="minorHAnsi" w:cstheme="minorHAnsi"/>
          <w:sz w:val="18"/>
          <w:szCs w:val="18"/>
          <w:lang w:val="sk-SK"/>
        </w:rPr>
        <w:t>jú r</w:t>
      </w:r>
      <w:r w:rsidRPr="00A105D0">
        <w:rPr>
          <w:rFonts w:asciiTheme="minorHAnsi" w:hAnsiTheme="minorHAnsi" w:cstheme="minorHAnsi"/>
          <w:spacing w:val="-1"/>
          <w:sz w:val="18"/>
          <w:szCs w:val="18"/>
          <w:lang w:val="sk-SK"/>
        </w:rPr>
        <w:t>ea</w:t>
      </w:r>
      <w:r w:rsidRPr="00A105D0">
        <w:rPr>
          <w:rFonts w:asciiTheme="minorHAnsi" w:hAnsiTheme="minorHAnsi" w:cstheme="minorHAnsi"/>
          <w:sz w:val="18"/>
          <w:szCs w:val="18"/>
          <w:lang w:val="sk-SK"/>
        </w:rPr>
        <w:t>li</w:t>
      </w:r>
      <w:r w:rsidRPr="00A105D0">
        <w:rPr>
          <w:rFonts w:asciiTheme="minorHAnsi" w:hAnsiTheme="minorHAnsi" w:cstheme="minorHAnsi"/>
          <w:spacing w:val="-1"/>
          <w:sz w:val="18"/>
          <w:szCs w:val="18"/>
          <w:lang w:val="sk-SK"/>
        </w:rPr>
        <w:t>z</w:t>
      </w:r>
      <w:r w:rsidRPr="00A105D0">
        <w:rPr>
          <w:rFonts w:asciiTheme="minorHAnsi" w:hAnsiTheme="minorHAnsi" w:cstheme="minorHAnsi"/>
          <w:spacing w:val="1"/>
          <w:sz w:val="18"/>
          <w:szCs w:val="18"/>
          <w:lang w:val="sk-SK"/>
        </w:rPr>
        <w:t>o</w:t>
      </w:r>
      <w:r w:rsidRPr="00A105D0">
        <w:rPr>
          <w:rFonts w:asciiTheme="minorHAnsi" w:hAnsiTheme="minorHAnsi" w:cstheme="minorHAnsi"/>
          <w:spacing w:val="-2"/>
          <w:sz w:val="18"/>
          <w:szCs w:val="18"/>
          <w:lang w:val="sk-SK"/>
        </w:rPr>
        <w:t>v</w:t>
      </w:r>
      <w:r w:rsidRPr="00A105D0">
        <w:rPr>
          <w:rFonts w:asciiTheme="minorHAnsi" w:hAnsiTheme="minorHAnsi" w:cstheme="minorHAnsi"/>
          <w:spacing w:val="-1"/>
          <w:sz w:val="18"/>
          <w:szCs w:val="18"/>
          <w:lang w:val="sk-SK"/>
        </w:rPr>
        <w:t>a</w:t>
      </w:r>
      <w:r w:rsidRPr="00A105D0">
        <w:rPr>
          <w:rFonts w:asciiTheme="minorHAnsi" w:hAnsiTheme="minorHAnsi" w:cstheme="minorHAnsi"/>
          <w:sz w:val="18"/>
          <w:szCs w:val="18"/>
          <w:lang w:val="sk-SK"/>
        </w:rPr>
        <w:t xml:space="preserve">ť </w:t>
      </w:r>
      <w:r w:rsidRPr="00A105D0">
        <w:rPr>
          <w:rFonts w:asciiTheme="minorHAnsi" w:hAnsiTheme="minorHAnsi" w:cstheme="minorHAnsi"/>
          <w:spacing w:val="-1"/>
          <w:sz w:val="18"/>
          <w:szCs w:val="18"/>
          <w:lang w:val="sk-SK"/>
        </w:rPr>
        <w:t>a</w:t>
      </w:r>
      <w:r w:rsidRPr="00A105D0">
        <w:rPr>
          <w:rFonts w:asciiTheme="minorHAnsi" w:hAnsiTheme="minorHAnsi" w:cstheme="minorHAnsi"/>
          <w:sz w:val="18"/>
          <w:szCs w:val="18"/>
          <w:lang w:val="sk-SK"/>
        </w:rPr>
        <w:t xml:space="preserve">ž </w:t>
      </w:r>
      <w:r>
        <w:rPr>
          <w:rFonts w:asciiTheme="minorHAnsi" w:hAnsiTheme="minorHAnsi" w:cstheme="minorHAnsi"/>
          <w:spacing w:val="-6"/>
          <w:sz w:val="18"/>
          <w:szCs w:val="18"/>
          <w:lang w:val="sk-SK"/>
        </w:rPr>
        <w:t xml:space="preserve">ku koncu obdobia 2007 – </w:t>
      </w:r>
      <w:r w:rsidRPr="00AE5259">
        <w:rPr>
          <w:rFonts w:asciiTheme="minorHAnsi" w:hAnsiTheme="minorHAnsi" w:cstheme="minorHAnsi"/>
          <w:spacing w:val="-6"/>
          <w:sz w:val="18"/>
          <w:szCs w:val="18"/>
          <w:lang w:val="sk-SK"/>
        </w:rPr>
        <w:t>2013</w:t>
      </w:r>
    </w:p>
  </w:footnote>
  <w:footnote w:id="8">
    <w:p w:rsidR="000D4A62" w:rsidRPr="00AE5259" w:rsidRDefault="000D4A62" w:rsidP="000E2E36">
      <w:pPr>
        <w:pStyle w:val="Textpoznmkypodiarou"/>
        <w:rPr>
          <w:rFonts w:asciiTheme="minorHAnsi" w:hAnsiTheme="minorHAnsi" w:cstheme="minorHAnsi"/>
          <w:sz w:val="18"/>
          <w:szCs w:val="18"/>
        </w:rPr>
      </w:pPr>
      <w:r w:rsidRPr="00623E58">
        <w:rPr>
          <w:rStyle w:val="Odkaznapoznmkupodiarou"/>
          <w:rFonts w:ascii="Times New Roman" w:hAnsi="Times New Roman"/>
          <w:sz w:val="22"/>
          <w:szCs w:val="22"/>
        </w:rPr>
        <w:footnoteRef/>
      </w:r>
      <w:r>
        <w:rPr>
          <w:rFonts w:asciiTheme="minorHAnsi" w:hAnsiTheme="minorHAnsi" w:cstheme="minorHAnsi"/>
          <w:sz w:val="18"/>
          <w:szCs w:val="18"/>
        </w:rPr>
        <w:t xml:space="preserve"> </w:t>
      </w:r>
      <w:r w:rsidRPr="00AE5259">
        <w:rPr>
          <w:rFonts w:asciiTheme="minorHAnsi" w:hAnsiTheme="minorHAnsi" w:cstheme="minorHAnsi"/>
          <w:sz w:val="18"/>
          <w:szCs w:val="18"/>
        </w:rPr>
        <w:t>European</w:t>
      </w:r>
      <w:r w:rsidR="005F0F1E">
        <w:rPr>
          <w:rFonts w:asciiTheme="minorHAnsi" w:hAnsiTheme="minorHAnsi" w:cstheme="minorHAnsi"/>
          <w:sz w:val="18"/>
          <w:szCs w:val="18"/>
        </w:rPr>
        <w:t xml:space="preserve"> </w:t>
      </w:r>
      <w:r w:rsidRPr="00AE5259">
        <w:rPr>
          <w:rFonts w:asciiTheme="minorHAnsi" w:hAnsiTheme="minorHAnsi" w:cstheme="minorHAnsi"/>
          <w:sz w:val="18"/>
          <w:szCs w:val="18"/>
        </w:rPr>
        <w:t>Commission (2012): The 20</w:t>
      </w:r>
      <w:r w:rsidR="005F0F1E">
        <w:rPr>
          <w:rFonts w:asciiTheme="minorHAnsi" w:hAnsiTheme="minorHAnsi" w:cstheme="minorHAnsi"/>
          <w:sz w:val="18"/>
          <w:szCs w:val="18"/>
        </w:rPr>
        <w:t>12 Ageing Report. Economic and B</w:t>
      </w:r>
      <w:r w:rsidRPr="00AE5259">
        <w:rPr>
          <w:rFonts w:asciiTheme="minorHAnsi" w:hAnsiTheme="minorHAnsi" w:cstheme="minorHAnsi"/>
          <w:sz w:val="18"/>
          <w:szCs w:val="18"/>
        </w:rPr>
        <w:t>udgetary</w:t>
      </w:r>
      <w:r>
        <w:rPr>
          <w:rFonts w:asciiTheme="minorHAnsi" w:hAnsiTheme="minorHAnsi" w:cstheme="minorHAnsi"/>
          <w:sz w:val="18"/>
          <w:szCs w:val="18"/>
        </w:rPr>
        <w:t xml:space="preserve"> </w:t>
      </w:r>
      <w:r w:rsidR="005F0F1E">
        <w:rPr>
          <w:rFonts w:asciiTheme="minorHAnsi" w:hAnsiTheme="minorHAnsi" w:cstheme="minorHAnsi"/>
          <w:sz w:val="18"/>
          <w:szCs w:val="18"/>
        </w:rPr>
        <w:t>P</w:t>
      </w:r>
      <w:r w:rsidRPr="00AE5259">
        <w:rPr>
          <w:rFonts w:asciiTheme="minorHAnsi" w:hAnsiTheme="minorHAnsi" w:cstheme="minorHAnsi"/>
          <w:sz w:val="18"/>
          <w:szCs w:val="18"/>
        </w:rPr>
        <w:t>rojections</w:t>
      </w:r>
      <w:r>
        <w:rPr>
          <w:rFonts w:asciiTheme="minorHAnsi" w:hAnsiTheme="minorHAnsi" w:cstheme="minorHAnsi"/>
          <w:sz w:val="18"/>
          <w:szCs w:val="18"/>
        </w:rPr>
        <w:t xml:space="preserve"> </w:t>
      </w:r>
      <w:r w:rsidRPr="00AE5259">
        <w:rPr>
          <w:rFonts w:asciiTheme="minorHAnsi" w:hAnsiTheme="minorHAnsi" w:cstheme="minorHAnsi"/>
          <w:sz w:val="18"/>
          <w:szCs w:val="18"/>
        </w:rPr>
        <w:t>for</w:t>
      </w:r>
      <w:r>
        <w:rPr>
          <w:rFonts w:asciiTheme="minorHAnsi" w:hAnsiTheme="minorHAnsi" w:cstheme="minorHAnsi"/>
          <w:sz w:val="18"/>
          <w:szCs w:val="18"/>
        </w:rPr>
        <w:t xml:space="preserve"> </w:t>
      </w:r>
      <w:r w:rsidRPr="00AE5259">
        <w:rPr>
          <w:rFonts w:asciiTheme="minorHAnsi" w:hAnsiTheme="minorHAnsi" w:cstheme="minorHAnsi"/>
          <w:sz w:val="18"/>
          <w:szCs w:val="18"/>
        </w:rPr>
        <w:t>the 27 EU Member</w:t>
      </w:r>
      <w:r w:rsidR="005F0F1E">
        <w:rPr>
          <w:rFonts w:asciiTheme="minorHAnsi" w:hAnsiTheme="minorHAnsi" w:cstheme="minorHAnsi"/>
          <w:sz w:val="18"/>
          <w:szCs w:val="18"/>
        </w:rPr>
        <w:t xml:space="preserve"> States (2010 – </w:t>
      </w:r>
      <w:r w:rsidRPr="00AE5259">
        <w:rPr>
          <w:rFonts w:asciiTheme="minorHAnsi" w:hAnsiTheme="minorHAnsi" w:cstheme="minorHAnsi"/>
          <w:sz w:val="18"/>
          <w:szCs w:val="18"/>
        </w:rPr>
        <w:t>2060).</w:t>
      </w:r>
    </w:p>
  </w:footnote>
  <w:footnote w:id="9">
    <w:p w:rsidR="000D4A62" w:rsidRPr="007B2390" w:rsidRDefault="000D4A62" w:rsidP="00BB1CED">
      <w:pPr>
        <w:pStyle w:val="Textpoznmkypodiarou1"/>
        <w:rPr>
          <w:sz w:val="18"/>
          <w:szCs w:val="18"/>
        </w:rPr>
      </w:pPr>
      <w:r w:rsidRPr="007B2390">
        <w:rPr>
          <w:rStyle w:val="Odkaznapoznmkupodiarou"/>
          <w:sz w:val="18"/>
          <w:szCs w:val="18"/>
        </w:rPr>
        <w:footnoteRef/>
      </w:r>
      <w:r w:rsidRPr="007B2390">
        <w:rPr>
          <w:sz w:val="18"/>
          <w:szCs w:val="18"/>
        </w:rPr>
        <w:t xml:space="preserve"> Europe 2020 strategy- </w:t>
      </w:r>
      <w:hyperlink r:id="rId1" w:history="1">
        <w:r w:rsidRPr="007B2390">
          <w:rPr>
            <w:rStyle w:val="Hypertextovprepojenie1"/>
            <w:sz w:val="18"/>
            <w:szCs w:val="18"/>
          </w:rPr>
          <w:t>http://ec.europa.eu/europe2020/index-en.htm</w:t>
        </w:r>
      </w:hyperlink>
      <w:r w:rsidRPr="007B2390">
        <w:rPr>
          <w:sz w:val="18"/>
          <w:szCs w:val="18"/>
        </w:rPr>
        <w:t xml:space="preserve">; </w:t>
      </w:r>
      <w:hyperlink r:id="rId2" w:history="1">
        <w:r w:rsidRPr="007B2390">
          <w:rPr>
            <w:rStyle w:val="Hypertextovprepojenie1"/>
            <w:sz w:val="18"/>
            <w:szCs w:val="18"/>
          </w:rPr>
          <w:t>http://ec.europa.eu/research/innovation-union/index_en.cfm</w:t>
        </w:r>
      </w:hyperlink>
      <w:r w:rsidRPr="007B2390">
        <w:rPr>
          <w:sz w:val="18"/>
          <w:szCs w:val="18"/>
        </w:rPr>
        <w:t xml:space="preserve">; </w:t>
      </w:r>
    </w:p>
  </w:footnote>
  <w:footnote w:id="10">
    <w:p w:rsidR="000D4A62" w:rsidRPr="007B2390" w:rsidRDefault="000D4A62" w:rsidP="00BB1CED">
      <w:pPr>
        <w:pStyle w:val="Textpoznmkypodiarou1"/>
        <w:rPr>
          <w:sz w:val="18"/>
          <w:szCs w:val="18"/>
        </w:rPr>
      </w:pPr>
      <w:r w:rsidRPr="007B2390">
        <w:rPr>
          <w:rStyle w:val="Odkaznapoznmkupodiarou"/>
          <w:sz w:val="18"/>
          <w:szCs w:val="18"/>
        </w:rPr>
        <w:footnoteRef/>
      </w:r>
      <w:r w:rsidRPr="007B2390">
        <w:rPr>
          <w:sz w:val="18"/>
          <w:szCs w:val="18"/>
        </w:rPr>
        <w:t xml:space="preserve"> </w:t>
      </w:r>
      <w:r w:rsidRPr="007B2390">
        <w:rPr>
          <w:sz w:val="18"/>
          <w:szCs w:val="18"/>
          <w:lang w:val="en-US"/>
        </w:rPr>
        <w:t xml:space="preserve">Guide to Research and Innovation Strategies for Smart Specializations (RIS 3); </w:t>
      </w:r>
      <w:hyperlink r:id="rId3" w:history="1">
        <w:r w:rsidRPr="007B2390">
          <w:rPr>
            <w:rStyle w:val="Hypertextovprepojenie1"/>
            <w:sz w:val="18"/>
            <w:szCs w:val="18"/>
            <w:lang w:val="en-US"/>
          </w:rPr>
          <w:t>http://ec.europa.eu/regional_policy/sources/docgener/presenta/smart_specialisation/smart_ris3_2012.pdf</w:t>
        </w:r>
      </w:hyperlink>
    </w:p>
  </w:footnote>
  <w:footnote w:id="11">
    <w:p w:rsidR="000D4A62" w:rsidRPr="005F0F1E" w:rsidRDefault="000D4A62" w:rsidP="00BB1CED">
      <w:pPr>
        <w:pStyle w:val="Textpoznmkypodiarou1"/>
        <w:rPr>
          <w:sz w:val="18"/>
          <w:szCs w:val="18"/>
        </w:rPr>
      </w:pPr>
      <w:r w:rsidRPr="007B2390">
        <w:rPr>
          <w:rStyle w:val="Odkaznapoznmkupodiarou"/>
          <w:sz w:val="18"/>
          <w:szCs w:val="18"/>
        </w:rPr>
        <w:footnoteRef/>
      </w:r>
      <w:r w:rsidRPr="007B2390">
        <w:rPr>
          <w:sz w:val="18"/>
          <w:szCs w:val="18"/>
        </w:rPr>
        <w:t xml:space="preserve"> Stratégia rozvoja slovenskej spoločnosti, Ekonomický ústav Slovenskej akadémie vied, Bratislav</w:t>
      </w:r>
      <w:r w:rsidR="005F0F1E">
        <w:rPr>
          <w:sz w:val="18"/>
          <w:szCs w:val="18"/>
        </w:rPr>
        <w:t>a 2010, ISBN 978-80-224-1151-6.</w:t>
      </w:r>
    </w:p>
  </w:footnote>
  <w:footnote w:id="12">
    <w:p w:rsidR="000D4A62" w:rsidRPr="00A94941" w:rsidRDefault="000D4A62">
      <w:pPr>
        <w:pStyle w:val="Textpoznmkypodiarou"/>
        <w:rPr>
          <w:lang w:val="sk-SK"/>
        </w:rPr>
      </w:pPr>
      <w:r>
        <w:rPr>
          <w:rStyle w:val="Odkaznapoznmkupodiarou"/>
        </w:rPr>
        <w:footnoteRef/>
      </w:r>
      <w:r>
        <w:t xml:space="preserve"> </w:t>
      </w:r>
      <w:r>
        <w:rPr>
          <w:lang w:val="sk-SK"/>
        </w:rPr>
        <w:t>Viď SWOT analýza.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2" w:rsidRPr="00184FA3" w:rsidRDefault="000D4A62" w:rsidP="002437B9">
    <w:pPr>
      <w:pStyle w:val="Hlavika"/>
      <w:pBdr>
        <w:bottom w:val="single" w:sz="4" w:space="1" w:color="auto"/>
      </w:pBdr>
      <w:rPr>
        <w:sz w:val="18"/>
        <w:szCs w:val="18"/>
      </w:rPr>
    </w:pPr>
    <w:r w:rsidRPr="00724B38">
      <w:rPr>
        <w:sz w:val="18"/>
        <w:szCs w:val="18"/>
      </w:rPr>
      <w:t>Návrh RIS3 SK</w:t>
    </w:r>
    <w:r w:rsidRPr="00724B38">
      <w:rPr>
        <w:sz w:val="18"/>
        <w:szCs w:val="18"/>
      </w:rPr>
      <w:tab/>
    </w:r>
    <w:r w:rsidRPr="00724B38">
      <w:rPr>
        <w:sz w:val="18"/>
        <w:szCs w:val="18"/>
      </w:rPr>
      <w:tab/>
      <w:t xml:space="preserve">Pracovná verzia </w:t>
    </w:r>
    <w:r>
      <w:rPr>
        <w:sz w:val="18"/>
        <w:szCs w:val="18"/>
      </w:rPr>
      <w:t>draft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2" w:rsidRPr="00724B38" w:rsidRDefault="000D4A62" w:rsidP="002437B9">
    <w:pPr>
      <w:pStyle w:val="Hlavika"/>
      <w:pBdr>
        <w:bottom w:val="single" w:sz="4" w:space="1" w:color="auto"/>
      </w:pBdr>
      <w:rPr>
        <w:sz w:val="18"/>
        <w:szCs w:val="18"/>
      </w:rPr>
    </w:pPr>
    <w:r w:rsidRPr="00724B38">
      <w:rPr>
        <w:sz w:val="18"/>
        <w:szCs w:val="18"/>
      </w:rPr>
      <w:t>Návrh RIS3 SK</w:t>
    </w:r>
    <w:r w:rsidRPr="00724B38">
      <w:rPr>
        <w:sz w:val="18"/>
        <w:szCs w:val="18"/>
      </w:rPr>
      <w:tab/>
    </w:r>
    <w:r w:rsidRPr="00724B38">
      <w:rPr>
        <w:sz w:val="18"/>
        <w:szCs w:val="18"/>
      </w:rPr>
      <w:tab/>
      <w:t xml:space="preserve">Pracovná verzia </w:t>
    </w:r>
    <w:r>
      <w:rPr>
        <w:sz w:val="18"/>
        <w:szCs w:val="18"/>
      </w:rPr>
      <w:t>draft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2" w:rsidRPr="00724B38" w:rsidRDefault="000D4A62" w:rsidP="002437B9">
    <w:pPr>
      <w:pStyle w:val="Hlavika"/>
      <w:pBdr>
        <w:bottom w:val="single" w:sz="4" w:space="1" w:color="auto"/>
      </w:pBdr>
      <w:rPr>
        <w:sz w:val="18"/>
        <w:szCs w:val="18"/>
      </w:rPr>
    </w:pPr>
    <w:r w:rsidRPr="00724B38">
      <w:rPr>
        <w:sz w:val="18"/>
        <w:szCs w:val="18"/>
      </w:rPr>
      <w:t>Návrh RIS3 SK</w:t>
    </w:r>
    <w:r w:rsidRPr="00724B38">
      <w:rPr>
        <w:sz w:val="18"/>
        <w:szCs w:val="18"/>
      </w:rPr>
      <w:tab/>
    </w:r>
    <w:r w:rsidRPr="00724B38">
      <w:rPr>
        <w:sz w:val="18"/>
        <w:szCs w:val="18"/>
      </w:rPr>
      <w:tab/>
      <w:t xml:space="preserve">Pracovná verzia </w:t>
    </w:r>
    <w:r>
      <w:rPr>
        <w:sz w:val="18"/>
        <w:szCs w:val="18"/>
      </w:rPr>
      <w:t>draft 1.</w:t>
    </w:r>
    <w:r w:rsidRPr="00724B38">
      <w:rPr>
        <w:sz w:val="18"/>
        <w:szCs w:val="1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2"/>
      <w:numFmt w:val="bullet"/>
      <w:lvlText w:val="-"/>
      <w:lvlJc w:val="left"/>
      <w:pPr>
        <w:tabs>
          <w:tab w:val="num" w:pos="1548"/>
        </w:tabs>
        <w:ind w:left="1548" w:hanging="360"/>
      </w:pPr>
      <w:rPr>
        <w:rFonts w:ascii="Times New Roman" w:hAnsi="Times New Roman" w:cs="Times New Roman"/>
      </w:rPr>
    </w:lvl>
  </w:abstractNum>
  <w:abstractNum w:abstractNumId="1">
    <w:nsid w:val="0000000E"/>
    <w:multiLevelType w:val="singleLevel"/>
    <w:tmpl w:val="0000000E"/>
    <w:name w:val="WW8Num15"/>
    <w:lvl w:ilvl="0">
      <w:start w:val="2"/>
      <w:numFmt w:val="bullet"/>
      <w:lvlText w:val="-"/>
      <w:lvlJc w:val="left"/>
      <w:pPr>
        <w:tabs>
          <w:tab w:val="num" w:pos="1030"/>
        </w:tabs>
        <w:ind w:left="1030" w:hanging="360"/>
      </w:pPr>
      <w:rPr>
        <w:rFonts w:ascii="Times New Roman" w:hAnsi="Times New Roman" w:cs="Times New Roman"/>
        <w:color w:val="auto"/>
      </w:rPr>
    </w:lvl>
  </w:abstractNum>
  <w:abstractNum w:abstractNumId="2">
    <w:nsid w:val="01C50627"/>
    <w:multiLevelType w:val="multilevel"/>
    <w:tmpl w:val="E2600032"/>
    <w:name w:val="Linia24"/>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
    <w:nsid w:val="03DC4988"/>
    <w:multiLevelType w:val="multilevel"/>
    <w:tmpl w:val="E2600032"/>
    <w:name w:val="Linia2322"/>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
    <w:nsid w:val="050E11B2"/>
    <w:multiLevelType w:val="multilevel"/>
    <w:tmpl w:val="979A7A56"/>
    <w:name w:val="Linia22"/>
    <w:lvl w:ilvl="0">
      <w:start w:val="1"/>
      <w:numFmt w:val="decimal"/>
      <w:lvlText w:val="%1."/>
      <w:lvlJc w:val="left"/>
      <w:pPr>
        <w:ind w:left="720" w:hanging="360"/>
      </w:pPr>
      <w:rPr>
        <w:rFonts w:cs="Times New Roman" w:hint="default"/>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
    <w:nsid w:val="070754BC"/>
    <w:multiLevelType w:val="multilevel"/>
    <w:tmpl w:val="041B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A10522"/>
    <w:multiLevelType w:val="hybridMultilevel"/>
    <w:tmpl w:val="4C9C7B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C293D4A"/>
    <w:multiLevelType w:val="multilevel"/>
    <w:tmpl w:val="E2600032"/>
    <w:name w:val="Linia2422"/>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8">
    <w:nsid w:val="0E866D54"/>
    <w:multiLevelType w:val="hybridMultilevel"/>
    <w:tmpl w:val="89A2AEA4"/>
    <w:lvl w:ilvl="0" w:tplc="5D28212A">
      <w:start w:val="1"/>
      <w:numFmt w:val="bullet"/>
      <w:lvlText w:val=""/>
      <w:lvlJc w:val="left"/>
      <w:pPr>
        <w:ind w:left="360" w:hanging="360"/>
      </w:pPr>
      <w:rPr>
        <w:rFonts w:ascii="Wingdings" w:hAnsi="Wingdings" w:hint="default"/>
        <w:color w:val="0070C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5B03F62"/>
    <w:multiLevelType w:val="hybridMultilevel"/>
    <w:tmpl w:val="9A3EBBC4"/>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10">
    <w:nsid w:val="1B7169D9"/>
    <w:multiLevelType w:val="multilevel"/>
    <w:tmpl w:val="041B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BEB32E4"/>
    <w:multiLevelType w:val="hybridMultilevel"/>
    <w:tmpl w:val="3F2019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5851448"/>
    <w:multiLevelType w:val="multilevel"/>
    <w:tmpl w:val="E2600032"/>
    <w:name w:val="Linia233"/>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3">
    <w:nsid w:val="28156D33"/>
    <w:multiLevelType w:val="hybridMultilevel"/>
    <w:tmpl w:val="FF4C9E80"/>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14">
    <w:nsid w:val="298E6870"/>
    <w:multiLevelType w:val="multilevel"/>
    <w:tmpl w:val="E2600032"/>
    <w:name w:val="Linia2"/>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nsid w:val="2B034249"/>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723A52"/>
    <w:multiLevelType w:val="hybridMultilevel"/>
    <w:tmpl w:val="56C0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D6C1B"/>
    <w:multiLevelType w:val="hybridMultilevel"/>
    <w:tmpl w:val="2780A04C"/>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18">
    <w:nsid w:val="307127DF"/>
    <w:multiLevelType w:val="multilevel"/>
    <w:tmpl w:val="8488CCD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497B12"/>
    <w:multiLevelType w:val="multilevel"/>
    <w:tmpl w:val="E2600032"/>
    <w:name w:val="Linia233"/>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0">
    <w:nsid w:val="316E10BE"/>
    <w:multiLevelType w:val="multilevel"/>
    <w:tmpl w:val="E2600032"/>
    <w:name w:val="Linia242"/>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1">
    <w:nsid w:val="325069D5"/>
    <w:multiLevelType w:val="hybridMultilevel"/>
    <w:tmpl w:val="01BE1E9E"/>
    <w:lvl w:ilvl="0" w:tplc="041B000B">
      <w:start w:val="1"/>
      <w:numFmt w:val="bullet"/>
      <w:lvlText w:val=""/>
      <w:lvlJc w:val="left"/>
      <w:pPr>
        <w:ind w:left="360" w:hanging="360"/>
      </w:pPr>
      <w:rPr>
        <w:rFonts w:ascii="Wingdings" w:hAnsi="Wingdings" w:hint="default"/>
        <w:color w:val="0070C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266212A"/>
    <w:multiLevelType w:val="hybridMultilevel"/>
    <w:tmpl w:val="1642436E"/>
    <w:lvl w:ilvl="0" w:tplc="682845EE">
      <w:start w:val="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6896917"/>
    <w:multiLevelType w:val="hybridMultilevel"/>
    <w:tmpl w:val="E9BEA77E"/>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24">
    <w:nsid w:val="36A878E7"/>
    <w:multiLevelType w:val="hybridMultilevel"/>
    <w:tmpl w:val="113C884E"/>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25">
    <w:nsid w:val="39430643"/>
    <w:multiLevelType w:val="multilevel"/>
    <w:tmpl w:val="094E36C8"/>
    <w:lvl w:ilvl="0">
      <w:start w:val="6"/>
      <w:numFmt w:val="decimal"/>
      <w:lvlText w:val="%1"/>
      <w:lvlJc w:val="left"/>
      <w:pPr>
        <w:tabs>
          <w:tab w:val="num" w:pos="675"/>
        </w:tabs>
        <w:ind w:left="675" w:hanging="675"/>
      </w:pPr>
      <w:rPr>
        <w:rFonts w:hint="default"/>
      </w:rPr>
    </w:lvl>
    <w:lvl w:ilvl="1">
      <w:start w:val="1"/>
      <w:numFmt w:val="decimal"/>
      <w:lvlText w:val="%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E632997"/>
    <w:multiLevelType w:val="hybridMultilevel"/>
    <w:tmpl w:val="715EAC3A"/>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27">
    <w:nsid w:val="44D139F8"/>
    <w:multiLevelType w:val="multilevel"/>
    <w:tmpl w:val="8780DC20"/>
    <w:name w:val="Linia233"/>
    <w:lvl w:ilvl="0">
      <w:start w:val="1"/>
      <w:numFmt w:val="decimal"/>
      <w:lvlText w:val="%1."/>
      <w:lvlJc w:val="left"/>
      <w:pPr>
        <w:ind w:left="720" w:hanging="360"/>
      </w:pPr>
      <w:rPr>
        <w:rFonts w:cs="Times New Roman"/>
      </w:rPr>
    </w:lvl>
    <w:lvl w:ilvl="1">
      <w:start w:val="1"/>
      <w:numFmt w:val="upp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lowerLetter"/>
      <w:lvlText w:val="%4)"/>
      <w:lvlJc w:val="left"/>
      <w:pPr>
        <w:ind w:left="3228" w:hanging="708"/>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FC4E94"/>
    <w:multiLevelType w:val="multilevel"/>
    <w:tmpl w:val="25708314"/>
    <w:name w:val="Linia"/>
    <w:lvl w:ilvl="0">
      <w:start w:val="1"/>
      <w:numFmt w:val="decimal"/>
      <w:lvlText w:val="%1."/>
      <w:lvlJc w:val="left"/>
      <w:pPr>
        <w:ind w:left="720" w:hanging="360"/>
      </w:pPr>
      <w:rPr>
        <w:rFonts w:cs="Times New Roman" w:hint="default"/>
      </w:rPr>
    </w:lvl>
    <w:lvl w:ilvl="1">
      <w:start w:val="1"/>
      <w:numFmt w:val="decimal"/>
      <w:lvlText w:val="Línia %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9">
    <w:nsid w:val="4C343943"/>
    <w:multiLevelType w:val="multilevel"/>
    <w:tmpl w:val="E2600032"/>
    <w:name w:val="Linia24222"/>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0">
    <w:nsid w:val="4C546472"/>
    <w:multiLevelType w:val="multilevel"/>
    <w:tmpl w:val="709213FE"/>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C785AA3"/>
    <w:multiLevelType w:val="multilevel"/>
    <w:tmpl w:val="C60C535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D080288"/>
    <w:multiLevelType w:val="hybridMultilevel"/>
    <w:tmpl w:val="86A29E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4D7E2355"/>
    <w:multiLevelType w:val="multilevel"/>
    <w:tmpl w:val="3D543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4E3F1C7B"/>
    <w:multiLevelType w:val="hybridMultilevel"/>
    <w:tmpl w:val="9FCAA3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nsid w:val="4E501E17"/>
    <w:multiLevelType w:val="hybridMultilevel"/>
    <w:tmpl w:val="246A43D2"/>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36">
    <w:nsid w:val="50B505F7"/>
    <w:multiLevelType w:val="hybridMultilevel"/>
    <w:tmpl w:val="2CF4F6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7">
    <w:nsid w:val="52750C9D"/>
    <w:multiLevelType w:val="hybridMultilevel"/>
    <w:tmpl w:val="0F60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23375A"/>
    <w:multiLevelType w:val="hybridMultilevel"/>
    <w:tmpl w:val="5F4696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9">
    <w:nsid w:val="535778F2"/>
    <w:multiLevelType w:val="multilevel"/>
    <w:tmpl w:val="96A4817E"/>
    <w:lvl w:ilvl="0">
      <w:start w:val="1"/>
      <w:numFmt w:val="decimal"/>
      <w:pStyle w:val="Nadpis1"/>
      <w:lvlText w:val="%1"/>
      <w:lvlJc w:val="left"/>
      <w:pPr>
        <w:tabs>
          <w:tab w:val="num" w:pos="574"/>
        </w:tabs>
        <w:ind w:left="574" w:hanging="432"/>
      </w:pPr>
      <w:rPr>
        <w:rFonts w:hint="default"/>
        <w:b w:val="0"/>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0">
    <w:nsid w:val="56216FFD"/>
    <w:multiLevelType w:val="multilevel"/>
    <w:tmpl w:val="E2600032"/>
    <w:name w:val="Linia232"/>
    <w:lvl w:ilvl="0">
      <w:start w:val="1"/>
      <w:numFmt w:val="decimal"/>
      <w:lvlText w:val="Línie %1."/>
      <w:lvlJc w:val="left"/>
      <w:pPr>
        <w:ind w:left="720" w:hanging="720"/>
      </w:pPr>
      <w:rPr>
        <w:rFonts w:cs="Times New Roman" w:hint="default"/>
        <w:b/>
        <w:bCs/>
        <w:i w:val="0"/>
        <w:iCs w:val="0"/>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1">
    <w:nsid w:val="563923B7"/>
    <w:multiLevelType w:val="hybridMultilevel"/>
    <w:tmpl w:val="4B4270A2"/>
    <w:lvl w:ilvl="0" w:tplc="682845EE">
      <w:start w:val="22"/>
      <w:numFmt w:val="bullet"/>
      <w:lvlText w:val="-"/>
      <w:lvlJc w:val="left"/>
      <w:pPr>
        <w:tabs>
          <w:tab w:val="num" w:pos="720"/>
        </w:tabs>
        <w:ind w:left="720" w:hanging="360"/>
      </w:pPr>
      <w:rPr>
        <w:rFonts w:ascii="Calibri" w:eastAsia="Times New Roman" w:hAnsi="Calibri" w:cs="Calibri"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57801D19"/>
    <w:multiLevelType w:val="hybridMultilevel"/>
    <w:tmpl w:val="0C823590"/>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43">
    <w:nsid w:val="59C47132"/>
    <w:multiLevelType w:val="hybridMultilevel"/>
    <w:tmpl w:val="97A2C142"/>
    <w:lvl w:ilvl="0" w:tplc="041B0001">
      <w:start w:val="1"/>
      <w:numFmt w:val="bullet"/>
      <w:lvlText w:val=""/>
      <w:lvlJc w:val="left"/>
      <w:pPr>
        <w:ind w:left="1548" w:hanging="360"/>
      </w:pPr>
      <w:rPr>
        <w:rFonts w:ascii="Symbol" w:hAnsi="Symbol" w:hint="default"/>
      </w:rPr>
    </w:lvl>
    <w:lvl w:ilvl="1" w:tplc="041B0003" w:tentative="1">
      <w:start w:val="1"/>
      <w:numFmt w:val="bullet"/>
      <w:lvlText w:val="o"/>
      <w:lvlJc w:val="left"/>
      <w:pPr>
        <w:ind w:left="2268" w:hanging="360"/>
      </w:pPr>
      <w:rPr>
        <w:rFonts w:ascii="Courier New" w:hAnsi="Courier New" w:cs="Courier New" w:hint="default"/>
      </w:rPr>
    </w:lvl>
    <w:lvl w:ilvl="2" w:tplc="041B0005" w:tentative="1">
      <w:start w:val="1"/>
      <w:numFmt w:val="bullet"/>
      <w:lvlText w:val=""/>
      <w:lvlJc w:val="left"/>
      <w:pPr>
        <w:ind w:left="2988" w:hanging="360"/>
      </w:pPr>
      <w:rPr>
        <w:rFonts w:ascii="Wingdings" w:hAnsi="Wingdings" w:hint="default"/>
      </w:rPr>
    </w:lvl>
    <w:lvl w:ilvl="3" w:tplc="041B0001" w:tentative="1">
      <w:start w:val="1"/>
      <w:numFmt w:val="bullet"/>
      <w:lvlText w:val=""/>
      <w:lvlJc w:val="left"/>
      <w:pPr>
        <w:ind w:left="3708" w:hanging="360"/>
      </w:pPr>
      <w:rPr>
        <w:rFonts w:ascii="Symbol" w:hAnsi="Symbol" w:hint="default"/>
      </w:rPr>
    </w:lvl>
    <w:lvl w:ilvl="4" w:tplc="041B0003" w:tentative="1">
      <w:start w:val="1"/>
      <w:numFmt w:val="bullet"/>
      <w:lvlText w:val="o"/>
      <w:lvlJc w:val="left"/>
      <w:pPr>
        <w:ind w:left="4428" w:hanging="360"/>
      </w:pPr>
      <w:rPr>
        <w:rFonts w:ascii="Courier New" w:hAnsi="Courier New" w:cs="Courier New" w:hint="default"/>
      </w:rPr>
    </w:lvl>
    <w:lvl w:ilvl="5" w:tplc="041B0005" w:tentative="1">
      <w:start w:val="1"/>
      <w:numFmt w:val="bullet"/>
      <w:lvlText w:val=""/>
      <w:lvlJc w:val="left"/>
      <w:pPr>
        <w:ind w:left="5148" w:hanging="360"/>
      </w:pPr>
      <w:rPr>
        <w:rFonts w:ascii="Wingdings" w:hAnsi="Wingdings" w:hint="default"/>
      </w:rPr>
    </w:lvl>
    <w:lvl w:ilvl="6" w:tplc="041B0001" w:tentative="1">
      <w:start w:val="1"/>
      <w:numFmt w:val="bullet"/>
      <w:lvlText w:val=""/>
      <w:lvlJc w:val="left"/>
      <w:pPr>
        <w:ind w:left="5868" w:hanging="360"/>
      </w:pPr>
      <w:rPr>
        <w:rFonts w:ascii="Symbol" w:hAnsi="Symbol" w:hint="default"/>
      </w:rPr>
    </w:lvl>
    <w:lvl w:ilvl="7" w:tplc="041B0003" w:tentative="1">
      <w:start w:val="1"/>
      <w:numFmt w:val="bullet"/>
      <w:lvlText w:val="o"/>
      <w:lvlJc w:val="left"/>
      <w:pPr>
        <w:ind w:left="6588" w:hanging="360"/>
      </w:pPr>
      <w:rPr>
        <w:rFonts w:ascii="Courier New" w:hAnsi="Courier New" w:cs="Courier New" w:hint="default"/>
      </w:rPr>
    </w:lvl>
    <w:lvl w:ilvl="8" w:tplc="041B0005" w:tentative="1">
      <w:start w:val="1"/>
      <w:numFmt w:val="bullet"/>
      <w:lvlText w:val=""/>
      <w:lvlJc w:val="left"/>
      <w:pPr>
        <w:ind w:left="7308" w:hanging="360"/>
      </w:pPr>
      <w:rPr>
        <w:rFonts w:ascii="Wingdings" w:hAnsi="Wingdings" w:hint="default"/>
      </w:rPr>
    </w:lvl>
  </w:abstractNum>
  <w:abstractNum w:abstractNumId="44">
    <w:nsid w:val="59F01DF8"/>
    <w:multiLevelType w:val="hybridMultilevel"/>
    <w:tmpl w:val="B27854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5B1F090C"/>
    <w:multiLevelType w:val="hybridMultilevel"/>
    <w:tmpl w:val="6772F5A6"/>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46">
    <w:nsid w:val="5BE529B5"/>
    <w:multiLevelType w:val="hybridMultilevel"/>
    <w:tmpl w:val="9B2680E2"/>
    <w:lvl w:ilvl="0" w:tplc="682845EE">
      <w:start w:val="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BFE6A36"/>
    <w:multiLevelType w:val="hybridMultilevel"/>
    <w:tmpl w:val="CBF032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8">
    <w:nsid w:val="5D7A59C7"/>
    <w:multiLevelType w:val="hybridMultilevel"/>
    <w:tmpl w:val="D95E89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9">
    <w:nsid w:val="5F0D4E61"/>
    <w:multiLevelType w:val="multilevel"/>
    <w:tmpl w:val="B7828714"/>
    <w:name w:val="Linia23"/>
    <w:lvl w:ilvl="0">
      <w:start w:val="1"/>
      <w:numFmt w:val="decimal"/>
      <w:lvlText w:val="Cieľ %1."/>
      <w:lvlJc w:val="left"/>
      <w:pPr>
        <w:ind w:left="360" w:hanging="360"/>
      </w:pPr>
      <w:rPr>
        <w:rFonts w:cs="Times New Roman" w:hint="default"/>
        <w:b/>
        <w:bCs/>
        <w:i w:val="0"/>
        <w:iCs w:val="0"/>
      </w:rPr>
    </w:lvl>
    <w:lvl w:ilvl="1">
      <w:start w:val="1"/>
      <w:numFmt w:val="decimal"/>
      <w:lvlText w:val="Opatrenie %1.%2."/>
      <w:lvlJc w:val="left"/>
      <w:pPr>
        <w:ind w:left="357" w:hanging="357"/>
      </w:pPr>
      <w:rPr>
        <w:rFonts w:cs="Times New Roman" w:hint="default"/>
        <w:b/>
        <w:bCs/>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60777499"/>
    <w:multiLevelType w:val="multilevel"/>
    <w:tmpl w:val="A9C8ECC6"/>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1647E69"/>
    <w:multiLevelType w:val="hybridMultilevel"/>
    <w:tmpl w:val="C7CA3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45735DC"/>
    <w:multiLevelType w:val="hybridMultilevel"/>
    <w:tmpl w:val="D6BEEC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3">
    <w:nsid w:val="6985709D"/>
    <w:multiLevelType w:val="multilevel"/>
    <w:tmpl w:val="EF6A585C"/>
    <w:name w:val="Linia23"/>
    <w:lvl w:ilvl="0">
      <w:start w:val="1"/>
      <w:numFmt w:val="decimal"/>
      <w:lvlText w:val="Cieľ %1."/>
      <w:lvlJc w:val="left"/>
      <w:pPr>
        <w:ind w:left="360" w:hanging="360"/>
      </w:pPr>
      <w:rPr>
        <w:rFonts w:cs="Times New Roman" w:hint="default"/>
        <w:b/>
        <w:bCs/>
        <w:i w:val="0"/>
        <w:iCs w:val="0"/>
      </w:rPr>
    </w:lvl>
    <w:lvl w:ilvl="1">
      <w:start w:val="1"/>
      <w:numFmt w:val="decimal"/>
      <w:lvlText w:val="Opatrenie %1.%2."/>
      <w:lvlJc w:val="left"/>
      <w:pPr>
        <w:ind w:left="357" w:hanging="357"/>
      </w:pPr>
      <w:rPr>
        <w:rFonts w:cs="Times New Roman" w:hint="default"/>
        <w:b/>
        <w:bCs/>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69B51831"/>
    <w:multiLevelType w:val="hybridMultilevel"/>
    <w:tmpl w:val="8BB896F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nsid w:val="69BC27CE"/>
    <w:multiLevelType w:val="multilevel"/>
    <w:tmpl w:val="B7828714"/>
    <w:name w:val="Linia233"/>
    <w:lvl w:ilvl="0">
      <w:start w:val="1"/>
      <w:numFmt w:val="decimal"/>
      <w:lvlText w:val="Cieľ %1."/>
      <w:lvlJc w:val="left"/>
      <w:pPr>
        <w:ind w:left="360" w:hanging="360"/>
      </w:pPr>
      <w:rPr>
        <w:rFonts w:cs="Times New Roman" w:hint="default"/>
        <w:b/>
        <w:bCs/>
        <w:i w:val="0"/>
        <w:iCs w:val="0"/>
      </w:rPr>
    </w:lvl>
    <w:lvl w:ilvl="1">
      <w:start w:val="1"/>
      <w:numFmt w:val="decimal"/>
      <w:lvlText w:val="Opatrenie %1.%2."/>
      <w:lvlJc w:val="left"/>
      <w:pPr>
        <w:ind w:left="357" w:hanging="357"/>
      </w:pPr>
      <w:rPr>
        <w:rFonts w:cs="Times New Roman" w:hint="default"/>
        <w:b/>
        <w:bCs/>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nsid w:val="6C9B4B78"/>
    <w:multiLevelType w:val="multilevel"/>
    <w:tmpl w:val="979A7A56"/>
    <w:name w:val="Linia2"/>
    <w:lvl w:ilvl="0">
      <w:start w:val="1"/>
      <w:numFmt w:val="decimal"/>
      <w:lvlText w:val="%1."/>
      <w:lvlJc w:val="left"/>
      <w:pPr>
        <w:ind w:left="720" w:hanging="360"/>
      </w:pPr>
      <w:rPr>
        <w:rFonts w:cs="Times New Roman" w:hint="default"/>
      </w:rPr>
    </w:lvl>
    <w:lvl w:ilvl="1">
      <w:start w:val="1"/>
      <w:numFmt w:val="decimal"/>
      <w:lvlText w:val="Línia %1.%2."/>
      <w:lvlJc w:val="left"/>
      <w:pPr>
        <w:ind w:left="1304" w:hanging="964"/>
      </w:pPr>
      <w:rPr>
        <w:rFonts w:cs="Times New Roman" w:hint="default"/>
        <w:b/>
        <w:bCs/>
        <w:i w:val="0"/>
        <w:iCs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7">
    <w:nsid w:val="6D0070E8"/>
    <w:multiLevelType w:val="hybridMultilevel"/>
    <w:tmpl w:val="C2582B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8">
    <w:nsid w:val="76FD19FE"/>
    <w:multiLevelType w:val="hybridMultilevel"/>
    <w:tmpl w:val="DB7490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9">
    <w:nsid w:val="7B217051"/>
    <w:multiLevelType w:val="hybridMultilevel"/>
    <w:tmpl w:val="2E409984"/>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60">
    <w:nsid w:val="7B750545"/>
    <w:multiLevelType w:val="hybridMultilevel"/>
    <w:tmpl w:val="A900D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DED3CB6"/>
    <w:multiLevelType w:val="multilevel"/>
    <w:tmpl w:val="041B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6"/>
  </w:num>
  <w:num w:numId="3">
    <w:abstractNumId w:val="15"/>
  </w:num>
  <w:num w:numId="4">
    <w:abstractNumId w:val="9"/>
  </w:num>
  <w:num w:numId="5">
    <w:abstractNumId w:val="23"/>
  </w:num>
  <w:num w:numId="6">
    <w:abstractNumId w:val="13"/>
  </w:num>
  <w:num w:numId="7">
    <w:abstractNumId w:val="35"/>
  </w:num>
  <w:num w:numId="8">
    <w:abstractNumId w:val="24"/>
  </w:num>
  <w:num w:numId="9">
    <w:abstractNumId w:val="59"/>
  </w:num>
  <w:num w:numId="10">
    <w:abstractNumId w:val="45"/>
  </w:num>
  <w:num w:numId="11">
    <w:abstractNumId w:val="17"/>
  </w:num>
  <w:num w:numId="12">
    <w:abstractNumId w:val="26"/>
  </w:num>
  <w:num w:numId="13">
    <w:abstractNumId w:val="39"/>
  </w:num>
  <w:num w:numId="14">
    <w:abstractNumId w:val="58"/>
  </w:num>
  <w:num w:numId="15">
    <w:abstractNumId w:val="32"/>
  </w:num>
  <w:num w:numId="16">
    <w:abstractNumId w:val="38"/>
  </w:num>
  <w:num w:numId="17">
    <w:abstractNumId w:val="41"/>
  </w:num>
  <w:num w:numId="18">
    <w:abstractNumId w:val="61"/>
  </w:num>
  <w:num w:numId="19">
    <w:abstractNumId w:val="5"/>
  </w:num>
  <w:num w:numId="20">
    <w:abstractNumId w:val="48"/>
  </w:num>
  <w:num w:numId="21">
    <w:abstractNumId w:val="52"/>
  </w:num>
  <w:num w:numId="22">
    <w:abstractNumId w:val="47"/>
  </w:num>
  <w:num w:numId="23">
    <w:abstractNumId w:val="8"/>
  </w:num>
  <w:num w:numId="24">
    <w:abstractNumId w:val="21"/>
  </w:num>
  <w:num w:numId="25">
    <w:abstractNumId w:val="33"/>
  </w:num>
  <w:num w:numId="26">
    <w:abstractNumId w:val="34"/>
  </w:num>
  <w:num w:numId="27">
    <w:abstractNumId w:val="46"/>
  </w:num>
  <w:num w:numId="28">
    <w:abstractNumId w:val="22"/>
  </w:num>
  <w:num w:numId="29">
    <w:abstractNumId w:val="57"/>
  </w:num>
  <w:num w:numId="30">
    <w:abstractNumId w:val="60"/>
  </w:num>
  <w:num w:numId="31">
    <w:abstractNumId w:val="54"/>
  </w:num>
  <w:num w:numId="32">
    <w:abstractNumId w:val="11"/>
  </w:num>
  <w:num w:numId="33">
    <w:abstractNumId w:val="25"/>
  </w:num>
  <w:num w:numId="34">
    <w:abstractNumId w:val="3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30"/>
  </w:num>
  <w:num w:numId="37">
    <w:abstractNumId w:val="31"/>
  </w:num>
  <w:num w:numId="38">
    <w:abstractNumId w:val="18"/>
  </w:num>
  <w:num w:numId="39">
    <w:abstractNumId w:val="43"/>
  </w:num>
  <w:num w:numId="40">
    <w:abstractNumId w:val="42"/>
  </w:num>
  <w:num w:numId="41">
    <w:abstractNumId w:val="44"/>
  </w:num>
  <w:num w:numId="42">
    <w:abstractNumId w:val="6"/>
  </w:num>
  <w:num w:numId="43">
    <w:abstractNumId w:val="51"/>
  </w:num>
  <w:num w:numId="44">
    <w:abstractNumId w:val="37"/>
  </w:num>
  <w:num w:numId="45">
    <w:abstractNumId w:val="16"/>
  </w:num>
  <w:num w:numId="46">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EA"/>
    <w:rsid w:val="00000A55"/>
    <w:rsid w:val="00001691"/>
    <w:rsid w:val="0000185B"/>
    <w:rsid w:val="00004A7C"/>
    <w:rsid w:val="000116B0"/>
    <w:rsid w:val="00011A46"/>
    <w:rsid w:val="00011F2D"/>
    <w:rsid w:val="00013632"/>
    <w:rsid w:val="00013D47"/>
    <w:rsid w:val="00017E91"/>
    <w:rsid w:val="0002062E"/>
    <w:rsid w:val="00021216"/>
    <w:rsid w:val="0002154C"/>
    <w:rsid w:val="00021CB3"/>
    <w:rsid w:val="0002212B"/>
    <w:rsid w:val="00022C74"/>
    <w:rsid w:val="00023FA9"/>
    <w:rsid w:val="00024F55"/>
    <w:rsid w:val="0002555F"/>
    <w:rsid w:val="00025781"/>
    <w:rsid w:val="00027CD8"/>
    <w:rsid w:val="000302D0"/>
    <w:rsid w:val="000308EF"/>
    <w:rsid w:val="000319D2"/>
    <w:rsid w:val="00032141"/>
    <w:rsid w:val="00034721"/>
    <w:rsid w:val="000360EE"/>
    <w:rsid w:val="00037090"/>
    <w:rsid w:val="000375EA"/>
    <w:rsid w:val="000410B1"/>
    <w:rsid w:val="000414A9"/>
    <w:rsid w:val="000432A6"/>
    <w:rsid w:val="00044D14"/>
    <w:rsid w:val="00047C67"/>
    <w:rsid w:val="00047CC7"/>
    <w:rsid w:val="000501BA"/>
    <w:rsid w:val="000505BB"/>
    <w:rsid w:val="00052F3B"/>
    <w:rsid w:val="00053EA7"/>
    <w:rsid w:val="0005684E"/>
    <w:rsid w:val="0006195F"/>
    <w:rsid w:val="00064395"/>
    <w:rsid w:val="00064EE3"/>
    <w:rsid w:val="00065646"/>
    <w:rsid w:val="0006650F"/>
    <w:rsid w:val="00067E44"/>
    <w:rsid w:val="000703F3"/>
    <w:rsid w:val="000711BE"/>
    <w:rsid w:val="00072BD1"/>
    <w:rsid w:val="0007596F"/>
    <w:rsid w:val="00076F0E"/>
    <w:rsid w:val="00080ACB"/>
    <w:rsid w:val="00080BD5"/>
    <w:rsid w:val="00081EF0"/>
    <w:rsid w:val="00083161"/>
    <w:rsid w:val="00083805"/>
    <w:rsid w:val="00083C93"/>
    <w:rsid w:val="00083E17"/>
    <w:rsid w:val="0008518F"/>
    <w:rsid w:val="00085720"/>
    <w:rsid w:val="00085FA0"/>
    <w:rsid w:val="00090507"/>
    <w:rsid w:val="00092647"/>
    <w:rsid w:val="00092912"/>
    <w:rsid w:val="00093C43"/>
    <w:rsid w:val="000947E3"/>
    <w:rsid w:val="00094DDC"/>
    <w:rsid w:val="000975EF"/>
    <w:rsid w:val="00097A2A"/>
    <w:rsid w:val="00097AE9"/>
    <w:rsid w:val="000A00CD"/>
    <w:rsid w:val="000A0170"/>
    <w:rsid w:val="000A022A"/>
    <w:rsid w:val="000A0B4C"/>
    <w:rsid w:val="000A0E63"/>
    <w:rsid w:val="000A17D0"/>
    <w:rsid w:val="000A2B93"/>
    <w:rsid w:val="000A3B76"/>
    <w:rsid w:val="000A4163"/>
    <w:rsid w:val="000A4517"/>
    <w:rsid w:val="000A4984"/>
    <w:rsid w:val="000A709B"/>
    <w:rsid w:val="000A7E8B"/>
    <w:rsid w:val="000B0CA0"/>
    <w:rsid w:val="000B23B5"/>
    <w:rsid w:val="000B3BAD"/>
    <w:rsid w:val="000B408A"/>
    <w:rsid w:val="000B4780"/>
    <w:rsid w:val="000B4A13"/>
    <w:rsid w:val="000C0934"/>
    <w:rsid w:val="000C0E66"/>
    <w:rsid w:val="000C1904"/>
    <w:rsid w:val="000C23F0"/>
    <w:rsid w:val="000C250F"/>
    <w:rsid w:val="000C2760"/>
    <w:rsid w:val="000C2BC1"/>
    <w:rsid w:val="000C2D07"/>
    <w:rsid w:val="000C4B8E"/>
    <w:rsid w:val="000C582A"/>
    <w:rsid w:val="000D0E31"/>
    <w:rsid w:val="000D16F7"/>
    <w:rsid w:val="000D1D68"/>
    <w:rsid w:val="000D2D9B"/>
    <w:rsid w:val="000D4A62"/>
    <w:rsid w:val="000D58BF"/>
    <w:rsid w:val="000E1A05"/>
    <w:rsid w:val="000E2E36"/>
    <w:rsid w:val="000E47A2"/>
    <w:rsid w:val="000E5A51"/>
    <w:rsid w:val="000E61E5"/>
    <w:rsid w:val="000E670C"/>
    <w:rsid w:val="000F1A0E"/>
    <w:rsid w:val="000F2F42"/>
    <w:rsid w:val="000F4CDE"/>
    <w:rsid w:val="000F56BE"/>
    <w:rsid w:val="000F6BF8"/>
    <w:rsid w:val="00100E1C"/>
    <w:rsid w:val="00101ED0"/>
    <w:rsid w:val="00102564"/>
    <w:rsid w:val="001112F4"/>
    <w:rsid w:val="00111799"/>
    <w:rsid w:val="00111824"/>
    <w:rsid w:val="0011596D"/>
    <w:rsid w:val="00115C16"/>
    <w:rsid w:val="00116505"/>
    <w:rsid w:val="00116670"/>
    <w:rsid w:val="001168CA"/>
    <w:rsid w:val="00116994"/>
    <w:rsid w:val="00117ABC"/>
    <w:rsid w:val="00121AC8"/>
    <w:rsid w:val="00124729"/>
    <w:rsid w:val="00130898"/>
    <w:rsid w:val="00130DDF"/>
    <w:rsid w:val="00130F1B"/>
    <w:rsid w:val="00131425"/>
    <w:rsid w:val="00131548"/>
    <w:rsid w:val="001334C8"/>
    <w:rsid w:val="0013443C"/>
    <w:rsid w:val="00134F8E"/>
    <w:rsid w:val="00135812"/>
    <w:rsid w:val="00136AD6"/>
    <w:rsid w:val="00137A27"/>
    <w:rsid w:val="00140365"/>
    <w:rsid w:val="001409C1"/>
    <w:rsid w:val="00141269"/>
    <w:rsid w:val="0014226F"/>
    <w:rsid w:val="00143781"/>
    <w:rsid w:val="00143CD7"/>
    <w:rsid w:val="001469D0"/>
    <w:rsid w:val="00150182"/>
    <w:rsid w:val="001507F7"/>
    <w:rsid w:val="001550CD"/>
    <w:rsid w:val="00155B86"/>
    <w:rsid w:val="00155D2F"/>
    <w:rsid w:val="00156094"/>
    <w:rsid w:val="00157257"/>
    <w:rsid w:val="0015789B"/>
    <w:rsid w:val="00160ED1"/>
    <w:rsid w:val="00161564"/>
    <w:rsid w:val="00162BFA"/>
    <w:rsid w:val="00163B88"/>
    <w:rsid w:val="001649D2"/>
    <w:rsid w:val="00166160"/>
    <w:rsid w:val="00166E76"/>
    <w:rsid w:val="00167FCD"/>
    <w:rsid w:val="00167FDC"/>
    <w:rsid w:val="00171C17"/>
    <w:rsid w:val="00172C91"/>
    <w:rsid w:val="00172E64"/>
    <w:rsid w:val="00174191"/>
    <w:rsid w:val="00174BA9"/>
    <w:rsid w:val="00176765"/>
    <w:rsid w:val="0018069F"/>
    <w:rsid w:val="00181120"/>
    <w:rsid w:val="00181666"/>
    <w:rsid w:val="00182458"/>
    <w:rsid w:val="001839E7"/>
    <w:rsid w:val="00184FA3"/>
    <w:rsid w:val="001853CB"/>
    <w:rsid w:val="001853ED"/>
    <w:rsid w:val="00185C90"/>
    <w:rsid w:val="00185F95"/>
    <w:rsid w:val="00186D88"/>
    <w:rsid w:val="00187844"/>
    <w:rsid w:val="00191D7E"/>
    <w:rsid w:val="00191DF8"/>
    <w:rsid w:val="00192509"/>
    <w:rsid w:val="001930B1"/>
    <w:rsid w:val="00193A4E"/>
    <w:rsid w:val="00193CAF"/>
    <w:rsid w:val="00194267"/>
    <w:rsid w:val="00195B27"/>
    <w:rsid w:val="00195B77"/>
    <w:rsid w:val="00195E85"/>
    <w:rsid w:val="00196CC0"/>
    <w:rsid w:val="00196E7F"/>
    <w:rsid w:val="001A2275"/>
    <w:rsid w:val="001A2803"/>
    <w:rsid w:val="001A5B5D"/>
    <w:rsid w:val="001B034D"/>
    <w:rsid w:val="001B4B15"/>
    <w:rsid w:val="001B5294"/>
    <w:rsid w:val="001B566C"/>
    <w:rsid w:val="001B725B"/>
    <w:rsid w:val="001C0734"/>
    <w:rsid w:val="001C2251"/>
    <w:rsid w:val="001C2517"/>
    <w:rsid w:val="001C344C"/>
    <w:rsid w:val="001C4A11"/>
    <w:rsid w:val="001D0D06"/>
    <w:rsid w:val="001D2A0D"/>
    <w:rsid w:val="001D2EFB"/>
    <w:rsid w:val="001D31FC"/>
    <w:rsid w:val="001D32FD"/>
    <w:rsid w:val="001D3400"/>
    <w:rsid w:val="001D3A7D"/>
    <w:rsid w:val="001D59F9"/>
    <w:rsid w:val="001D5E0C"/>
    <w:rsid w:val="001D620C"/>
    <w:rsid w:val="001D754C"/>
    <w:rsid w:val="001E124A"/>
    <w:rsid w:val="001E4478"/>
    <w:rsid w:val="001E4DD2"/>
    <w:rsid w:val="001E5151"/>
    <w:rsid w:val="001E52BD"/>
    <w:rsid w:val="001E5573"/>
    <w:rsid w:val="001E5575"/>
    <w:rsid w:val="001E7135"/>
    <w:rsid w:val="001F064D"/>
    <w:rsid w:val="001F130B"/>
    <w:rsid w:val="001F212A"/>
    <w:rsid w:val="001F5301"/>
    <w:rsid w:val="001F56DF"/>
    <w:rsid w:val="001F62B5"/>
    <w:rsid w:val="001F7C98"/>
    <w:rsid w:val="00201816"/>
    <w:rsid w:val="00202EBC"/>
    <w:rsid w:val="0020442F"/>
    <w:rsid w:val="00206DBE"/>
    <w:rsid w:val="00207256"/>
    <w:rsid w:val="00207B73"/>
    <w:rsid w:val="00215BA0"/>
    <w:rsid w:val="0021725F"/>
    <w:rsid w:val="002177B2"/>
    <w:rsid w:val="002217E0"/>
    <w:rsid w:val="00222391"/>
    <w:rsid w:val="0022387C"/>
    <w:rsid w:val="00223910"/>
    <w:rsid w:val="002241AD"/>
    <w:rsid w:val="0022612E"/>
    <w:rsid w:val="0022677E"/>
    <w:rsid w:val="00230860"/>
    <w:rsid w:val="002318DA"/>
    <w:rsid w:val="00231DE0"/>
    <w:rsid w:val="00234C9F"/>
    <w:rsid w:val="00235005"/>
    <w:rsid w:val="00235FD8"/>
    <w:rsid w:val="00236349"/>
    <w:rsid w:val="00237A5F"/>
    <w:rsid w:val="00237F6B"/>
    <w:rsid w:val="00240388"/>
    <w:rsid w:val="00240C18"/>
    <w:rsid w:val="002413BE"/>
    <w:rsid w:val="00241DE7"/>
    <w:rsid w:val="002424DB"/>
    <w:rsid w:val="002437B9"/>
    <w:rsid w:val="002445AD"/>
    <w:rsid w:val="00246A48"/>
    <w:rsid w:val="00247364"/>
    <w:rsid w:val="00250DFE"/>
    <w:rsid w:val="00252975"/>
    <w:rsid w:val="00252C16"/>
    <w:rsid w:val="00252E39"/>
    <w:rsid w:val="0025429C"/>
    <w:rsid w:val="002543CE"/>
    <w:rsid w:val="00254C28"/>
    <w:rsid w:val="00254E0A"/>
    <w:rsid w:val="0025567B"/>
    <w:rsid w:val="00255C54"/>
    <w:rsid w:val="0025642B"/>
    <w:rsid w:val="0025669B"/>
    <w:rsid w:val="00256A46"/>
    <w:rsid w:val="002570C6"/>
    <w:rsid w:val="002622D1"/>
    <w:rsid w:val="00262C6C"/>
    <w:rsid w:val="00263401"/>
    <w:rsid w:val="00263A3C"/>
    <w:rsid w:val="002641A1"/>
    <w:rsid w:val="002661C3"/>
    <w:rsid w:val="00266B17"/>
    <w:rsid w:val="002678EC"/>
    <w:rsid w:val="00267FB7"/>
    <w:rsid w:val="002706AA"/>
    <w:rsid w:val="00272180"/>
    <w:rsid w:val="00274435"/>
    <w:rsid w:val="00274D0D"/>
    <w:rsid w:val="002765B6"/>
    <w:rsid w:val="00276C4C"/>
    <w:rsid w:val="0027751C"/>
    <w:rsid w:val="0027767B"/>
    <w:rsid w:val="00277AEF"/>
    <w:rsid w:val="00280599"/>
    <w:rsid w:val="00280744"/>
    <w:rsid w:val="00280E2D"/>
    <w:rsid w:val="00283CF3"/>
    <w:rsid w:val="00284182"/>
    <w:rsid w:val="002851EB"/>
    <w:rsid w:val="002867E0"/>
    <w:rsid w:val="002873F0"/>
    <w:rsid w:val="00292563"/>
    <w:rsid w:val="00292B73"/>
    <w:rsid w:val="002946FA"/>
    <w:rsid w:val="00294A15"/>
    <w:rsid w:val="00294D94"/>
    <w:rsid w:val="002A07FF"/>
    <w:rsid w:val="002A3485"/>
    <w:rsid w:val="002A38B7"/>
    <w:rsid w:val="002A3A90"/>
    <w:rsid w:val="002A7B0D"/>
    <w:rsid w:val="002B044E"/>
    <w:rsid w:val="002B1D7E"/>
    <w:rsid w:val="002B22FF"/>
    <w:rsid w:val="002B4031"/>
    <w:rsid w:val="002B4B03"/>
    <w:rsid w:val="002B4F5A"/>
    <w:rsid w:val="002B58BC"/>
    <w:rsid w:val="002B611D"/>
    <w:rsid w:val="002B655F"/>
    <w:rsid w:val="002B7939"/>
    <w:rsid w:val="002C19EB"/>
    <w:rsid w:val="002C2F55"/>
    <w:rsid w:val="002C3572"/>
    <w:rsid w:val="002C57EC"/>
    <w:rsid w:val="002C65F0"/>
    <w:rsid w:val="002C790E"/>
    <w:rsid w:val="002D1EEE"/>
    <w:rsid w:val="002D31E3"/>
    <w:rsid w:val="002D4219"/>
    <w:rsid w:val="002D4651"/>
    <w:rsid w:val="002D59D6"/>
    <w:rsid w:val="002D6085"/>
    <w:rsid w:val="002D65CE"/>
    <w:rsid w:val="002E276A"/>
    <w:rsid w:val="002E3151"/>
    <w:rsid w:val="002E5042"/>
    <w:rsid w:val="002E6A2F"/>
    <w:rsid w:val="002E72CD"/>
    <w:rsid w:val="002F0C93"/>
    <w:rsid w:val="002F1203"/>
    <w:rsid w:val="002F2270"/>
    <w:rsid w:val="002F3C52"/>
    <w:rsid w:val="002F4246"/>
    <w:rsid w:val="002F5252"/>
    <w:rsid w:val="002F61F1"/>
    <w:rsid w:val="003018F4"/>
    <w:rsid w:val="0030367F"/>
    <w:rsid w:val="00304099"/>
    <w:rsid w:val="00305232"/>
    <w:rsid w:val="00305C45"/>
    <w:rsid w:val="00306837"/>
    <w:rsid w:val="00306FAF"/>
    <w:rsid w:val="00307AD2"/>
    <w:rsid w:val="00310D58"/>
    <w:rsid w:val="00311D4D"/>
    <w:rsid w:val="003122F3"/>
    <w:rsid w:val="0031513D"/>
    <w:rsid w:val="00315663"/>
    <w:rsid w:val="003179C2"/>
    <w:rsid w:val="00320175"/>
    <w:rsid w:val="00320E6F"/>
    <w:rsid w:val="00321E3C"/>
    <w:rsid w:val="00321FB6"/>
    <w:rsid w:val="003224A6"/>
    <w:rsid w:val="00322973"/>
    <w:rsid w:val="00322DB7"/>
    <w:rsid w:val="00323E10"/>
    <w:rsid w:val="003249C6"/>
    <w:rsid w:val="003252BF"/>
    <w:rsid w:val="003262B1"/>
    <w:rsid w:val="003315D4"/>
    <w:rsid w:val="00332326"/>
    <w:rsid w:val="00332FA9"/>
    <w:rsid w:val="00337C5D"/>
    <w:rsid w:val="00340117"/>
    <w:rsid w:val="00340C34"/>
    <w:rsid w:val="00341902"/>
    <w:rsid w:val="003425AD"/>
    <w:rsid w:val="003442E5"/>
    <w:rsid w:val="003443D3"/>
    <w:rsid w:val="003452B5"/>
    <w:rsid w:val="00345AA2"/>
    <w:rsid w:val="00346681"/>
    <w:rsid w:val="00347084"/>
    <w:rsid w:val="00347B6B"/>
    <w:rsid w:val="00351DE9"/>
    <w:rsid w:val="003543E3"/>
    <w:rsid w:val="0035500A"/>
    <w:rsid w:val="0036043E"/>
    <w:rsid w:val="0036100E"/>
    <w:rsid w:val="003627A5"/>
    <w:rsid w:val="00362F9A"/>
    <w:rsid w:val="00364A88"/>
    <w:rsid w:val="00365212"/>
    <w:rsid w:val="00365B9D"/>
    <w:rsid w:val="00366122"/>
    <w:rsid w:val="00366FC9"/>
    <w:rsid w:val="003672CD"/>
    <w:rsid w:val="00367F9F"/>
    <w:rsid w:val="003716D3"/>
    <w:rsid w:val="00371D0B"/>
    <w:rsid w:val="00372C20"/>
    <w:rsid w:val="003736A0"/>
    <w:rsid w:val="00374BE7"/>
    <w:rsid w:val="003750A0"/>
    <w:rsid w:val="00375476"/>
    <w:rsid w:val="00376F9B"/>
    <w:rsid w:val="003818F2"/>
    <w:rsid w:val="00382D9C"/>
    <w:rsid w:val="0038392C"/>
    <w:rsid w:val="00385395"/>
    <w:rsid w:val="00386639"/>
    <w:rsid w:val="003875FC"/>
    <w:rsid w:val="00390A12"/>
    <w:rsid w:val="00391873"/>
    <w:rsid w:val="00395DA4"/>
    <w:rsid w:val="003962A6"/>
    <w:rsid w:val="003974C4"/>
    <w:rsid w:val="003A1CA6"/>
    <w:rsid w:val="003A288D"/>
    <w:rsid w:val="003A30D4"/>
    <w:rsid w:val="003A5240"/>
    <w:rsid w:val="003A710A"/>
    <w:rsid w:val="003B18ED"/>
    <w:rsid w:val="003B1F34"/>
    <w:rsid w:val="003B2FA3"/>
    <w:rsid w:val="003B35FF"/>
    <w:rsid w:val="003B5469"/>
    <w:rsid w:val="003B654D"/>
    <w:rsid w:val="003B78DB"/>
    <w:rsid w:val="003C026A"/>
    <w:rsid w:val="003C0C0F"/>
    <w:rsid w:val="003C0D42"/>
    <w:rsid w:val="003C1577"/>
    <w:rsid w:val="003C1CD7"/>
    <w:rsid w:val="003C366E"/>
    <w:rsid w:val="003C55D7"/>
    <w:rsid w:val="003C6A51"/>
    <w:rsid w:val="003C6E29"/>
    <w:rsid w:val="003C713F"/>
    <w:rsid w:val="003C7B6A"/>
    <w:rsid w:val="003C7B78"/>
    <w:rsid w:val="003D059B"/>
    <w:rsid w:val="003D0649"/>
    <w:rsid w:val="003D0BB1"/>
    <w:rsid w:val="003D4307"/>
    <w:rsid w:val="003D455F"/>
    <w:rsid w:val="003D473E"/>
    <w:rsid w:val="003D4DDD"/>
    <w:rsid w:val="003E1477"/>
    <w:rsid w:val="003E388B"/>
    <w:rsid w:val="003E3B9B"/>
    <w:rsid w:val="003E49D7"/>
    <w:rsid w:val="003E4A14"/>
    <w:rsid w:val="003E4B22"/>
    <w:rsid w:val="003E4FD0"/>
    <w:rsid w:val="003E5287"/>
    <w:rsid w:val="003E530E"/>
    <w:rsid w:val="003E655C"/>
    <w:rsid w:val="003E6BCE"/>
    <w:rsid w:val="003F0047"/>
    <w:rsid w:val="003F2A0D"/>
    <w:rsid w:val="003F3977"/>
    <w:rsid w:val="003F4807"/>
    <w:rsid w:val="003F4FC4"/>
    <w:rsid w:val="003F6583"/>
    <w:rsid w:val="003F6883"/>
    <w:rsid w:val="003F702D"/>
    <w:rsid w:val="003F7197"/>
    <w:rsid w:val="003F7412"/>
    <w:rsid w:val="003F760B"/>
    <w:rsid w:val="003F7AC5"/>
    <w:rsid w:val="00400B45"/>
    <w:rsid w:val="00402593"/>
    <w:rsid w:val="00402EF8"/>
    <w:rsid w:val="00404906"/>
    <w:rsid w:val="0040568C"/>
    <w:rsid w:val="00405798"/>
    <w:rsid w:val="00411946"/>
    <w:rsid w:val="00411D98"/>
    <w:rsid w:val="004122EE"/>
    <w:rsid w:val="00412B99"/>
    <w:rsid w:val="004144DD"/>
    <w:rsid w:val="00415264"/>
    <w:rsid w:val="00415CB2"/>
    <w:rsid w:val="004177A3"/>
    <w:rsid w:val="00417DB2"/>
    <w:rsid w:val="00422804"/>
    <w:rsid w:val="00426554"/>
    <w:rsid w:val="00427D7A"/>
    <w:rsid w:val="004309D9"/>
    <w:rsid w:val="00431B5A"/>
    <w:rsid w:val="00431FC7"/>
    <w:rsid w:val="004323FF"/>
    <w:rsid w:val="0043243E"/>
    <w:rsid w:val="00435248"/>
    <w:rsid w:val="004365E4"/>
    <w:rsid w:val="0043697A"/>
    <w:rsid w:val="00440AC9"/>
    <w:rsid w:val="004419B3"/>
    <w:rsid w:val="0044241E"/>
    <w:rsid w:val="00442B4F"/>
    <w:rsid w:val="00442EE5"/>
    <w:rsid w:val="004446EB"/>
    <w:rsid w:val="00444A9B"/>
    <w:rsid w:val="00447106"/>
    <w:rsid w:val="00447AB6"/>
    <w:rsid w:val="004504B8"/>
    <w:rsid w:val="004519E6"/>
    <w:rsid w:val="00452B7F"/>
    <w:rsid w:val="00453377"/>
    <w:rsid w:val="00454149"/>
    <w:rsid w:val="004542C8"/>
    <w:rsid w:val="00456B3E"/>
    <w:rsid w:val="00456DD6"/>
    <w:rsid w:val="004604FB"/>
    <w:rsid w:val="0046114A"/>
    <w:rsid w:val="00461742"/>
    <w:rsid w:val="00462721"/>
    <w:rsid w:val="00464479"/>
    <w:rsid w:val="004647D7"/>
    <w:rsid w:val="00464C59"/>
    <w:rsid w:val="004657AE"/>
    <w:rsid w:val="004661F6"/>
    <w:rsid w:val="004673B2"/>
    <w:rsid w:val="00467B15"/>
    <w:rsid w:val="00470007"/>
    <w:rsid w:val="004718E7"/>
    <w:rsid w:val="004743A6"/>
    <w:rsid w:val="004763C0"/>
    <w:rsid w:val="00476DE1"/>
    <w:rsid w:val="004822EF"/>
    <w:rsid w:val="0048320C"/>
    <w:rsid w:val="00483AE9"/>
    <w:rsid w:val="00484332"/>
    <w:rsid w:val="00486C0E"/>
    <w:rsid w:val="0048753D"/>
    <w:rsid w:val="00490CF5"/>
    <w:rsid w:val="00491E8F"/>
    <w:rsid w:val="00492DCB"/>
    <w:rsid w:val="00493CF5"/>
    <w:rsid w:val="0049408F"/>
    <w:rsid w:val="004943D6"/>
    <w:rsid w:val="00495200"/>
    <w:rsid w:val="0049590F"/>
    <w:rsid w:val="00495C79"/>
    <w:rsid w:val="00496C65"/>
    <w:rsid w:val="004976C1"/>
    <w:rsid w:val="00497CDD"/>
    <w:rsid w:val="00497D9B"/>
    <w:rsid w:val="00497DCE"/>
    <w:rsid w:val="004A07B4"/>
    <w:rsid w:val="004A09B3"/>
    <w:rsid w:val="004A12C7"/>
    <w:rsid w:val="004A1523"/>
    <w:rsid w:val="004A2F14"/>
    <w:rsid w:val="004A3D8B"/>
    <w:rsid w:val="004A5308"/>
    <w:rsid w:val="004A5409"/>
    <w:rsid w:val="004A5868"/>
    <w:rsid w:val="004B017B"/>
    <w:rsid w:val="004B098D"/>
    <w:rsid w:val="004B1678"/>
    <w:rsid w:val="004B46CE"/>
    <w:rsid w:val="004B564F"/>
    <w:rsid w:val="004C0530"/>
    <w:rsid w:val="004C1862"/>
    <w:rsid w:val="004C258D"/>
    <w:rsid w:val="004C3629"/>
    <w:rsid w:val="004C4091"/>
    <w:rsid w:val="004C4D55"/>
    <w:rsid w:val="004C5740"/>
    <w:rsid w:val="004C5E33"/>
    <w:rsid w:val="004C6F30"/>
    <w:rsid w:val="004C73D9"/>
    <w:rsid w:val="004C7727"/>
    <w:rsid w:val="004D1427"/>
    <w:rsid w:val="004D257E"/>
    <w:rsid w:val="004D5451"/>
    <w:rsid w:val="004D6EE9"/>
    <w:rsid w:val="004D720E"/>
    <w:rsid w:val="004D78AB"/>
    <w:rsid w:val="004E1282"/>
    <w:rsid w:val="004E16A5"/>
    <w:rsid w:val="004E1864"/>
    <w:rsid w:val="004E1BBA"/>
    <w:rsid w:val="004E1D3C"/>
    <w:rsid w:val="004E3404"/>
    <w:rsid w:val="004E4A61"/>
    <w:rsid w:val="004E549D"/>
    <w:rsid w:val="004E562D"/>
    <w:rsid w:val="004E72AA"/>
    <w:rsid w:val="004E738E"/>
    <w:rsid w:val="004F0A90"/>
    <w:rsid w:val="004F1BF4"/>
    <w:rsid w:val="004F3380"/>
    <w:rsid w:val="004F3B12"/>
    <w:rsid w:val="004F593E"/>
    <w:rsid w:val="004F6685"/>
    <w:rsid w:val="004F6F0E"/>
    <w:rsid w:val="004F7831"/>
    <w:rsid w:val="0050087D"/>
    <w:rsid w:val="00501166"/>
    <w:rsid w:val="00501439"/>
    <w:rsid w:val="00503070"/>
    <w:rsid w:val="00504A05"/>
    <w:rsid w:val="00504DB0"/>
    <w:rsid w:val="005102E2"/>
    <w:rsid w:val="00510D9C"/>
    <w:rsid w:val="0051441B"/>
    <w:rsid w:val="00514C69"/>
    <w:rsid w:val="00516170"/>
    <w:rsid w:val="0051724A"/>
    <w:rsid w:val="00520B04"/>
    <w:rsid w:val="005229E3"/>
    <w:rsid w:val="005237BC"/>
    <w:rsid w:val="005238CE"/>
    <w:rsid w:val="00524CEB"/>
    <w:rsid w:val="00524F65"/>
    <w:rsid w:val="005250DB"/>
    <w:rsid w:val="005256F7"/>
    <w:rsid w:val="00530233"/>
    <w:rsid w:val="005306D4"/>
    <w:rsid w:val="005327A4"/>
    <w:rsid w:val="005332A3"/>
    <w:rsid w:val="00534C1D"/>
    <w:rsid w:val="0053556E"/>
    <w:rsid w:val="00536693"/>
    <w:rsid w:val="00536E9D"/>
    <w:rsid w:val="005375EF"/>
    <w:rsid w:val="00537D1F"/>
    <w:rsid w:val="00537DBD"/>
    <w:rsid w:val="00540D2B"/>
    <w:rsid w:val="005414D6"/>
    <w:rsid w:val="00541E70"/>
    <w:rsid w:val="0054262F"/>
    <w:rsid w:val="005446F1"/>
    <w:rsid w:val="00553FED"/>
    <w:rsid w:val="00556E3F"/>
    <w:rsid w:val="00556FA8"/>
    <w:rsid w:val="00557743"/>
    <w:rsid w:val="00560B09"/>
    <w:rsid w:val="00561E9C"/>
    <w:rsid w:val="005628DA"/>
    <w:rsid w:val="00563513"/>
    <w:rsid w:val="00564BA9"/>
    <w:rsid w:val="00565F84"/>
    <w:rsid w:val="005677A1"/>
    <w:rsid w:val="00570AC1"/>
    <w:rsid w:val="00570ED1"/>
    <w:rsid w:val="0057447F"/>
    <w:rsid w:val="0057461B"/>
    <w:rsid w:val="00574D06"/>
    <w:rsid w:val="0057739D"/>
    <w:rsid w:val="00577699"/>
    <w:rsid w:val="0058063E"/>
    <w:rsid w:val="005807A0"/>
    <w:rsid w:val="0058122E"/>
    <w:rsid w:val="00581F1C"/>
    <w:rsid w:val="00583321"/>
    <w:rsid w:val="005837A8"/>
    <w:rsid w:val="00584425"/>
    <w:rsid w:val="00585D73"/>
    <w:rsid w:val="00585E7E"/>
    <w:rsid w:val="005868CE"/>
    <w:rsid w:val="00587531"/>
    <w:rsid w:val="00590921"/>
    <w:rsid w:val="00590C20"/>
    <w:rsid w:val="00591008"/>
    <w:rsid w:val="005918D5"/>
    <w:rsid w:val="00591D95"/>
    <w:rsid w:val="0059274B"/>
    <w:rsid w:val="00592968"/>
    <w:rsid w:val="005936F3"/>
    <w:rsid w:val="005957F1"/>
    <w:rsid w:val="00595EFB"/>
    <w:rsid w:val="00597EA6"/>
    <w:rsid w:val="005A1374"/>
    <w:rsid w:val="005A3943"/>
    <w:rsid w:val="005A788D"/>
    <w:rsid w:val="005B2802"/>
    <w:rsid w:val="005B4C3D"/>
    <w:rsid w:val="005B4E37"/>
    <w:rsid w:val="005B5E32"/>
    <w:rsid w:val="005B6C74"/>
    <w:rsid w:val="005C020C"/>
    <w:rsid w:val="005C020E"/>
    <w:rsid w:val="005C1092"/>
    <w:rsid w:val="005C11AE"/>
    <w:rsid w:val="005C6756"/>
    <w:rsid w:val="005C76F3"/>
    <w:rsid w:val="005C7D53"/>
    <w:rsid w:val="005D2211"/>
    <w:rsid w:val="005D362D"/>
    <w:rsid w:val="005D6DCA"/>
    <w:rsid w:val="005E226E"/>
    <w:rsid w:val="005E2296"/>
    <w:rsid w:val="005E3AD3"/>
    <w:rsid w:val="005E3BC6"/>
    <w:rsid w:val="005E47D7"/>
    <w:rsid w:val="005E4856"/>
    <w:rsid w:val="005E6266"/>
    <w:rsid w:val="005E6DC5"/>
    <w:rsid w:val="005E7AEE"/>
    <w:rsid w:val="005F0C97"/>
    <w:rsid w:val="005F0F1E"/>
    <w:rsid w:val="005F24D1"/>
    <w:rsid w:val="005F27FB"/>
    <w:rsid w:val="005F3259"/>
    <w:rsid w:val="005F3C31"/>
    <w:rsid w:val="005F3FEB"/>
    <w:rsid w:val="005F420E"/>
    <w:rsid w:val="005F4E55"/>
    <w:rsid w:val="005F53F2"/>
    <w:rsid w:val="005F61A3"/>
    <w:rsid w:val="00600262"/>
    <w:rsid w:val="00600953"/>
    <w:rsid w:val="00600B45"/>
    <w:rsid w:val="00600FFF"/>
    <w:rsid w:val="00601DEA"/>
    <w:rsid w:val="00602913"/>
    <w:rsid w:val="00602D7B"/>
    <w:rsid w:val="0060363C"/>
    <w:rsid w:val="00604867"/>
    <w:rsid w:val="00605222"/>
    <w:rsid w:val="00605DFE"/>
    <w:rsid w:val="006065FF"/>
    <w:rsid w:val="00607276"/>
    <w:rsid w:val="00610240"/>
    <w:rsid w:val="00611F9C"/>
    <w:rsid w:val="0061226A"/>
    <w:rsid w:val="00617044"/>
    <w:rsid w:val="00620362"/>
    <w:rsid w:val="006207B2"/>
    <w:rsid w:val="00621A5B"/>
    <w:rsid w:val="0062464B"/>
    <w:rsid w:val="006246CE"/>
    <w:rsid w:val="006260C3"/>
    <w:rsid w:val="00626879"/>
    <w:rsid w:val="0062697C"/>
    <w:rsid w:val="00627E5C"/>
    <w:rsid w:val="00630421"/>
    <w:rsid w:val="006311B8"/>
    <w:rsid w:val="00631911"/>
    <w:rsid w:val="00634555"/>
    <w:rsid w:val="006348B1"/>
    <w:rsid w:val="00636A2E"/>
    <w:rsid w:val="00640EF3"/>
    <w:rsid w:val="006415AA"/>
    <w:rsid w:val="006417A6"/>
    <w:rsid w:val="006417B9"/>
    <w:rsid w:val="00641AB0"/>
    <w:rsid w:val="00642A89"/>
    <w:rsid w:val="00644F18"/>
    <w:rsid w:val="006536B1"/>
    <w:rsid w:val="0065398D"/>
    <w:rsid w:val="00654B73"/>
    <w:rsid w:val="00654CB5"/>
    <w:rsid w:val="006554D4"/>
    <w:rsid w:val="00655D97"/>
    <w:rsid w:val="006562B4"/>
    <w:rsid w:val="006565C1"/>
    <w:rsid w:val="006566FE"/>
    <w:rsid w:val="00656F84"/>
    <w:rsid w:val="006601BD"/>
    <w:rsid w:val="00660EC8"/>
    <w:rsid w:val="00663767"/>
    <w:rsid w:val="00663C9B"/>
    <w:rsid w:val="0066436B"/>
    <w:rsid w:val="0066471B"/>
    <w:rsid w:val="00664E19"/>
    <w:rsid w:val="00665A6C"/>
    <w:rsid w:val="00665E4D"/>
    <w:rsid w:val="00670049"/>
    <w:rsid w:val="0067090F"/>
    <w:rsid w:val="006715D9"/>
    <w:rsid w:val="0067178D"/>
    <w:rsid w:val="0067205B"/>
    <w:rsid w:val="006722BA"/>
    <w:rsid w:val="006743A0"/>
    <w:rsid w:val="006751BC"/>
    <w:rsid w:val="0067726C"/>
    <w:rsid w:val="006843B9"/>
    <w:rsid w:val="00684B42"/>
    <w:rsid w:val="00687829"/>
    <w:rsid w:val="00687FC3"/>
    <w:rsid w:val="00690AB8"/>
    <w:rsid w:val="006935D7"/>
    <w:rsid w:val="00693712"/>
    <w:rsid w:val="00693D53"/>
    <w:rsid w:val="0069503B"/>
    <w:rsid w:val="006958A8"/>
    <w:rsid w:val="006A00DB"/>
    <w:rsid w:val="006A01AE"/>
    <w:rsid w:val="006A193D"/>
    <w:rsid w:val="006A1C16"/>
    <w:rsid w:val="006A21CC"/>
    <w:rsid w:val="006A6114"/>
    <w:rsid w:val="006A6E04"/>
    <w:rsid w:val="006B1399"/>
    <w:rsid w:val="006B1845"/>
    <w:rsid w:val="006B1E2F"/>
    <w:rsid w:val="006B2B18"/>
    <w:rsid w:val="006B4090"/>
    <w:rsid w:val="006B43A9"/>
    <w:rsid w:val="006B6F35"/>
    <w:rsid w:val="006B760E"/>
    <w:rsid w:val="006C04DC"/>
    <w:rsid w:val="006C0D2A"/>
    <w:rsid w:val="006C0E59"/>
    <w:rsid w:val="006C24AE"/>
    <w:rsid w:val="006C3BBB"/>
    <w:rsid w:val="006C3D9D"/>
    <w:rsid w:val="006C444D"/>
    <w:rsid w:val="006C4AAD"/>
    <w:rsid w:val="006C5398"/>
    <w:rsid w:val="006C7ADA"/>
    <w:rsid w:val="006D042A"/>
    <w:rsid w:val="006D0B6B"/>
    <w:rsid w:val="006D0F53"/>
    <w:rsid w:val="006D19D1"/>
    <w:rsid w:val="006D4CF0"/>
    <w:rsid w:val="006D5B2F"/>
    <w:rsid w:val="006D5C7C"/>
    <w:rsid w:val="006D6FF0"/>
    <w:rsid w:val="006E0CB3"/>
    <w:rsid w:val="006E194F"/>
    <w:rsid w:val="006E354B"/>
    <w:rsid w:val="006E3B18"/>
    <w:rsid w:val="006E4F12"/>
    <w:rsid w:val="006E6153"/>
    <w:rsid w:val="006F31F9"/>
    <w:rsid w:val="006F4539"/>
    <w:rsid w:val="006F497B"/>
    <w:rsid w:val="006F535F"/>
    <w:rsid w:val="006F59AE"/>
    <w:rsid w:val="006F6F0F"/>
    <w:rsid w:val="006F7311"/>
    <w:rsid w:val="006F7D95"/>
    <w:rsid w:val="00700338"/>
    <w:rsid w:val="007005E4"/>
    <w:rsid w:val="00701071"/>
    <w:rsid w:val="0070140E"/>
    <w:rsid w:val="00703FA0"/>
    <w:rsid w:val="00704CF4"/>
    <w:rsid w:val="00706663"/>
    <w:rsid w:val="007069F6"/>
    <w:rsid w:val="0071182A"/>
    <w:rsid w:val="0071257D"/>
    <w:rsid w:val="00716CE0"/>
    <w:rsid w:val="00716D38"/>
    <w:rsid w:val="00716E4F"/>
    <w:rsid w:val="007202E5"/>
    <w:rsid w:val="00723A1C"/>
    <w:rsid w:val="00724B1F"/>
    <w:rsid w:val="00724B38"/>
    <w:rsid w:val="0072791D"/>
    <w:rsid w:val="007302F3"/>
    <w:rsid w:val="00730936"/>
    <w:rsid w:val="00730F4E"/>
    <w:rsid w:val="00731F39"/>
    <w:rsid w:val="007338D0"/>
    <w:rsid w:val="007347E7"/>
    <w:rsid w:val="00735055"/>
    <w:rsid w:val="0073646D"/>
    <w:rsid w:val="00737CC5"/>
    <w:rsid w:val="00740D0B"/>
    <w:rsid w:val="00745713"/>
    <w:rsid w:val="00746590"/>
    <w:rsid w:val="007479F5"/>
    <w:rsid w:val="0075200A"/>
    <w:rsid w:val="00752B02"/>
    <w:rsid w:val="00753530"/>
    <w:rsid w:val="00753686"/>
    <w:rsid w:val="00754B9B"/>
    <w:rsid w:val="007565FB"/>
    <w:rsid w:val="00761679"/>
    <w:rsid w:val="00762056"/>
    <w:rsid w:val="00763BE4"/>
    <w:rsid w:val="00765378"/>
    <w:rsid w:val="00766242"/>
    <w:rsid w:val="00766F82"/>
    <w:rsid w:val="00770216"/>
    <w:rsid w:val="00771E26"/>
    <w:rsid w:val="0077222B"/>
    <w:rsid w:val="00772826"/>
    <w:rsid w:val="00772E39"/>
    <w:rsid w:val="0077326C"/>
    <w:rsid w:val="00773925"/>
    <w:rsid w:val="007763E8"/>
    <w:rsid w:val="00776930"/>
    <w:rsid w:val="007773BE"/>
    <w:rsid w:val="00777C5C"/>
    <w:rsid w:val="0078037E"/>
    <w:rsid w:val="00780EDA"/>
    <w:rsid w:val="00781C58"/>
    <w:rsid w:val="007840A3"/>
    <w:rsid w:val="00784BD4"/>
    <w:rsid w:val="00784D7C"/>
    <w:rsid w:val="00785D00"/>
    <w:rsid w:val="007860C5"/>
    <w:rsid w:val="00787B1C"/>
    <w:rsid w:val="00790FCB"/>
    <w:rsid w:val="00791A72"/>
    <w:rsid w:val="007927BE"/>
    <w:rsid w:val="007934D7"/>
    <w:rsid w:val="0079400F"/>
    <w:rsid w:val="007940B4"/>
    <w:rsid w:val="007949C0"/>
    <w:rsid w:val="00794DEF"/>
    <w:rsid w:val="00795AF4"/>
    <w:rsid w:val="00796FC6"/>
    <w:rsid w:val="007A100B"/>
    <w:rsid w:val="007A1A3C"/>
    <w:rsid w:val="007A25D3"/>
    <w:rsid w:val="007A32B0"/>
    <w:rsid w:val="007A416D"/>
    <w:rsid w:val="007A53C8"/>
    <w:rsid w:val="007A53D2"/>
    <w:rsid w:val="007A5C6C"/>
    <w:rsid w:val="007A6A06"/>
    <w:rsid w:val="007A7AE5"/>
    <w:rsid w:val="007A7FE9"/>
    <w:rsid w:val="007B04F0"/>
    <w:rsid w:val="007B1E68"/>
    <w:rsid w:val="007B2390"/>
    <w:rsid w:val="007B358D"/>
    <w:rsid w:val="007B5B9B"/>
    <w:rsid w:val="007B65C1"/>
    <w:rsid w:val="007B745D"/>
    <w:rsid w:val="007B78F8"/>
    <w:rsid w:val="007C0904"/>
    <w:rsid w:val="007C25DC"/>
    <w:rsid w:val="007C25F8"/>
    <w:rsid w:val="007C2C8F"/>
    <w:rsid w:val="007C6161"/>
    <w:rsid w:val="007C7194"/>
    <w:rsid w:val="007C7B0E"/>
    <w:rsid w:val="007C7B6D"/>
    <w:rsid w:val="007D0B1E"/>
    <w:rsid w:val="007D1E08"/>
    <w:rsid w:val="007D2099"/>
    <w:rsid w:val="007D2C48"/>
    <w:rsid w:val="007D3156"/>
    <w:rsid w:val="007D42B8"/>
    <w:rsid w:val="007D5A8C"/>
    <w:rsid w:val="007D6CB5"/>
    <w:rsid w:val="007E151B"/>
    <w:rsid w:val="007E1BC9"/>
    <w:rsid w:val="007E2930"/>
    <w:rsid w:val="007E2CD3"/>
    <w:rsid w:val="007E4C7A"/>
    <w:rsid w:val="007E4D5A"/>
    <w:rsid w:val="007E61A1"/>
    <w:rsid w:val="007E62A1"/>
    <w:rsid w:val="007F1930"/>
    <w:rsid w:val="007F210E"/>
    <w:rsid w:val="007F2FE4"/>
    <w:rsid w:val="007F45B7"/>
    <w:rsid w:val="007F48F3"/>
    <w:rsid w:val="007F492A"/>
    <w:rsid w:val="007F5F0E"/>
    <w:rsid w:val="007F6152"/>
    <w:rsid w:val="007F708D"/>
    <w:rsid w:val="007F7638"/>
    <w:rsid w:val="007F7877"/>
    <w:rsid w:val="0080168F"/>
    <w:rsid w:val="0080179B"/>
    <w:rsid w:val="00801B2C"/>
    <w:rsid w:val="00802C62"/>
    <w:rsid w:val="008034C7"/>
    <w:rsid w:val="00803D32"/>
    <w:rsid w:val="00803F03"/>
    <w:rsid w:val="00804EA1"/>
    <w:rsid w:val="008055B7"/>
    <w:rsid w:val="008069B1"/>
    <w:rsid w:val="00807EF0"/>
    <w:rsid w:val="008101DB"/>
    <w:rsid w:val="00810E7D"/>
    <w:rsid w:val="0081210A"/>
    <w:rsid w:val="008124CE"/>
    <w:rsid w:val="00812BD7"/>
    <w:rsid w:val="0081427E"/>
    <w:rsid w:val="00814A88"/>
    <w:rsid w:val="0081519E"/>
    <w:rsid w:val="008153D4"/>
    <w:rsid w:val="00817EF8"/>
    <w:rsid w:val="00820675"/>
    <w:rsid w:val="00822E3C"/>
    <w:rsid w:val="00823261"/>
    <w:rsid w:val="00824B50"/>
    <w:rsid w:val="00825BBD"/>
    <w:rsid w:val="00825D38"/>
    <w:rsid w:val="0082731D"/>
    <w:rsid w:val="0083059C"/>
    <w:rsid w:val="00831123"/>
    <w:rsid w:val="0083208C"/>
    <w:rsid w:val="00832499"/>
    <w:rsid w:val="00833BDC"/>
    <w:rsid w:val="00834200"/>
    <w:rsid w:val="00835315"/>
    <w:rsid w:val="00837B0A"/>
    <w:rsid w:val="00840E7E"/>
    <w:rsid w:val="0084272C"/>
    <w:rsid w:val="008435E6"/>
    <w:rsid w:val="00843CD6"/>
    <w:rsid w:val="00844376"/>
    <w:rsid w:val="00844B7A"/>
    <w:rsid w:val="0084545B"/>
    <w:rsid w:val="00845DE8"/>
    <w:rsid w:val="008505ED"/>
    <w:rsid w:val="0085150B"/>
    <w:rsid w:val="008517CC"/>
    <w:rsid w:val="00853E7A"/>
    <w:rsid w:val="00854F6E"/>
    <w:rsid w:val="00856442"/>
    <w:rsid w:val="00856CF5"/>
    <w:rsid w:val="0085762A"/>
    <w:rsid w:val="00861D1F"/>
    <w:rsid w:val="008662C8"/>
    <w:rsid w:val="00870394"/>
    <w:rsid w:val="00870C11"/>
    <w:rsid w:val="0087111A"/>
    <w:rsid w:val="008717DA"/>
    <w:rsid w:val="00871AFD"/>
    <w:rsid w:val="008723C6"/>
    <w:rsid w:val="00873944"/>
    <w:rsid w:val="00873CB6"/>
    <w:rsid w:val="0087411B"/>
    <w:rsid w:val="00875EFD"/>
    <w:rsid w:val="00875F6F"/>
    <w:rsid w:val="00876050"/>
    <w:rsid w:val="0088226D"/>
    <w:rsid w:val="0088444F"/>
    <w:rsid w:val="008848CF"/>
    <w:rsid w:val="00885CA6"/>
    <w:rsid w:val="0089086B"/>
    <w:rsid w:val="0089196B"/>
    <w:rsid w:val="00893199"/>
    <w:rsid w:val="00895118"/>
    <w:rsid w:val="00895F04"/>
    <w:rsid w:val="00895F77"/>
    <w:rsid w:val="00897AB6"/>
    <w:rsid w:val="008A03E6"/>
    <w:rsid w:val="008A318C"/>
    <w:rsid w:val="008A56BF"/>
    <w:rsid w:val="008A6F2F"/>
    <w:rsid w:val="008A74A4"/>
    <w:rsid w:val="008A7782"/>
    <w:rsid w:val="008A7812"/>
    <w:rsid w:val="008B0298"/>
    <w:rsid w:val="008B0735"/>
    <w:rsid w:val="008B5083"/>
    <w:rsid w:val="008B5630"/>
    <w:rsid w:val="008B59AE"/>
    <w:rsid w:val="008B6408"/>
    <w:rsid w:val="008B77A2"/>
    <w:rsid w:val="008C00B1"/>
    <w:rsid w:val="008C2F2F"/>
    <w:rsid w:val="008C4103"/>
    <w:rsid w:val="008C5E3E"/>
    <w:rsid w:val="008C68B8"/>
    <w:rsid w:val="008C69ED"/>
    <w:rsid w:val="008C6D9F"/>
    <w:rsid w:val="008D1196"/>
    <w:rsid w:val="008D1A7F"/>
    <w:rsid w:val="008D3380"/>
    <w:rsid w:val="008D3BB9"/>
    <w:rsid w:val="008D408F"/>
    <w:rsid w:val="008D419E"/>
    <w:rsid w:val="008D56A4"/>
    <w:rsid w:val="008D5C83"/>
    <w:rsid w:val="008D71EF"/>
    <w:rsid w:val="008E0D1B"/>
    <w:rsid w:val="008E34E6"/>
    <w:rsid w:val="008E5223"/>
    <w:rsid w:val="008E7469"/>
    <w:rsid w:val="008E7735"/>
    <w:rsid w:val="008F17FA"/>
    <w:rsid w:val="008F21F9"/>
    <w:rsid w:val="008F2545"/>
    <w:rsid w:val="008F2D85"/>
    <w:rsid w:val="008F316D"/>
    <w:rsid w:val="008F5904"/>
    <w:rsid w:val="008F6E62"/>
    <w:rsid w:val="008F746B"/>
    <w:rsid w:val="008F7BE5"/>
    <w:rsid w:val="00900B60"/>
    <w:rsid w:val="00901498"/>
    <w:rsid w:val="009038F6"/>
    <w:rsid w:val="0090488C"/>
    <w:rsid w:val="0090682B"/>
    <w:rsid w:val="0091095D"/>
    <w:rsid w:val="00910F10"/>
    <w:rsid w:val="00911B7B"/>
    <w:rsid w:val="0091227E"/>
    <w:rsid w:val="00912FCC"/>
    <w:rsid w:val="009130E6"/>
    <w:rsid w:val="0091392D"/>
    <w:rsid w:val="00913A8F"/>
    <w:rsid w:val="009146BB"/>
    <w:rsid w:val="00917AAC"/>
    <w:rsid w:val="0092027A"/>
    <w:rsid w:val="00923420"/>
    <w:rsid w:val="00923DFB"/>
    <w:rsid w:val="0092572B"/>
    <w:rsid w:val="00925CF2"/>
    <w:rsid w:val="00927544"/>
    <w:rsid w:val="00927859"/>
    <w:rsid w:val="009305D0"/>
    <w:rsid w:val="00930CAF"/>
    <w:rsid w:val="009314B2"/>
    <w:rsid w:val="0093157F"/>
    <w:rsid w:val="009317CD"/>
    <w:rsid w:val="00931AB2"/>
    <w:rsid w:val="00933E40"/>
    <w:rsid w:val="00933EB9"/>
    <w:rsid w:val="00935540"/>
    <w:rsid w:val="00935A3D"/>
    <w:rsid w:val="00940882"/>
    <w:rsid w:val="00940AE8"/>
    <w:rsid w:val="00941029"/>
    <w:rsid w:val="00941333"/>
    <w:rsid w:val="00941859"/>
    <w:rsid w:val="009421FA"/>
    <w:rsid w:val="00944674"/>
    <w:rsid w:val="00944BD8"/>
    <w:rsid w:val="00944C64"/>
    <w:rsid w:val="00944E99"/>
    <w:rsid w:val="009454CA"/>
    <w:rsid w:val="009459CA"/>
    <w:rsid w:val="00945D92"/>
    <w:rsid w:val="00945EA7"/>
    <w:rsid w:val="00946F4E"/>
    <w:rsid w:val="00950799"/>
    <w:rsid w:val="009519A3"/>
    <w:rsid w:val="00952814"/>
    <w:rsid w:val="00953654"/>
    <w:rsid w:val="009547A1"/>
    <w:rsid w:val="0095505D"/>
    <w:rsid w:val="0095719B"/>
    <w:rsid w:val="0095722F"/>
    <w:rsid w:val="00957360"/>
    <w:rsid w:val="00957431"/>
    <w:rsid w:val="00957500"/>
    <w:rsid w:val="00957C5B"/>
    <w:rsid w:val="00957FFE"/>
    <w:rsid w:val="009623E8"/>
    <w:rsid w:val="0096242F"/>
    <w:rsid w:val="009653F7"/>
    <w:rsid w:val="009659FB"/>
    <w:rsid w:val="00965B9E"/>
    <w:rsid w:val="00966D99"/>
    <w:rsid w:val="00971229"/>
    <w:rsid w:val="00971659"/>
    <w:rsid w:val="00972B28"/>
    <w:rsid w:val="009733A4"/>
    <w:rsid w:val="0097698F"/>
    <w:rsid w:val="00976ACA"/>
    <w:rsid w:val="00977112"/>
    <w:rsid w:val="009776B8"/>
    <w:rsid w:val="00977909"/>
    <w:rsid w:val="00980B83"/>
    <w:rsid w:val="00982883"/>
    <w:rsid w:val="00983404"/>
    <w:rsid w:val="009856CB"/>
    <w:rsid w:val="00985D18"/>
    <w:rsid w:val="0098611F"/>
    <w:rsid w:val="009907F6"/>
    <w:rsid w:val="00990FEE"/>
    <w:rsid w:val="00991611"/>
    <w:rsid w:val="00991BE4"/>
    <w:rsid w:val="00993458"/>
    <w:rsid w:val="00993C0C"/>
    <w:rsid w:val="00995D82"/>
    <w:rsid w:val="00997216"/>
    <w:rsid w:val="009A0F9B"/>
    <w:rsid w:val="009A114A"/>
    <w:rsid w:val="009A1F40"/>
    <w:rsid w:val="009A206A"/>
    <w:rsid w:val="009A2103"/>
    <w:rsid w:val="009A21C1"/>
    <w:rsid w:val="009A2549"/>
    <w:rsid w:val="009A46F3"/>
    <w:rsid w:val="009A5501"/>
    <w:rsid w:val="009A635A"/>
    <w:rsid w:val="009B0767"/>
    <w:rsid w:val="009B270A"/>
    <w:rsid w:val="009B4536"/>
    <w:rsid w:val="009B462E"/>
    <w:rsid w:val="009B4A3B"/>
    <w:rsid w:val="009B5C0A"/>
    <w:rsid w:val="009B6D47"/>
    <w:rsid w:val="009B6FDD"/>
    <w:rsid w:val="009C0D46"/>
    <w:rsid w:val="009C13C9"/>
    <w:rsid w:val="009C1907"/>
    <w:rsid w:val="009C1E06"/>
    <w:rsid w:val="009C3830"/>
    <w:rsid w:val="009C49BF"/>
    <w:rsid w:val="009C5846"/>
    <w:rsid w:val="009D1EA8"/>
    <w:rsid w:val="009D3C01"/>
    <w:rsid w:val="009D490E"/>
    <w:rsid w:val="009D559E"/>
    <w:rsid w:val="009D5BBC"/>
    <w:rsid w:val="009D6F25"/>
    <w:rsid w:val="009E053B"/>
    <w:rsid w:val="009E20DB"/>
    <w:rsid w:val="009E23AE"/>
    <w:rsid w:val="009E302E"/>
    <w:rsid w:val="009E40E9"/>
    <w:rsid w:val="009E5727"/>
    <w:rsid w:val="009E5A7F"/>
    <w:rsid w:val="009E5EB3"/>
    <w:rsid w:val="009E76E4"/>
    <w:rsid w:val="009F0E3A"/>
    <w:rsid w:val="009F20BA"/>
    <w:rsid w:val="009F5A36"/>
    <w:rsid w:val="009F6130"/>
    <w:rsid w:val="00A006F5"/>
    <w:rsid w:val="00A069AA"/>
    <w:rsid w:val="00A104A8"/>
    <w:rsid w:val="00A105D0"/>
    <w:rsid w:val="00A117B3"/>
    <w:rsid w:val="00A137AB"/>
    <w:rsid w:val="00A164F1"/>
    <w:rsid w:val="00A16C18"/>
    <w:rsid w:val="00A16CE3"/>
    <w:rsid w:val="00A16E7F"/>
    <w:rsid w:val="00A17E97"/>
    <w:rsid w:val="00A22B12"/>
    <w:rsid w:val="00A23602"/>
    <w:rsid w:val="00A249ED"/>
    <w:rsid w:val="00A25AFB"/>
    <w:rsid w:val="00A275F2"/>
    <w:rsid w:val="00A30EF7"/>
    <w:rsid w:val="00A32D30"/>
    <w:rsid w:val="00A3419C"/>
    <w:rsid w:val="00A364A3"/>
    <w:rsid w:val="00A36DE9"/>
    <w:rsid w:val="00A4137F"/>
    <w:rsid w:val="00A41F98"/>
    <w:rsid w:val="00A42C4A"/>
    <w:rsid w:val="00A45DBA"/>
    <w:rsid w:val="00A46244"/>
    <w:rsid w:val="00A4704A"/>
    <w:rsid w:val="00A474C2"/>
    <w:rsid w:val="00A50A2B"/>
    <w:rsid w:val="00A50B7D"/>
    <w:rsid w:val="00A510DA"/>
    <w:rsid w:val="00A51D24"/>
    <w:rsid w:val="00A5474A"/>
    <w:rsid w:val="00A54F51"/>
    <w:rsid w:val="00A61959"/>
    <w:rsid w:val="00A62A86"/>
    <w:rsid w:val="00A62ACF"/>
    <w:rsid w:val="00A63774"/>
    <w:rsid w:val="00A6762A"/>
    <w:rsid w:val="00A72457"/>
    <w:rsid w:val="00A74117"/>
    <w:rsid w:val="00A74351"/>
    <w:rsid w:val="00A74408"/>
    <w:rsid w:val="00A74D75"/>
    <w:rsid w:val="00A80870"/>
    <w:rsid w:val="00A83364"/>
    <w:rsid w:val="00A833DE"/>
    <w:rsid w:val="00A8377B"/>
    <w:rsid w:val="00A83AF3"/>
    <w:rsid w:val="00A862AB"/>
    <w:rsid w:val="00A9041F"/>
    <w:rsid w:val="00A94941"/>
    <w:rsid w:val="00A95B3D"/>
    <w:rsid w:val="00A97FF0"/>
    <w:rsid w:val="00AA0CDD"/>
    <w:rsid w:val="00AA0EE0"/>
    <w:rsid w:val="00AA4DB5"/>
    <w:rsid w:val="00AA6C7B"/>
    <w:rsid w:val="00AB036F"/>
    <w:rsid w:val="00AB16DC"/>
    <w:rsid w:val="00AB20B1"/>
    <w:rsid w:val="00AB5C6C"/>
    <w:rsid w:val="00AB6F2E"/>
    <w:rsid w:val="00AB7204"/>
    <w:rsid w:val="00AC02EA"/>
    <w:rsid w:val="00AC518D"/>
    <w:rsid w:val="00AC53A6"/>
    <w:rsid w:val="00AC61A0"/>
    <w:rsid w:val="00AC6A36"/>
    <w:rsid w:val="00AC6BE4"/>
    <w:rsid w:val="00AC70BA"/>
    <w:rsid w:val="00AD02C4"/>
    <w:rsid w:val="00AD2DE0"/>
    <w:rsid w:val="00AD2F0C"/>
    <w:rsid w:val="00AD3F48"/>
    <w:rsid w:val="00AD5A51"/>
    <w:rsid w:val="00AD7B8E"/>
    <w:rsid w:val="00AE02B7"/>
    <w:rsid w:val="00AE3253"/>
    <w:rsid w:val="00AE3955"/>
    <w:rsid w:val="00AE5259"/>
    <w:rsid w:val="00AE6C3C"/>
    <w:rsid w:val="00AE7CE0"/>
    <w:rsid w:val="00AF0F82"/>
    <w:rsid w:val="00AF111B"/>
    <w:rsid w:val="00AF2740"/>
    <w:rsid w:val="00AF3160"/>
    <w:rsid w:val="00AF4501"/>
    <w:rsid w:val="00AF7E29"/>
    <w:rsid w:val="00B00545"/>
    <w:rsid w:val="00B0128F"/>
    <w:rsid w:val="00B0196E"/>
    <w:rsid w:val="00B03159"/>
    <w:rsid w:val="00B062DE"/>
    <w:rsid w:val="00B07B21"/>
    <w:rsid w:val="00B10284"/>
    <w:rsid w:val="00B10841"/>
    <w:rsid w:val="00B12B82"/>
    <w:rsid w:val="00B137C2"/>
    <w:rsid w:val="00B13940"/>
    <w:rsid w:val="00B15DB4"/>
    <w:rsid w:val="00B16658"/>
    <w:rsid w:val="00B1672A"/>
    <w:rsid w:val="00B17A78"/>
    <w:rsid w:val="00B203E3"/>
    <w:rsid w:val="00B20AAB"/>
    <w:rsid w:val="00B22212"/>
    <w:rsid w:val="00B233A7"/>
    <w:rsid w:val="00B23ABE"/>
    <w:rsid w:val="00B23B44"/>
    <w:rsid w:val="00B259E0"/>
    <w:rsid w:val="00B26529"/>
    <w:rsid w:val="00B26D60"/>
    <w:rsid w:val="00B27D36"/>
    <w:rsid w:val="00B302C0"/>
    <w:rsid w:val="00B30558"/>
    <w:rsid w:val="00B30DA0"/>
    <w:rsid w:val="00B328A6"/>
    <w:rsid w:val="00B32D0D"/>
    <w:rsid w:val="00B33FFE"/>
    <w:rsid w:val="00B34530"/>
    <w:rsid w:val="00B35DFE"/>
    <w:rsid w:val="00B36C9B"/>
    <w:rsid w:val="00B37265"/>
    <w:rsid w:val="00B4193C"/>
    <w:rsid w:val="00B43772"/>
    <w:rsid w:val="00B4446B"/>
    <w:rsid w:val="00B44C32"/>
    <w:rsid w:val="00B450ED"/>
    <w:rsid w:val="00B458B3"/>
    <w:rsid w:val="00B45E44"/>
    <w:rsid w:val="00B46976"/>
    <w:rsid w:val="00B46A37"/>
    <w:rsid w:val="00B5224D"/>
    <w:rsid w:val="00B52723"/>
    <w:rsid w:val="00B53866"/>
    <w:rsid w:val="00B556D0"/>
    <w:rsid w:val="00B558B0"/>
    <w:rsid w:val="00B55B85"/>
    <w:rsid w:val="00B605A1"/>
    <w:rsid w:val="00B607DA"/>
    <w:rsid w:val="00B60904"/>
    <w:rsid w:val="00B60BB2"/>
    <w:rsid w:val="00B620D9"/>
    <w:rsid w:val="00B6284F"/>
    <w:rsid w:val="00B632BB"/>
    <w:rsid w:val="00B633C1"/>
    <w:rsid w:val="00B63745"/>
    <w:rsid w:val="00B63AEC"/>
    <w:rsid w:val="00B64069"/>
    <w:rsid w:val="00B65BA8"/>
    <w:rsid w:val="00B66228"/>
    <w:rsid w:val="00B67872"/>
    <w:rsid w:val="00B700F2"/>
    <w:rsid w:val="00B71426"/>
    <w:rsid w:val="00B72750"/>
    <w:rsid w:val="00B73CD2"/>
    <w:rsid w:val="00B744BF"/>
    <w:rsid w:val="00B74ED9"/>
    <w:rsid w:val="00B77670"/>
    <w:rsid w:val="00B80F31"/>
    <w:rsid w:val="00B81574"/>
    <w:rsid w:val="00B824BE"/>
    <w:rsid w:val="00B8499F"/>
    <w:rsid w:val="00B84B06"/>
    <w:rsid w:val="00B87325"/>
    <w:rsid w:val="00B90C45"/>
    <w:rsid w:val="00B91DBC"/>
    <w:rsid w:val="00B92398"/>
    <w:rsid w:val="00B92460"/>
    <w:rsid w:val="00B93292"/>
    <w:rsid w:val="00B93457"/>
    <w:rsid w:val="00B95A5F"/>
    <w:rsid w:val="00B95DF9"/>
    <w:rsid w:val="00BA0128"/>
    <w:rsid w:val="00BA109F"/>
    <w:rsid w:val="00BA1BF0"/>
    <w:rsid w:val="00BA5CBF"/>
    <w:rsid w:val="00BA7EE6"/>
    <w:rsid w:val="00BB0098"/>
    <w:rsid w:val="00BB1CED"/>
    <w:rsid w:val="00BB490C"/>
    <w:rsid w:val="00BB491C"/>
    <w:rsid w:val="00BB53FB"/>
    <w:rsid w:val="00BB6774"/>
    <w:rsid w:val="00BC0670"/>
    <w:rsid w:val="00BC19B3"/>
    <w:rsid w:val="00BC1E54"/>
    <w:rsid w:val="00BC315C"/>
    <w:rsid w:val="00BC3320"/>
    <w:rsid w:val="00BC57A7"/>
    <w:rsid w:val="00BC7296"/>
    <w:rsid w:val="00BC72CA"/>
    <w:rsid w:val="00BD037D"/>
    <w:rsid w:val="00BD134C"/>
    <w:rsid w:val="00BD1F53"/>
    <w:rsid w:val="00BD396D"/>
    <w:rsid w:val="00BD5DCC"/>
    <w:rsid w:val="00BD6B17"/>
    <w:rsid w:val="00BE05AF"/>
    <w:rsid w:val="00BE0858"/>
    <w:rsid w:val="00BE0F65"/>
    <w:rsid w:val="00BE2733"/>
    <w:rsid w:val="00BE31BD"/>
    <w:rsid w:val="00BE3F2C"/>
    <w:rsid w:val="00BE64A3"/>
    <w:rsid w:val="00BE6B47"/>
    <w:rsid w:val="00BF0E3F"/>
    <w:rsid w:val="00BF1A2D"/>
    <w:rsid w:val="00BF1FEA"/>
    <w:rsid w:val="00BF2449"/>
    <w:rsid w:val="00BF3455"/>
    <w:rsid w:val="00BF3794"/>
    <w:rsid w:val="00BF436F"/>
    <w:rsid w:val="00BF43A2"/>
    <w:rsid w:val="00C014B8"/>
    <w:rsid w:val="00C016DC"/>
    <w:rsid w:val="00C016EA"/>
    <w:rsid w:val="00C0216D"/>
    <w:rsid w:val="00C026E0"/>
    <w:rsid w:val="00C02E80"/>
    <w:rsid w:val="00C04097"/>
    <w:rsid w:val="00C04B91"/>
    <w:rsid w:val="00C04D2C"/>
    <w:rsid w:val="00C052F7"/>
    <w:rsid w:val="00C063E6"/>
    <w:rsid w:val="00C06D23"/>
    <w:rsid w:val="00C117E0"/>
    <w:rsid w:val="00C1244C"/>
    <w:rsid w:val="00C1459A"/>
    <w:rsid w:val="00C149F1"/>
    <w:rsid w:val="00C14A58"/>
    <w:rsid w:val="00C16632"/>
    <w:rsid w:val="00C16D64"/>
    <w:rsid w:val="00C178AF"/>
    <w:rsid w:val="00C2296B"/>
    <w:rsid w:val="00C230CC"/>
    <w:rsid w:val="00C231AA"/>
    <w:rsid w:val="00C242C0"/>
    <w:rsid w:val="00C258AA"/>
    <w:rsid w:val="00C2666C"/>
    <w:rsid w:val="00C26774"/>
    <w:rsid w:val="00C26875"/>
    <w:rsid w:val="00C30FF8"/>
    <w:rsid w:val="00C3187E"/>
    <w:rsid w:val="00C322F0"/>
    <w:rsid w:val="00C32D5B"/>
    <w:rsid w:val="00C34491"/>
    <w:rsid w:val="00C34FF0"/>
    <w:rsid w:val="00C356A2"/>
    <w:rsid w:val="00C376D6"/>
    <w:rsid w:val="00C41135"/>
    <w:rsid w:val="00C41775"/>
    <w:rsid w:val="00C41E5E"/>
    <w:rsid w:val="00C459AA"/>
    <w:rsid w:val="00C46536"/>
    <w:rsid w:val="00C4777F"/>
    <w:rsid w:val="00C510D3"/>
    <w:rsid w:val="00C52ACC"/>
    <w:rsid w:val="00C52BC8"/>
    <w:rsid w:val="00C53CEC"/>
    <w:rsid w:val="00C54B6B"/>
    <w:rsid w:val="00C55337"/>
    <w:rsid w:val="00C5557F"/>
    <w:rsid w:val="00C5561D"/>
    <w:rsid w:val="00C55937"/>
    <w:rsid w:val="00C56C28"/>
    <w:rsid w:val="00C573B7"/>
    <w:rsid w:val="00C578DD"/>
    <w:rsid w:val="00C60634"/>
    <w:rsid w:val="00C60F99"/>
    <w:rsid w:val="00C62EA7"/>
    <w:rsid w:val="00C63341"/>
    <w:rsid w:val="00C70418"/>
    <w:rsid w:val="00C708EE"/>
    <w:rsid w:val="00C716E4"/>
    <w:rsid w:val="00C728A2"/>
    <w:rsid w:val="00C74C4B"/>
    <w:rsid w:val="00C77D76"/>
    <w:rsid w:val="00C80672"/>
    <w:rsid w:val="00C80679"/>
    <w:rsid w:val="00C81906"/>
    <w:rsid w:val="00C81A7E"/>
    <w:rsid w:val="00C81AFF"/>
    <w:rsid w:val="00C820ED"/>
    <w:rsid w:val="00C847CD"/>
    <w:rsid w:val="00C8561A"/>
    <w:rsid w:val="00C86B13"/>
    <w:rsid w:val="00C87B38"/>
    <w:rsid w:val="00C91A05"/>
    <w:rsid w:val="00C91AD0"/>
    <w:rsid w:val="00C92772"/>
    <w:rsid w:val="00C934D0"/>
    <w:rsid w:val="00C9522D"/>
    <w:rsid w:val="00C96420"/>
    <w:rsid w:val="00C96F05"/>
    <w:rsid w:val="00CA00A7"/>
    <w:rsid w:val="00CA0EB0"/>
    <w:rsid w:val="00CA1448"/>
    <w:rsid w:val="00CA1ACD"/>
    <w:rsid w:val="00CA1DED"/>
    <w:rsid w:val="00CA27F5"/>
    <w:rsid w:val="00CA2FF5"/>
    <w:rsid w:val="00CA37C7"/>
    <w:rsid w:val="00CA46D8"/>
    <w:rsid w:val="00CA62B1"/>
    <w:rsid w:val="00CA6637"/>
    <w:rsid w:val="00CA680A"/>
    <w:rsid w:val="00CB1A4A"/>
    <w:rsid w:val="00CB1CAD"/>
    <w:rsid w:val="00CB29F1"/>
    <w:rsid w:val="00CB2F10"/>
    <w:rsid w:val="00CB63AE"/>
    <w:rsid w:val="00CC0C1D"/>
    <w:rsid w:val="00CC11BE"/>
    <w:rsid w:val="00CC1D31"/>
    <w:rsid w:val="00CC268F"/>
    <w:rsid w:val="00CC2E6A"/>
    <w:rsid w:val="00CC591F"/>
    <w:rsid w:val="00CC5BEF"/>
    <w:rsid w:val="00CC600E"/>
    <w:rsid w:val="00CC613D"/>
    <w:rsid w:val="00CC6DB0"/>
    <w:rsid w:val="00CC6F75"/>
    <w:rsid w:val="00CC7CD1"/>
    <w:rsid w:val="00CD3750"/>
    <w:rsid w:val="00CD399C"/>
    <w:rsid w:val="00CD4EEE"/>
    <w:rsid w:val="00CD6A06"/>
    <w:rsid w:val="00CD6B77"/>
    <w:rsid w:val="00CD73C8"/>
    <w:rsid w:val="00CD74E8"/>
    <w:rsid w:val="00CD79A9"/>
    <w:rsid w:val="00CE124D"/>
    <w:rsid w:val="00CE1EA8"/>
    <w:rsid w:val="00CE2E2F"/>
    <w:rsid w:val="00CE4106"/>
    <w:rsid w:val="00CE4973"/>
    <w:rsid w:val="00CE70C4"/>
    <w:rsid w:val="00CF0485"/>
    <w:rsid w:val="00CF050A"/>
    <w:rsid w:val="00CF0CAA"/>
    <w:rsid w:val="00CF101A"/>
    <w:rsid w:val="00CF1548"/>
    <w:rsid w:val="00CF4A47"/>
    <w:rsid w:val="00CF505D"/>
    <w:rsid w:val="00CF5653"/>
    <w:rsid w:val="00CF5B1A"/>
    <w:rsid w:val="00CF654E"/>
    <w:rsid w:val="00CF6739"/>
    <w:rsid w:val="00CF7026"/>
    <w:rsid w:val="00D00787"/>
    <w:rsid w:val="00D00845"/>
    <w:rsid w:val="00D019F9"/>
    <w:rsid w:val="00D02C91"/>
    <w:rsid w:val="00D03570"/>
    <w:rsid w:val="00D04E0A"/>
    <w:rsid w:val="00D051B5"/>
    <w:rsid w:val="00D053B5"/>
    <w:rsid w:val="00D062C6"/>
    <w:rsid w:val="00D07BE7"/>
    <w:rsid w:val="00D100E0"/>
    <w:rsid w:val="00D10BD7"/>
    <w:rsid w:val="00D13FC7"/>
    <w:rsid w:val="00D14DF5"/>
    <w:rsid w:val="00D17C5D"/>
    <w:rsid w:val="00D17FCA"/>
    <w:rsid w:val="00D20044"/>
    <w:rsid w:val="00D221D2"/>
    <w:rsid w:val="00D240B1"/>
    <w:rsid w:val="00D241AC"/>
    <w:rsid w:val="00D2715B"/>
    <w:rsid w:val="00D27350"/>
    <w:rsid w:val="00D30273"/>
    <w:rsid w:val="00D30AF7"/>
    <w:rsid w:val="00D3255B"/>
    <w:rsid w:val="00D32FAE"/>
    <w:rsid w:val="00D33047"/>
    <w:rsid w:val="00D33445"/>
    <w:rsid w:val="00D33AE7"/>
    <w:rsid w:val="00D344E1"/>
    <w:rsid w:val="00D35039"/>
    <w:rsid w:val="00D36182"/>
    <w:rsid w:val="00D36EB8"/>
    <w:rsid w:val="00D37254"/>
    <w:rsid w:val="00D40FEE"/>
    <w:rsid w:val="00D417C1"/>
    <w:rsid w:val="00D4297B"/>
    <w:rsid w:val="00D42C71"/>
    <w:rsid w:val="00D452CB"/>
    <w:rsid w:val="00D452E9"/>
    <w:rsid w:val="00D462BC"/>
    <w:rsid w:val="00D508F2"/>
    <w:rsid w:val="00D52080"/>
    <w:rsid w:val="00D525CC"/>
    <w:rsid w:val="00D54829"/>
    <w:rsid w:val="00D550A3"/>
    <w:rsid w:val="00D5682C"/>
    <w:rsid w:val="00D570E6"/>
    <w:rsid w:val="00D63446"/>
    <w:rsid w:val="00D63494"/>
    <w:rsid w:val="00D64639"/>
    <w:rsid w:val="00D654C3"/>
    <w:rsid w:val="00D6618F"/>
    <w:rsid w:val="00D70A8C"/>
    <w:rsid w:val="00D73938"/>
    <w:rsid w:val="00D752C8"/>
    <w:rsid w:val="00D7610B"/>
    <w:rsid w:val="00D76966"/>
    <w:rsid w:val="00D773D6"/>
    <w:rsid w:val="00D77F74"/>
    <w:rsid w:val="00D802E3"/>
    <w:rsid w:val="00D80637"/>
    <w:rsid w:val="00D8244C"/>
    <w:rsid w:val="00D8620E"/>
    <w:rsid w:val="00D862E4"/>
    <w:rsid w:val="00D8683C"/>
    <w:rsid w:val="00D86BD1"/>
    <w:rsid w:val="00D876FD"/>
    <w:rsid w:val="00D87AF8"/>
    <w:rsid w:val="00D87BC4"/>
    <w:rsid w:val="00D90CDA"/>
    <w:rsid w:val="00D9319A"/>
    <w:rsid w:val="00D93331"/>
    <w:rsid w:val="00D95733"/>
    <w:rsid w:val="00D95A3F"/>
    <w:rsid w:val="00D96BE5"/>
    <w:rsid w:val="00D96C46"/>
    <w:rsid w:val="00D97B22"/>
    <w:rsid w:val="00DA1908"/>
    <w:rsid w:val="00DA253C"/>
    <w:rsid w:val="00DA4839"/>
    <w:rsid w:val="00DA604A"/>
    <w:rsid w:val="00DA7B7C"/>
    <w:rsid w:val="00DA7E4E"/>
    <w:rsid w:val="00DB240A"/>
    <w:rsid w:val="00DB3521"/>
    <w:rsid w:val="00DB3AD3"/>
    <w:rsid w:val="00DB5B79"/>
    <w:rsid w:val="00DB6C53"/>
    <w:rsid w:val="00DB78FB"/>
    <w:rsid w:val="00DB7CC6"/>
    <w:rsid w:val="00DC1FE8"/>
    <w:rsid w:val="00DC4875"/>
    <w:rsid w:val="00DC58E3"/>
    <w:rsid w:val="00DC7045"/>
    <w:rsid w:val="00DD56E3"/>
    <w:rsid w:val="00DD69C3"/>
    <w:rsid w:val="00DD6E28"/>
    <w:rsid w:val="00DE2D93"/>
    <w:rsid w:val="00DE6157"/>
    <w:rsid w:val="00DE61C3"/>
    <w:rsid w:val="00DE6808"/>
    <w:rsid w:val="00DE7F76"/>
    <w:rsid w:val="00DF25A9"/>
    <w:rsid w:val="00DF3358"/>
    <w:rsid w:val="00DF36DF"/>
    <w:rsid w:val="00DF4294"/>
    <w:rsid w:val="00DF44A1"/>
    <w:rsid w:val="00DF4ADD"/>
    <w:rsid w:val="00DF5E14"/>
    <w:rsid w:val="00DF72C7"/>
    <w:rsid w:val="00DF7A23"/>
    <w:rsid w:val="00E01F82"/>
    <w:rsid w:val="00E02C76"/>
    <w:rsid w:val="00E037E7"/>
    <w:rsid w:val="00E0411B"/>
    <w:rsid w:val="00E06600"/>
    <w:rsid w:val="00E06A8B"/>
    <w:rsid w:val="00E1035A"/>
    <w:rsid w:val="00E1063D"/>
    <w:rsid w:val="00E106D4"/>
    <w:rsid w:val="00E12B61"/>
    <w:rsid w:val="00E13039"/>
    <w:rsid w:val="00E143BF"/>
    <w:rsid w:val="00E15033"/>
    <w:rsid w:val="00E1625F"/>
    <w:rsid w:val="00E16318"/>
    <w:rsid w:val="00E17069"/>
    <w:rsid w:val="00E1786A"/>
    <w:rsid w:val="00E17D9A"/>
    <w:rsid w:val="00E20E30"/>
    <w:rsid w:val="00E216F1"/>
    <w:rsid w:val="00E235FE"/>
    <w:rsid w:val="00E24EFA"/>
    <w:rsid w:val="00E25BE1"/>
    <w:rsid w:val="00E30BE3"/>
    <w:rsid w:val="00E31A96"/>
    <w:rsid w:val="00E34B0E"/>
    <w:rsid w:val="00E361AF"/>
    <w:rsid w:val="00E37B03"/>
    <w:rsid w:val="00E40216"/>
    <w:rsid w:val="00E405E9"/>
    <w:rsid w:val="00E40AE3"/>
    <w:rsid w:val="00E468FA"/>
    <w:rsid w:val="00E47A60"/>
    <w:rsid w:val="00E533DF"/>
    <w:rsid w:val="00E54BBE"/>
    <w:rsid w:val="00E55068"/>
    <w:rsid w:val="00E55185"/>
    <w:rsid w:val="00E57898"/>
    <w:rsid w:val="00E60B09"/>
    <w:rsid w:val="00E60E34"/>
    <w:rsid w:val="00E613D2"/>
    <w:rsid w:val="00E642F5"/>
    <w:rsid w:val="00E64633"/>
    <w:rsid w:val="00E64920"/>
    <w:rsid w:val="00E6557C"/>
    <w:rsid w:val="00E66854"/>
    <w:rsid w:val="00E66CA2"/>
    <w:rsid w:val="00E72347"/>
    <w:rsid w:val="00E723BD"/>
    <w:rsid w:val="00E76062"/>
    <w:rsid w:val="00E779D5"/>
    <w:rsid w:val="00E77B1B"/>
    <w:rsid w:val="00E77D6F"/>
    <w:rsid w:val="00E81CEB"/>
    <w:rsid w:val="00E824EE"/>
    <w:rsid w:val="00E8260B"/>
    <w:rsid w:val="00E831EC"/>
    <w:rsid w:val="00E834DD"/>
    <w:rsid w:val="00E83691"/>
    <w:rsid w:val="00E837B7"/>
    <w:rsid w:val="00E84129"/>
    <w:rsid w:val="00E8570C"/>
    <w:rsid w:val="00E92504"/>
    <w:rsid w:val="00E93634"/>
    <w:rsid w:val="00E93E06"/>
    <w:rsid w:val="00E94FCE"/>
    <w:rsid w:val="00EA0EE8"/>
    <w:rsid w:val="00EA11AF"/>
    <w:rsid w:val="00EA1EAA"/>
    <w:rsid w:val="00EA307A"/>
    <w:rsid w:val="00EA50F3"/>
    <w:rsid w:val="00EA52D0"/>
    <w:rsid w:val="00EA6279"/>
    <w:rsid w:val="00EA63AC"/>
    <w:rsid w:val="00EB3510"/>
    <w:rsid w:val="00EB4296"/>
    <w:rsid w:val="00EB4ED3"/>
    <w:rsid w:val="00EB554A"/>
    <w:rsid w:val="00EB57E1"/>
    <w:rsid w:val="00EB6A89"/>
    <w:rsid w:val="00EB7FE9"/>
    <w:rsid w:val="00EC0BBC"/>
    <w:rsid w:val="00EC1172"/>
    <w:rsid w:val="00EC26B7"/>
    <w:rsid w:val="00EC4619"/>
    <w:rsid w:val="00ED081B"/>
    <w:rsid w:val="00ED0E97"/>
    <w:rsid w:val="00ED3137"/>
    <w:rsid w:val="00ED3D3E"/>
    <w:rsid w:val="00ED4084"/>
    <w:rsid w:val="00ED4E02"/>
    <w:rsid w:val="00ED5EC9"/>
    <w:rsid w:val="00ED79A9"/>
    <w:rsid w:val="00EE1537"/>
    <w:rsid w:val="00EE16A1"/>
    <w:rsid w:val="00EE1802"/>
    <w:rsid w:val="00EE63C7"/>
    <w:rsid w:val="00EF0004"/>
    <w:rsid w:val="00EF0F65"/>
    <w:rsid w:val="00EF25B8"/>
    <w:rsid w:val="00EF2F4B"/>
    <w:rsid w:val="00EF6975"/>
    <w:rsid w:val="00EF6AB6"/>
    <w:rsid w:val="00EF6D22"/>
    <w:rsid w:val="00EF7238"/>
    <w:rsid w:val="00EF73B9"/>
    <w:rsid w:val="00F01901"/>
    <w:rsid w:val="00F025CC"/>
    <w:rsid w:val="00F035F6"/>
    <w:rsid w:val="00F03D5E"/>
    <w:rsid w:val="00F042FE"/>
    <w:rsid w:val="00F04716"/>
    <w:rsid w:val="00F04E03"/>
    <w:rsid w:val="00F07D0A"/>
    <w:rsid w:val="00F10281"/>
    <w:rsid w:val="00F104BD"/>
    <w:rsid w:val="00F10F6F"/>
    <w:rsid w:val="00F11843"/>
    <w:rsid w:val="00F12812"/>
    <w:rsid w:val="00F15147"/>
    <w:rsid w:val="00F1537B"/>
    <w:rsid w:val="00F1611D"/>
    <w:rsid w:val="00F20354"/>
    <w:rsid w:val="00F21DDA"/>
    <w:rsid w:val="00F22EA3"/>
    <w:rsid w:val="00F24AF9"/>
    <w:rsid w:val="00F26654"/>
    <w:rsid w:val="00F2687C"/>
    <w:rsid w:val="00F26C4C"/>
    <w:rsid w:val="00F270F9"/>
    <w:rsid w:val="00F3112C"/>
    <w:rsid w:val="00F336BD"/>
    <w:rsid w:val="00F33A41"/>
    <w:rsid w:val="00F34BB2"/>
    <w:rsid w:val="00F353CC"/>
    <w:rsid w:val="00F37B8F"/>
    <w:rsid w:val="00F40A66"/>
    <w:rsid w:val="00F411EB"/>
    <w:rsid w:val="00F414A5"/>
    <w:rsid w:val="00F41E51"/>
    <w:rsid w:val="00F4254C"/>
    <w:rsid w:val="00F438C2"/>
    <w:rsid w:val="00F44A6D"/>
    <w:rsid w:val="00F501A9"/>
    <w:rsid w:val="00F51A1D"/>
    <w:rsid w:val="00F53B6A"/>
    <w:rsid w:val="00F54F92"/>
    <w:rsid w:val="00F55D37"/>
    <w:rsid w:val="00F57DA3"/>
    <w:rsid w:val="00F61BA6"/>
    <w:rsid w:val="00F62AFF"/>
    <w:rsid w:val="00F637F2"/>
    <w:rsid w:val="00F65060"/>
    <w:rsid w:val="00F71733"/>
    <w:rsid w:val="00F717DF"/>
    <w:rsid w:val="00F7206E"/>
    <w:rsid w:val="00F728E6"/>
    <w:rsid w:val="00F72CC0"/>
    <w:rsid w:val="00F73CAB"/>
    <w:rsid w:val="00F73E14"/>
    <w:rsid w:val="00F74300"/>
    <w:rsid w:val="00F75A62"/>
    <w:rsid w:val="00F76355"/>
    <w:rsid w:val="00F774A7"/>
    <w:rsid w:val="00F811C1"/>
    <w:rsid w:val="00F85EF0"/>
    <w:rsid w:val="00F8678A"/>
    <w:rsid w:val="00F87241"/>
    <w:rsid w:val="00F8739D"/>
    <w:rsid w:val="00F87C5A"/>
    <w:rsid w:val="00F907FE"/>
    <w:rsid w:val="00F91277"/>
    <w:rsid w:val="00F93359"/>
    <w:rsid w:val="00F934B9"/>
    <w:rsid w:val="00F93D47"/>
    <w:rsid w:val="00F94BE0"/>
    <w:rsid w:val="00F95361"/>
    <w:rsid w:val="00F95CF7"/>
    <w:rsid w:val="00F95EC1"/>
    <w:rsid w:val="00F97922"/>
    <w:rsid w:val="00F97A06"/>
    <w:rsid w:val="00FA0748"/>
    <w:rsid w:val="00FA5F6C"/>
    <w:rsid w:val="00FA707D"/>
    <w:rsid w:val="00FA76A9"/>
    <w:rsid w:val="00FA7703"/>
    <w:rsid w:val="00FA7E71"/>
    <w:rsid w:val="00FB0966"/>
    <w:rsid w:val="00FB2761"/>
    <w:rsid w:val="00FB44BB"/>
    <w:rsid w:val="00FC25F1"/>
    <w:rsid w:val="00FC2EB5"/>
    <w:rsid w:val="00FC3730"/>
    <w:rsid w:val="00FC3F22"/>
    <w:rsid w:val="00FC482A"/>
    <w:rsid w:val="00FC4847"/>
    <w:rsid w:val="00FC659D"/>
    <w:rsid w:val="00FC6A5A"/>
    <w:rsid w:val="00FC7132"/>
    <w:rsid w:val="00FC7881"/>
    <w:rsid w:val="00FD02BD"/>
    <w:rsid w:val="00FD0E76"/>
    <w:rsid w:val="00FD18CE"/>
    <w:rsid w:val="00FD1E16"/>
    <w:rsid w:val="00FD2500"/>
    <w:rsid w:val="00FD4CFC"/>
    <w:rsid w:val="00FD59AB"/>
    <w:rsid w:val="00FD63D6"/>
    <w:rsid w:val="00FD7B6E"/>
    <w:rsid w:val="00FD7DF3"/>
    <w:rsid w:val="00FE0CFC"/>
    <w:rsid w:val="00FE1A57"/>
    <w:rsid w:val="00FE2242"/>
    <w:rsid w:val="00FE272A"/>
    <w:rsid w:val="00FE31B0"/>
    <w:rsid w:val="00FE3527"/>
    <w:rsid w:val="00FE3AA2"/>
    <w:rsid w:val="00FE4206"/>
    <w:rsid w:val="00FE49B9"/>
    <w:rsid w:val="00FE7D99"/>
    <w:rsid w:val="00FF0681"/>
    <w:rsid w:val="00FF16B9"/>
    <w:rsid w:val="00FF2AAE"/>
    <w:rsid w:val="00FF3B94"/>
    <w:rsid w:val="00FF3DB7"/>
    <w:rsid w:val="00FF3F69"/>
    <w:rsid w:val="00FF3F91"/>
    <w:rsid w:val="00FF4802"/>
    <w:rsid w:val="00FF65CC"/>
    <w:rsid w:val="00FF69DC"/>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49408F"/>
    <w:pPr>
      <w:spacing w:after="200" w:line="276" w:lineRule="auto"/>
      <w:jc w:val="both"/>
    </w:pPr>
    <w:rPr>
      <w:rFonts w:cs="Calibri"/>
      <w:lang w:eastAsia="en-US"/>
    </w:rPr>
  </w:style>
  <w:style w:type="paragraph" w:styleId="Nadpis1">
    <w:name w:val="heading 1"/>
    <w:basedOn w:val="Normlny"/>
    <w:next w:val="Normlny"/>
    <w:link w:val="Nadpis1Char"/>
    <w:qFormat/>
    <w:rsid w:val="0049408F"/>
    <w:pPr>
      <w:numPr>
        <w:numId w:val="13"/>
      </w:numPr>
      <w:spacing w:before="300" w:after="40"/>
      <w:jc w:val="left"/>
      <w:outlineLvl w:val="0"/>
    </w:pPr>
    <w:rPr>
      <w:rFonts w:cs="Times New Roman"/>
      <w:smallCaps/>
      <w:spacing w:val="5"/>
      <w:sz w:val="32"/>
      <w:szCs w:val="32"/>
      <w:lang w:val="x-none" w:eastAsia="x-none"/>
    </w:rPr>
  </w:style>
  <w:style w:type="paragraph" w:styleId="Nadpis2">
    <w:name w:val="heading 2"/>
    <w:basedOn w:val="Normlny"/>
    <w:next w:val="Normlny"/>
    <w:link w:val="Nadpis2Char"/>
    <w:qFormat/>
    <w:rsid w:val="0049408F"/>
    <w:pPr>
      <w:numPr>
        <w:ilvl w:val="1"/>
        <w:numId w:val="13"/>
      </w:numPr>
      <w:spacing w:before="240" w:after="80"/>
      <w:jc w:val="left"/>
      <w:outlineLvl w:val="1"/>
    </w:pPr>
    <w:rPr>
      <w:rFonts w:cs="Times New Roman"/>
      <w:smallCaps/>
      <w:spacing w:val="5"/>
      <w:sz w:val="28"/>
      <w:szCs w:val="28"/>
      <w:lang w:val="x-none" w:eastAsia="x-none"/>
    </w:rPr>
  </w:style>
  <w:style w:type="paragraph" w:styleId="Nadpis3">
    <w:name w:val="heading 3"/>
    <w:basedOn w:val="Nadpis2"/>
    <w:next w:val="Normlny"/>
    <w:link w:val="Nadpis3Char"/>
    <w:qFormat/>
    <w:rsid w:val="0049408F"/>
    <w:pPr>
      <w:numPr>
        <w:ilvl w:val="2"/>
      </w:numPr>
      <w:spacing w:after="0"/>
      <w:outlineLvl w:val="2"/>
    </w:pPr>
    <w:rPr>
      <w:smallCaps w:val="0"/>
      <w:sz w:val="24"/>
      <w:szCs w:val="24"/>
    </w:rPr>
  </w:style>
  <w:style w:type="paragraph" w:styleId="Nadpis4">
    <w:name w:val="heading 4"/>
    <w:basedOn w:val="Normlny"/>
    <w:next w:val="Normlny"/>
    <w:link w:val="Nadpis4Char"/>
    <w:qFormat/>
    <w:rsid w:val="0049408F"/>
    <w:pPr>
      <w:numPr>
        <w:ilvl w:val="3"/>
        <w:numId w:val="13"/>
      </w:numPr>
      <w:spacing w:before="240" w:after="0"/>
      <w:jc w:val="left"/>
      <w:outlineLvl w:val="3"/>
    </w:pPr>
    <w:rPr>
      <w:rFonts w:cs="Times New Roman"/>
      <w:smallCaps/>
      <w:spacing w:val="10"/>
      <w:sz w:val="22"/>
      <w:szCs w:val="22"/>
      <w:lang w:val="x-none" w:eastAsia="x-none"/>
    </w:rPr>
  </w:style>
  <w:style w:type="paragraph" w:styleId="Nadpis5">
    <w:name w:val="heading 5"/>
    <w:basedOn w:val="Normlny"/>
    <w:next w:val="Normlny"/>
    <w:link w:val="Nadpis5Char"/>
    <w:qFormat/>
    <w:rsid w:val="0049408F"/>
    <w:pPr>
      <w:numPr>
        <w:ilvl w:val="4"/>
        <w:numId w:val="13"/>
      </w:numPr>
      <w:spacing w:before="200" w:after="0"/>
      <w:jc w:val="left"/>
      <w:outlineLvl w:val="4"/>
    </w:pPr>
    <w:rPr>
      <w:rFonts w:cs="Times New Roman"/>
      <w:smallCaps/>
      <w:color w:val="943634"/>
      <w:spacing w:val="10"/>
      <w:sz w:val="26"/>
      <w:szCs w:val="26"/>
      <w:lang w:val="x-none" w:eastAsia="x-none"/>
    </w:rPr>
  </w:style>
  <w:style w:type="paragraph" w:styleId="Nadpis6">
    <w:name w:val="heading 6"/>
    <w:basedOn w:val="Normlny"/>
    <w:next w:val="Normlny"/>
    <w:link w:val="Nadpis6Char"/>
    <w:qFormat/>
    <w:rsid w:val="0049408F"/>
    <w:pPr>
      <w:numPr>
        <w:ilvl w:val="5"/>
        <w:numId w:val="13"/>
      </w:numPr>
      <w:spacing w:after="0"/>
      <w:jc w:val="left"/>
      <w:outlineLvl w:val="5"/>
    </w:pPr>
    <w:rPr>
      <w:rFonts w:cs="Times New Roman"/>
      <w:smallCaps/>
      <w:color w:val="C0504D"/>
      <w:spacing w:val="5"/>
      <w:sz w:val="22"/>
      <w:szCs w:val="22"/>
      <w:lang w:val="x-none" w:eastAsia="x-none"/>
    </w:rPr>
  </w:style>
  <w:style w:type="paragraph" w:styleId="Nadpis7">
    <w:name w:val="heading 7"/>
    <w:basedOn w:val="Normlny"/>
    <w:next w:val="Normlny"/>
    <w:link w:val="Nadpis7Char"/>
    <w:qFormat/>
    <w:rsid w:val="0049408F"/>
    <w:pPr>
      <w:numPr>
        <w:ilvl w:val="6"/>
        <w:numId w:val="13"/>
      </w:numPr>
      <w:spacing w:after="0"/>
      <w:jc w:val="left"/>
      <w:outlineLvl w:val="6"/>
    </w:pPr>
    <w:rPr>
      <w:rFonts w:cs="Times New Roman"/>
      <w:b/>
      <w:bCs/>
      <w:smallCaps/>
      <w:color w:val="C0504D"/>
      <w:spacing w:val="10"/>
      <w:lang w:val="x-none" w:eastAsia="x-none"/>
    </w:rPr>
  </w:style>
  <w:style w:type="paragraph" w:styleId="Nadpis8">
    <w:name w:val="heading 8"/>
    <w:basedOn w:val="Normlny"/>
    <w:next w:val="Normlny"/>
    <w:link w:val="Nadpis8Char"/>
    <w:qFormat/>
    <w:rsid w:val="0049408F"/>
    <w:pPr>
      <w:numPr>
        <w:ilvl w:val="7"/>
        <w:numId w:val="13"/>
      </w:numPr>
      <w:spacing w:after="0"/>
      <w:jc w:val="left"/>
      <w:outlineLvl w:val="7"/>
    </w:pPr>
    <w:rPr>
      <w:rFonts w:cs="Times New Roman"/>
      <w:b/>
      <w:bCs/>
      <w:i/>
      <w:iCs/>
      <w:smallCaps/>
      <w:color w:val="943634"/>
      <w:lang w:val="x-none" w:eastAsia="x-none"/>
    </w:rPr>
  </w:style>
  <w:style w:type="paragraph" w:styleId="Nadpis9">
    <w:name w:val="heading 9"/>
    <w:basedOn w:val="Normlny"/>
    <w:next w:val="Normlny"/>
    <w:link w:val="Nadpis9Char"/>
    <w:qFormat/>
    <w:rsid w:val="0049408F"/>
    <w:pPr>
      <w:numPr>
        <w:ilvl w:val="8"/>
        <w:numId w:val="13"/>
      </w:numPr>
      <w:spacing w:after="0"/>
      <w:jc w:val="left"/>
      <w:outlineLvl w:val="8"/>
    </w:pPr>
    <w:rPr>
      <w:rFonts w:cs="Times New Roman"/>
      <w:b/>
      <w:bCs/>
      <w:i/>
      <w:iCs/>
      <w:smallCaps/>
      <w:color w:val="622423"/>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408F"/>
    <w:rPr>
      <w:smallCaps/>
      <w:spacing w:val="5"/>
      <w:sz w:val="32"/>
      <w:szCs w:val="32"/>
      <w:lang w:val="x-none" w:eastAsia="x-none"/>
    </w:rPr>
  </w:style>
  <w:style w:type="character" w:customStyle="1" w:styleId="Nadpis2Char">
    <w:name w:val="Nadpis 2 Char"/>
    <w:link w:val="Nadpis2"/>
    <w:locked/>
    <w:rsid w:val="0049408F"/>
    <w:rPr>
      <w:smallCaps/>
      <w:spacing w:val="5"/>
      <w:sz w:val="28"/>
      <w:szCs w:val="28"/>
      <w:lang w:val="x-none" w:eastAsia="x-none"/>
    </w:rPr>
  </w:style>
  <w:style w:type="character" w:customStyle="1" w:styleId="Nadpis3Char">
    <w:name w:val="Nadpis 3 Char"/>
    <w:link w:val="Nadpis3"/>
    <w:locked/>
    <w:rsid w:val="00A46244"/>
    <w:rPr>
      <w:spacing w:val="5"/>
      <w:sz w:val="24"/>
      <w:szCs w:val="24"/>
      <w:lang w:val="x-none" w:eastAsia="x-none"/>
    </w:rPr>
  </w:style>
  <w:style w:type="character" w:customStyle="1" w:styleId="Nadpis4Char">
    <w:name w:val="Nadpis 4 Char"/>
    <w:link w:val="Nadpis4"/>
    <w:locked/>
    <w:rsid w:val="0049408F"/>
    <w:rPr>
      <w:smallCaps/>
      <w:spacing w:val="10"/>
      <w:sz w:val="22"/>
      <w:szCs w:val="22"/>
      <w:lang w:val="x-none" w:eastAsia="x-none"/>
    </w:rPr>
  </w:style>
  <w:style w:type="character" w:customStyle="1" w:styleId="Nadpis5Char">
    <w:name w:val="Nadpis 5 Char"/>
    <w:link w:val="Nadpis5"/>
    <w:locked/>
    <w:rsid w:val="0049408F"/>
    <w:rPr>
      <w:smallCaps/>
      <w:color w:val="943634"/>
      <w:spacing w:val="10"/>
      <w:sz w:val="26"/>
      <w:szCs w:val="26"/>
      <w:lang w:val="x-none" w:eastAsia="x-none"/>
    </w:rPr>
  </w:style>
  <w:style w:type="character" w:customStyle="1" w:styleId="Nadpis6Char">
    <w:name w:val="Nadpis 6 Char"/>
    <w:link w:val="Nadpis6"/>
    <w:locked/>
    <w:rsid w:val="0049408F"/>
    <w:rPr>
      <w:smallCaps/>
      <w:color w:val="C0504D"/>
      <w:spacing w:val="5"/>
      <w:sz w:val="22"/>
      <w:szCs w:val="22"/>
      <w:lang w:val="x-none" w:eastAsia="x-none"/>
    </w:rPr>
  </w:style>
  <w:style w:type="character" w:customStyle="1" w:styleId="Nadpis7Char">
    <w:name w:val="Nadpis 7 Char"/>
    <w:link w:val="Nadpis7"/>
    <w:locked/>
    <w:rsid w:val="0049408F"/>
    <w:rPr>
      <w:b/>
      <w:bCs/>
      <w:smallCaps/>
      <w:color w:val="C0504D"/>
      <w:spacing w:val="10"/>
      <w:lang w:val="x-none" w:eastAsia="x-none"/>
    </w:rPr>
  </w:style>
  <w:style w:type="character" w:customStyle="1" w:styleId="Nadpis8Char">
    <w:name w:val="Nadpis 8 Char"/>
    <w:link w:val="Nadpis8"/>
    <w:locked/>
    <w:rsid w:val="0049408F"/>
    <w:rPr>
      <w:b/>
      <w:bCs/>
      <w:i/>
      <w:iCs/>
      <w:smallCaps/>
      <w:color w:val="943634"/>
      <w:lang w:val="x-none" w:eastAsia="x-none"/>
    </w:rPr>
  </w:style>
  <w:style w:type="character" w:customStyle="1" w:styleId="Nadpis9Char">
    <w:name w:val="Nadpis 9 Char"/>
    <w:link w:val="Nadpis9"/>
    <w:locked/>
    <w:rsid w:val="0049408F"/>
    <w:rPr>
      <w:b/>
      <w:bCs/>
      <w:i/>
      <w:iCs/>
      <w:smallCaps/>
      <w:color w:val="622423"/>
      <w:lang w:val="x-none" w:eastAsia="x-none"/>
    </w:rPr>
  </w:style>
  <w:style w:type="paragraph" w:styleId="Textbubliny">
    <w:name w:val="Balloon Text"/>
    <w:basedOn w:val="Normlny"/>
    <w:link w:val="TextbublinyChar"/>
    <w:semiHidden/>
    <w:rsid w:val="009D559E"/>
    <w:pPr>
      <w:spacing w:after="0" w:line="240" w:lineRule="auto"/>
    </w:pPr>
    <w:rPr>
      <w:rFonts w:ascii="Tahoma" w:hAnsi="Tahoma" w:cs="Times New Roman"/>
      <w:sz w:val="16"/>
      <w:szCs w:val="16"/>
      <w:lang w:val="x-none" w:eastAsia="x-none"/>
    </w:rPr>
  </w:style>
  <w:style w:type="character" w:customStyle="1" w:styleId="TextbublinyChar">
    <w:name w:val="Text bubliny Char"/>
    <w:link w:val="Textbubliny"/>
    <w:semiHidden/>
    <w:locked/>
    <w:rsid w:val="009D559E"/>
    <w:rPr>
      <w:rFonts w:ascii="Tahoma" w:hAnsi="Tahoma" w:cs="Tahoma"/>
      <w:sz w:val="16"/>
      <w:szCs w:val="16"/>
    </w:rPr>
  </w:style>
  <w:style w:type="paragraph" w:customStyle="1" w:styleId="Odsekzoznamu1">
    <w:name w:val="Odsek zoznamu1"/>
    <w:basedOn w:val="Normlny"/>
    <w:link w:val="ListParagraphChar"/>
    <w:rsid w:val="0049408F"/>
    <w:pPr>
      <w:ind w:left="720"/>
    </w:pPr>
    <w:rPr>
      <w:lang w:eastAsia="sk-SK"/>
    </w:rPr>
  </w:style>
  <w:style w:type="paragraph" w:styleId="Nzov">
    <w:name w:val="Title"/>
    <w:basedOn w:val="Normlny"/>
    <w:next w:val="Normlny"/>
    <w:link w:val="NzovChar"/>
    <w:qFormat/>
    <w:rsid w:val="0049408F"/>
    <w:pPr>
      <w:pBdr>
        <w:top w:val="single" w:sz="12" w:space="1" w:color="C0504D"/>
      </w:pBdr>
      <w:spacing w:line="240" w:lineRule="auto"/>
      <w:jc w:val="right"/>
    </w:pPr>
    <w:rPr>
      <w:rFonts w:cs="Times New Roman"/>
      <w:smallCaps/>
      <w:sz w:val="48"/>
      <w:szCs w:val="48"/>
      <w:lang w:val="x-none" w:eastAsia="x-none"/>
    </w:rPr>
  </w:style>
  <w:style w:type="character" w:customStyle="1" w:styleId="NzovChar">
    <w:name w:val="Názov Char"/>
    <w:link w:val="Nzov"/>
    <w:locked/>
    <w:rsid w:val="0049408F"/>
    <w:rPr>
      <w:rFonts w:cs="Times New Roman"/>
      <w:smallCaps/>
      <w:sz w:val="48"/>
      <w:szCs w:val="48"/>
    </w:rPr>
  </w:style>
  <w:style w:type="paragraph" w:styleId="Podtitul">
    <w:name w:val="Subtitle"/>
    <w:basedOn w:val="Normlny"/>
    <w:next w:val="Normlny"/>
    <w:link w:val="PodtitulChar"/>
    <w:qFormat/>
    <w:rsid w:val="0049408F"/>
    <w:pPr>
      <w:spacing w:after="720" w:line="240" w:lineRule="auto"/>
      <w:jc w:val="right"/>
    </w:pPr>
    <w:rPr>
      <w:rFonts w:ascii="Cambria" w:hAnsi="Cambria" w:cs="Times New Roman"/>
      <w:sz w:val="22"/>
      <w:szCs w:val="22"/>
      <w:lang w:val="x-none" w:eastAsia="x-none"/>
    </w:rPr>
  </w:style>
  <w:style w:type="character" w:customStyle="1" w:styleId="PodtitulChar">
    <w:name w:val="Podtitul Char"/>
    <w:link w:val="Podtitul"/>
    <w:locked/>
    <w:rsid w:val="0049408F"/>
    <w:rPr>
      <w:rFonts w:ascii="Cambria" w:hAnsi="Cambria" w:cs="Cambria"/>
      <w:sz w:val="22"/>
      <w:szCs w:val="22"/>
    </w:rPr>
  </w:style>
  <w:style w:type="character" w:styleId="Siln">
    <w:name w:val="Strong"/>
    <w:qFormat/>
    <w:rsid w:val="0049408F"/>
    <w:rPr>
      <w:rFonts w:cs="Times New Roman"/>
      <w:b/>
      <w:bCs/>
      <w:color w:val="C0504D"/>
    </w:rPr>
  </w:style>
  <w:style w:type="character" w:styleId="Zvraznenie">
    <w:name w:val="Emphasis"/>
    <w:qFormat/>
    <w:rsid w:val="0049408F"/>
    <w:rPr>
      <w:rFonts w:cs="Times New Roman"/>
      <w:b/>
      <w:bCs/>
      <w:i/>
      <w:iCs/>
      <w:spacing w:val="10"/>
    </w:rPr>
  </w:style>
  <w:style w:type="paragraph" w:customStyle="1" w:styleId="Bezriadkovania1">
    <w:name w:val="Bez riadkovania1"/>
    <w:basedOn w:val="Normlny"/>
    <w:link w:val="NoSpacingChar"/>
    <w:rsid w:val="0049408F"/>
    <w:pPr>
      <w:spacing w:after="0" w:line="240" w:lineRule="auto"/>
    </w:pPr>
    <w:rPr>
      <w:lang w:eastAsia="sk-SK"/>
    </w:rPr>
  </w:style>
  <w:style w:type="paragraph" w:customStyle="1" w:styleId="Citcia1">
    <w:name w:val="Citácia1"/>
    <w:basedOn w:val="Normlny"/>
    <w:next w:val="Normlny"/>
    <w:link w:val="QuoteChar"/>
    <w:rsid w:val="0049408F"/>
    <w:rPr>
      <w:rFonts w:cs="Times New Roman"/>
      <w:i/>
      <w:iCs/>
      <w:lang w:val="x-none" w:eastAsia="x-none"/>
    </w:rPr>
  </w:style>
  <w:style w:type="character" w:customStyle="1" w:styleId="QuoteChar">
    <w:name w:val="Quote Char"/>
    <w:link w:val="Citcia1"/>
    <w:locked/>
    <w:rsid w:val="0049408F"/>
    <w:rPr>
      <w:rFonts w:cs="Times New Roman"/>
      <w:i/>
      <w:iCs/>
    </w:rPr>
  </w:style>
  <w:style w:type="paragraph" w:customStyle="1" w:styleId="Zvraznencitcia1">
    <w:name w:val="Zvýraznená citácia1"/>
    <w:basedOn w:val="Normlny"/>
    <w:next w:val="Normlny"/>
    <w:link w:val="IntenseQuoteChar"/>
    <w:rsid w:val="0049408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cs="Times New Roman"/>
      <w:b/>
      <w:bCs/>
      <w:i/>
      <w:iCs/>
      <w:color w:val="FFFFFF"/>
      <w:lang w:val="x-none" w:eastAsia="x-none"/>
    </w:rPr>
  </w:style>
  <w:style w:type="character" w:customStyle="1" w:styleId="IntenseQuoteChar">
    <w:name w:val="Intense Quote Char"/>
    <w:link w:val="Zvraznencitcia1"/>
    <w:locked/>
    <w:rsid w:val="0049408F"/>
    <w:rPr>
      <w:rFonts w:cs="Times New Roman"/>
      <w:b/>
      <w:bCs/>
      <w:i/>
      <w:iCs/>
      <w:color w:val="FFFFFF"/>
      <w:shd w:val="clear" w:color="auto" w:fill="C0504D"/>
    </w:rPr>
  </w:style>
  <w:style w:type="character" w:customStyle="1" w:styleId="Jemnzvraznenie1">
    <w:name w:val="Jemné zvýraznenie1"/>
    <w:rsid w:val="0049408F"/>
    <w:rPr>
      <w:rFonts w:cs="Times New Roman"/>
      <w:i/>
      <w:iCs/>
    </w:rPr>
  </w:style>
  <w:style w:type="character" w:customStyle="1" w:styleId="Intenzvnezvraznenie1">
    <w:name w:val="Intenzívne zvýraznenie1"/>
    <w:rsid w:val="0049408F"/>
    <w:rPr>
      <w:rFonts w:cs="Times New Roman"/>
      <w:b/>
      <w:bCs/>
      <w:i/>
      <w:iCs/>
      <w:color w:val="C0504D"/>
      <w:spacing w:val="10"/>
    </w:rPr>
  </w:style>
  <w:style w:type="character" w:customStyle="1" w:styleId="Jemnodkaz1">
    <w:name w:val="Jemný odkaz1"/>
    <w:rsid w:val="0049408F"/>
    <w:rPr>
      <w:rFonts w:cs="Times New Roman"/>
      <w:b/>
      <w:bCs/>
    </w:rPr>
  </w:style>
  <w:style w:type="character" w:customStyle="1" w:styleId="Intenzvnyodkaz1">
    <w:name w:val="Intenzívny odkaz1"/>
    <w:rsid w:val="0049408F"/>
    <w:rPr>
      <w:rFonts w:cs="Times New Roman"/>
      <w:b/>
      <w:bCs/>
      <w:smallCaps/>
      <w:spacing w:val="5"/>
      <w:sz w:val="22"/>
      <w:szCs w:val="22"/>
      <w:u w:val="single"/>
    </w:rPr>
  </w:style>
  <w:style w:type="character" w:customStyle="1" w:styleId="Nzovknihy1">
    <w:name w:val="Názov knihy1"/>
    <w:rsid w:val="0049408F"/>
    <w:rPr>
      <w:rFonts w:ascii="Cambria" w:hAnsi="Cambria" w:cs="Cambria"/>
      <w:i/>
      <w:iCs/>
      <w:sz w:val="20"/>
      <w:szCs w:val="20"/>
    </w:rPr>
  </w:style>
  <w:style w:type="paragraph" w:customStyle="1" w:styleId="Hlavikaobsahu1">
    <w:name w:val="Hlavička obsahu1"/>
    <w:basedOn w:val="Nadpis1"/>
    <w:next w:val="Normlny"/>
    <w:rsid w:val="0049408F"/>
    <w:pPr>
      <w:outlineLvl w:val="9"/>
    </w:pPr>
  </w:style>
  <w:style w:type="paragraph" w:styleId="Hlavika">
    <w:name w:val="header"/>
    <w:basedOn w:val="Normlny"/>
    <w:link w:val="HlavikaChar"/>
    <w:uiPriority w:val="99"/>
    <w:rsid w:val="002437B9"/>
    <w:pPr>
      <w:tabs>
        <w:tab w:val="center" w:pos="4536"/>
        <w:tab w:val="right" w:pos="9072"/>
      </w:tabs>
      <w:spacing w:after="0" w:line="240" w:lineRule="auto"/>
    </w:pPr>
    <w:rPr>
      <w:rFonts w:cs="Times New Roman"/>
      <w:lang w:val="x-none" w:eastAsia="x-none"/>
    </w:rPr>
  </w:style>
  <w:style w:type="character" w:customStyle="1" w:styleId="HlavikaChar">
    <w:name w:val="Hlavička Char"/>
    <w:link w:val="Hlavika"/>
    <w:uiPriority w:val="99"/>
    <w:locked/>
    <w:rsid w:val="002437B9"/>
    <w:rPr>
      <w:rFonts w:cs="Times New Roman"/>
    </w:rPr>
  </w:style>
  <w:style w:type="paragraph" w:styleId="Pta">
    <w:name w:val="footer"/>
    <w:basedOn w:val="Normlny"/>
    <w:link w:val="PtaChar"/>
    <w:rsid w:val="002437B9"/>
    <w:pPr>
      <w:tabs>
        <w:tab w:val="center" w:pos="4536"/>
        <w:tab w:val="right" w:pos="9072"/>
      </w:tabs>
      <w:spacing w:after="0" w:line="240" w:lineRule="auto"/>
    </w:pPr>
    <w:rPr>
      <w:rFonts w:cs="Times New Roman"/>
      <w:lang w:val="x-none" w:eastAsia="x-none"/>
    </w:rPr>
  </w:style>
  <w:style w:type="character" w:customStyle="1" w:styleId="PtaChar">
    <w:name w:val="Päta Char"/>
    <w:link w:val="Pta"/>
    <w:locked/>
    <w:rsid w:val="002437B9"/>
    <w:rPr>
      <w:rFonts w:cs="Times New Roman"/>
    </w:rPr>
  </w:style>
  <w:style w:type="paragraph" w:styleId="Popis">
    <w:name w:val="caption"/>
    <w:basedOn w:val="Normlny"/>
    <w:next w:val="Normlny"/>
    <w:uiPriority w:val="35"/>
    <w:qFormat/>
    <w:rsid w:val="0049408F"/>
    <w:rPr>
      <w:b/>
      <w:bCs/>
      <w:caps/>
      <w:sz w:val="16"/>
      <w:szCs w:val="16"/>
    </w:rPr>
  </w:style>
  <w:style w:type="character" w:customStyle="1" w:styleId="NoSpacingChar">
    <w:name w:val="No Spacing Char"/>
    <w:link w:val="Bezriadkovania1"/>
    <w:locked/>
    <w:rsid w:val="0049408F"/>
  </w:style>
  <w:style w:type="paragraph" w:styleId="Textpoznmkypodiarou">
    <w:name w:val="footnote text"/>
    <w:aliases w:val="Schriftart: 9 pt,Schriftart: 10 pt,Schriftart: 8 pt,Podrozdział,Footnote,o,Footnote text,NBP,fn,WB-Fußnot,Text poznámky pod čiarou 007,_Poznámka pod čiarou"/>
    <w:basedOn w:val="Normlny"/>
    <w:link w:val="TextpoznmkypodiarouChar1"/>
    <w:semiHidden/>
    <w:rsid w:val="00716CE0"/>
    <w:pPr>
      <w:spacing w:after="0" w:line="240" w:lineRule="auto"/>
      <w:jc w:val="left"/>
    </w:pPr>
    <w:rPr>
      <w:rFonts w:cs="Times New Roman"/>
      <w:lang w:val="en-US" w:eastAsia="x-none"/>
    </w:rPr>
  </w:style>
  <w:style w:type="character" w:customStyle="1" w:styleId="TextpoznmkypodiarouChar1">
    <w:name w:val="Text poznámky pod čiarou Char1"/>
    <w:aliases w:val="Schriftart: 9 pt Char,Schriftart: 10 pt Char,Schriftart: 8 pt Char,Podrozdział Char,Footnote Char,o Char,Footnote text Char,NBP Char,fn Char,WB-Fußnot Char,Text poznámky pod čiarou 007 Char,_Poznámka pod čiarou Char"/>
    <w:link w:val="Textpoznmkypodiarou"/>
    <w:locked/>
    <w:rsid w:val="00716CE0"/>
    <w:rPr>
      <w:rFonts w:ascii="Calibri" w:hAnsi="Calibri" w:cs="Calibri"/>
      <w:lang w:val="en-US" w:eastAsia="x-none"/>
    </w:rPr>
  </w:style>
  <w:style w:type="character" w:styleId="Odkaznapoznmkupodiarou">
    <w:name w:val="footnote reference"/>
    <w:aliases w:val="Footnote symbol,Footnote reference number,Times 10 Point,Exposant 3 Point,Ref,de nota al pie,note TESI,SUPERS,EN Footnote text,EN Footnote Refe"/>
    <w:uiPriority w:val="99"/>
    <w:semiHidden/>
    <w:rsid w:val="00716CE0"/>
    <w:rPr>
      <w:rFonts w:cs="Times New Roman"/>
      <w:vertAlign w:val="superscript"/>
    </w:rPr>
  </w:style>
  <w:style w:type="paragraph" w:styleId="Zarkazkladnhotextu">
    <w:name w:val="Body Text Indent"/>
    <w:basedOn w:val="Normlny"/>
    <w:link w:val="ZarkazkladnhotextuChar"/>
    <w:semiHidden/>
    <w:rsid w:val="00716CE0"/>
    <w:pPr>
      <w:spacing w:after="120"/>
      <w:ind w:left="283"/>
      <w:jc w:val="left"/>
    </w:pPr>
    <w:rPr>
      <w:rFonts w:cs="Times New Roman"/>
      <w:sz w:val="22"/>
      <w:szCs w:val="22"/>
      <w:lang w:val="en-US" w:eastAsia="x-none"/>
    </w:rPr>
  </w:style>
  <w:style w:type="character" w:customStyle="1" w:styleId="ZarkazkladnhotextuChar">
    <w:name w:val="Zarážka základného textu Char"/>
    <w:link w:val="Zarkazkladnhotextu"/>
    <w:semiHidden/>
    <w:locked/>
    <w:rsid w:val="00716CE0"/>
    <w:rPr>
      <w:rFonts w:ascii="Calibri" w:hAnsi="Calibri" w:cs="Calibri"/>
      <w:sz w:val="22"/>
      <w:szCs w:val="22"/>
      <w:lang w:val="en-US" w:eastAsia="x-none"/>
    </w:rPr>
  </w:style>
  <w:style w:type="paragraph" w:styleId="Obsah1">
    <w:name w:val="toc 1"/>
    <w:basedOn w:val="Normlny"/>
    <w:next w:val="Normlny"/>
    <w:autoRedefine/>
    <w:uiPriority w:val="39"/>
    <w:rsid w:val="002B655F"/>
    <w:pPr>
      <w:spacing w:before="360" w:after="0"/>
      <w:jc w:val="left"/>
    </w:pPr>
    <w:rPr>
      <w:rFonts w:ascii="Cambria" w:hAnsi="Cambria"/>
      <w:b/>
      <w:bCs/>
      <w:caps/>
      <w:sz w:val="24"/>
      <w:szCs w:val="24"/>
    </w:rPr>
  </w:style>
  <w:style w:type="paragraph" w:styleId="Obsah2">
    <w:name w:val="toc 2"/>
    <w:basedOn w:val="Normlny"/>
    <w:next w:val="Normlny"/>
    <w:autoRedefine/>
    <w:uiPriority w:val="39"/>
    <w:rsid w:val="009A1F40"/>
    <w:pPr>
      <w:spacing w:before="240" w:after="0"/>
      <w:jc w:val="left"/>
    </w:pPr>
    <w:rPr>
      <w:b/>
      <w:bCs/>
    </w:rPr>
  </w:style>
  <w:style w:type="character" w:styleId="Hypertextovprepojenie">
    <w:name w:val="Hyperlink"/>
    <w:uiPriority w:val="99"/>
    <w:rsid w:val="009A1F40"/>
    <w:rPr>
      <w:rFonts w:cs="Times New Roman"/>
      <w:color w:val="0000FF"/>
      <w:u w:val="single"/>
    </w:rPr>
  </w:style>
  <w:style w:type="character" w:customStyle="1" w:styleId="cell1">
    <w:name w:val="cell1"/>
    <w:rsid w:val="00831123"/>
  </w:style>
  <w:style w:type="paragraph" w:customStyle="1" w:styleId="Odsekzoznamu10">
    <w:name w:val="Odsek zoznamu1"/>
    <w:basedOn w:val="Normlny"/>
    <w:rsid w:val="00831123"/>
    <w:pPr>
      <w:ind w:left="720"/>
      <w:jc w:val="left"/>
    </w:pPr>
    <w:rPr>
      <w:sz w:val="22"/>
      <w:szCs w:val="22"/>
    </w:rPr>
  </w:style>
  <w:style w:type="paragraph" w:styleId="Obyajntext">
    <w:name w:val="Plain Text"/>
    <w:basedOn w:val="Normlny"/>
    <w:link w:val="ObyajntextChar"/>
    <w:semiHidden/>
    <w:rsid w:val="00831123"/>
    <w:pPr>
      <w:spacing w:after="0" w:line="240" w:lineRule="auto"/>
      <w:jc w:val="left"/>
    </w:pPr>
    <w:rPr>
      <w:rFonts w:cs="Times New Roman"/>
      <w:sz w:val="21"/>
      <w:szCs w:val="21"/>
      <w:lang w:val="x-none" w:eastAsia="x-none"/>
    </w:rPr>
  </w:style>
  <w:style w:type="character" w:customStyle="1" w:styleId="ObyajntextChar">
    <w:name w:val="Obyčajný text Char"/>
    <w:link w:val="Obyajntext"/>
    <w:semiHidden/>
    <w:locked/>
    <w:rsid w:val="00831123"/>
    <w:rPr>
      <w:rFonts w:ascii="Calibri" w:hAnsi="Calibri" w:cs="Calibri"/>
      <w:sz w:val="21"/>
      <w:szCs w:val="21"/>
    </w:rPr>
  </w:style>
  <w:style w:type="paragraph" w:customStyle="1" w:styleId="Default">
    <w:name w:val="Default"/>
    <w:rsid w:val="00B13940"/>
    <w:pPr>
      <w:autoSpaceDE w:val="0"/>
      <w:autoSpaceDN w:val="0"/>
      <w:adjustRightInd w:val="0"/>
    </w:pPr>
    <w:rPr>
      <w:color w:val="000000"/>
      <w:sz w:val="24"/>
      <w:szCs w:val="24"/>
      <w:lang w:eastAsia="en-US"/>
    </w:rPr>
  </w:style>
  <w:style w:type="table" w:styleId="Mriekatabuky">
    <w:name w:val="Table Grid"/>
    <w:basedOn w:val="Normlnatabuka"/>
    <w:uiPriority w:val="59"/>
    <w:rsid w:val="004E562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3">
    <w:name w:val="toc 3"/>
    <w:basedOn w:val="Normlny"/>
    <w:next w:val="Normlny"/>
    <w:autoRedefine/>
    <w:uiPriority w:val="39"/>
    <w:rsid w:val="00EB3510"/>
    <w:pPr>
      <w:spacing w:after="0"/>
      <w:ind w:left="200"/>
      <w:jc w:val="left"/>
    </w:pPr>
  </w:style>
  <w:style w:type="character" w:styleId="Odkaznakomentr">
    <w:name w:val="annotation reference"/>
    <w:semiHidden/>
    <w:rsid w:val="00280744"/>
    <w:rPr>
      <w:rFonts w:cs="Times New Roman"/>
      <w:sz w:val="16"/>
      <w:szCs w:val="16"/>
    </w:rPr>
  </w:style>
  <w:style w:type="paragraph" w:styleId="Textkomentra">
    <w:name w:val="annotation text"/>
    <w:basedOn w:val="Normlny"/>
    <w:link w:val="TextkomentraChar"/>
    <w:semiHidden/>
    <w:rsid w:val="00280744"/>
    <w:pPr>
      <w:spacing w:line="240" w:lineRule="auto"/>
    </w:pPr>
    <w:rPr>
      <w:rFonts w:cs="Times New Roman"/>
      <w:lang w:val="x-none" w:eastAsia="x-none"/>
    </w:rPr>
  </w:style>
  <w:style w:type="character" w:customStyle="1" w:styleId="TextkomentraChar">
    <w:name w:val="Text komentára Char"/>
    <w:link w:val="Textkomentra"/>
    <w:semiHidden/>
    <w:locked/>
    <w:rsid w:val="00280744"/>
    <w:rPr>
      <w:rFonts w:cs="Times New Roman"/>
    </w:rPr>
  </w:style>
  <w:style w:type="paragraph" w:styleId="Predmetkomentra">
    <w:name w:val="annotation subject"/>
    <w:basedOn w:val="Textkomentra"/>
    <w:next w:val="Textkomentra"/>
    <w:link w:val="PredmetkomentraChar"/>
    <w:semiHidden/>
    <w:rsid w:val="00280744"/>
    <w:rPr>
      <w:b/>
      <w:bCs/>
    </w:rPr>
  </w:style>
  <w:style w:type="character" w:customStyle="1" w:styleId="PredmetkomentraChar">
    <w:name w:val="Predmet komentára Char"/>
    <w:link w:val="Predmetkomentra"/>
    <w:semiHidden/>
    <w:locked/>
    <w:rsid w:val="00280744"/>
    <w:rPr>
      <w:rFonts w:cs="Times New Roman"/>
      <w:b/>
      <w:bCs/>
    </w:rPr>
  </w:style>
  <w:style w:type="paragraph" w:customStyle="1" w:styleId="Revzia1">
    <w:name w:val="Revízia1"/>
    <w:hidden/>
    <w:semiHidden/>
    <w:rsid w:val="00280744"/>
    <w:rPr>
      <w:rFonts w:cs="Calibri"/>
      <w:lang w:eastAsia="en-US"/>
    </w:rPr>
  </w:style>
  <w:style w:type="paragraph" w:styleId="Normlnywebov">
    <w:name w:val="Normal (Web)"/>
    <w:basedOn w:val="Normlny"/>
    <w:uiPriority w:val="99"/>
    <w:semiHidden/>
    <w:rsid w:val="00BF3794"/>
    <w:pPr>
      <w:spacing w:before="100" w:beforeAutospacing="1" w:after="100" w:afterAutospacing="1" w:line="240" w:lineRule="auto"/>
      <w:jc w:val="left"/>
    </w:pPr>
    <w:rPr>
      <w:rFonts w:cs="Times New Roman"/>
      <w:sz w:val="24"/>
      <w:szCs w:val="24"/>
      <w:lang w:eastAsia="sk-SK"/>
    </w:rPr>
  </w:style>
  <w:style w:type="character" w:styleId="slostrany">
    <w:name w:val="page number"/>
    <w:rsid w:val="00017E91"/>
    <w:rPr>
      <w:rFonts w:cs="Times New Roman"/>
    </w:rPr>
  </w:style>
  <w:style w:type="character" w:customStyle="1" w:styleId="ListParagraphChar">
    <w:name w:val="List Paragraph Char"/>
    <w:link w:val="Odsekzoznamu1"/>
    <w:locked/>
    <w:rsid w:val="004647D7"/>
  </w:style>
  <w:style w:type="character" w:customStyle="1" w:styleId="Normlny1CharCharCharCharCharCharChar">
    <w:name w:val="Normálny1 Char Char Char Char Char Char Char"/>
    <w:link w:val="Normlny1CharCharCharCharCharChar"/>
    <w:locked/>
    <w:rsid w:val="00D64639"/>
    <w:rPr>
      <w:rFonts w:ascii="Arial" w:hAnsi="Arial"/>
      <w:u w:val="single"/>
      <w:lang w:val="x-none" w:eastAsia="cs-CZ"/>
    </w:rPr>
  </w:style>
  <w:style w:type="paragraph" w:customStyle="1" w:styleId="Normlny1CharCharCharCharCharChar">
    <w:name w:val="Normálny1 Char Char Char Char Char Char"/>
    <w:basedOn w:val="Normlny"/>
    <w:link w:val="Normlny1CharCharCharCharCharCharChar"/>
    <w:rsid w:val="00D64639"/>
    <w:pPr>
      <w:spacing w:after="0" w:line="240" w:lineRule="auto"/>
      <w:jc w:val="left"/>
    </w:pPr>
    <w:rPr>
      <w:rFonts w:ascii="Arial" w:hAnsi="Arial" w:cs="Times New Roman"/>
      <w:u w:val="single"/>
      <w:lang w:val="x-none" w:eastAsia="cs-CZ"/>
    </w:rPr>
  </w:style>
  <w:style w:type="paragraph" w:styleId="Zkladntext">
    <w:name w:val="Body Text"/>
    <w:basedOn w:val="Normlny"/>
    <w:link w:val="ZkladntextChar"/>
    <w:rsid w:val="00021CB3"/>
    <w:pPr>
      <w:spacing w:after="120"/>
    </w:pPr>
    <w:rPr>
      <w:rFonts w:cs="Times New Roman"/>
      <w:lang w:val="x-none" w:eastAsia="x-none"/>
    </w:rPr>
  </w:style>
  <w:style w:type="character" w:customStyle="1" w:styleId="ZkladntextChar">
    <w:name w:val="Základný text Char"/>
    <w:link w:val="Zkladntext"/>
    <w:semiHidden/>
    <w:locked/>
    <w:rsid w:val="00021CB3"/>
    <w:rPr>
      <w:rFonts w:cs="Times New Roman"/>
    </w:rPr>
  </w:style>
  <w:style w:type="table" w:customStyle="1" w:styleId="TableNormal1">
    <w:name w:val="Table Normal1"/>
    <w:semiHidden/>
    <w:rsid w:val="00021CB3"/>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lny"/>
    <w:rsid w:val="00021CB3"/>
    <w:pPr>
      <w:widowControl w:val="0"/>
      <w:spacing w:after="0" w:line="240" w:lineRule="auto"/>
      <w:jc w:val="left"/>
    </w:pPr>
    <w:rPr>
      <w:sz w:val="22"/>
      <w:szCs w:val="22"/>
      <w:lang w:val="en-US"/>
    </w:rPr>
  </w:style>
  <w:style w:type="character" w:customStyle="1" w:styleId="Textzstupnhosymbolu1">
    <w:name w:val="Text zástupného symbolu1"/>
    <w:semiHidden/>
    <w:rsid w:val="00FF3B94"/>
    <w:rPr>
      <w:rFonts w:ascii="Times New Roman" w:hAnsi="Times New Roman" w:cs="Times New Roman"/>
      <w:color w:val="808080"/>
    </w:rPr>
  </w:style>
  <w:style w:type="paragraph" w:styleId="Odsekzoznamu">
    <w:name w:val="List Paragraph"/>
    <w:basedOn w:val="Normlny"/>
    <w:link w:val="OdsekzoznamuChar"/>
    <w:uiPriority w:val="34"/>
    <w:qFormat/>
    <w:rsid w:val="003B78DB"/>
    <w:pPr>
      <w:ind w:left="708"/>
    </w:pPr>
    <w:rPr>
      <w:rFonts w:cs="Times New Roman"/>
      <w:lang w:val="x-none"/>
    </w:rPr>
  </w:style>
  <w:style w:type="character" w:customStyle="1" w:styleId="FootnoteTextChar">
    <w:name w:val="Footnote Text Char"/>
    <w:semiHidden/>
    <w:locked/>
    <w:rsid w:val="004C4091"/>
    <w:rPr>
      <w:rFonts w:cs="Times New Roman"/>
      <w:sz w:val="20"/>
      <w:szCs w:val="20"/>
    </w:rPr>
  </w:style>
  <w:style w:type="character" w:customStyle="1" w:styleId="SubtitleChar">
    <w:name w:val="Subtitle Char"/>
    <w:locked/>
    <w:rsid w:val="004C4091"/>
    <w:rPr>
      <w:rFonts w:ascii="Cambria" w:hAnsi="Cambria" w:cs="Times New Roman"/>
      <w:i/>
      <w:iCs/>
      <w:color w:val="4F81BD"/>
      <w:spacing w:val="15"/>
      <w:sz w:val="24"/>
      <w:szCs w:val="24"/>
    </w:rPr>
  </w:style>
  <w:style w:type="paragraph" w:customStyle="1" w:styleId="Textpoznmkypodiarou1">
    <w:name w:val="Text poznámky pod čiarou1"/>
    <w:basedOn w:val="Normlny"/>
    <w:next w:val="Textpoznmkypodiarou"/>
    <w:link w:val="TextpoznmkypodiarouChar"/>
    <w:uiPriority w:val="99"/>
    <w:semiHidden/>
    <w:rsid w:val="00BB1CED"/>
    <w:pPr>
      <w:spacing w:after="0" w:line="240" w:lineRule="auto"/>
      <w:jc w:val="left"/>
    </w:pPr>
    <w:rPr>
      <w:rFonts w:cs="Times New Roman"/>
    </w:rPr>
  </w:style>
  <w:style w:type="character" w:customStyle="1" w:styleId="TextpoznmkypodiarouChar">
    <w:name w:val="Text poznámky pod čiarou Char"/>
    <w:link w:val="Textpoznmkypodiarou1"/>
    <w:uiPriority w:val="99"/>
    <w:semiHidden/>
    <w:locked/>
    <w:rsid w:val="00BB1CED"/>
    <w:rPr>
      <w:rFonts w:ascii="Calibri" w:hAnsi="Calibri"/>
      <w:lang w:val="sk-SK" w:eastAsia="en-US" w:bidi="ar-SA"/>
    </w:rPr>
  </w:style>
  <w:style w:type="character" w:customStyle="1" w:styleId="Hypertextovprepojenie1">
    <w:name w:val="Hypertextové prepojenie1"/>
    <w:rsid w:val="00BB1CED"/>
    <w:rPr>
      <w:rFonts w:cs="Times New Roman"/>
      <w:color w:val="0000FF"/>
      <w:u w:val="single"/>
    </w:rPr>
  </w:style>
  <w:style w:type="paragraph" w:customStyle="1" w:styleId="Style6">
    <w:name w:val="Style6"/>
    <w:basedOn w:val="Normlny"/>
    <w:rsid w:val="000F6BF8"/>
    <w:pPr>
      <w:widowControl w:val="0"/>
      <w:autoSpaceDE w:val="0"/>
      <w:autoSpaceDN w:val="0"/>
      <w:adjustRightInd w:val="0"/>
      <w:spacing w:after="0" w:line="240" w:lineRule="auto"/>
      <w:jc w:val="left"/>
    </w:pPr>
    <w:rPr>
      <w:rFonts w:cs="Times New Roman"/>
      <w:sz w:val="24"/>
      <w:szCs w:val="24"/>
      <w:lang w:eastAsia="sk-SK"/>
    </w:rPr>
  </w:style>
  <w:style w:type="paragraph" w:customStyle="1" w:styleId="Style10">
    <w:name w:val="Style10"/>
    <w:basedOn w:val="Normlny"/>
    <w:rsid w:val="000F6BF8"/>
    <w:pPr>
      <w:widowControl w:val="0"/>
      <w:autoSpaceDE w:val="0"/>
      <w:autoSpaceDN w:val="0"/>
      <w:adjustRightInd w:val="0"/>
      <w:spacing w:after="0" w:line="245" w:lineRule="exact"/>
      <w:jc w:val="left"/>
    </w:pPr>
    <w:rPr>
      <w:rFonts w:cs="Times New Roman"/>
      <w:sz w:val="24"/>
      <w:szCs w:val="24"/>
      <w:lang w:eastAsia="sk-SK"/>
    </w:rPr>
  </w:style>
  <w:style w:type="paragraph" w:customStyle="1" w:styleId="Style18">
    <w:name w:val="Style18"/>
    <w:basedOn w:val="Normlny"/>
    <w:rsid w:val="000F6BF8"/>
    <w:pPr>
      <w:widowControl w:val="0"/>
      <w:autoSpaceDE w:val="0"/>
      <w:autoSpaceDN w:val="0"/>
      <w:adjustRightInd w:val="0"/>
      <w:spacing w:after="0" w:line="365" w:lineRule="exact"/>
      <w:jc w:val="left"/>
    </w:pPr>
    <w:rPr>
      <w:rFonts w:cs="Times New Roman"/>
      <w:sz w:val="24"/>
      <w:szCs w:val="24"/>
      <w:lang w:eastAsia="sk-SK"/>
    </w:rPr>
  </w:style>
  <w:style w:type="paragraph" w:customStyle="1" w:styleId="Style47">
    <w:name w:val="Style47"/>
    <w:basedOn w:val="Normlny"/>
    <w:rsid w:val="000F6BF8"/>
    <w:pPr>
      <w:widowControl w:val="0"/>
      <w:autoSpaceDE w:val="0"/>
      <w:autoSpaceDN w:val="0"/>
      <w:adjustRightInd w:val="0"/>
      <w:spacing w:after="0" w:line="245" w:lineRule="exact"/>
      <w:jc w:val="left"/>
    </w:pPr>
    <w:rPr>
      <w:rFonts w:cs="Times New Roman"/>
      <w:sz w:val="24"/>
      <w:szCs w:val="24"/>
      <w:lang w:eastAsia="sk-SK"/>
    </w:rPr>
  </w:style>
  <w:style w:type="character" w:customStyle="1" w:styleId="FontStyle57">
    <w:name w:val="Font Style57"/>
    <w:rsid w:val="000F6BF8"/>
    <w:rPr>
      <w:rFonts w:ascii="Calibri" w:hAnsi="Calibri" w:cs="Calibri"/>
      <w:b/>
      <w:bCs/>
      <w:sz w:val="18"/>
      <w:szCs w:val="18"/>
    </w:rPr>
  </w:style>
  <w:style w:type="character" w:customStyle="1" w:styleId="FontStyle59">
    <w:name w:val="Font Style59"/>
    <w:rsid w:val="000F6BF8"/>
    <w:rPr>
      <w:rFonts w:ascii="Calibri" w:hAnsi="Calibri" w:cs="Calibri"/>
      <w:sz w:val="18"/>
      <w:szCs w:val="18"/>
    </w:rPr>
  </w:style>
  <w:style w:type="character" w:customStyle="1" w:styleId="CommentTextChar">
    <w:name w:val="Comment Text Char"/>
    <w:semiHidden/>
    <w:locked/>
    <w:rsid w:val="00254C28"/>
  </w:style>
  <w:style w:type="character" w:customStyle="1" w:styleId="st">
    <w:name w:val="st"/>
    <w:rsid w:val="00B26D60"/>
  </w:style>
  <w:style w:type="paragraph" w:customStyle="1" w:styleId="listparagraph">
    <w:name w:val="listparagraph"/>
    <w:basedOn w:val="Normlny"/>
    <w:rsid w:val="00600953"/>
    <w:pPr>
      <w:spacing w:before="100" w:beforeAutospacing="1" w:after="100" w:afterAutospacing="1" w:line="240" w:lineRule="auto"/>
      <w:jc w:val="left"/>
    </w:pPr>
    <w:rPr>
      <w:rFonts w:ascii="Times New Roman" w:eastAsia="Calibri" w:hAnsi="Times New Roman" w:cs="Times New Roman"/>
      <w:sz w:val="24"/>
      <w:szCs w:val="24"/>
      <w:lang w:val="en-US"/>
    </w:rPr>
  </w:style>
  <w:style w:type="character" w:customStyle="1" w:styleId="OdsekzoznamuChar">
    <w:name w:val="Odsek zoznamu Char"/>
    <w:link w:val="Odsekzoznamu"/>
    <w:uiPriority w:val="34"/>
    <w:locked/>
    <w:rsid w:val="00382D9C"/>
    <w:rPr>
      <w:rFonts w:cs="Calibri"/>
      <w:lang w:eastAsia="en-US"/>
    </w:rPr>
  </w:style>
  <w:style w:type="paragraph" w:styleId="Hlavikaobsahu">
    <w:name w:val="TOC Heading"/>
    <w:basedOn w:val="Nadpis1"/>
    <w:next w:val="Normlny"/>
    <w:uiPriority w:val="39"/>
    <w:qFormat/>
    <w:rsid w:val="00493CF5"/>
    <w:pPr>
      <w:keepNext/>
      <w:keepLines/>
      <w:numPr>
        <w:numId w:val="0"/>
      </w:numPr>
      <w:spacing w:before="480" w:after="0"/>
      <w:outlineLvl w:val="9"/>
    </w:pPr>
    <w:rPr>
      <w:rFonts w:ascii="Cambria" w:hAnsi="Cambria"/>
      <w:b/>
      <w:bCs/>
      <w:smallCaps w:val="0"/>
      <w:color w:val="365F91"/>
      <w:spacing w:val="0"/>
      <w:sz w:val="28"/>
      <w:szCs w:val="28"/>
      <w:lang w:eastAsia="en-US"/>
    </w:rPr>
  </w:style>
  <w:style w:type="paragraph" w:styleId="Obsah4">
    <w:name w:val="toc 4"/>
    <w:basedOn w:val="Normlny"/>
    <w:next w:val="Normlny"/>
    <w:autoRedefine/>
    <w:rsid w:val="00493CF5"/>
    <w:pPr>
      <w:spacing w:after="0"/>
      <w:ind w:left="400"/>
      <w:jc w:val="left"/>
    </w:pPr>
  </w:style>
  <w:style w:type="paragraph" w:styleId="Obsah5">
    <w:name w:val="toc 5"/>
    <w:basedOn w:val="Normlny"/>
    <w:next w:val="Normlny"/>
    <w:autoRedefine/>
    <w:rsid w:val="00493CF5"/>
    <w:pPr>
      <w:spacing w:after="0"/>
      <w:ind w:left="600"/>
      <w:jc w:val="left"/>
    </w:pPr>
  </w:style>
  <w:style w:type="paragraph" w:styleId="Obsah6">
    <w:name w:val="toc 6"/>
    <w:basedOn w:val="Normlny"/>
    <w:next w:val="Normlny"/>
    <w:autoRedefine/>
    <w:rsid w:val="00493CF5"/>
    <w:pPr>
      <w:spacing w:after="0"/>
      <w:ind w:left="800"/>
      <w:jc w:val="left"/>
    </w:pPr>
  </w:style>
  <w:style w:type="paragraph" w:styleId="Obsah7">
    <w:name w:val="toc 7"/>
    <w:basedOn w:val="Normlny"/>
    <w:next w:val="Normlny"/>
    <w:autoRedefine/>
    <w:rsid w:val="00493CF5"/>
    <w:pPr>
      <w:spacing w:after="0"/>
      <w:ind w:left="1000"/>
      <w:jc w:val="left"/>
    </w:pPr>
  </w:style>
  <w:style w:type="paragraph" w:styleId="Obsah8">
    <w:name w:val="toc 8"/>
    <w:basedOn w:val="Normlny"/>
    <w:next w:val="Normlny"/>
    <w:autoRedefine/>
    <w:rsid w:val="00493CF5"/>
    <w:pPr>
      <w:spacing w:after="0"/>
      <w:ind w:left="1200"/>
      <w:jc w:val="left"/>
    </w:pPr>
  </w:style>
  <w:style w:type="paragraph" w:styleId="Obsah9">
    <w:name w:val="toc 9"/>
    <w:basedOn w:val="Normlny"/>
    <w:next w:val="Normlny"/>
    <w:autoRedefine/>
    <w:rsid w:val="00493CF5"/>
    <w:pPr>
      <w:spacing w:after="0"/>
      <w:ind w:left="140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49408F"/>
    <w:pPr>
      <w:spacing w:after="200" w:line="276" w:lineRule="auto"/>
      <w:jc w:val="both"/>
    </w:pPr>
    <w:rPr>
      <w:rFonts w:cs="Calibri"/>
      <w:lang w:eastAsia="en-US"/>
    </w:rPr>
  </w:style>
  <w:style w:type="paragraph" w:styleId="Nadpis1">
    <w:name w:val="heading 1"/>
    <w:basedOn w:val="Normlny"/>
    <w:next w:val="Normlny"/>
    <w:link w:val="Nadpis1Char"/>
    <w:qFormat/>
    <w:rsid w:val="0049408F"/>
    <w:pPr>
      <w:numPr>
        <w:numId w:val="13"/>
      </w:numPr>
      <w:spacing w:before="300" w:after="40"/>
      <w:jc w:val="left"/>
      <w:outlineLvl w:val="0"/>
    </w:pPr>
    <w:rPr>
      <w:rFonts w:cs="Times New Roman"/>
      <w:smallCaps/>
      <w:spacing w:val="5"/>
      <w:sz w:val="32"/>
      <w:szCs w:val="32"/>
      <w:lang w:val="x-none" w:eastAsia="x-none"/>
    </w:rPr>
  </w:style>
  <w:style w:type="paragraph" w:styleId="Nadpis2">
    <w:name w:val="heading 2"/>
    <w:basedOn w:val="Normlny"/>
    <w:next w:val="Normlny"/>
    <w:link w:val="Nadpis2Char"/>
    <w:qFormat/>
    <w:rsid w:val="0049408F"/>
    <w:pPr>
      <w:numPr>
        <w:ilvl w:val="1"/>
        <w:numId w:val="13"/>
      </w:numPr>
      <w:spacing w:before="240" w:after="80"/>
      <w:jc w:val="left"/>
      <w:outlineLvl w:val="1"/>
    </w:pPr>
    <w:rPr>
      <w:rFonts w:cs="Times New Roman"/>
      <w:smallCaps/>
      <w:spacing w:val="5"/>
      <w:sz w:val="28"/>
      <w:szCs w:val="28"/>
      <w:lang w:val="x-none" w:eastAsia="x-none"/>
    </w:rPr>
  </w:style>
  <w:style w:type="paragraph" w:styleId="Nadpis3">
    <w:name w:val="heading 3"/>
    <w:basedOn w:val="Nadpis2"/>
    <w:next w:val="Normlny"/>
    <w:link w:val="Nadpis3Char"/>
    <w:qFormat/>
    <w:rsid w:val="0049408F"/>
    <w:pPr>
      <w:numPr>
        <w:ilvl w:val="2"/>
      </w:numPr>
      <w:spacing w:after="0"/>
      <w:outlineLvl w:val="2"/>
    </w:pPr>
    <w:rPr>
      <w:smallCaps w:val="0"/>
      <w:sz w:val="24"/>
      <w:szCs w:val="24"/>
    </w:rPr>
  </w:style>
  <w:style w:type="paragraph" w:styleId="Nadpis4">
    <w:name w:val="heading 4"/>
    <w:basedOn w:val="Normlny"/>
    <w:next w:val="Normlny"/>
    <w:link w:val="Nadpis4Char"/>
    <w:qFormat/>
    <w:rsid w:val="0049408F"/>
    <w:pPr>
      <w:numPr>
        <w:ilvl w:val="3"/>
        <w:numId w:val="13"/>
      </w:numPr>
      <w:spacing w:before="240" w:after="0"/>
      <w:jc w:val="left"/>
      <w:outlineLvl w:val="3"/>
    </w:pPr>
    <w:rPr>
      <w:rFonts w:cs="Times New Roman"/>
      <w:smallCaps/>
      <w:spacing w:val="10"/>
      <w:sz w:val="22"/>
      <w:szCs w:val="22"/>
      <w:lang w:val="x-none" w:eastAsia="x-none"/>
    </w:rPr>
  </w:style>
  <w:style w:type="paragraph" w:styleId="Nadpis5">
    <w:name w:val="heading 5"/>
    <w:basedOn w:val="Normlny"/>
    <w:next w:val="Normlny"/>
    <w:link w:val="Nadpis5Char"/>
    <w:qFormat/>
    <w:rsid w:val="0049408F"/>
    <w:pPr>
      <w:numPr>
        <w:ilvl w:val="4"/>
        <w:numId w:val="13"/>
      </w:numPr>
      <w:spacing w:before="200" w:after="0"/>
      <w:jc w:val="left"/>
      <w:outlineLvl w:val="4"/>
    </w:pPr>
    <w:rPr>
      <w:rFonts w:cs="Times New Roman"/>
      <w:smallCaps/>
      <w:color w:val="943634"/>
      <w:spacing w:val="10"/>
      <w:sz w:val="26"/>
      <w:szCs w:val="26"/>
      <w:lang w:val="x-none" w:eastAsia="x-none"/>
    </w:rPr>
  </w:style>
  <w:style w:type="paragraph" w:styleId="Nadpis6">
    <w:name w:val="heading 6"/>
    <w:basedOn w:val="Normlny"/>
    <w:next w:val="Normlny"/>
    <w:link w:val="Nadpis6Char"/>
    <w:qFormat/>
    <w:rsid w:val="0049408F"/>
    <w:pPr>
      <w:numPr>
        <w:ilvl w:val="5"/>
        <w:numId w:val="13"/>
      </w:numPr>
      <w:spacing w:after="0"/>
      <w:jc w:val="left"/>
      <w:outlineLvl w:val="5"/>
    </w:pPr>
    <w:rPr>
      <w:rFonts w:cs="Times New Roman"/>
      <w:smallCaps/>
      <w:color w:val="C0504D"/>
      <w:spacing w:val="5"/>
      <w:sz w:val="22"/>
      <w:szCs w:val="22"/>
      <w:lang w:val="x-none" w:eastAsia="x-none"/>
    </w:rPr>
  </w:style>
  <w:style w:type="paragraph" w:styleId="Nadpis7">
    <w:name w:val="heading 7"/>
    <w:basedOn w:val="Normlny"/>
    <w:next w:val="Normlny"/>
    <w:link w:val="Nadpis7Char"/>
    <w:qFormat/>
    <w:rsid w:val="0049408F"/>
    <w:pPr>
      <w:numPr>
        <w:ilvl w:val="6"/>
        <w:numId w:val="13"/>
      </w:numPr>
      <w:spacing w:after="0"/>
      <w:jc w:val="left"/>
      <w:outlineLvl w:val="6"/>
    </w:pPr>
    <w:rPr>
      <w:rFonts w:cs="Times New Roman"/>
      <w:b/>
      <w:bCs/>
      <w:smallCaps/>
      <w:color w:val="C0504D"/>
      <w:spacing w:val="10"/>
      <w:lang w:val="x-none" w:eastAsia="x-none"/>
    </w:rPr>
  </w:style>
  <w:style w:type="paragraph" w:styleId="Nadpis8">
    <w:name w:val="heading 8"/>
    <w:basedOn w:val="Normlny"/>
    <w:next w:val="Normlny"/>
    <w:link w:val="Nadpis8Char"/>
    <w:qFormat/>
    <w:rsid w:val="0049408F"/>
    <w:pPr>
      <w:numPr>
        <w:ilvl w:val="7"/>
        <w:numId w:val="13"/>
      </w:numPr>
      <w:spacing w:after="0"/>
      <w:jc w:val="left"/>
      <w:outlineLvl w:val="7"/>
    </w:pPr>
    <w:rPr>
      <w:rFonts w:cs="Times New Roman"/>
      <w:b/>
      <w:bCs/>
      <w:i/>
      <w:iCs/>
      <w:smallCaps/>
      <w:color w:val="943634"/>
      <w:lang w:val="x-none" w:eastAsia="x-none"/>
    </w:rPr>
  </w:style>
  <w:style w:type="paragraph" w:styleId="Nadpis9">
    <w:name w:val="heading 9"/>
    <w:basedOn w:val="Normlny"/>
    <w:next w:val="Normlny"/>
    <w:link w:val="Nadpis9Char"/>
    <w:qFormat/>
    <w:rsid w:val="0049408F"/>
    <w:pPr>
      <w:numPr>
        <w:ilvl w:val="8"/>
        <w:numId w:val="13"/>
      </w:numPr>
      <w:spacing w:after="0"/>
      <w:jc w:val="left"/>
      <w:outlineLvl w:val="8"/>
    </w:pPr>
    <w:rPr>
      <w:rFonts w:cs="Times New Roman"/>
      <w:b/>
      <w:bCs/>
      <w:i/>
      <w:iCs/>
      <w:smallCaps/>
      <w:color w:val="622423"/>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408F"/>
    <w:rPr>
      <w:smallCaps/>
      <w:spacing w:val="5"/>
      <w:sz w:val="32"/>
      <w:szCs w:val="32"/>
      <w:lang w:val="x-none" w:eastAsia="x-none"/>
    </w:rPr>
  </w:style>
  <w:style w:type="character" w:customStyle="1" w:styleId="Nadpis2Char">
    <w:name w:val="Nadpis 2 Char"/>
    <w:link w:val="Nadpis2"/>
    <w:locked/>
    <w:rsid w:val="0049408F"/>
    <w:rPr>
      <w:smallCaps/>
      <w:spacing w:val="5"/>
      <w:sz w:val="28"/>
      <w:szCs w:val="28"/>
      <w:lang w:val="x-none" w:eastAsia="x-none"/>
    </w:rPr>
  </w:style>
  <w:style w:type="character" w:customStyle="1" w:styleId="Nadpis3Char">
    <w:name w:val="Nadpis 3 Char"/>
    <w:link w:val="Nadpis3"/>
    <w:locked/>
    <w:rsid w:val="00A46244"/>
    <w:rPr>
      <w:spacing w:val="5"/>
      <w:sz w:val="24"/>
      <w:szCs w:val="24"/>
      <w:lang w:val="x-none" w:eastAsia="x-none"/>
    </w:rPr>
  </w:style>
  <w:style w:type="character" w:customStyle="1" w:styleId="Nadpis4Char">
    <w:name w:val="Nadpis 4 Char"/>
    <w:link w:val="Nadpis4"/>
    <w:locked/>
    <w:rsid w:val="0049408F"/>
    <w:rPr>
      <w:smallCaps/>
      <w:spacing w:val="10"/>
      <w:sz w:val="22"/>
      <w:szCs w:val="22"/>
      <w:lang w:val="x-none" w:eastAsia="x-none"/>
    </w:rPr>
  </w:style>
  <w:style w:type="character" w:customStyle="1" w:styleId="Nadpis5Char">
    <w:name w:val="Nadpis 5 Char"/>
    <w:link w:val="Nadpis5"/>
    <w:locked/>
    <w:rsid w:val="0049408F"/>
    <w:rPr>
      <w:smallCaps/>
      <w:color w:val="943634"/>
      <w:spacing w:val="10"/>
      <w:sz w:val="26"/>
      <w:szCs w:val="26"/>
      <w:lang w:val="x-none" w:eastAsia="x-none"/>
    </w:rPr>
  </w:style>
  <w:style w:type="character" w:customStyle="1" w:styleId="Nadpis6Char">
    <w:name w:val="Nadpis 6 Char"/>
    <w:link w:val="Nadpis6"/>
    <w:locked/>
    <w:rsid w:val="0049408F"/>
    <w:rPr>
      <w:smallCaps/>
      <w:color w:val="C0504D"/>
      <w:spacing w:val="5"/>
      <w:sz w:val="22"/>
      <w:szCs w:val="22"/>
      <w:lang w:val="x-none" w:eastAsia="x-none"/>
    </w:rPr>
  </w:style>
  <w:style w:type="character" w:customStyle="1" w:styleId="Nadpis7Char">
    <w:name w:val="Nadpis 7 Char"/>
    <w:link w:val="Nadpis7"/>
    <w:locked/>
    <w:rsid w:val="0049408F"/>
    <w:rPr>
      <w:b/>
      <w:bCs/>
      <w:smallCaps/>
      <w:color w:val="C0504D"/>
      <w:spacing w:val="10"/>
      <w:lang w:val="x-none" w:eastAsia="x-none"/>
    </w:rPr>
  </w:style>
  <w:style w:type="character" w:customStyle="1" w:styleId="Nadpis8Char">
    <w:name w:val="Nadpis 8 Char"/>
    <w:link w:val="Nadpis8"/>
    <w:locked/>
    <w:rsid w:val="0049408F"/>
    <w:rPr>
      <w:b/>
      <w:bCs/>
      <w:i/>
      <w:iCs/>
      <w:smallCaps/>
      <w:color w:val="943634"/>
      <w:lang w:val="x-none" w:eastAsia="x-none"/>
    </w:rPr>
  </w:style>
  <w:style w:type="character" w:customStyle="1" w:styleId="Nadpis9Char">
    <w:name w:val="Nadpis 9 Char"/>
    <w:link w:val="Nadpis9"/>
    <w:locked/>
    <w:rsid w:val="0049408F"/>
    <w:rPr>
      <w:b/>
      <w:bCs/>
      <w:i/>
      <w:iCs/>
      <w:smallCaps/>
      <w:color w:val="622423"/>
      <w:lang w:val="x-none" w:eastAsia="x-none"/>
    </w:rPr>
  </w:style>
  <w:style w:type="paragraph" w:styleId="Textbubliny">
    <w:name w:val="Balloon Text"/>
    <w:basedOn w:val="Normlny"/>
    <w:link w:val="TextbublinyChar"/>
    <w:semiHidden/>
    <w:rsid w:val="009D559E"/>
    <w:pPr>
      <w:spacing w:after="0" w:line="240" w:lineRule="auto"/>
    </w:pPr>
    <w:rPr>
      <w:rFonts w:ascii="Tahoma" w:hAnsi="Tahoma" w:cs="Times New Roman"/>
      <w:sz w:val="16"/>
      <w:szCs w:val="16"/>
      <w:lang w:val="x-none" w:eastAsia="x-none"/>
    </w:rPr>
  </w:style>
  <w:style w:type="character" w:customStyle="1" w:styleId="TextbublinyChar">
    <w:name w:val="Text bubliny Char"/>
    <w:link w:val="Textbubliny"/>
    <w:semiHidden/>
    <w:locked/>
    <w:rsid w:val="009D559E"/>
    <w:rPr>
      <w:rFonts w:ascii="Tahoma" w:hAnsi="Tahoma" w:cs="Tahoma"/>
      <w:sz w:val="16"/>
      <w:szCs w:val="16"/>
    </w:rPr>
  </w:style>
  <w:style w:type="paragraph" w:customStyle="1" w:styleId="Odsekzoznamu1">
    <w:name w:val="Odsek zoznamu1"/>
    <w:basedOn w:val="Normlny"/>
    <w:link w:val="ListParagraphChar"/>
    <w:rsid w:val="0049408F"/>
    <w:pPr>
      <w:ind w:left="720"/>
    </w:pPr>
    <w:rPr>
      <w:lang w:eastAsia="sk-SK"/>
    </w:rPr>
  </w:style>
  <w:style w:type="paragraph" w:styleId="Nzov">
    <w:name w:val="Title"/>
    <w:basedOn w:val="Normlny"/>
    <w:next w:val="Normlny"/>
    <w:link w:val="NzovChar"/>
    <w:qFormat/>
    <w:rsid w:val="0049408F"/>
    <w:pPr>
      <w:pBdr>
        <w:top w:val="single" w:sz="12" w:space="1" w:color="C0504D"/>
      </w:pBdr>
      <w:spacing w:line="240" w:lineRule="auto"/>
      <w:jc w:val="right"/>
    </w:pPr>
    <w:rPr>
      <w:rFonts w:cs="Times New Roman"/>
      <w:smallCaps/>
      <w:sz w:val="48"/>
      <w:szCs w:val="48"/>
      <w:lang w:val="x-none" w:eastAsia="x-none"/>
    </w:rPr>
  </w:style>
  <w:style w:type="character" w:customStyle="1" w:styleId="NzovChar">
    <w:name w:val="Názov Char"/>
    <w:link w:val="Nzov"/>
    <w:locked/>
    <w:rsid w:val="0049408F"/>
    <w:rPr>
      <w:rFonts w:cs="Times New Roman"/>
      <w:smallCaps/>
      <w:sz w:val="48"/>
      <w:szCs w:val="48"/>
    </w:rPr>
  </w:style>
  <w:style w:type="paragraph" w:styleId="Podtitul">
    <w:name w:val="Subtitle"/>
    <w:basedOn w:val="Normlny"/>
    <w:next w:val="Normlny"/>
    <w:link w:val="PodtitulChar"/>
    <w:qFormat/>
    <w:rsid w:val="0049408F"/>
    <w:pPr>
      <w:spacing w:after="720" w:line="240" w:lineRule="auto"/>
      <w:jc w:val="right"/>
    </w:pPr>
    <w:rPr>
      <w:rFonts w:ascii="Cambria" w:hAnsi="Cambria" w:cs="Times New Roman"/>
      <w:sz w:val="22"/>
      <w:szCs w:val="22"/>
      <w:lang w:val="x-none" w:eastAsia="x-none"/>
    </w:rPr>
  </w:style>
  <w:style w:type="character" w:customStyle="1" w:styleId="PodtitulChar">
    <w:name w:val="Podtitul Char"/>
    <w:link w:val="Podtitul"/>
    <w:locked/>
    <w:rsid w:val="0049408F"/>
    <w:rPr>
      <w:rFonts w:ascii="Cambria" w:hAnsi="Cambria" w:cs="Cambria"/>
      <w:sz w:val="22"/>
      <w:szCs w:val="22"/>
    </w:rPr>
  </w:style>
  <w:style w:type="character" w:styleId="Siln">
    <w:name w:val="Strong"/>
    <w:qFormat/>
    <w:rsid w:val="0049408F"/>
    <w:rPr>
      <w:rFonts w:cs="Times New Roman"/>
      <w:b/>
      <w:bCs/>
      <w:color w:val="C0504D"/>
    </w:rPr>
  </w:style>
  <w:style w:type="character" w:styleId="Zvraznenie">
    <w:name w:val="Emphasis"/>
    <w:qFormat/>
    <w:rsid w:val="0049408F"/>
    <w:rPr>
      <w:rFonts w:cs="Times New Roman"/>
      <w:b/>
      <w:bCs/>
      <w:i/>
      <w:iCs/>
      <w:spacing w:val="10"/>
    </w:rPr>
  </w:style>
  <w:style w:type="paragraph" w:customStyle="1" w:styleId="Bezriadkovania1">
    <w:name w:val="Bez riadkovania1"/>
    <w:basedOn w:val="Normlny"/>
    <w:link w:val="NoSpacingChar"/>
    <w:rsid w:val="0049408F"/>
    <w:pPr>
      <w:spacing w:after="0" w:line="240" w:lineRule="auto"/>
    </w:pPr>
    <w:rPr>
      <w:lang w:eastAsia="sk-SK"/>
    </w:rPr>
  </w:style>
  <w:style w:type="paragraph" w:customStyle="1" w:styleId="Citcia1">
    <w:name w:val="Citácia1"/>
    <w:basedOn w:val="Normlny"/>
    <w:next w:val="Normlny"/>
    <w:link w:val="QuoteChar"/>
    <w:rsid w:val="0049408F"/>
    <w:rPr>
      <w:rFonts w:cs="Times New Roman"/>
      <w:i/>
      <w:iCs/>
      <w:lang w:val="x-none" w:eastAsia="x-none"/>
    </w:rPr>
  </w:style>
  <w:style w:type="character" w:customStyle="1" w:styleId="QuoteChar">
    <w:name w:val="Quote Char"/>
    <w:link w:val="Citcia1"/>
    <w:locked/>
    <w:rsid w:val="0049408F"/>
    <w:rPr>
      <w:rFonts w:cs="Times New Roman"/>
      <w:i/>
      <w:iCs/>
    </w:rPr>
  </w:style>
  <w:style w:type="paragraph" w:customStyle="1" w:styleId="Zvraznencitcia1">
    <w:name w:val="Zvýraznená citácia1"/>
    <w:basedOn w:val="Normlny"/>
    <w:next w:val="Normlny"/>
    <w:link w:val="IntenseQuoteChar"/>
    <w:rsid w:val="0049408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cs="Times New Roman"/>
      <w:b/>
      <w:bCs/>
      <w:i/>
      <w:iCs/>
      <w:color w:val="FFFFFF"/>
      <w:lang w:val="x-none" w:eastAsia="x-none"/>
    </w:rPr>
  </w:style>
  <w:style w:type="character" w:customStyle="1" w:styleId="IntenseQuoteChar">
    <w:name w:val="Intense Quote Char"/>
    <w:link w:val="Zvraznencitcia1"/>
    <w:locked/>
    <w:rsid w:val="0049408F"/>
    <w:rPr>
      <w:rFonts w:cs="Times New Roman"/>
      <w:b/>
      <w:bCs/>
      <w:i/>
      <w:iCs/>
      <w:color w:val="FFFFFF"/>
      <w:shd w:val="clear" w:color="auto" w:fill="C0504D"/>
    </w:rPr>
  </w:style>
  <w:style w:type="character" w:customStyle="1" w:styleId="Jemnzvraznenie1">
    <w:name w:val="Jemné zvýraznenie1"/>
    <w:rsid w:val="0049408F"/>
    <w:rPr>
      <w:rFonts w:cs="Times New Roman"/>
      <w:i/>
      <w:iCs/>
    </w:rPr>
  </w:style>
  <w:style w:type="character" w:customStyle="1" w:styleId="Intenzvnezvraznenie1">
    <w:name w:val="Intenzívne zvýraznenie1"/>
    <w:rsid w:val="0049408F"/>
    <w:rPr>
      <w:rFonts w:cs="Times New Roman"/>
      <w:b/>
      <w:bCs/>
      <w:i/>
      <w:iCs/>
      <w:color w:val="C0504D"/>
      <w:spacing w:val="10"/>
    </w:rPr>
  </w:style>
  <w:style w:type="character" w:customStyle="1" w:styleId="Jemnodkaz1">
    <w:name w:val="Jemný odkaz1"/>
    <w:rsid w:val="0049408F"/>
    <w:rPr>
      <w:rFonts w:cs="Times New Roman"/>
      <w:b/>
      <w:bCs/>
    </w:rPr>
  </w:style>
  <w:style w:type="character" w:customStyle="1" w:styleId="Intenzvnyodkaz1">
    <w:name w:val="Intenzívny odkaz1"/>
    <w:rsid w:val="0049408F"/>
    <w:rPr>
      <w:rFonts w:cs="Times New Roman"/>
      <w:b/>
      <w:bCs/>
      <w:smallCaps/>
      <w:spacing w:val="5"/>
      <w:sz w:val="22"/>
      <w:szCs w:val="22"/>
      <w:u w:val="single"/>
    </w:rPr>
  </w:style>
  <w:style w:type="character" w:customStyle="1" w:styleId="Nzovknihy1">
    <w:name w:val="Názov knihy1"/>
    <w:rsid w:val="0049408F"/>
    <w:rPr>
      <w:rFonts w:ascii="Cambria" w:hAnsi="Cambria" w:cs="Cambria"/>
      <w:i/>
      <w:iCs/>
      <w:sz w:val="20"/>
      <w:szCs w:val="20"/>
    </w:rPr>
  </w:style>
  <w:style w:type="paragraph" w:customStyle="1" w:styleId="Hlavikaobsahu1">
    <w:name w:val="Hlavička obsahu1"/>
    <w:basedOn w:val="Nadpis1"/>
    <w:next w:val="Normlny"/>
    <w:rsid w:val="0049408F"/>
    <w:pPr>
      <w:outlineLvl w:val="9"/>
    </w:pPr>
  </w:style>
  <w:style w:type="paragraph" w:styleId="Hlavika">
    <w:name w:val="header"/>
    <w:basedOn w:val="Normlny"/>
    <w:link w:val="HlavikaChar"/>
    <w:uiPriority w:val="99"/>
    <w:rsid w:val="002437B9"/>
    <w:pPr>
      <w:tabs>
        <w:tab w:val="center" w:pos="4536"/>
        <w:tab w:val="right" w:pos="9072"/>
      </w:tabs>
      <w:spacing w:after="0" w:line="240" w:lineRule="auto"/>
    </w:pPr>
    <w:rPr>
      <w:rFonts w:cs="Times New Roman"/>
      <w:lang w:val="x-none" w:eastAsia="x-none"/>
    </w:rPr>
  </w:style>
  <w:style w:type="character" w:customStyle="1" w:styleId="HlavikaChar">
    <w:name w:val="Hlavička Char"/>
    <w:link w:val="Hlavika"/>
    <w:uiPriority w:val="99"/>
    <w:locked/>
    <w:rsid w:val="002437B9"/>
    <w:rPr>
      <w:rFonts w:cs="Times New Roman"/>
    </w:rPr>
  </w:style>
  <w:style w:type="paragraph" w:styleId="Pta">
    <w:name w:val="footer"/>
    <w:basedOn w:val="Normlny"/>
    <w:link w:val="PtaChar"/>
    <w:rsid w:val="002437B9"/>
    <w:pPr>
      <w:tabs>
        <w:tab w:val="center" w:pos="4536"/>
        <w:tab w:val="right" w:pos="9072"/>
      </w:tabs>
      <w:spacing w:after="0" w:line="240" w:lineRule="auto"/>
    </w:pPr>
    <w:rPr>
      <w:rFonts w:cs="Times New Roman"/>
      <w:lang w:val="x-none" w:eastAsia="x-none"/>
    </w:rPr>
  </w:style>
  <w:style w:type="character" w:customStyle="1" w:styleId="PtaChar">
    <w:name w:val="Päta Char"/>
    <w:link w:val="Pta"/>
    <w:locked/>
    <w:rsid w:val="002437B9"/>
    <w:rPr>
      <w:rFonts w:cs="Times New Roman"/>
    </w:rPr>
  </w:style>
  <w:style w:type="paragraph" w:styleId="Popis">
    <w:name w:val="caption"/>
    <w:basedOn w:val="Normlny"/>
    <w:next w:val="Normlny"/>
    <w:uiPriority w:val="35"/>
    <w:qFormat/>
    <w:rsid w:val="0049408F"/>
    <w:rPr>
      <w:b/>
      <w:bCs/>
      <w:caps/>
      <w:sz w:val="16"/>
      <w:szCs w:val="16"/>
    </w:rPr>
  </w:style>
  <w:style w:type="character" w:customStyle="1" w:styleId="NoSpacingChar">
    <w:name w:val="No Spacing Char"/>
    <w:link w:val="Bezriadkovania1"/>
    <w:locked/>
    <w:rsid w:val="0049408F"/>
  </w:style>
  <w:style w:type="paragraph" w:styleId="Textpoznmkypodiarou">
    <w:name w:val="footnote text"/>
    <w:aliases w:val="Schriftart: 9 pt,Schriftart: 10 pt,Schriftart: 8 pt,Podrozdział,Footnote,o,Footnote text,NBP,fn,WB-Fußnot,Text poznámky pod čiarou 007,_Poznámka pod čiarou"/>
    <w:basedOn w:val="Normlny"/>
    <w:link w:val="TextpoznmkypodiarouChar1"/>
    <w:semiHidden/>
    <w:rsid w:val="00716CE0"/>
    <w:pPr>
      <w:spacing w:after="0" w:line="240" w:lineRule="auto"/>
      <w:jc w:val="left"/>
    </w:pPr>
    <w:rPr>
      <w:rFonts w:cs="Times New Roman"/>
      <w:lang w:val="en-US" w:eastAsia="x-none"/>
    </w:rPr>
  </w:style>
  <w:style w:type="character" w:customStyle="1" w:styleId="TextpoznmkypodiarouChar1">
    <w:name w:val="Text poznámky pod čiarou Char1"/>
    <w:aliases w:val="Schriftart: 9 pt Char,Schriftart: 10 pt Char,Schriftart: 8 pt Char,Podrozdział Char,Footnote Char,o Char,Footnote text Char,NBP Char,fn Char,WB-Fußnot Char,Text poznámky pod čiarou 007 Char,_Poznámka pod čiarou Char"/>
    <w:link w:val="Textpoznmkypodiarou"/>
    <w:locked/>
    <w:rsid w:val="00716CE0"/>
    <w:rPr>
      <w:rFonts w:ascii="Calibri" w:hAnsi="Calibri" w:cs="Calibri"/>
      <w:lang w:val="en-US" w:eastAsia="x-none"/>
    </w:rPr>
  </w:style>
  <w:style w:type="character" w:styleId="Odkaznapoznmkupodiarou">
    <w:name w:val="footnote reference"/>
    <w:aliases w:val="Footnote symbol,Footnote reference number,Times 10 Point,Exposant 3 Point,Ref,de nota al pie,note TESI,SUPERS,EN Footnote text,EN Footnote Refe"/>
    <w:uiPriority w:val="99"/>
    <w:semiHidden/>
    <w:rsid w:val="00716CE0"/>
    <w:rPr>
      <w:rFonts w:cs="Times New Roman"/>
      <w:vertAlign w:val="superscript"/>
    </w:rPr>
  </w:style>
  <w:style w:type="paragraph" w:styleId="Zarkazkladnhotextu">
    <w:name w:val="Body Text Indent"/>
    <w:basedOn w:val="Normlny"/>
    <w:link w:val="ZarkazkladnhotextuChar"/>
    <w:semiHidden/>
    <w:rsid w:val="00716CE0"/>
    <w:pPr>
      <w:spacing w:after="120"/>
      <w:ind w:left="283"/>
      <w:jc w:val="left"/>
    </w:pPr>
    <w:rPr>
      <w:rFonts w:cs="Times New Roman"/>
      <w:sz w:val="22"/>
      <w:szCs w:val="22"/>
      <w:lang w:val="en-US" w:eastAsia="x-none"/>
    </w:rPr>
  </w:style>
  <w:style w:type="character" w:customStyle="1" w:styleId="ZarkazkladnhotextuChar">
    <w:name w:val="Zarážka základného textu Char"/>
    <w:link w:val="Zarkazkladnhotextu"/>
    <w:semiHidden/>
    <w:locked/>
    <w:rsid w:val="00716CE0"/>
    <w:rPr>
      <w:rFonts w:ascii="Calibri" w:hAnsi="Calibri" w:cs="Calibri"/>
      <w:sz w:val="22"/>
      <w:szCs w:val="22"/>
      <w:lang w:val="en-US" w:eastAsia="x-none"/>
    </w:rPr>
  </w:style>
  <w:style w:type="paragraph" w:styleId="Obsah1">
    <w:name w:val="toc 1"/>
    <w:basedOn w:val="Normlny"/>
    <w:next w:val="Normlny"/>
    <w:autoRedefine/>
    <w:uiPriority w:val="39"/>
    <w:rsid w:val="002B655F"/>
    <w:pPr>
      <w:spacing w:before="360" w:after="0"/>
      <w:jc w:val="left"/>
    </w:pPr>
    <w:rPr>
      <w:rFonts w:ascii="Cambria" w:hAnsi="Cambria"/>
      <w:b/>
      <w:bCs/>
      <w:caps/>
      <w:sz w:val="24"/>
      <w:szCs w:val="24"/>
    </w:rPr>
  </w:style>
  <w:style w:type="paragraph" w:styleId="Obsah2">
    <w:name w:val="toc 2"/>
    <w:basedOn w:val="Normlny"/>
    <w:next w:val="Normlny"/>
    <w:autoRedefine/>
    <w:uiPriority w:val="39"/>
    <w:rsid w:val="009A1F40"/>
    <w:pPr>
      <w:spacing w:before="240" w:after="0"/>
      <w:jc w:val="left"/>
    </w:pPr>
    <w:rPr>
      <w:b/>
      <w:bCs/>
    </w:rPr>
  </w:style>
  <w:style w:type="character" w:styleId="Hypertextovprepojenie">
    <w:name w:val="Hyperlink"/>
    <w:uiPriority w:val="99"/>
    <w:rsid w:val="009A1F40"/>
    <w:rPr>
      <w:rFonts w:cs="Times New Roman"/>
      <w:color w:val="0000FF"/>
      <w:u w:val="single"/>
    </w:rPr>
  </w:style>
  <w:style w:type="character" w:customStyle="1" w:styleId="cell1">
    <w:name w:val="cell1"/>
    <w:rsid w:val="00831123"/>
  </w:style>
  <w:style w:type="paragraph" w:customStyle="1" w:styleId="Odsekzoznamu10">
    <w:name w:val="Odsek zoznamu1"/>
    <w:basedOn w:val="Normlny"/>
    <w:rsid w:val="00831123"/>
    <w:pPr>
      <w:ind w:left="720"/>
      <w:jc w:val="left"/>
    </w:pPr>
    <w:rPr>
      <w:sz w:val="22"/>
      <w:szCs w:val="22"/>
    </w:rPr>
  </w:style>
  <w:style w:type="paragraph" w:styleId="Obyajntext">
    <w:name w:val="Plain Text"/>
    <w:basedOn w:val="Normlny"/>
    <w:link w:val="ObyajntextChar"/>
    <w:semiHidden/>
    <w:rsid w:val="00831123"/>
    <w:pPr>
      <w:spacing w:after="0" w:line="240" w:lineRule="auto"/>
      <w:jc w:val="left"/>
    </w:pPr>
    <w:rPr>
      <w:rFonts w:cs="Times New Roman"/>
      <w:sz w:val="21"/>
      <w:szCs w:val="21"/>
      <w:lang w:val="x-none" w:eastAsia="x-none"/>
    </w:rPr>
  </w:style>
  <w:style w:type="character" w:customStyle="1" w:styleId="ObyajntextChar">
    <w:name w:val="Obyčajný text Char"/>
    <w:link w:val="Obyajntext"/>
    <w:semiHidden/>
    <w:locked/>
    <w:rsid w:val="00831123"/>
    <w:rPr>
      <w:rFonts w:ascii="Calibri" w:hAnsi="Calibri" w:cs="Calibri"/>
      <w:sz w:val="21"/>
      <w:szCs w:val="21"/>
    </w:rPr>
  </w:style>
  <w:style w:type="paragraph" w:customStyle="1" w:styleId="Default">
    <w:name w:val="Default"/>
    <w:rsid w:val="00B13940"/>
    <w:pPr>
      <w:autoSpaceDE w:val="0"/>
      <w:autoSpaceDN w:val="0"/>
      <w:adjustRightInd w:val="0"/>
    </w:pPr>
    <w:rPr>
      <w:color w:val="000000"/>
      <w:sz w:val="24"/>
      <w:szCs w:val="24"/>
      <w:lang w:eastAsia="en-US"/>
    </w:rPr>
  </w:style>
  <w:style w:type="table" w:styleId="Mriekatabuky">
    <w:name w:val="Table Grid"/>
    <w:basedOn w:val="Normlnatabuka"/>
    <w:uiPriority w:val="59"/>
    <w:rsid w:val="004E562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3">
    <w:name w:val="toc 3"/>
    <w:basedOn w:val="Normlny"/>
    <w:next w:val="Normlny"/>
    <w:autoRedefine/>
    <w:uiPriority w:val="39"/>
    <w:rsid w:val="00EB3510"/>
    <w:pPr>
      <w:spacing w:after="0"/>
      <w:ind w:left="200"/>
      <w:jc w:val="left"/>
    </w:pPr>
  </w:style>
  <w:style w:type="character" w:styleId="Odkaznakomentr">
    <w:name w:val="annotation reference"/>
    <w:semiHidden/>
    <w:rsid w:val="00280744"/>
    <w:rPr>
      <w:rFonts w:cs="Times New Roman"/>
      <w:sz w:val="16"/>
      <w:szCs w:val="16"/>
    </w:rPr>
  </w:style>
  <w:style w:type="paragraph" w:styleId="Textkomentra">
    <w:name w:val="annotation text"/>
    <w:basedOn w:val="Normlny"/>
    <w:link w:val="TextkomentraChar"/>
    <w:semiHidden/>
    <w:rsid w:val="00280744"/>
    <w:pPr>
      <w:spacing w:line="240" w:lineRule="auto"/>
    </w:pPr>
    <w:rPr>
      <w:rFonts w:cs="Times New Roman"/>
      <w:lang w:val="x-none" w:eastAsia="x-none"/>
    </w:rPr>
  </w:style>
  <w:style w:type="character" w:customStyle="1" w:styleId="TextkomentraChar">
    <w:name w:val="Text komentára Char"/>
    <w:link w:val="Textkomentra"/>
    <w:semiHidden/>
    <w:locked/>
    <w:rsid w:val="00280744"/>
    <w:rPr>
      <w:rFonts w:cs="Times New Roman"/>
    </w:rPr>
  </w:style>
  <w:style w:type="paragraph" w:styleId="Predmetkomentra">
    <w:name w:val="annotation subject"/>
    <w:basedOn w:val="Textkomentra"/>
    <w:next w:val="Textkomentra"/>
    <w:link w:val="PredmetkomentraChar"/>
    <w:semiHidden/>
    <w:rsid w:val="00280744"/>
    <w:rPr>
      <w:b/>
      <w:bCs/>
    </w:rPr>
  </w:style>
  <w:style w:type="character" w:customStyle="1" w:styleId="PredmetkomentraChar">
    <w:name w:val="Predmet komentára Char"/>
    <w:link w:val="Predmetkomentra"/>
    <w:semiHidden/>
    <w:locked/>
    <w:rsid w:val="00280744"/>
    <w:rPr>
      <w:rFonts w:cs="Times New Roman"/>
      <w:b/>
      <w:bCs/>
    </w:rPr>
  </w:style>
  <w:style w:type="paragraph" w:customStyle="1" w:styleId="Revzia1">
    <w:name w:val="Revízia1"/>
    <w:hidden/>
    <w:semiHidden/>
    <w:rsid w:val="00280744"/>
    <w:rPr>
      <w:rFonts w:cs="Calibri"/>
      <w:lang w:eastAsia="en-US"/>
    </w:rPr>
  </w:style>
  <w:style w:type="paragraph" w:styleId="Normlnywebov">
    <w:name w:val="Normal (Web)"/>
    <w:basedOn w:val="Normlny"/>
    <w:uiPriority w:val="99"/>
    <w:semiHidden/>
    <w:rsid w:val="00BF3794"/>
    <w:pPr>
      <w:spacing w:before="100" w:beforeAutospacing="1" w:after="100" w:afterAutospacing="1" w:line="240" w:lineRule="auto"/>
      <w:jc w:val="left"/>
    </w:pPr>
    <w:rPr>
      <w:rFonts w:cs="Times New Roman"/>
      <w:sz w:val="24"/>
      <w:szCs w:val="24"/>
      <w:lang w:eastAsia="sk-SK"/>
    </w:rPr>
  </w:style>
  <w:style w:type="character" w:styleId="slostrany">
    <w:name w:val="page number"/>
    <w:rsid w:val="00017E91"/>
    <w:rPr>
      <w:rFonts w:cs="Times New Roman"/>
    </w:rPr>
  </w:style>
  <w:style w:type="character" w:customStyle="1" w:styleId="ListParagraphChar">
    <w:name w:val="List Paragraph Char"/>
    <w:link w:val="Odsekzoznamu1"/>
    <w:locked/>
    <w:rsid w:val="004647D7"/>
  </w:style>
  <w:style w:type="character" w:customStyle="1" w:styleId="Normlny1CharCharCharCharCharCharChar">
    <w:name w:val="Normálny1 Char Char Char Char Char Char Char"/>
    <w:link w:val="Normlny1CharCharCharCharCharChar"/>
    <w:locked/>
    <w:rsid w:val="00D64639"/>
    <w:rPr>
      <w:rFonts w:ascii="Arial" w:hAnsi="Arial"/>
      <w:u w:val="single"/>
      <w:lang w:val="x-none" w:eastAsia="cs-CZ"/>
    </w:rPr>
  </w:style>
  <w:style w:type="paragraph" w:customStyle="1" w:styleId="Normlny1CharCharCharCharCharChar">
    <w:name w:val="Normálny1 Char Char Char Char Char Char"/>
    <w:basedOn w:val="Normlny"/>
    <w:link w:val="Normlny1CharCharCharCharCharCharChar"/>
    <w:rsid w:val="00D64639"/>
    <w:pPr>
      <w:spacing w:after="0" w:line="240" w:lineRule="auto"/>
      <w:jc w:val="left"/>
    </w:pPr>
    <w:rPr>
      <w:rFonts w:ascii="Arial" w:hAnsi="Arial" w:cs="Times New Roman"/>
      <w:u w:val="single"/>
      <w:lang w:val="x-none" w:eastAsia="cs-CZ"/>
    </w:rPr>
  </w:style>
  <w:style w:type="paragraph" w:styleId="Zkladntext">
    <w:name w:val="Body Text"/>
    <w:basedOn w:val="Normlny"/>
    <w:link w:val="ZkladntextChar"/>
    <w:rsid w:val="00021CB3"/>
    <w:pPr>
      <w:spacing w:after="120"/>
    </w:pPr>
    <w:rPr>
      <w:rFonts w:cs="Times New Roman"/>
      <w:lang w:val="x-none" w:eastAsia="x-none"/>
    </w:rPr>
  </w:style>
  <w:style w:type="character" w:customStyle="1" w:styleId="ZkladntextChar">
    <w:name w:val="Základný text Char"/>
    <w:link w:val="Zkladntext"/>
    <w:semiHidden/>
    <w:locked/>
    <w:rsid w:val="00021CB3"/>
    <w:rPr>
      <w:rFonts w:cs="Times New Roman"/>
    </w:rPr>
  </w:style>
  <w:style w:type="table" w:customStyle="1" w:styleId="TableNormal1">
    <w:name w:val="Table Normal1"/>
    <w:semiHidden/>
    <w:rsid w:val="00021CB3"/>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lny"/>
    <w:rsid w:val="00021CB3"/>
    <w:pPr>
      <w:widowControl w:val="0"/>
      <w:spacing w:after="0" w:line="240" w:lineRule="auto"/>
      <w:jc w:val="left"/>
    </w:pPr>
    <w:rPr>
      <w:sz w:val="22"/>
      <w:szCs w:val="22"/>
      <w:lang w:val="en-US"/>
    </w:rPr>
  </w:style>
  <w:style w:type="character" w:customStyle="1" w:styleId="Textzstupnhosymbolu1">
    <w:name w:val="Text zástupného symbolu1"/>
    <w:semiHidden/>
    <w:rsid w:val="00FF3B94"/>
    <w:rPr>
      <w:rFonts w:ascii="Times New Roman" w:hAnsi="Times New Roman" w:cs="Times New Roman"/>
      <w:color w:val="808080"/>
    </w:rPr>
  </w:style>
  <w:style w:type="paragraph" w:styleId="Odsekzoznamu">
    <w:name w:val="List Paragraph"/>
    <w:basedOn w:val="Normlny"/>
    <w:link w:val="OdsekzoznamuChar"/>
    <w:uiPriority w:val="34"/>
    <w:qFormat/>
    <w:rsid w:val="003B78DB"/>
    <w:pPr>
      <w:ind w:left="708"/>
    </w:pPr>
    <w:rPr>
      <w:rFonts w:cs="Times New Roman"/>
      <w:lang w:val="x-none"/>
    </w:rPr>
  </w:style>
  <w:style w:type="character" w:customStyle="1" w:styleId="FootnoteTextChar">
    <w:name w:val="Footnote Text Char"/>
    <w:semiHidden/>
    <w:locked/>
    <w:rsid w:val="004C4091"/>
    <w:rPr>
      <w:rFonts w:cs="Times New Roman"/>
      <w:sz w:val="20"/>
      <w:szCs w:val="20"/>
    </w:rPr>
  </w:style>
  <w:style w:type="character" w:customStyle="1" w:styleId="SubtitleChar">
    <w:name w:val="Subtitle Char"/>
    <w:locked/>
    <w:rsid w:val="004C4091"/>
    <w:rPr>
      <w:rFonts w:ascii="Cambria" w:hAnsi="Cambria" w:cs="Times New Roman"/>
      <w:i/>
      <w:iCs/>
      <w:color w:val="4F81BD"/>
      <w:spacing w:val="15"/>
      <w:sz w:val="24"/>
      <w:szCs w:val="24"/>
    </w:rPr>
  </w:style>
  <w:style w:type="paragraph" w:customStyle="1" w:styleId="Textpoznmkypodiarou1">
    <w:name w:val="Text poznámky pod čiarou1"/>
    <w:basedOn w:val="Normlny"/>
    <w:next w:val="Textpoznmkypodiarou"/>
    <w:link w:val="TextpoznmkypodiarouChar"/>
    <w:uiPriority w:val="99"/>
    <w:semiHidden/>
    <w:rsid w:val="00BB1CED"/>
    <w:pPr>
      <w:spacing w:after="0" w:line="240" w:lineRule="auto"/>
      <w:jc w:val="left"/>
    </w:pPr>
    <w:rPr>
      <w:rFonts w:cs="Times New Roman"/>
    </w:rPr>
  </w:style>
  <w:style w:type="character" w:customStyle="1" w:styleId="TextpoznmkypodiarouChar">
    <w:name w:val="Text poznámky pod čiarou Char"/>
    <w:link w:val="Textpoznmkypodiarou1"/>
    <w:uiPriority w:val="99"/>
    <w:semiHidden/>
    <w:locked/>
    <w:rsid w:val="00BB1CED"/>
    <w:rPr>
      <w:rFonts w:ascii="Calibri" w:hAnsi="Calibri"/>
      <w:lang w:val="sk-SK" w:eastAsia="en-US" w:bidi="ar-SA"/>
    </w:rPr>
  </w:style>
  <w:style w:type="character" w:customStyle="1" w:styleId="Hypertextovprepojenie1">
    <w:name w:val="Hypertextové prepojenie1"/>
    <w:rsid w:val="00BB1CED"/>
    <w:rPr>
      <w:rFonts w:cs="Times New Roman"/>
      <w:color w:val="0000FF"/>
      <w:u w:val="single"/>
    </w:rPr>
  </w:style>
  <w:style w:type="paragraph" w:customStyle="1" w:styleId="Style6">
    <w:name w:val="Style6"/>
    <w:basedOn w:val="Normlny"/>
    <w:rsid w:val="000F6BF8"/>
    <w:pPr>
      <w:widowControl w:val="0"/>
      <w:autoSpaceDE w:val="0"/>
      <w:autoSpaceDN w:val="0"/>
      <w:adjustRightInd w:val="0"/>
      <w:spacing w:after="0" w:line="240" w:lineRule="auto"/>
      <w:jc w:val="left"/>
    </w:pPr>
    <w:rPr>
      <w:rFonts w:cs="Times New Roman"/>
      <w:sz w:val="24"/>
      <w:szCs w:val="24"/>
      <w:lang w:eastAsia="sk-SK"/>
    </w:rPr>
  </w:style>
  <w:style w:type="paragraph" w:customStyle="1" w:styleId="Style10">
    <w:name w:val="Style10"/>
    <w:basedOn w:val="Normlny"/>
    <w:rsid w:val="000F6BF8"/>
    <w:pPr>
      <w:widowControl w:val="0"/>
      <w:autoSpaceDE w:val="0"/>
      <w:autoSpaceDN w:val="0"/>
      <w:adjustRightInd w:val="0"/>
      <w:spacing w:after="0" w:line="245" w:lineRule="exact"/>
      <w:jc w:val="left"/>
    </w:pPr>
    <w:rPr>
      <w:rFonts w:cs="Times New Roman"/>
      <w:sz w:val="24"/>
      <w:szCs w:val="24"/>
      <w:lang w:eastAsia="sk-SK"/>
    </w:rPr>
  </w:style>
  <w:style w:type="paragraph" w:customStyle="1" w:styleId="Style18">
    <w:name w:val="Style18"/>
    <w:basedOn w:val="Normlny"/>
    <w:rsid w:val="000F6BF8"/>
    <w:pPr>
      <w:widowControl w:val="0"/>
      <w:autoSpaceDE w:val="0"/>
      <w:autoSpaceDN w:val="0"/>
      <w:adjustRightInd w:val="0"/>
      <w:spacing w:after="0" w:line="365" w:lineRule="exact"/>
      <w:jc w:val="left"/>
    </w:pPr>
    <w:rPr>
      <w:rFonts w:cs="Times New Roman"/>
      <w:sz w:val="24"/>
      <w:szCs w:val="24"/>
      <w:lang w:eastAsia="sk-SK"/>
    </w:rPr>
  </w:style>
  <w:style w:type="paragraph" w:customStyle="1" w:styleId="Style47">
    <w:name w:val="Style47"/>
    <w:basedOn w:val="Normlny"/>
    <w:rsid w:val="000F6BF8"/>
    <w:pPr>
      <w:widowControl w:val="0"/>
      <w:autoSpaceDE w:val="0"/>
      <w:autoSpaceDN w:val="0"/>
      <w:adjustRightInd w:val="0"/>
      <w:spacing w:after="0" w:line="245" w:lineRule="exact"/>
      <w:jc w:val="left"/>
    </w:pPr>
    <w:rPr>
      <w:rFonts w:cs="Times New Roman"/>
      <w:sz w:val="24"/>
      <w:szCs w:val="24"/>
      <w:lang w:eastAsia="sk-SK"/>
    </w:rPr>
  </w:style>
  <w:style w:type="character" w:customStyle="1" w:styleId="FontStyle57">
    <w:name w:val="Font Style57"/>
    <w:rsid w:val="000F6BF8"/>
    <w:rPr>
      <w:rFonts w:ascii="Calibri" w:hAnsi="Calibri" w:cs="Calibri"/>
      <w:b/>
      <w:bCs/>
      <w:sz w:val="18"/>
      <w:szCs w:val="18"/>
    </w:rPr>
  </w:style>
  <w:style w:type="character" w:customStyle="1" w:styleId="FontStyle59">
    <w:name w:val="Font Style59"/>
    <w:rsid w:val="000F6BF8"/>
    <w:rPr>
      <w:rFonts w:ascii="Calibri" w:hAnsi="Calibri" w:cs="Calibri"/>
      <w:sz w:val="18"/>
      <w:szCs w:val="18"/>
    </w:rPr>
  </w:style>
  <w:style w:type="character" w:customStyle="1" w:styleId="CommentTextChar">
    <w:name w:val="Comment Text Char"/>
    <w:semiHidden/>
    <w:locked/>
    <w:rsid w:val="00254C28"/>
  </w:style>
  <w:style w:type="character" w:customStyle="1" w:styleId="st">
    <w:name w:val="st"/>
    <w:rsid w:val="00B26D60"/>
  </w:style>
  <w:style w:type="paragraph" w:customStyle="1" w:styleId="listparagraph">
    <w:name w:val="listparagraph"/>
    <w:basedOn w:val="Normlny"/>
    <w:rsid w:val="00600953"/>
    <w:pPr>
      <w:spacing w:before="100" w:beforeAutospacing="1" w:after="100" w:afterAutospacing="1" w:line="240" w:lineRule="auto"/>
      <w:jc w:val="left"/>
    </w:pPr>
    <w:rPr>
      <w:rFonts w:ascii="Times New Roman" w:eastAsia="Calibri" w:hAnsi="Times New Roman" w:cs="Times New Roman"/>
      <w:sz w:val="24"/>
      <w:szCs w:val="24"/>
      <w:lang w:val="en-US"/>
    </w:rPr>
  </w:style>
  <w:style w:type="character" w:customStyle="1" w:styleId="OdsekzoznamuChar">
    <w:name w:val="Odsek zoznamu Char"/>
    <w:link w:val="Odsekzoznamu"/>
    <w:uiPriority w:val="34"/>
    <w:locked/>
    <w:rsid w:val="00382D9C"/>
    <w:rPr>
      <w:rFonts w:cs="Calibri"/>
      <w:lang w:eastAsia="en-US"/>
    </w:rPr>
  </w:style>
  <w:style w:type="paragraph" w:styleId="Hlavikaobsahu">
    <w:name w:val="TOC Heading"/>
    <w:basedOn w:val="Nadpis1"/>
    <w:next w:val="Normlny"/>
    <w:uiPriority w:val="39"/>
    <w:qFormat/>
    <w:rsid w:val="00493CF5"/>
    <w:pPr>
      <w:keepNext/>
      <w:keepLines/>
      <w:numPr>
        <w:numId w:val="0"/>
      </w:numPr>
      <w:spacing w:before="480" w:after="0"/>
      <w:outlineLvl w:val="9"/>
    </w:pPr>
    <w:rPr>
      <w:rFonts w:ascii="Cambria" w:hAnsi="Cambria"/>
      <w:b/>
      <w:bCs/>
      <w:smallCaps w:val="0"/>
      <w:color w:val="365F91"/>
      <w:spacing w:val="0"/>
      <w:sz w:val="28"/>
      <w:szCs w:val="28"/>
      <w:lang w:eastAsia="en-US"/>
    </w:rPr>
  </w:style>
  <w:style w:type="paragraph" w:styleId="Obsah4">
    <w:name w:val="toc 4"/>
    <w:basedOn w:val="Normlny"/>
    <w:next w:val="Normlny"/>
    <w:autoRedefine/>
    <w:rsid w:val="00493CF5"/>
    <w:pPr>
      <w:spacing w:after="0"/>
      <w:ind w:left="400"/>
      <w:jc w:val="left"/>
    </w:pPr>
  </w:style>
  <w:style w:type="paragraph" w:styleId="Obsah5">
    <w:name w:val="toc 5"/>
    <w:basedOn w:val="Normlny"/>
    <w:next w:val="Normlny"/>
    <w:autoRedefine/>
    <w:rsid w:val="00493CF5"/>
    <w:pPr>
      <w:spacing w:after="0"/>
      <w:ind w:left="600"/>
      <w:jc w:val="left"/>
    </w:pPr>
  </w:style>
  <w:style w:type="paragraph" w:styleId="Obsah6">
    <w:name w:val="toc 6"/>
    <w:basedOn w:val="Normlny"/>
    <w:next w:val="Normlny"/>
    <w:autoRedefine/>
    <w:rsid w:val="00493CF5"/>
    <w:pPr>
      <w:spacing w:after="0"/>
      <w:ind w:left="800"/>
      <w:jc w:val="left"/>
    </w:pPr>
  </w:style>
  <w:style w:type="paragraph" w:styleId="Obsah7">
    <w:name w:val="toc 7"/>
    <w:basedOn w:val="Normlny"/>
    <w:next w:val="Normlny"/>
    <w:autoRedefine/>
    <w:rsid w:val="00493CF5"/>
    <w:pPr>
      <w:spacing w:after="0"/>
      <w:ind w:left="1000"/>
      <w:jc w:val="left"/>
    </w:pPr>
  </w:style>
  <w:style w:type="paragraph" w:styleId="Obsah8">
    <w:name w:val="toc 8"/>
    <w:basedOn w:val="Normlny"/>
    <w:next w:val="Normlny"/>
    <w:autoRedefine/>
    <w:rsid w:val="00493CF5"/>
    <w:pPr>
      <w:spacing w:after="0"/>
      <w:ind w:left="1200"/>
      <w:jc w:val="left"/>
    </w:pPr>
  </w:style>
  <w:style w:type="paragraph" w:styleId="Obsah9">
    <w:name w:val="toc 9"/>
    <w:basedOn w:val="Normlny"/>
    <w:next w:val="Normlny"/>
    <w:autoRedefine/>
    <w:rsid w:val="00493CF5"/>
    <w:pPr>
      <w:spacing w:after="0"/>
      <w:ind w:left="14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547"/>
          <w:marRight w:val="0"/>
          <w:marTop w:val="115"/>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90258">
      <w:bodyDiv w:val="1"/>
      <w:marLeft w:val="0"/>
      <w:marRight w:val="0"/>
      <w:marTop w:val="0"/>
      <w:marBottom w:val="0"/>
      <w:divBdr>
        <w:top w:val="none" w:sz="0" w:space="0" w:color="auto"/>
        <w:left w:val="none" w:sz="0" w:space="0" w:color="auto"/>
        <w:bottom w:val="none" w:sz="0" w:space="0" w:color="auto"/>
        <w:right w:val="none" w:sz="0" w:space="0" w:color="auto"/>
      </w:divBdr>
      <w:divsChild>
        <w:div w:id="1635790838">
          <w:marLeft w:val="0"/>
          <w:marRight w:val="0"/>
          <w:marTop w:val="0"/>
          <w:marBottom w:val="0"/>
          <w:divBdr>
            <w:top w:val="none" w:sz="0" w:space="0" w:color="auto"/>
            <w:left w:val="none" w:sz="0" w:space="0" w:color="auto"/>
            <w:bottom w:val="none" w:sz="0" w:space="0" w:color="auto"/>
            <w:right w:val="none" w:sz="0" w:space="0" w:color="auto"/>
          </w:divBdr>
        </w:div>
      </w:divsChild>
    </w:div>
    <w:div w:id="20591606">
      <w:bodyDiv w:val="1"/>
      <w:marLeft w:val="0"/>
      <w:marRight w:val="0"/>
      <w:marTop w:val="0"/>
      <w:marBottom w:val="0"/>
      <w:divBdr>
        <w:top w:val="none" w:sz="0" w:space="0" w:color="auto"/>
        <w:left w:val="none" w:sz="0" w:space="0" w:color="auto"/>
        <w:bottom w:val="none" w:sz="0" w:space="0" w:color="auto"/>
        <w:right w:val="none" w:sz="0" w:space="0" w:color="auto"/>
      </w:divBdr>
    </w:div>
    <w:div w:id="50616234">
      <w:bodyDiv w:val="1"/>
      <w:marLeft w:val="0"/>
      <w:marRight w:val="0"/>
      <w:marTop w:val="0"/>
      <w:marBottom w:val="0"/>
      <w:divBdr>
        <w:top w:val="none" w:sz="0" w:space="0" w:color="auto"/>
        <w:left w:val="none" w:sz="0" w:space="0" w:color="auto"/>
        <w:bottom w:val="none" w:sz="0" w:space="0" w:color="auto"/>
        <w:right w:val="none" w:sz="0" w:space="0" w:color="auto"/>
      </w:divBdr>
    </w:div>
    <w:div w:id="157427715">
      <w:bodyDiv w:val="1"/>
      <w:marLeft w:val="0"/>
      <w:marRight w:val="0"/>
      <w:marTop w:val="0"/>
      <w:marBottom w:val="0"/>
      <w:divBdr>
        <w:top w:val="none" w:sz="0" w:space="0" w:color="auto"/>
        <w:left w:val="none" w:sz="0" w:space="0" w:color="auto"/>
        <w:bottom w:val="none" w:sz="0" w:space="0" w:color="auto"/>
        <w:right w:val="none" w:sz="0" w:space="0" w:color="auto"/>
      </w:divBdr>
    </w:div>
    <w:div w:id="189145031">
      <w:bodyDiv w:val="1"/>
      <w:marLeft w:val="0"/>
      <w:marRight w:val="0"/>
      <w:marTop w:val="0"/>
      <w:marBottom w:val="0"/>
      <w:divBdr>
        <w:top w:val="none" w:sz="0" w:space="0" w:color="auto"/>
        <w:left w:val="none" w:sz="0" w:space="0" w:color="auto"/>
        <w:bottom w:val="none" w:sz="0" w:space="0" w:color="auto"/>
        <w:right w:val="none" w:sz="0" w:space="0" w:color="auto"/>
      </w:divBdr>
    </w:div>
    <w:div w:id="322706497">
      <w:bodyDiv w:val="1"/>
      <w:marLeft w:val="0"/>
      <w:marRight w:val="0"/>
      <w:marTop w:val="0"/>
      <w:marBottom w:val="0"/>
      <w:divBdr>
        <w:top w:val="none" w:sz="0" w:space="0" w:color="auto"/>
        <w:left w:val="none" w:sz="0" w:space="0" w:color="auto"/>
        <w:bottom w:val="none" w:sz="0" w:space="0" w:color="auto"/>
        <w:right w:val="none" w:sz="0" w:space="0" w:color="auto"/>
      </w:divBdr>
      <w:divsChild>
        <w:div w:id="874540250">
          <w:marLeft w:val="0"/>
          <w:marRight w:val="0"/>
          <w:marTop w:val="0"/>
          <w:marBottom w:val="0"/>
          <w:divBdr>
            <w:top w:val="none" w:sz="0" w:space="0" w:color="auto"/>
            <w:left w:val="none" w:sz="0" w:space="0" w:color="auto"/>
            <w:bottom w:val="none" w:sz="0" w:space="0" w:color="auto"/>
            <w:right w:val="none" w:sz="0" w:space="0" w:color="auto"/>
          </w:divBdr>
          <w:divsChild>
            <w:div w:id="2700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566">
      <w:bodyDiv w:val="1"/>
      <w:marLeft w:val="0"/>
      <w:marRight w:val="0"/>
      <w:marTop w:val="0"/>
      <w:marBottom w:val="0"/>
      <w:divBdr>
        <w:top w:val="none" w:sz="0" w:space="0" w:color="auto"/>
        <w:left w:val="none" w:sz="0" w:space="0" w:color="auto"/>
        <w:bottom w:val="none" w:sz="0" w:space="0" w:color="auto"/>
        <w:right w:val="none" w:sz="0" w:space="0" w:color="auto"/>
      </w:divBdr>
    </w:div>
    <w:div w:id="447354740">
      <w:bodyDiv w:val="1"/>
      <w:marLeft w:val="0"/>
      <w:marRight w:val="0"/>
      <w:marTop w:val="0"/>
      <w:marBottom w:val="0"/>
      <w:divBdr>
        <w:top w:val="none" w:sz="0" w:space="0" w:color="auto"/>
        <w:left w:val="none" w:sz="0" w:space="0" w:color="auto"/>
        <w:bottom w:val="none" w:sz="0" w:space="0" w:color="auto"/>
        <w:right w:val="none" w:sz="0" w:space="0" w:color="auto"/>
      </w:divBdr>
      <w:divsChild>
        <w:div w:id="1061368663">
          <w:marLeft w:val="0"/>
          <w:marRight w:val="0"/>
          <w:marTop w:val="0"/>
          <w:marBottom w:val="0"/>
          <w:divBdr>
            <w:top w:val="none" w:sz="0" w:space="0" w:color="auto"/>
            <w:left w:val="none" w:sz="0" w:space="0" w:color="auto"/>
            <w:bottom w:val="none" w:sz="0" w:space="0" w:color="auto"/>
            <w:right w:val="none" w:sz="0" w:space="0" w:color="auto"/>
          </w:divBdr>
        </w:div>
      </w:divsChild>
    </w:div>
    <w:div w:id="617417003">
      <w:bodyDiv w:val="1"/>
      <w:marLeft w:val="0"/>
      <w:marRight w:val="0"/>
      <w:marTop w:val="0"/>
      <w:marBottom w:val="0"/>
      <w:divBdr>
        <w:top w:val="none" w:sz="0" w:space="0" w:color="auto"/>
        <w:left w:val="none" w:sz="0" w:space="0" w:color="auto"/>
        <w:bottom w:val="none" w:sz="0" w:space="0" w:color="auto"/>
        <w:right w:val="none" w:sz="0" w:space="0" w:color="auto"/>
      </w:divBdr>
    </w:div>
    <w:div w:id="760762105">
      <w:bodyDiv w:val="1"/>
      <w:marLeft w:val="0"/>
      <w:marRight w:val="0"/>
      <w:marTop w:val="0"/>
      <w:marBottom w:val="0"/>
      <w:divBdr>
        <w:top w:val="none" w:sz="0" w:space="0" w:color="auto"/>
        <w:left w:val="none" w:sz="0" w:space="0" w:color="auto"/>
        <w:bottom w:val="none" w:sz="0" w:space="0" w:color="auto"/>
        <w:right w:val="none" w:sz="0" w:space="0" w:color="auto"/>
      </w:divBdr>
    </w:div>
    <w:div w:id="790980284">
      <w:bodyDiv w:val="1"/>
      <w:marLeft w:val="0"/>
      <w:marRight w:val="0"/>
      <w:marTop w:val="0"/>
      <w:marBottom w:val="0"/>
      <w:divBdr>
        <w:top w:val="none" w:sz="0" w:space="0" w:color="auto"/>
        <w:left w:val="none" w:sz="0" w:space="0" w:color="auto"/>
        <w:bottom w:val="none" w:sz="0" w:space="0" w:color="auto"/>
        <w:right w:val="none" w:sz="0" w:space="0" w:color="auto"/>
      </w:divBdr>
    </w:div>
    <w:div w:id="826745117">
      <w:bodyDiv w:val="1"/>
      <w:marLeft w:val="0"/>
      <w:marRight w:val="0"/>
      <w:marTop w:val="0"/>
      <w:marBottom w:val="0"/>
      <w:divBdr>
        <w:top w:val="none" w:sz="0" w:space="0" w:color="auto"/>
        <w:left w:val="none" w:sz="0" w:space="0" w:color="auto"/>
        <w:bottom w:val="none" w:sz="0" w:space="0" w:color="auto"/>
        <w:right w:val="none" w:sz="0" w:space="0" w:color="auto"/>
      </w:divBdr>
    </w:div>
    <w:div w:id="899826207">
      <w:bodyDiv w:val="1"/>
      <w:marLeft w:val="0"/>
      <w:marRight w:val="0"/>
      <w:marTop w:val="0"/>
      <w:marBottom w:val="0"/>
      <w:divBdr>
        <w:top w:val="none" w:sz="0" w:space="0" w:color="auto"/>
        <w:left w:val="none" w:sz="0" w:space="0" w:color="auto"/>
        <w:bottom w:val="none" w:sz="0" w:space="0" w:color="auto"/>
        <w:right w:val="none" w:sz="0" w:space="0" w:color="auto"/>
      </w:divBdr>
      <w:divsChild>
        <w:div w:id="928349998">
          <w:marLeft w:val="0"/>
          <w:marRight w:val="0"/>
          <w:marTop w:val="0"/>
          <w:marBottom w:val="0"/>
          <w:divBdr>
            <w:top w:val="none" w:sz="0" w:space="0" w:color="auto"/>
            <w:left w:val="none" w:sz="0" w:space="0" w:color="auto"/>
            <w:bottom w:val="none" w:sz="0" w:space="0" w:color="auto"/>
            <w:right w:val="none" w:sz="0" w:space="0" w:color="auto"/>
          </w:divBdr>
        </w:div>
      </w:divsChild>
    </w:div>
    <w:div w:id="1092167717">
      <w:bodyDiv w:val="1"/>
      <w:marLeft w:val="0"/>
      <w:marRight w:val="0"/>
      <w:marTop w:val="0"/>
      <w:marBottom w:val="0"/>
      <w:divBdr>
        <w:top w:val="none" w:sz="0" w:space="0" w:color="auto"/>
        <w:left w:val="none" w:sz="0" w:space="0" w:color="auto"/>
        <w:bottom w:val="none" w:sz="0" w:space="0" w:color="auto"/>
        <w:right w:val="none" w:sz="0" w:space="0" w:color="auto"/>
      </w:divBdr>
    </w:div>
    <w:div w:id="1256743924">
      <w:bodyDiv w:val="1"/>
      <w:marLeft w:val="0"/>
      <w:marRight w:val="0"/>
      <w:marTop w:val="0"/>
      <w:marBottom w:val="0"/>
      <w:divBdr>
        <w:top w:val="none" w:sz="0" w:space="0" w:color="auto"/>
        <w:left w:val="none" w:sz="0" w:space="0" w:color="auto"/>
        <w:bottom w:val="none" w:sz="0" w:space="0" w:color="auto"/>
        <w:right w:val="none" w:sz="0" w:space="0" w:color="auto"/>
      </w:divBdr>
    </w:div>
    <w:div w:id="1404833028">
      <w:bodyDiv w:val="1"/>
      <w:marLeft w:val="0"/>
      <w:marRight w:val="0"/>
      <w:marTop w:val="0"/>
      <w:marBottom w:val="0"/>
      <w:divBdr>
        <w:top w:val="none" w:sz="0" w:space="0" w:color="auto"/>
        <w:left w:val="none" w:sz="0" w:space="0" w:color="auto"/>
        <w:bottom w:val="none" w:sz="0" w:space="0" w:color="auto"/>
        <w:right w:val="none" w:sz="0" w:space="0" w:color="auto"/>
      </w:divBdr>
    </w:div>
    <w:div w:id="1422680445">
      <w:bodyDiv w:val="1"/>
      <w:marLeft w:val="0"/>
      <w:marRight w:val="0"/>
      <w:marTop w:val="0"/>
      <w:marBottom w:val="0"/>
      <w:divBdr>
        <w:top w:val="none" w:sz="0" w:space="0" w:color="auto"/>
        <w:left w:val="none" w:sz="0" w:space="0" w:color="auto"/>
        <w:bottom w:val="none" w:sz="0" w:space="0" w:color="auto"/>
        <w:right w:val="none" w:sz="0" w:space="0" w:color="auto"/>
      </w:divBdr>
    </w:div>
    <w:div w:id="1425109554">
      <w:bodyDiv w:val="1"/>
      <w:marLeft w:val="0"/>
      <w:marRight w:val="0"/>
      <w:marTop w:val="0"/>
      <w:marBottom w:val="0"/>
      <w:divBdr>
        <w:top w:val="none" w:sz="0" w:space="0" w:color="auto"/>
        <w:left w:val="none" w:sz="0" w:space="0" w:color="auto"/>
        <w:bottom w:val="none" w:sz="0" w:space="0" w:color="auto"/>
        <w:right w:val="none" w:sz="0" w:space="0" w:color="auto"/>
      </w:divBdr>
    </w:div>
    <w:div w:id="1539047820">
      <w:bodyDiv w:val="1"/>
      <w:marLeft w:val="0"/>
      <w:marRight w:val="0"/>
      <w:marTop w:val="0"/>
      <w:marBottom w:val="0"/>
      <w:divBdr>
        <w:top w:val="none" w:sz="0" w:space="0" w:color="auto"/>
        <w:left w:val="none" w:sz="0" w:space="0" w:color="auto"/>
        <w:bottom w:val="none" w:sz="0" w:space="0" w:color="auto"/>
        <w:right w:val="none" w:sz="0" w:space="0" w:color="auto"/>
      </w:divBdr>
    </w:div>
    <w:div w:id="1572811329">
      <w:bodyDiv w:val="1"/>
      <w:marLeft w:val="0"/>
      <w:marRight w:val="0"/>
      <w:marTop w:val="0"/>
      <w:marBottom w:val="0"/>
      <w:divBdr>
        <w:top w:val="none" w:sz="0" w:space="0" w:color="auto"/>
        <w:left w:val="none" w:sz="0" w:space="0" w:color="auto"/>
        <w:bottom w:val="none" w:sz="0" w:space="0" w:color="auto"/>
        <w:right w:val="none" w:sz="0" w:space="0" w:color="auto"/>
      </w:divBdr>
    </w:div>
    <w:div w:id="1645426175">
      <w:bodyDiv w:val="1"/>
      <w:marLeft w:val="0"/>
      <w:marRight w:val="0"/>
      <w:marTop w:val="0"/>
      <w:marBottom w:val="0"/>
      <w:divBdr>
        <w:top w:val="none" w:sz="0" w:space="0" w:color="auto"/>
        <w:left w:val="none" w:sz="0" w:space="0" w:color="auto"/>
        <w:bottom w:val="none" w:sz="0" w:space="0" w:color="auto"/>
        <w:right w:val="none" w:sz="0" w:space="0" w:color="auto"/>
      </w:divBdr>
    </w:div>
    <w:div w:id="1662461483">
      <w:bodyDiv w:val="1"/>
      <w:marLeft w:val="0"/>
      <w:marRight w:val="0"/>
      <w:marTop w:val="0"/>
      <w:marBottom w:val="0"/>
      <w:divBdr>
        <w:top w:val="none" w:sz="0" w:space="0" w:color="auto"/>
        <w:left w:val="none" w:sz="0" w:space="0" w:color="auto"/>
        <w:bottom w:val="none" w:sz="0" w:space="0" w:color="auto"/>
        <w:right w:val="none" w:sz="0" w:space="0" w:color="auto"/>
      </w:divBdr>
    </w:div>
    <w:div w:id="1755011089">
      <w:bodyDiv w:val="1"/>
      <w:marLeft w:val="0"/>
      <w:marRight w:val="0"/>
      <w:marTop w:val="0"/>
      <w:marBottom w:val="0"/>
      <w:divBdr>
        <w:top w:val="none" w:sz="0" w:space="0" w:color="auto"/>
        <w:left w:val="none" w:sz="0" w:space="0" w:color="auto"/>
        <w:bottom w:val="none" w:sz="0" w:space="0" w:color="auto"/>
        <w:right w:val="none" w:sz="0" w:space="0" w:color="auto"/>
      </w:divBdr>
    </w:div>
    <w:div w:id="1789812895">
      <w:bodyDiv w:val="1"/>
      <w:marLeft w:val="0"/>
      <w:marRight w:val="0"/>
      <w:marTop w:val="0"/>
      <w:marBottom w:val="0"/>
      <w:divBdr>
        <w:top w:val="none" w:sz="0" w:space="0" w:color="auto"/>
        <w:left w:val="none" w:sz="0" w:space="0" w:color="auto"/>
        <w:bottom w:val="none" w:sz="0" w:space="0" w:color="auto"/>
        <w:right w:val="none" w:sz="0" w:space="0" w:color="auto"/>
      </w:divBdr>
    </w:div>
    <w:div w:id="1893223889">
      <w:bodyDiv w:val="1"/>
      <w:marLeft w:val="0"/>
      <w:marRight w:val="0"/>
      <w:marTop w:val="0"/>
      <w:marBottom w:val="0"/>
      <w:divBdr>
        <w:top w:val="none" w:sz="0" w:space="0" w:color="auto"/>
        <w:left w:val="none" w:sz="0" w:space="0" w:color="auto"/>
        <w:bottom w:val="none" w:sz="0" w:space="0" w:color="auto"/>
        <w:right w:val="none" w:sz="0" w:space="0" w:color="auto"/>
      </w:divBdr>
    </w:div>
    <w:div w:id="1971206216">
      <w:bodyDiv w:val="1"/>
      <w:marLeft w:val="0"/>
      <w:marRight w:val="0"/>
      <w:marTop w:val="0"/>
      <w:marBottom w:val="0"/>
      <w:divBdr>
        <w:top w:val="none" w:sz="0" w:space="0" w:color="auto"/>
        <w:left w:val="none" w:sz="0" w:space="0" w:color="auto"/>
        <w:bottom w:val="none" w:sz="0" w:space="0" w:color="auto"/>
        <w:right w:val="none" w:sz="0" w:space="0" w:color="auto"/>
      </w:divBdr>
    </w:div>
    <w:div w:id="2006742878">
      <w:bodyDiv w:val="1"/>
      <w:marLeft w:val="0"/>
      <w:marRight w:val="0"/>
      <w:marTop w:val="0"/>
      <w:marBottom w:val="0"/>
      <w:divBdr>
        <w:top w:val="none" w:sz="0" w:space="0" w:color="auto"/>
        <w:left w:val="none" w:sz="0" w:space="0" w:color="auto"/>
        <w:bottom w:val="none" w:sz="0" w:space="0" w:color="auto"/>
        <w:right w:val="none" w:sz="0" w:space="0" w:color="auto"/>
      </w:divBdr>
    </w:div>
    <w:div w:id="2013139537">
      <w:bodyDiv w:val="1"/>
      <w:marLeft w:val="0"/>
      <w:marRight w:val="0"/>
      <w:marTop w:val="0"/>
      <w:marBottom w:val="0"/>
      <w:divBdr>
        <w:top w:val="none" w:sz="0" w:space="0" w:color="auto"/>
        <w:left w:val="none" w:sz="0" w:space="0" w:color="auto"/>
        <w:bottom w:val="none" w:sz="0" w:space="0" w:color="auto"/>
        <w:right w:val="none" w:sz="0" w:space="0" w:color="auto"/>
      </w:divBdr>
    </w:div>
    <w:div w:id="20312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package" Target="embeddings/Microsoft_Visio_Drawing13333333333333333333.vsdx"/><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parent.onLocalLink('_ftn3',window.frameElement)" TargetMode="External"/><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CEA408.9EB0BEC0" TargetMode="External"/><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chart" Target="charts/chart2.xml"/><Relationship Id="rId19" Type="http://schemas.openxmlformats.org/officeDocument/2006/relationships/image" Target="media/image6.emf"/><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cid:image001.png@01CEA408.5D3A7990" TargetMode="External"/><Relationship Id="rId22" Type="http://schemas.openxmlformats.org/officeDocument/2006/relationships/header" Target="header1.xml"/><Relationship Id="rId27" Type="http://schemas.openxmlformats.org/officeDocument/2006/relationships/image" Target="media/image11.png"/><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presenta/smart_specialisation/smart_ris3_2012.pdf" TargetMode="External"/><Relationship Id="rId2" Type="http://schemas.openxmlformats.org/officeDocument/2006/relationships/hyperlink" Target="http://ec.europa.eu/research/innovation-union/index_en.cfm" TargetMode="External"/><Relationship Id="rId1" Type="http://schemas.openxmlformats.org/officeDocument/2006/relationships/hyperlink" Target="http://ec.europa.eu/europe2020/index-en.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188" b="1" i="0" u="none" strike="noStrike" baseline="0">
                <a:solidFill>
                  <a:srgbClr val="000000"/>
                </a:solidFill>
                <a:latin typeface="Times New Roman"/>
                <a:ea typeface="Times New Roman"/>
                <a:cs typeface="Times New Roman"/>
              </a:defRPr>
            </a:pPr>
            <a:r>
              <a:rPr lang="sk-SK"/>
              <a:t>Export tovarov a služieb (% HDP)</a:t>
            </a:r>
          </a:p>
        </c:rich>
      </c:tx>
      <c:layout>
        <c:manualLayout>
          <c:xMode val="edge"/>
          <c:yMode val="edge"/>
          <c:x val="0.30471377007522332"/>
          <c:y val="0"/>
        </c:manualLayout>
      </c:layout>
      <c:overlay val="0"/>
      <c:spPr>
        <a:solidFill>
          <a:srgbClr val="FFFFFF"/>
        </a:solidFill>
        <a:ln w="25144">
          <a:noFill/>
        </a:ln>
      </c:spPr>
    </c:title>
    <c:autoTitleDeleted val="0"/>
    <c:plotArea>
      <c:layout>
        <c:manualLayout>
          <c:layoutTarget val="inner"/>
          <c:xMode val="edge"/>
          <c:yMode val="edge"/>
          <c:x val="6.5656565656565691E-2"/>
          <c:y val="0.11250000000000014"/>
          <c:w val="0.93602693602693599"/>
          <c:h val="0.74687500000000329"/>
        </c:manualLayout>
      </c:layout>
      <c:barChart>
        <c:barDir val="col"/>
        <c:grouping val="stacked"/>
        <c:varyColors val="0"/>
        <c:ser>
          <c:idx val="0"/>
          <c:order val="0"/>
          <c:tx>
            <c:strRef>
              <c:f>Sheet1!$A$2</c:f>
              <c:strCache>
                <c:ptCount val="1"/>
                <c:pt idx="0">
                  <c:v>export tovarov</c:v>
                </c:pt>
              </c:strCache>
            </c:strRef>
          </c:tx>
          <c:spPr>
            <a:pattFill prst="horzBrick">
              <a:fgClr>
                <a:srgbClr val="FF0000"/>
              </a:fgClr>
              <a:bgClr>
                <a:srgbClr val="FFFFFF"/>
              </a:bgClr>
            </a:pattFill>
            <a:ln w="12572">
              <a:solidFill>
                <a:srgbClr val="000000"/>
              </a:solidFill>
              <a:prstDash val="solid"/>
            </a:ln>
          </c:spPr>
          <c:invertIfNegative val="0"/>
          <c:cat>
            <c:numRef>
              <c:f>Sheet1!$B$1:$S$1</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Sheet1!$B$2:$S$2</c:f>
              <c:numCache>
                <c:formatCode>General</c:formatCode>
                <c:ptCount val="18"/>
                <c:pt idx="0">
                  <c:v>45</c:v>
                </c:pt>
                <c:pt idx="1">
                  <c:v>42.9</c:v>
                </c:pt>
                <c:pt idx="2">
                  <c:v>46</c:v>
                </c:pt>
                <c:pt idx="3">
                  <c:v>48.7</c:v>
                </c:pt>
                <c:pt idx="4">
                  <c:v>50.9</c:v>
                </c:pt>
                <c:pt idx="5">
                  <c:v>59.3</c:v>
                </c:pt>
                <c:pt idx="6">
                  <c:v>60.7</c:v>
                </c:pt>
                <c:pt idx="7">
                  <c:v>59.7</c:v>
                </c:pt>
                <c:pt idx="8">
                  <c:v>66.2</c:v>
                </c:pt>
                <c:pt idx="9">
                  <c:v>66</c:v>
                </c:pt>
                <c:pt idx="10">
                  <c:v>67.2</c:v>
                </c:pt>
                <c:pt idx="11">
                  <c:v>74.8</c:v>
                </c:pt>
                <c:pt idx="12">
                  <c:v>77.400000000000006</c:v>
                </c:pt>
                <c:pt idx="13">
                  <c:v>74.400000000000006</c:v>
                </c:pt>
                <c:pt idx="14">
                  <c:v>63.5</c:v>
                </c:pt>
                <c:pt idx="15">
                  <c:v>73.5</c:v>
                </c:pt>
                <c:pt idx="16">
                  <c:v>82.5</c:v>
                </c:pt>
                <c:pt idx="17">
                  <c:v>87.6</c:v>
                </c:pt>
              </c:numCache>
            </c:numRef>
          </c:val>
        </c:ser>
        <c:ser>
          <c:idx val="1"/>
          <c:order val="1"/>
          <c:tx>
            <c:strRef>
              <c:f>Sheet1!$A$3</c:f>
              <c:strCache>
                <c:ptCount val="1"/>
                <c:pt idx="0">
                  <c:v>export služieb</c:v>
                </c:pt>
              </c:strCache>
            </c:strRef>
          </c:tx>
          <c:spPr>
            <a:solidFill>
              <a:srgbClr val="3366FF"/>
            </a:solidFill>
            <a:ln w="12572">
              <a:solidFill>
                <a:srgbClr val="000000"/>
              </a:solidFill>
              <a:prstDash val="solid"/>
            </a:ln>
          </c:spPr>
          <c:invertIfNegative val="0"/>
          <c:cat>
            <c:numRef>
              <c:f>Sheet1!$B$1:$S$1</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Sheet1!$B$3:$S$3</c:f>
              <c:numCache>
                <c:formatCode>General</c:formatCode>
                <c:ptCount val="18"/>
                <c:pt idx="0">
                  <c:v>12.8</c:v>
                </c:pt>
                <c:pt idx="1">
                  <c:v>10.4</c:v>
                </c:pt>
                <c:pt idx="2">
                  <c:v>10.3</c:v>
                </c:pt>
                <c:pt idx="3">
                  <c:v>10.4</c:v>
                </c:pt>
                <c:pt idx="4">
                  <c:v>10.3</c:v>
                </c:pt>
                <c:pt idx="5">
                  <c:v>11.2</c:v>
                </c:pt>
                <c:pt idx="6">
                  <c:v>12</c:v>
                </c:pt>
                <c:pt idx="7">
                  <c:v>11.4</c:v>
                </c:pt>
                <c:pt idx="8">
                  <c:v>9.6</c:v>
                </c:pt>
                <c:pt idx="9">
                  <c:v>8.6</c:v>
                </c:pt>
                <c:pt idx="10">
                  <c:v>9.1</c:v>
                </c:pt>
                <c:pt idx="11">
                  <c:v>9.7000000000000011</c:v>
                </c:pt>
                <c:pt idx="12">
                  <c:v>9.5</c:v>
                </c:pt>
                <c:pt idx="13">
                  <c:v>9.1</c:v>
                </c:pt>
                <c:pt idx="14">
                  <c:v>7.1</c:v>
                </c:pt>
                <c:pt idx="15">
                  <c:v>6.9</c:v>
                </c:pt>
                <c:pt idx="16">
                  <c:v>7.2</c:v>
                </c:pt>
                <c:pt idx="17">
                  <c:v>7.8</c:v>
                </c:pt>
              </c:numCache>
            </c:numRef>
          </c:val>
        </c:ser>
        <c:dLbls>
          <c:showLegendKey val="0"/>
          <c:showVal val="0"/>
          <c:showCatName val="0"/>
          <c:showSerName val="0"/>
          <c:showPercent val="0"/>
          <c:showBubbleSize val="0"/>
        </c:dLbls>
        <c:gapWidth val="20"/>
        <c:overlap val="100"/>
        <c:axId val="125186816"/>
        <c:axId val="125188352"/>
      </c:barChart>
      <c:catAx>
        <c:axId val="125186816"/>
        <c:scaling>
          <c:orientation val="minMax"/>
        </c:scaling>
        <c:delete val="0"/>
        <c:axPos val="b"/>
        <c:numFmt formatCode="General" sourceLinked="1"/>
        <c:majorTickMark val="out"/>
        <c:minorTickMark val="none"/>
        <c:tickLblPos val="nextTo"/>
        <c:spPr>
          <a:ln w="3143">
            <a:solidFill>
              <a:srgbClr val="000000"/>
            </a:solidFill>
            <a:prstDash val="solid"/>
          </a:ln>
        </c:spPr>
        <c:txPr>
          <a:bodyPr rot="-5400000" vert="horz"/>
          <a:lstStyle/>
          <a:p>
            <a:pPr>
              <a:defRPr sz="1188" b="0" i="0" u="none" strike="noStrike" baseline="0">
                <a:solidFill>
                  <a:srgbClr val="000000"/>
                </a:solidFill>
                <a:latin typeface="Times New Roman"/>
                <a:ea typeface="Times New Roman"/>
                <a:cs typeface="Times New Roman"/>
              </a:defRPr>
            </a:pPr>
            <a:endParaRPr lang="sk-SK"/>
          </a:p>
        </c:txPr>
        <c:crossAx val="125188352"/>
        <c:crosses val="autoZero"/>
        <c:auto val="1"/>
        <c:lblAlgn val="ctr"/>
        <c:lblOffset val="100"/>
        <c:tickLblSkip val="1"/>
        <c:tickMarkSkip val="1"/>
        <c:noMultiLvlLbl val="0"/>
      </c:catAx>
      <c:valAx>
        <c:axId val="125188352"/>
        <c:scaling>
          <c:orientation val="minMax"/>
          <c:max val="100"/>
          <c:min val="0"/>
        </c:scaling>
        <c:delete val="0"/>
        <c:axPos val="l"/>
        <c:majorGridlines>
          <c:spPr>
            <a:ln w="3143">
              <a:solidFill>
                <a:srgbClr val="000000"/>
              </a:solidFill>
              <a:prstDash val="sysDash"/>
            </a:ln>
          </c:spPr>
        </c:majorGridlines>
        <c:numFmt formatCode="0" sourceLinked="0"/>
        <c:majorTickMark val="out"/>
        <c:minorTickMark val="none"/>
        <c:tickLblPos val="nextTo"/>
        <c:spPr>
          <a:ln w="3143">
            <a:solidFill>
              <a:srgbClr val="000000"/>
            </a:solidFill>
            <a:prstDash val="solid"/>
          </a:ln>
        </c:spPr>
        <c:txPr>
          <a:bodyPr rot="0" vert="horz"/>
          <a:lstStyle/>
          <a:p>
            <a:pPr>
              <a:defRPr sz="1188" b="0" i="0" u="none" strike="noStrike" baseline="0">
                <a:solidFill>
                  <a:srgbClr val="000000"/>
                </a:solidFill>
                <a:latin typeface="Times New Roman"/>
                <a:ea typeface="Times New Roman"/>
                <a:cs typeface="Times New Roman"/>
              </a:defRPr>
            </a:pPr>
            <a:endParaRPr lang="sk-SK"/>
          </a:p>
        </c:txPr>
        <c:crossAx val="125186816"/>
        <c:crosses val="autoZero"/>
        <c:crossBetween val="between"/>
        <c:majorUnit val="10"/>
        <c:minorUnit val="0.2"/>
      </c:valAx>
      <c:spPr>
        <a:solidFill>
          <a:srgbClr val="FFFFFF"/>
        </a:solidFill>
        <a:ln w="12572">
          <a:solidFill>
            <a:srgbClr val="808080"/>
          </a:solidFill>
          <a:prstDash val="solid"/>
        </a:ln>
      </c:spPr>
    </c:plotArea>
    <c:legend>
      <c:legendPos val="b"/>
      <c:layout>
        <c:manualLayout>
          <c:xMode val="edge"/>
          <c:yMode val="edge"/>
          <c:x val="9.4435075885328845E-2"/>
          <c:y val="0.18211920529801323"/>
          <c:w val="0.35919055649241149"/>
          <c:h val="0.11920529801324541"/>
        </c:manualLayout>
      </c:layout>
      <c:overlay val="0"/>
      <c:spPr>
        <a:solidFill>
          <a:srgbClr val="FFFFFF"/>
        </a:solidFill>
        <a:ln w="25144">
          <a:noFill/>
        </a:ln>
      </c:spPr>
      <c:txPr>
        <a:bodyPr/>
        <a:lstStyle/>
        <a:p>
          <a:pPr>
            <a:defRPr lang="en-US" sz="1089" b="0" i="0" u="none" strike="noStrike" baseline="0">
              <a:solidFill>
                <a:srgbClr val="000000"/>
              </a:solidFill>
              <a:latin typeface="Times New Roman"/>
              <a:ea typeface="Times New Roman"/>
              <a:cs typeface="Times New Roman"/>
            </a:defRPr>
          </a:pPr>
          <a:endParaRPr lang="sk-SK"/>
        </a:p>
      </c:txPr>
    </c:legend>
    <c:plotVisOnly val="1"/>
    <c:dispBlanksAs val="gap"/>
    <c:showDLblsOverMax val="0"/>
  </c:chart>
  <c:spPr>
    <a:solidFill>
      <a:srgbClr val="FFFFFF"/>
    </a:solidFill>
    <a:ln w="18857" cap="flat" cmpd="sng" algn="ctr">
      <a:solidFill>
        <a:srgbClr val="000000"/>
      </a:solidFill>
      <a:prstDash val="solid"/>
      <a:miter lim="800000"/>
      <a:headEnd type="none" w="med" len="med"/>
      <a:tailEnd type="none" w="med" len="med"/>
    </a:ln>
  </c:spPr>
  <c:txPr>
    <a:bodyPr/>
    <a:lstStyle/>
    <a:p>
      <a:pPr>
        <a:defRPr sz="1188" b="1" i="0" u="none" strike="noStrike" baseline="0">
          <a:solidFill>
            <a:srgbClr val="000000"/>
          </a:solidFill>
          <a:latin typeface="Arial CE"/>
          <a:ea typeface="Arial CE"/>
          <a:cs typeface="Arial CE"/>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17" b="1" i="0" u="none" strike="noStrike" baseline="0">
                <a:solidFill>
                  <a:srgbClr val="000000"/>
                </a:solidFill>
                <a:latin typeface="Times New Roman"/>
                <a:ea typeface="Times New Roman"/>
                <a:cs typeface="Times New Roman"/>
              </a:defRPr>
            </a:pPr>
            <a:r>
              <a:rPr lang="sk-SK"/>
              <a:t>Innovation</a:t>
            </a:r>
            <a:r>
              <a:rPr lang="sk-SK" baseline="0"/>
              <a:t> Scoreboard for Slovakia</a:t>
            </a:r>
            <a:r>
              <a:rPr lang="sk-SK"/>
              <a:t>: EU27 average = 0%</a:t>
            </a:r>
          </a:p>
        </c:rich>
      </c:tx>
      <c:layout>
        <c:manualLayout>
          <c:xMode val="edge"/>
          <c:yMode val="edge"/>
          <c:x val="0.19354845002482854"/>
          <c:y val="0"/>
        </c:manualLayout>
      </c:layout>
      <c:overlay val="0"/>
      <c:spPr>
        <a:noFill/>
        <a:ln w="22728">
          <a:noFill/>
        </a:ln>
      </c:spPr>
    </c:title>
    <c:autoTitleDeleted val="0"/>
    <c:plotArea>
      <c:layout>
        <c:manualLayout>
          <c:layoutTarget val="inner"/>
          <c:xMode val="edge"/>
          <c:yMode val="edge"/>
          <c:x val="0.50764006791171479"/>
          <c:y val="7.4576271186441015E-2"/>
          <c:w val="0.44991511035653653"/>
          <c:h val="0.8508474576271231"/>
        </c:manualLayout>
      </c:layout>
      <c:barChart>
        <c:barDir val="bar"/>
        <c:grouping val="clustered"/>
        <c:varyColors val="0"/>
        <c:ser>
          <c:idx val="0"/>
          <c:order val="0"/>
          <c:tx>
            <c:strRef>
              <c:f>Sheet1!$B$1</c:f>
              <c:strCache>
                <c:ptCount val="1"/>
                <c:pt idx="0">
                  <c:v>percent</c:v>
                </c:pt>
              </c:strCache>
            </c:strRef>
          </c:tx>
          <c:spPr>
            <a:solidFill>
              <a:srgbClr val="0000FF"/>
            </a:solidFill>
            <a:ln w="11239">
              <a:solidFill>
                <a:srgbClr val="000000"/>
              </a:solidFill>
              <a:prstDash val="solid"/>
            </a:ln>
          </c:spPr>
          <c:invertIfNegative val="0"/>
          <c:dLbls>
            <c:numFmt formatCode="0.0" sourceLinked="0"/>
            <c:spPr>
              <a:solidFill>
                <a:srgbClr val="FFFFFF"/>
              </a:solidFill>
              <a:ln w="22477">
                <a:noFill/>
              </a:ln>
            </c:spPr>
            <c:txPr>
              <a:bodyPr/>
              <a:lstStyle/>
              <a:p>
                <a:pPr>
                  <a:defRPr sz="863" b="0" i="0" u="none" strike="noStrike" baseline="0">
                    <a:solidFill>
                      <a:srgbClr val="000000"/>
                    </a:solidFill>
                    <a:latin typeface="Times New Roman"/>
                    <a:ea typeface="Times New Roman"/>
                    <a:cs typeface="Times New Roman"/>
                  </a:defRPr>
                </a:pPr>
                <a:endParaRPr lang="sk-SK"/>
              </a:p>
            </c:txPr>
            <c:showLegendKey val="0"/>
            <c:showVal val="1"/>
            <c:showCatName val="0"/>
            <c:showSerName val="0"/>
            <c:showPercent val="0"/>
            <c:showBubbleSize val="0"/>
            <c:showLeaderLines val="0"/>
          </c:dLbls>
          <c:cat>
            <c:strRef>
              <c:f>Sheet1!$A$2:$A$23</c:f>
              <c:strCache>
                <c:ptCount val="22"/>
                <c:pt idx="0">
                  <c:v>1.1.1 New doctorate graduates</c:v>
                </c:pt>
                <c:pt idx="1">
                  <c:v>1.1.2 Population completed tertiary education</c:v>
                </c:pt>
                <c:pt idx="2">
                  <c:v>1.1.3 Youth with upper secondary level education</c:v>
                </c:pt>
                <c:pt idx="3">
                  <c:v>1.2.1 International scientific co-publications</c:v>
                </c:pt>
                <c:pt idx="4">
                  <c:v>1.2.2 Scientific publications among top 10% most cited</c:v>
                </c:pt>
                <c:pt idx="5">
                  <c:v>1.2.3 Non-EU doctorate students</c:v>
                </c:pt>
                <c:pt idx="6">
                  <c:v>1.3.1 Public R&amp;D expenditure</c:v>
                </c:pt>
                <c:pt idx="7">
                  <c:v>2.1.1 Business R&amp;D expenditure</c:v>
                </c:pt>
                <c:pt idx="8">
                  <c:v>2.1.2 Non-R&amp;D innovation expenditure</c:v>
                </c:pt>
                <c:pt idx="9">
                  <c:v>2.2.1 SMEs innovating in-house</c:v>
                </c:pt>
                <c:pt idx="10">
                  <c:v>2.2.2 Innovative SMEs collaborating with others</c:v>
                </c:pt>
                <c:pt idx="11">
                  <c:v>2.2.3 Public-private co-publications</c:v>
                </c:pt>
                <c:pt idx="12">
                  <c:v>2.3.1 PCT patent applications</c:v>
                </c:pt>
                <c:pt idx="13">
                  <c:v>2.3.2 PCT patent applications in societal challenges</c:v>
                </c:pt>
                <c:pt idx="14">
                  <c:v>2.3.3 Community trademarks</c:v>
                </c:pt>
                <c:pt idx="15">
                  <c:v>2.3.4 Community designs</c:v>
                </c:pt>
                <c:pt idx="16">
                  <c:v>3.1.1 SMEs introducing product or process innovations</c:v>
                </c:pt>
                <c:pt idx="17">
                  <c:v>3.1.2 SMEs introducing marketing/organisational innovations</c:v>
                </c:pt>
                <c:pt idx="18">
                  <c:v>3.2.1 Employment in knowledge-intensive activities</c:v>
                </c:pt>
                <c:pt idx="19">
                  <c:v>3.2.2 Medium and high-tech product exports</c:v>
                </c:pt>
                <c:pt idx="20">
                  <c:v>3.2.3 Knowledge-intensive services exports</c:v>
                </c:pt>
                <c:pt idx="21">
                  <c:v>3.2.4 Sales of new to market and new to firm innovations</c:v>
                </c:pt>
              </c:strCache>
            </c:strRef>
          </c:cat>
          <c:val>
            <c:numRef>
              <c:f>Sheet1!$B$2:$B$23</c:f>
              <c:numCache>
                <c:formatCode>General</c:formatCode>
                <c:ptCount val="22"/>
                <c:pt idx="0">
                  <c:v>106</c:v>
                </c:pt>
                <c:pt idx="1">
                  <c:v>-31.2</c:v>
                </c:pt>
                <c:pt idx="2">
                  <c:v>18.100000000000001</c:v>
                </c:pt>
                <c:pt idx="3">
                  <c:v>26.3</c:v>
                </c:pt>
                <c:pt idx="4">
                  <c:v>-70</c:v>
                </c:pt>
                <c:pt idx="5">
                  <c:v>-94</c:v>
                </c:pt>
                <c:pt idx="6">
                  <c:v>-43</c:v>
                </c:pt>
                <c:pt idx="7">
                  <c:v>-80.3</c:v>
                </c:pt>
                <c:pt idx="8">
                  <c:v>16.100000000000001</c:v>
                </c:pt>
                <c:pt idx="9">
                  <c:v>31.4</c:v>
                </c:pt>
                <c:pt idx="10">
                  <c:v>-29.1</c:v>
                </c:pt>
                <c:pt idx="11">
                  <c:v>-70.2</c:v>
                </c:pt>
                <c:pt idx="12">
                  <c:v>-90.5</c:v>
                </c:pt>
                <c:pt idx="13">
                  <c:v>-89.5</c:v>
                </c:pt>
                <c:pt idx="14">
                  <c:v>-61.4</c:v>
                </c:pt>
                <c:pt idx="15">
                  <c:v>-70</c:v>
                </c:pt>
                <c:pt idx="16">
                  <c:v>-32.300000000000004</c:v>
                </c:pt>
                <c:pt idx="17">
                  <c:v>-32.5</c:v>
                </c:pt>
                <c:pt idx="18">
                  <c:v>-22.8</c:v>
                </c:pt>
                <c:pt idx="19">
                  <c:v>239.8</c:v>
                </c:pt>
                <c:pt idx="20">
                  <c:v>-56.5</c:v>
                </c:pt>
                <c:pt idx="21">
                  <c:v>34.800000000000004</c:v>
                </c:pt>
              </c:numCache>
            </c:numRef>
          </c:val>
        </c:ser>
        <c:dLbls>
          <c:showLegendKey val="0"/>
          <c:showVal val="0"/>
          <c:showCatName val="0"/>
          <c:showSerName val="0"/>
          <c:showPercent val="0"/>
          <c:showBubbleSize val="0"/>
        </c:dLbls>
        <c:gapWidth val="40"/>
        <c:axId val="125197312"/>
        <c:axId val="125149952"/>
      </c:barChart>
      <c:catAx>
        <c:axId val="125197312"/>
        <c:scaling>
          <c:orientation val="minMax"/>
        </c:scaling>
        <c:delete val="0"/>
        <c:axPos val="l"/>
        <c:numFmt formatCode="General" sourceLinked="1"/>
        <c:majorTickMark val="out"/>
        <c:minorTickMark val="none"/>
        <c:tickLblPos val="low"/>
        <c:spPr>
          <a:ln w="22477">
            <a:solidFill>
              <a:srgbClr val="FF0000"/>
            </a:solidFill>
            <a:prstDash val="solid"/>
          </a:ln>
        </c:spPr>
        <c:txPr>
          <a:bodyPr rot="0" vert="horz"/>
          <a:lstStyle/>
          <a:p>
            <a:pPr>
              <a:defRPr sz="796" b="0" i="0" u="none" strike="noStrike" baseline="0">
                <a:solidFill>
                  <a:srgbClr val="000000"/>
                </a:solidFill>
                <a:latin typeface="Times New Roman"/>
                <a:ea typeface="Times New Roman"/>
                <a:cs typeface="Times New Roman"/>
              </a:defRPr>
            </a:pPr>
            <a:endParaRPr lang="sk-SK"/>
          </a:p>
        </c:txPr>
        <c:crossAx val="125149952"/>
        <c:crosses val="autoZero"/>
        <c:auto val="1"/>
        <c:lblAlgn val="ctr"/>
        <c:lblOffset val="100"/>
        <c:tickLblSkip val="1"/>
        <c:tickMarkSkip val="1"/>
        <c:noMultiLvlLbl val="0"/>
      </c:catAx>
      <c:valAx>
        <c:axId val="125149952"/>
        <c:scaling>
          <c:orientation val="minMax"/>
          <c:max val="120"/>
          <c:min val="-120"/>
        </c:scaling>
        <c:delete val="0"/>
        <c:axPos val="b"/>
        <c:majorGridlines>
          <c:spPr>
            <a:ln w="2810">
              <a:solidFill>
                <a:srgbClr val="000000"/>
              </a:solidFill>
              <a:prstDash val="sysDash"/>
            </a:ln>
          </c:spPr>
        </c:majorGridlines>
        <c:numFmt formatCode="General" sourceLinked="1"/>
        <c:majorTickMark val="out"/>
        <c:minorTickMark val="none"/>
        <c:tickLblPos val="nextTo"/>
        <c:spPr>
          <a:ln w="2810">
            <a:solidFill>
              <a:srgbClr val="000000"/>
            </a:solidFill>
            <a:prstDash val="solid"/>
          </a:ln>
        </c:spPr>
        <c:txPr>
          <a:bodyPr rot="0" vert="horz"/>
          <a:lstStyle/>
          <a:p>
            <a:pPr>
              <a:defRPr sz="975" b="1" i="0" u="none" strike="noStrike" baseline="0">
                <a:solidFill>
                  <a:srgbClr val="000000"/>
                </a:solidFill>
                <a:latin typeface="Times New Roman"/>
                <a:ea typeface="Times New Roman"/>
                <a:cs typeface="Times New Roman"/>
              </a:defRPr>
            </a:pPr>
            <a:endParaRPr lang="sk-SK"/>
          </a:p>
        </c:txPr>
        <c:crossAx val="125197312"/>
        <c:crosses val="autoZero"/>
        <c:crossBetween val="between"/>
        <c:majorUnit val="30"/>
        <c:minorUnit val="10"/>
      </c:valAx>
      <c:spPr>
        <a:solidFill>
          <a:srgbClr val="FFFFFF"/>
        </a:solidFill>
        <a:ln w="11239">
          <a:solidFill>
            <a:srgbClr val="808080"/>
          </a:solidFill>
          <a:prstDash val="solid"/>
        </a:ln>
      </c:spPr>
    </c:plotArea>
    <c:plotVisOnly val="1"/>
    <c:dispBlanksAs val="gap"/>
    <c:showDLblsOverMax val="0"/>
  </c:chart>
  <c:spPr>
    <a:noFill/>
    <a:ln w="16858" cap="flat" cmpd="sng" algn="ctr">
      <a:solidFill>
        <a:srgbClr val="000000"/>
      </a:solidFill>
      <a:prstDash val="solid"/>
      <a:miter lim="800000"/>
      <a:headEnd type="none" w="med" len="med"/>
      <a:tailEnd type="none" w="med" len="med"/>
    </a:ln>
  </c:spPr>
  <c:txPr>
    <a:bodyPr/>
    <a:lstStyle/>
    <a:p>
      <a:pPr>
        <a:defRPr sz="1503" b="1" i="0" u="none" strike="noStrike" baseline="0">
          <a:solidFill>
            <a:srgbClr val="000000"/>
          </a:solidFill>
          <a:latin typeface="Arial"/>
          <a:ea typeface="Arial"/>
          <a:cs typeface="Arial"/>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7A0D17-7F38-45DE-970F-BA70DF74B8EC}"/>
</file>

<file path=customXml/itemProps2.xml><?xml version="1.0" encoding="utf-8"?>
<ds:datastoreItem xmlns:ds="http://schemas.openxmlformats.org/officeDocument/2006/customXml" ds:itemID="{5FA36EF6-6533-4F74-830C-3659CAB2B498}"/>
</file>

<file path=customXml/itemProps3.xml><?xml version="1.0" encoding="utf-8"?>
<ds:datastoreItem xmlns:ds="http://schemas.openxmlformats.org/officeDocument/2006/customXml" ds:itemID="{11B70C1F-6DA4-4A04-895F-B12889481F30}"/>
</file>

<file path=customXml/itemProps4.xml><?xml version="1.0" encoding="utf-8"?>
<ds:datastoreItem xmlns:ds="http://schemas.openxmlformats.org/officeDocument/2006/customXml" ds:itemID="{7F044433-9799-44BD-AB3C-B2E00DD1AB76}"/>
</file>

<file path=docProps/app.xml><?xml version="1.0" encoding="utf-8"?>
<Properties xmlns="http://schemas.openxmlformats.org/officeDocument/2006/extended-properties" xmlns:vt="http://schemas.openxmlformats.org/officeDocument/2006/docPropsVTypes">
  <Template>Normal</Template>
  <TotalTime>5</TotalTime>
  <Pages>1</Pages>
  <Words>36351</Words>
  <Characters>207203</Characters>
  <Application>Microsoft Office Word</Application>
  <DocSecurity>0</DocSecurity>
  <Lines>1726</Lines>
  <Paragraphs>486</Paragraphs>
  <ScaleCrop>false</ScaleCrop>
  <HeadingPairs>
    <vt:vector size="2" baseType="variant">
      <vt:variant>
        <vt:lpstr>Názov</vt:lpstr>
      </vt:variant>
      <vt:variant>
        <vt:i4>1</vt:i4>
      </vt:variant>
    </vt:vector>
  </HeadingPairs>
  <TitlesOfParts>
    <vt:vector size="1" baseType="lpstr">
      <vt:lpstr>Stratégia výskumu a inovácií</vt:lpstr>
    </vt:vector>
  </TitlesOfParts>
  <Company>PS RIS3 RVVTI</Company>
  <LinksUpToDate>false</LinksUpToDate>
  <CharactersWithSpaces>243068</CharactersWithSpaces>
  <SharedDoc>false</SharedDoc>
  <HLinks>
    <vt:vector size="372" baseType="variant">
      <vt:variant>
        <vt:i4>1835127</vt:i4>
      </vt:variant>
      <vt:variant>
        <vt:i4>339</vt:i4>
      </vt:variant>
      <vt:variant>
        <vt:i4>0</vt:i4>
      </vt:variant>
      <vt:variant>
        <vt:i4>5</vt:i4>
      </vt:variant>
      <vt:variant>
        <vt:lpwstr>javascript:parent.onLocalLink('_ftn3',window.frameElement)</vt:lpwstr>
      </vt:variant>
      <vt:variant>
        <vt:lpwstr/>
      </vt:variant>
      <vt:variant>
        <vt:i4>1900663</vt:i4>
      </vt:variant>
      <vt:variant>
        <vt:i4>336</vt:i4>
      </vt:variant>
      <vt:variant>
        <vt:i4>0</vt:i4>
      </vt:variant>
      <vt:variant>
        <vt:i4>5</vt:i4>
      </vt:variant>
      <vt:variant>
        <vt:lpwstr>javascript:parent.onLocalLink('_ftn2',window.frameElement)</vt:lpwstr>
      </vt:variant>
      <vt:variant>
        <vt:lpwstr/>
      </vt:variant>
      <vt:variant>
        <vt:i4>1966199</vt:i4>
      </vt:variant>
      <vt:variant>
        <vt:i4>333</vt:i4>
      </vt:variant>
      <vt:variant>
        <vt:i4>0</vt:i4>
      </vt:variant>
      <vt:variant>
        <vt:i4>5</vt:i4>
      </vt:variant>
      <vt:variant>
        <vt:lpwstr>javascript:parent.onLocalLink('_ftn1',window.frameElement)</vt:lpwstr>
      </vt:variant>
      <vt:variant>
        <vt:lpwstr/>
      </vt:variant>
      <vt:variant>
        <vt:i4>1835069</vt:i4>
      </vt:variant>
      <vt:variant>
        <vt:i4>320</vt:i4>
      </vt:variant>
      <vt:variant>
        <vt:i4>0</vt:i4>
      </vt:variant>
      <vt:variant>
        <vt:i4>5</vt:i4>
      </vt:variant>
      <vt:variant>
        <vt:lpwstr/>
      </vt:variant>
      <vt:variant>
        <vt:lpwstr>_Toc365835804</vt:lpwstr>
      </vt:variant>
      <vt:variant>
        <vt:i4>1835069</vt:i4>
      </vt:variant>
      <vt:variant>
        <vt:i4>314</vt:i4>
      </vt:variant>
      <vt:variant>
        <vt:i4>0</vt:i4>
      </vt:variant>
      <vt:variant>
        <vt:i4>5</vt:i4>
      </vt:variant>
      <vt:variant>
        <vt:lpwstr/>
      </vt:variant>
      <vt:variant>
        <vt:lpwstr>_Toc365835803</vt:lpwstr>
      </vt:variant>
      <vt:variant>
        <vt:i4>1835069</vt:i4>
      </vt:variant>
      <vt:variant>
        <vt:i4>308</vt:i4>
      </vt:variant>
      <vt:variant>
        <vt:i4>0</vt:i4>
      </vt:variant>
      <vt:variant>
        <vt:i4>5</vt:i4>
      </vt:variant>
      <vt:variant>
        <vt:lpwstr/>
      </vt:variant>
      <vt:variant>
        <vt:lpwstr>_Toc365835802</vt:lpwstr>
      </vt:variant>
      <vt:variant>
        <vt:i4>1835069</vt:i4>
      </vt:variant>
      <vt:variant>
        <vt:i4>302</vt:i4>
      </vt:variant>
      <vt:variant>
        <vt:i4>0</vt:i4>
      </vt:variant>
      <vt:variant>
        <vt:i4>5</vt:i4>
      </vt:variant>
      <vt:variant>
        <vt:lpwstr/>
      </vt:variant>
      <vt:variant>
        <vt:lpwstr>_Toc365835801</vt:lpwstr>
      </vt:variant>
      <vt:variant>
        <vt:i4>1835069</vt:i4>
      </vt:variant>
      <vt:variant>
        <vt:i4>296</vt:i4>
      </vt:variant>
      <vt:variant>
        <vt:i4>0</vt:i4>
      </vt:variant>
      <vt:variant>
        <vt:i4>5</vt:i4>
      </vt:variant>
      <vt:variant>
        <vt:lpwstr/>
      </vt:variant>
      <vt:variant>
        <vt:lpwstr>_Toc365835800</vt:lpwstr>
      </vt:variant>
      <vt:variant>
        <vt:i4>1376306</vt:i4>
      </vt:variant>
      <vt:variant>
        <vt:i4>290</vt:i4>
      </vt:variant>
      <vt:variant>
        <vt:i4>0</vt:i4>
      </vt:variant>
      <vt:variant>
        <vt:i4>5</vt:i4>
      </vt:variant>
      <vt:variant>
        <vt:lpwstr/>
      </vt:variant>
      <vt:variant>
        <vt:lpwstr>_Toc365835799</vt:lpwstr>
      </vt:variant>
      <vt:variant>
        <vt:i4>1376306</vt:i4>
      </vt:variant>
      <vt:variant>
        <vt:i4>284</vt:i4>
      </vt:variant>
      <vt:variant>
        <vt:i4>0</vt:i4>
      </vt:variant>
      <vt:variant>
        <vt:i4>5</vt:i4>
      </vt:variant>
      <vt:variant>
        <vt:lpwstr/>
      </vt:variant>
      <vt:variant>
        <vt:lpwstr>_Toc365835798</vt:lpwstr>
      </vt:variant>
      <vt:variant>
        <vt:i4>1376306</vt:i4>
      </vt:variant>
      <vt:variant>
        <vt:i4>278</vt:i4>
      </vt:variant>
      <vt:variant>
        <vt:i4>0</vt:i4>
      </vt:variant>
      <vt:variant>
        <vt:i4>5</vt:i4>
      </vt:variant>
      <vt:variant>
        <vt:lpwstr/>
      </vt:variant>
      <vt:variant>
        <vt:lpwstr>_Toc365835797</vt:lpwstr>
      </vt:variant>
      <vt:variant>
        <vt:i4>1376306</vt:i4>
      </vt:variant>
      <vt:variant>
        <vt:i4>272</vt:i4>
      </vt:variant>
      <vt:variant>
        <vt:i4>0</vt:i4>
      </vt:variant>
      <vt:variant>
        <vt:i4>5</vt:i4>
      </vt:variant>
      <vt:variant>
        <vt:lpwstr/>
      </vt:variant>
      <vt:variant>
        <vt:lpwstr>_Toc365835796</vt:lpwstr>
      </vt:variant>
      <vt:variant>
        <vt:i4>1376306</vt:i4>
      </vt:variant>
      <vt:variant>
        <vt:i4>266</vt:i4>
      </vt:variant>
      <vt:variant>
        <vt:i4>0</vt:i4>
      </vt:variant>
      <vt:variant>
        <vt:i4>5</vt:i4>
      </vt:variant>
      <vt:variant>
        <vt:lpwstr/>
      </vt:variant>
      <vt:variant>
        <vt:lpwstr>_Toc365835795</vt:lpwstr>
      </vt:variant>
      <vt:variant>
        <vt:i4>1376306</vt:i4>
      </vt:variant>
      <vt:variant>
        <vt:i4>260</vt:i4>
      </vt:variant>
      <vt:variant>
        <vt:i4>0</vt:i4>
      </vt:variant>
      <vt:variant>
        <vt:i4>5</vt:i4>
      </vt:variant>
      <vt:variant>
        <vt:lpwstr/>
      </vt:variant>
      <vt:variant>
        <vt:lpwstr>_Toc365835794</vt:lpwstr>
      </vt:variant>
      <vt:variant>
        <vt:i4>1376306</vt:i4>
      </vt:variant>
      <vt:variant>
        <vt:i4>254</vt:i4>
      </vt:variant>
      <vt:variant>
        <vt:i4>0</vt:i4>
      </vt:variant>
      <vt:variant>
        <vt:i4>5</vt:i4>
      </vt:variant>
      <vt:variant>
        <vt:lpwstr/>
      </vt:variant>
      <vt:variant>
        <vt:lpwstr>_Toc365835793</vt:lpwstr>
      </vt:variant>
      <vt:variant>
        <vt:i4>1376306</vt:i4>
      </vt:variant>
      <vt:variant>
        <vt:i4>248</vt:i4>
      </vt:variant>
      <vt:variant>
        <vt:i4>0</vt:i4>
      </vt:variant>
      <vt:variant>
        <vt:i4>5</vt:i4>
      </vt:variant>
      <vt:variant>
        <vt:lpwstr/>
      </vt:variant>
      <vt:variant>
        <vt:lpwstr>_Toc365835792</vt:lpwstr>
      </vt:variant>
      <vt:variant>
        <vt:i4>1376306</vt:i4>
      </vt:variant>
      <vt:variant>
        <vt:i4>242</vt:i4>
      </vt:variant>
      <vt:variant>
        <vt:i4>0</vt:i4>
      </vt:variant>
      <vt:variant>
        <vt:i4>5</vt:i4>
      </vt:variant>
      <vt:variant>
        <vt:lpwstr/>
      </vt:variant>
      <vt:variant>
        <vt:lpwstr>_Toc365835791</vt:lpwstr>
      </vt:variant>
      <vt:variant>
        <vt:i4>1376306</vt:i4>
      </vt:variant>
      <vt:variant>
        <vt:i4>236</vt:i4>
      </vt:variant>
      <vt:variant>
        <vt:i4>0</vt:i4>
      </vt:variant>
      <vt:variant>
        <vt:i4>5</vt:i4>
      </vt:variant>
      <vt:variant>
        <vt:lpwstr/>
      </vt:variant>
      <vt:variant>
        <vt:lpwstr>_Toc365835790</vt:lpwstr>
      </vt:variant>
      <vt:variant>
        <vt:i4>1310770</vt:i4>
      </vt:variant>
      <vt:variant>
        <vt:i4>230</vt:i4>
      </vt:variant>
      <vt:variant>
        <vt:i4>0</vt:i4>
      </vt:variant>
      <vt:variant>
        <vt:i4>5</vt:i4>
      </vt:variant>
      <vt:variant>
        <vt:lpwstr/>
      </vt:variant>
      <vt:variant>
        <vt:lpwstr>_Toc365835789</vt:lpwstr>
      </vt:variant>
      <vt:variant>
        <vt:i4>1310770</vt:i4>
      </vt:variant>
      <vt:variant>
        <vt:i4>224</vt:i4>
      </vt:variant>
      <vt:variant>
        <vt:i4>0</vt:i4>
      </vt:variant>
      <vt:variant>
        <vt:i4>5</vt:i4>
      </vt:variant>
      <vt:variant>
        <vt:lpwstr/>
      </vt:variant>
      <vt:variant>
        <vt:lpwstr>_Toc365835788</vt:lpwstr>
      </vt:variant>
      <vt:variant>
        <vt:i4>1310770</vt:i4>
      </vt:variant>
      <vt:variant>
        <vt:i4>218</vt:i4>
      </vt:variant>
      <vt:variant>
        <vt:i4>0</vt:i4>
      </vt:variant>
      <vt:variant>
        <vt:i4>5</vt:i4>
      </vt:variant>
      <vt:variant>
        <vt:lpwstr/>
      </vt:variant>
      <vt:variant>
        <vt:lpwstr>_Toc365835787</vt:lpwstr>
      </vt:variant>
      <vt:variant>
        <vt:i4>1310770</vt:i4>
      </vt:variant>
      <vt:variant>
        <vt:i4>212</vt:i4>
      </vt:variant>
      <vt:variant>
        <vt:i4>0</vt:i4>
      </vt:variant>
      <vt:variant>
        <vt:i4>5</vt:i4>
      </vt:variant>
      <vt:variant>
        <vt:lpwstr/>
      </vt:variant>
      <vt:variant>
        <vt:lpwstr>_Toc365835786</vt:lpwstr>
      </vt:variant>
      <vt:variant>
        <vt:i4>1310770</vt:i4>
      </vt:variant>
      <vt:variant>
        <vt:i4>206</vt:i4>
      </vt:variant>
      <vt:variant>
        <vt:i4>0</vt:i4>
      </vt:variant>
      <vt:variant>
        <vt:i4>5</vt:i4>
      </vt:variant>
      <vt:variant>
        <vt:lpwstr/>
      </vt:variant>
      <vt:variant>
        <vt:lpwstr>_Toc365835785</vt:lpwstr>
      </vt:variant>
      <vt:variant>
        <vt:i4>1310770</vt:i4>
      </vt:variant>
      <vt:variant>
        <vt:i4>200</vt:i4>
      </vt:variant>
      <vt:variant>
        <vt:i4>0</vt:i4>
      </vt:variant>
      <vt:variant>
        <vt:i4>5</vt:i4>
      </vt:variant>
      <vt:variant>
        <vt:lpwstr/>
      </vt:variant>
      <vt:variant>
        <vt:lpwstr>_Toc365835784</vt:lpwstr>
      </vt:variant>
      <vt:variant>
        <vt:i4>1310770</vt:i4>
      </vt:variant>
      <vt:variant>
        <vt:i4>194</vt:i4>
      </vt:variant>
      <vt:variant>
        <vt:i4>0</vt:i4>
      </vt:variant>
      <vt:variant>
        <vt:i4>5</vt:i4>
      </vt:variant>
      <vt:variant>
        <vt:lpwstr/>
      </vt:variant>
      <vt:variant>
        <vt:lpwstr>_Toc365835783</vt:lpwstr>
      </vt:variant>
      <vt:variant>
        <vt:i4>1310770</vt:i4>
      </vt:variant>
      <vt:variant>
        <vt:i4>188</vt:i4>
      </vt:variant>
      <vt:variant>
        <vt:i4>0</vt:i4>
      </vt:variant>
      <vt:variant>
        <vt:i4>5</vt:i4>
      </vt:variant>
      <vt:variant>
        <vt:lpwstr/>
      </vt:variant>
      <vt:variant>
        <vt:lpwstr>_Toc365835782</vt:lpwstr>
      </vt:variant>
      <vt:variant>
        <vt:i4>1310770</vt:i4>
      </vt:variant>
      <vt:variant>
        <vt:i4>182</vt:i4>
      </vt:variant>
      <vt:variant>
        <vt:i4>0</vt:i4>
      </vt:variant>
      <vt:variant>
        <vt:i4>5</vt:i4>
      </vt:variant>
      <vt:variant>
        <vt:lpwstr/>
      </vt:variant>
      <vt:variant>
        <vt:lpwstr>_Toc365835781</vt:lpwstr>
      </vt:variant>
      <vt:variant>
        <vt:i4>1310770</vt:i4>
      </vt:variant>
      <vt:variant>
        <vt:i4>176</vt:i4>
      </vt:variant>
      <vt:variant>
        <vt:i4>0</vt:i4>
      </vt:variant>
      <vt:variant>
        <vt:i4>5</vt:i4>
      </vt:variant>
      <vt:variant>
        <vt:lpwstr/>
      </vt:variant>
      <vt:variant>
        <vt:lpwstr>_Toc365835780</vt:lpwstr>
      </vt:variant>
      <vt:variant>
        <vt:i4>1769522</vt:i4>
      </vt:variant>
      <vt:variant>
        <vt:i4>170</vt:i4>
      </vt:variant>
      <vt:variant>
        <vt:i4>0</vt:i4>
      </vt:variant>
      <vt:variant>
        <vt:i4>5</vt:i4>
      </vt:variant>
      <vt:variant>
        <vt:lpwstr/>
      </vt:variant>
      <vt:variant>
        <vt:lpwstr>_Toc365835779</vt:lpwstr>
      </vt:variant>
      <vt:variant>
        <vt:i4>1769522</vt:i4>
      </vt:variant>
      <vt:variant>
        <vt:i4>164</vt:i4>
      </vt:variant>
      <vt:variant>
        <vt:i4>0</vt:i4>
      </vt:variant>
      <vt:variant>
        <vt:i4>5</vt:i4>
      </vt:variant>
      <vt:variant>
        <vt:lpwstr/>
      </vt:variant>
      <vt:variant>
        <vt:lpwstr>_Toc365835778</vt:lpwstr>
      </vt:variant>
      <vt:variant>
        <vt:i4>1769522</vt:i4>
      </vt:variant>
      <vt:variant>
        <vt:i4>158</vt:i4>
      </vt:variant>
      <vt:variant>
        <vt:i4>0</vt:i4>
      </vt:variant>
      <vt:variant>
        <vt:i4>5</vt:i4>
      </vt:variant>
      <vt:variant>
        <vt:lpwstr/>
      </vt:variant>
      <vt:variant>
        <vt:lpwstr>_Toc365835777</vt:lpwstr>
      </vt:variant>
      <vt:variant>
        <vt:i4>1769522</vt:i4>
      </vt:variant>
      <vt:variant>
        <vt:i4>152</vt:i4>
      </vt:variant>
      <vt:variant>
        <vt:i4>0</vt:i4>
      </vt:variant>
      <vt:variant>
        <vt:i4>5</vt:i4>
      </vt:variant>
      <vt:variant>
        <vt:lpwstr/>
      </vt:variant>
      <vt:variant>
        <vt:lpwstr>_Toc365835776</vt:lpwstr>
      </vt:variant>
      <vt:variant>
        <vt:i4>1769522</vt:i4>
      </vt:variant>
      <vt:variant>
        <vt:i4>146</vt:i4>
      </vt:variant>
      <vt:variant>
        <vt:i4>0</vt:i4>
      </vt:variant>
      <vt:variant>
        <vt:i4>5</vt:i4>
      </vt:variant>
      <vt:variant>
        <vt:lpwstr/>
      </vt:variant>
      <vt:variant>
        <vt:lpwstr>_Toc365835775</vt:lpwstr>
      </vt:variant>
      <vt:variant>
        <vt:i4>1769522</vt:i4>
      </vt:variant>
      <vt:variant>
        <vt:i4>140</vt:i4>
      </vt:variant>
      <vt:variant>
        <vt:i4>0</vt:i4>
      </vt:variant>
      <vt:variant>
        <vt:i4>5</vt:i4>
      </vt:variant>
      <vt:variant>
        <vt:lpwstr/>
      </vt:variant>
      <vt:variant>
        <vt:lpwstr>_Toc365835774</vt:lpwstr>
      </vt:variant>
      <vt:variant>
        <vt:i4>1769522</vt:i4>
      </vt:variant>
      <vt:variant>
        <vt:i4>134</vt:i4>
      </vt:variant>
      <vt:variant>
        <vt:i4>0</vt:i4>
      </vt:variant>
      <vt:variant>
        <vt:i4>5</vt:i4>
      </vt:variant>
      <vt:variant>
        <vt:lpwstr/>
      </vt:variant>
      <vt:variant>
        <vt:lpwstr>_Toc365835773</vt:lpwstr>
      </vt:variant>
      <vt:variant>
        <vt:i4>1769522</vt:i4>
      </vt:variant>
      <vt:variant>
        <vt:i4>128</vt:i4>
      </vt:variant>
      <vt:variant>
        <vt:i4>0</vt:i4>
      </vt:variant>
      <vt:variant>
        <vt:i4>5</vt:i4>
      </vt:variant>
      <vt:variant>
        <vt:lpwstr/>
      </vt:variant>
      <vt:variant>
        <vt:lpwstr>_Toc365835772</vt:lpwstr>
      </vt:variant>
      <vt:variant>
        <vt:i4>1769522</vt:i4>
      </vt:variant>
      <vt:variant>
        <vt:i4>122</vt:i4>
      </vt:variant>
      <vt:variant>
        <vt:i4>0</vt:i4>
      </vt:variant>
      <vt:variant>
        <vt:i4>5</vt:i4>
      </vt:variant>
      <vt:variant>
        <vt:lpwstr/>
      </vt:variant>
      <vt:variant>
        <vt:lpwstr>_Toc365835771</vt:lpwstr>
      </vt:variant>
      <vt:variant>
        <vt:i4>1769522</vt:i4>
      </vt:variant>
      <vt:variant>
        <vt:i4>116</vt:i4>
      </vt:variant>
      <vt:variant>
        <vt:i4>0</vt:i4>
      </vt:variant>
      <vt:variant>
        <vt:i4>5</vt:i4>
      </vt:variant>
      <vt:variant>
        <vt:lpwstr/>
      </vt:variant>
      <vt:variant>
        <vt:lpwstr>_Toc365835770</vt:lpwstr>
      </vt:variant>
      <vt:variant>
        <vt:i4>1703986</vt:i4>
      </vt:variant>
      <vt:variant>
        <vt:i4>110</vt:i4>
      </vt:variant>
      <vt:variant>
        <vt:i4>0</vt:i4>
      </vt:variant>
      <vt:variant>
        <vt:i4>5</vt:i4>
      </vt:variant>
      <vt:variant>
        <vt:lpwstr/>
      </vt:variant>
      <vt:variant>
        <vt:lpwstr>_Toc365835769</vt:lpwstr>
      </vt:variant>
      <vt:variant>
        <vt:i4>1703986</vt:i4>
      </vt:variant>
      <vt:variant>
        <vt:i4>104</vt:i4>
      </vt:variant>
      <vt:variant>
        <vt:i4>0</vt:i4>
      </vt:variant>
      <vt:variant>
        <vt:i4>5</vt:i4>
      </vt:variant>
      <vt:variant>
        <vt:lpwstr/>
      </vt:variant>
      <vt:variant>
        <vt:lpwstr>_Toc365835768</vt:lpwstr>
      </vt:variant>
      <vt:variant>
        <vt:i4>1703986</vt:i4>
      </vt:variant>
      <vt:variant>
        <vt:i4>98</vt:i4>
      </vt:variant>
      <vt:variant>
        <vt:i4>0</vt:i4>
      </vt:variant>
      <vt:variant>
        <vt:i4>5</vt:i4>
      </vt:variant>
      <vt:variant>
        <vt:lpwstr/>
      </vt:variant>
      <vt:variant>
        <vt:lpwstr>_Toc365835767</vt:lpwstr>
      </vt:variant>
      <vt:variant>
        <vt:i4>1703986</vt:i4>
      </vt:variant>
      <vt:variant>
        <vt:i4>92</vt:i4>
      </vt:variant>
      <vt:variant>
        <vt:i4>0</vt:i4>
      </vt:variant>
      <vt:variant>
        <vt:i4>5</vt:i4>
      </vt:variant>
      <vt:variant>
        <vt:lpwstr/>
      </vt:variant>
      <vt:variant>
        <vt:lpwstr>_Toc365835766</vt:lpwstr>
      </vt:variant>
      <vt:variant>
        <vt:i4>1703986</vt:i4>
      </vt:variant>
      <vt:variant>
        <vt:i4>86</vt:i4>
      </vt:variant>
      <vt:variant>
        <vt:i4>0</vt:i4>
      </vt:variant>
      <vt:variant>
        <vt:i4>5</vt:i4>
      </vt:variant>
      <vt:variant>
        <vt:lpwstr/>
      </vt:variant>
      <vt:variant>
        <vt:lpwstr>_Toc365835765</vt:lpwstr>
      </vt:variant>
      <vt:variant>
        <vt:i4>1703986</vt:i4>
      </vt:variant>
      <vt:variant>
        <vt:i4>80</vt:i4>
      </vt:variant>
      <vt:variant>
        <vt:i4>0</vt:i4>
      </vt:variant>
      <vt:variant>
        <vt:i4>5</vt:i4>
      </vt:variant>
      <vt:variant>
        <vt:lpwstr/>
      </vt:variant>
      <vt:variant>
        <vt:lpwstr>_Toc365835764</vt:lpwstr>
      </vt:variant>
      <vt:variant>
        <vt:i4>1703986</vt:i4>
      </vt:variant>
      <vt:variant>
        <vt:i4>74</vt:i4>
      </vt:variant>
      <vt:variant>
        <vt:i4>0</vt:i4>
      </vt:variant>
      <vt:variant>
        <vt:i4>5</vt:i4>
      </vt:variant>
      <vt:variant>
        <vt:lpwstr/>
      </vt:variant>
      <vt:variant>
        <vt:lpwstr>_Toc365835763</vt:lpwstr>
      </vt:variant>
      <vt:variant>
        <vt:i4>1703986</vt:i4>
      </vt:variant>
      <vt:variant>
        <vt:i4>68</vt:i4>
      </vt:variant>
      <vt:variant>
        <vt:i4>0</vt:i4>
      </vt:variant>
      <vt:variant>
        <vt:i4>5</vt:i4>
      </vt:variant>
      <vt:variant>
        <vt:lpwstr/>
      </vt:variant>
      <vt:variant>
        <vt:lpwstr>_Toc365835762</vt:lpwstr>
      </vt:variant>
      <vt:variant>
        <vt:i4>1703986</vt:i4>
      </vt:variant>
      <vt:variant>
        <vt:i4>62</vt:i4>
      </vt:variant>
      <vt:variant>
        <vt:i4>0</vt:i4>
      </vt:variant>
      <vt:variant>
        <vt:i4>5</vt:i4>
      </vt:variant>
      <vt:variant>
        <vt:lpwstr/>
      </vt:variant>
      <vt:variant>
        <vt:lpwstr>_Toc365835761</vt:lpwstr>
      </vt:variant>
      <vt:variant>
        <vt:i4>1703986</vt:i4>
      </vt:variant>
      <vt:variant>
        <vt:i4>56</vt:i4>
      </vt:variant>
      <vt:variant>
        <vt:i4>0</vt:i4>
      </vt:variant>
      <vt:variant>
        <vt:i4>5</vt:i4>
      </vt:variant>
      <vt:variant>
        <vt:lpwstr/>
      </vt:variant>
      <vt:variant>
        <vt:lpwstr>_Toc365835760</vt:lpwstr>
      </vt:variant>
      <vt:variant>
        <vt:i4>1638450</vt:i4>
      </vt:variant>
      <vt:variant>
        <vt:i4>50</vt:i4>
      </vt:variant>
      <vt:variant>
        <vt:i4>0</vt:i4>
      </vt:variant>
      <vt:variant>
        <vt:i4>5</vt:i4>
      </vt:variant>
      <vt:variant>
        <vt:lpwstr/>
      </vt:variant>
      <vt:variant>
        <vt:lpwstr>_Toc365835759</vt:lpwstr>
      </vt:variant>
      <vt:variant>
        <vt:i4>1638450</vt:i4>
      </vt:variant>
      <vt:variant>
        <vt:i4>44</vt:i4>
      </vt:variant>
      <vt:variant>
        <vt:i4>0</vt:i4>
      </vt:variant>
      <vt:variant>
        <vt:i4>5</vt:i4>
      </vt:variant>
      <vt:variant>
        <vt:lpwstr/>
      </vt:variant>
      <vt:variant>
        <vt:lpwstr>_Toc365835758</vt:lpwstr>
      </vt:variant>
      <vt:variant>
        <vt:i4>1638450</vt:i4>
      </vt:variant>
      <vt:variant>
        <vt:i4>38</vt:i4>
      </vt:variant>
      <vt:variant>
        <vt:i4>0</vt:i4>
      </vt:variant>
      <vt:variant>
        <vt:i4>5</vt:i4>
      </vt:variant>
      <vt:variant>
        <vt:lpwstr/>
      </vt:variant>
      <vt:variant>
        <vt:lpwstr>_Toc365835757</vt:lpwstr>
      </vt:variant>
      <vt:variant>
        <vt:i4>1638450</vt:i4>
      </vt:variant>
      <vt:variant>
        <vt:i4>32</vt:i4>
      </vt:variant>
      <vt:variant>
        <vt:i4>0</vt:i4>
      </vt:variant>
      <vt:variant>
        <vt:i4>5</vt:i4>
      </vt:variant>
      <vt:variant>
        <vt:lpwstr/>
      </vt:variant>
      <vt:variant>
        <vt:lpwstr>_Toc365835756</vt:lpwstr>
      </vt:variant>
      <vt:variant>
        <vt:i4>1638450</vt:i4>
      </vt:variant>
      <vt:variant>
        <vt:i4>26</vt:i4>
      </vt:variant>
      <vt:variant>
        <vt:i4>0</vt:i4>
      </vt:variant>
      <vt:variant>
        <vt:i4>5</vt:i4>
      </vt:variant>
      <vt:variant>
        <vt:lpwstr/>
      </vt:variant>
      <vt:variant>
        <vt:lpwstr>_Toc365835755</vt:lpwstr>
      </vt:variant>
      <vt:variant>
        <vt:i4>1638450</vt:i4>
      </vt:variant>
      <vt:variant>
        <vt:i4>20</vt:i4>
      </vt:variant>
      <vt:variant>
        <vt:i4>0</vt:i4>
      </vt:variant>
      <vt:variant>
        <vt:i4>5</vt:i4>
      </vt:variant>
      <vt:variant>
        <vt:lpwstr/>
      </vt:variant>
      <vt:variant>
        <vt:lpwstr>_Toc365835754</vt:lpwstr>
      </vt:variant>
      <vt:variant>
        <vt:i4>1638450</vt:i4>
      </vt:variant>
      <vt:variant>
        <vt:i4>14</vt:i4>
      </vt:variant>
      <vt:variant>
        <vt:i4>0</vt:i4>
      </vt:variant>
      <vt:variant>
        <vt:i4>5</vt:i4>
      </vt:variant>
      <vt:variant>
        <vt:lpwstr/>
      </vt:variant>
      <vt:variant>
        <vt:lpwstr>_Toc365835753</vt:lpwstr>
      </vt:variant>
      <vt:variant>
        <vt:i4>1638450</vt:i4>
      </vt:variant>
      <vt:variant>
        <vt:i4>8</vt:i4>
      </vt:variant>
      <vt:variant>
        <vt:i4>0</vt:i4>
      </vt:variant>
      <vt:variant>
        <vt:i4>5</vt:i4>
      </vt:variant>
      <vt:variant>
        <vt:lpwstr/>
      </vt:variant>
      <vt:variant>
        <vt:lpwstr>_Toc365835752</vt:lpwstr>
      </vt:variant>
      <vt:variant>
        <vt:i4>1638450</vt:i4>
      </vt:variant>
      <vt:variant>
        <vt:i4>2</vt:i4>
      </vt:variant>
      <vt:variant>
        <vt:i4>0</vt:i4>
      </vt:variant>
      <vt:variant>
        <vt:i4>5</vt:i4>
      </vt:variant>
      <vt:variant>
        <vt:lpwstr/>
      </vt:variant>
      <vt:variant>
        <vt:lpwstr>_Toc365835751</vt:lpwstr>
      </vt:variant>
      <vt:variant>
        <vt:i4>7733308</vt:i4>
      </vt:variant>
      <vt:variant>
        <vt:i4>6</vt:i4>
      </vt:variant>
      <vt:variant>
        <vt:i4>0</vt:i4>
      </vt:variant>
      <vt:variant>
        <vt:i4>5</vt:i4>
      </vt:variant>
      <vt:variant>
        <vt:lpwstr>http://ec.europa.eu/regional_policy/sources/docgener/presenta/smart_specialisation/smart_ris3_2012.pdf</vt:lpwstr>
      </vt:variant>
      <vt:variant>
        <vt:lpwstr/>
      </vt:variant>
      <vt:variant>
        <vt:i4>1441847</vt:i4>
      </vt:variant>
      <vt:variant>
        <vt:i4>3</vt:i4>
      </vt:variant>
      <vt:variant>
        <vt:i4>0</vt:i4>
      </vt:variant>
      <vt:variant>
        <vt:i4>5</vt:i4>
      </vt:variant>
      <vt:variant>
        <vt:lpwstr>http://ec.europa.eu/research/innovation-union/index_en.cfm</vt:lpwstr>
      </vt:variant>
      <vt:variant>
        <vt:lpwstr/>
      </vt:variant>
      <vt:variant>
        <vt:i4>6553662</vt:i4>
      </vt:variant>
      <vt:variant>
        <vt:i4>0</vt:i4>
      </vt:variant>
      <vt:variant>
        <vt:i4>0</vt:i4>
      </vt:variant>
      <vt:variant>
        <vt:i4>5</vt:i4>
      </vt:variant>
      <vt:variant>
        <vt:lpwstr>http://ec.europa.eu/europe2020/index-en.htm</vt:lpwstr>
      </vt:variant>
      <vt:variant>
        <vt:lpwstr/>
      </vt:variant>
      <vt:variant>
        <vt:i4>7274506</vt:i4>
      </vt:variant>
      <vt:variant>
        <vt:i4>141218</vt:i4>
      </vt:variant>
      <vt:variant>
        <vt:i4>1028</vt:i4>
      </vt:variant>
      <vt:variant>
        <vt:i4>1</vt:i4>
      </vt:variant>
      <vt:variant>
        <vt:lpwstr>cid:image001.png@01CEA408.5D3A7990</vt:lpwstr>
      </vt:variant>
      <vt:variant>
        <vt:lpwstr/>
      </vt:variant>
      <vt:variant>
        <vt:i4>6488152</vt:i4>
      </vt:variant>
      <vt:variant>
        <vt:i4>147572</vt:i4>
      </vt:variant>
      <vt:variant>
        <vt:i4>1029</vt:i4>
      </vt:variant>
      <vt:variant>
        <vt:i4>1</vt:i4>
      </vt:variant>
      <vt:variant>
        <vt:lpwstr>cid:image001.png@01CEA408.9EB0BEC0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Stratégia výskumu a inovácií</dc:title>
  <dc:creator>PS RIS3</dc:creator>
  <cp:lastModifiedBy>Helmich Patrik</cp:lastModifiedBy>
  <cp:revision>6</cp:revision>
  <cp:lastPrinted>2013-09-12T07:49:00Z</cp:lastPrinted>
  <dcterms:created xsi:type="dcterms:W3CDTF">2013-09-12T09:11:00Z</dcterms:created>
  <dcterms:modified xsi:type="dcterms:W3CDTF">2013-09-12T11:48:00Z</dcterms:modified>
</cp:coreProperties>
</file>