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04" w:rsidRPr="001F392C" w:rsidRDefault="00DD16FB" w:rsidP="00DD16FB">
      <w:pPr>
        <w:jc w:val="center"/>
        <w:outlineLvl w:val="0"/>
        <w:rPr>
          <w:snapToGrid w:val="0"/>
        </w:rPr>
      </w:pPr>
      <w:r w:rsidRPr="001F392C">
        <w:rPr>
          <w:b/>
          <w:snapToGrid w:val="0"/>
        </w:rPr>
        <w:t>Ministerstvo práce, sociálnych vecí a rodiny Slovenskej republiky</w:t>
      </w:r>
    </w:p>
    <w:p w:rsidR="00573B04" w:rsidRPr="001F392C" w:rsidRDefault="00573B04" w:rsidP="00573B04">
      <w:pPr>
        <w:pBdr>
          <w:bottom w:val="single" w:sz="4" w:space="1" w:color="auto"/>
        </w:pBdr>
        <w:jc w:val="center"/>
        <w:rPr>
          <w:snapToGrid w:val="0"/>
        </w:rPr>
      </w:pPr>
    </w:p>
    <w:p w:rsidR="00573B04" w:rsidRPr="001F392C" w:rsidRDefault="00573B04"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sz w:val="36"/>
          <w:szCs w:val="36"/>
        </w:rPr>
      </w:pPr>
    </w:p>
    <w:p w:rsidR="00DD16FB" w:rsidRPr="001F392C" w:rsidRDefault="00DD16FB" w:rsidP="00573B04">
      <w:pPr>
        <w:jc w:val="center"/>
        <w:rPr>
          <w:b/>
          <w:sz w:val="36"/>
          <w:szCs w:val="36"/>
        </w:rPr>
      </w:pPr>
    </w:p>
    <w:p w:rsidR="00DD16FB" w:rsidRPr="001F392C" w:rsidRDefault="00DD16FB" w:rsidP="00573B04">
      <w:pPr>
        <w:jc w:val="center"/>
        <w:rPr>
          <w:b/>
          <w:sz w:val="36"/>
          <w:szCs w:val="36"/>
        </w:rPr>
      </w:pPr>
    </w:p>
    <w:p w:rsidR="00DD16FB" w:rsidRPr="001F392C" w:rsidRDefault="00DD16FB" w:rsidP="00573B04">
      <w:pPr>
        <w:jc w:val="center"/>
        <w:rPr>
          <w:b/>
          <w:sz w:val="36"/>
          <w:szCs w:val="36"/>
        </w:rPr>
      </w:pPr>
    </w:p>
    <w:p w:rsidR="00DD16FB" w:rsidRPr="001F392C" w:rsidRDefault="00DD16FB" w:rsidP="00573B04">
      <w:pPr>
        <w:jc w:val="center"/>
        <w:rPr>
          <w:b/>
          <w:sz w:val="36"/>
          <w:szCs w:val="36"/>
        </w:rPr>
      </w:pPr>
    </w:p>
    <w:p w:rsidR="00DD16FB" w:rsidRPr="001F392C" w:rsidRDefault="00DD16FB" w:rsidP="00573B04">
      <w:pPr>
        <w:jc w:val="center"/>
        <w:rPr>
          <w:b/>
          <w:sz w:val="36"/>
          <w:szCs w:val="36"/>
        </w:rPr>
      </w:pPr>
    </w:p>
    <w:p w:rsidR="00DD16FB" w:rsidRPr="001F392C" w:rsidRDefault="00DD16FB" w:rsidP="00573B04">
      <w:pPr>
        <w:jc w:val="center"/>
        <w:rPr>
          <w:b/>
          <w:sz w:val="36"/>
          <w:szCs w:val="36"/>
        </w:rPr>
      </w:pPr>
      <w:r w:rsidRPr="001F392C">
        <w:rPr>
          <w:b/>
          <w:sz w:val="36"/>
          <w:szCs w:val="36"/>
        </w:rPr>
        <w:t xml:space="preserve">Správa </w:t>
      </w:r>
    </w:p>
    <w:p w:rsidR="00DD16FB" w:rsidRPr="001F392C" w:rsidRDefault="00DD16FB" w:rsidP="00573B04">
      <w:pPr>
        <w:jc w:val="center"/>
        <w:rPr>
          <w:b/>
          <w:sz w:val="36"/>
          <w:szCs w:val="36"/>
        </w:rPr>
      </w:pPr>
      <w:r w:rsidRPr="001F392C">
        <w:rPr>
          <w:b/>
          <w:sz w:val="36"/>
          <w:szCs w:val="36"/>
        </w:rPr>
        <w:t xml:space="preserve">o aktuálnej situácii na trhu práce </w:t>
      </w:r>
    </w:p>
    <w:p w:rsidR="00DD16FB" w:rsidRPr="001F392C" w:rsidRDefault="00DD16FB" w:rsidP="00573B04">
      <w:pPr>
        <w:jc w:val="center"/>
        <w:rPr>
          <w:b/>
          <w:sz w:val="36"/>
          <w:szCs w:val="36"/>
        </w:rPr>
      </w:pPr>
      <w:r w:rsidRPr="001F392C">
        <w:rPr>
          <w:b/>
          <w:sz w:val="36"/>
          <w:szCs w:val="36"/>
        </w:rPr>
        <w:t xml:space="preserve">v Slovenskej republike </w:t>
      </w:r>
    </w:p>
    <w:p w:rsidR="00DD16FB" w:rsidRPr="001F392C" w:rsidRDefault="00DD16FB" w:rsidP="00573B04">
      <w:pPr>
        <w:jc w:val="center"/>
        <w:rPr>
          <w:b/>
          <w:bCs/>
          <w:sz w:val="36"/>
          <w:szCs w:val="36"/>
        </w:rPr>
      </w:pPr>
      <w:r w:rsidRPr="001F392C">
        <w:rPr>
          <w:b/>
          <w:sz w:val="36"/>
          <w:szCs w:val="36"/>
        </w:rPr>
        <w:t>a o opatreniach na jej zlepšenie</w:t>
      </w:r>
    </w:p>
    <w:p w:rsidR="00DD16FB" w:rsidRPr="001F392C" w:rsidRDefault="00DD16FB" w:rsidP="00573B04">
      <w:pPr>
        <w:jc w:val="center"/>
        <w:rPr>
          <w:b/>
          <w:bCs/>
          <w:sz w:val="36"/>
          <w:szCs w:val="36"/>
        </w:rPr>
      </w:pPr>
    </w:p>
    <w:p w:rsidR="00DD16FB" w:rsidRPr="001F392C" w:rsidRDefault="00DD16FB" w:rsidP="00573B04">
      <w:pPr>
        <w:jc w:val="center"/>
        <w:rPr>
          <w:b/>
          <w:bCs/>
          <w:color w:val="000000"/>
          <w:sz w:val="36"/>
          <w:szCs w:val="36"/>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DD16FB" w:rsidP="00573B04">
      <w:pPr>
        <w:jc w:val="center"/>
        <w:rPr>
          <w:b/>
          <w:bCs/>
          <w:color w:val="000000"/>
        </w:rPr>
      </w:pPr>
    </w:p>
    <w:p w:rsidR="00DD16FB" w:rsidRPr="001F392C" w:rsidRDefault="003E53A0" w:rsidP="00573B04">
      <w:pPr>
        <w:jc w:val="center"/>
        <w:rPr>
          <w:b/>
          <w:bCs/>
          <w:color w:val="000000"/>
        </w:rPr>
      </w:pPr>
      <w:r w:rsidRPr="001F392C">
        <w:rPr>
          <w:b/>
          <w:bCs/>
          <w:color w:val="000000"/>
        </w:rPr>
        <w:t>marec 2013</w:t>
      </w:r>
    </w:p>
    <w:p w:rsidR="00DD16FB" w:rsidRPr="001F392C" w:rsidRDefault="00DD16FB" w:rsidP="00573B04">
      <w:pPr>
        <w:jc w:val="center"/>
        <w:rPr>
          <w:b/>
          <w:bCs/>
          <w:color w:val="000000"/>
        </w:rPr>
      </w:pPr>
    </w:p>
    <w:p w:rsidR="00DD16FB" w:rsidRPr="001F392C" w:rsidRDefault="00DD16FB" w:rsidP="00DD16FB">
      <w:pPr>
        <w:autoSpaceDE w:val="0"/>
        <w:autoSpaceDN w:val="0"/>
        <w:adjustRightInd w:val="0"/>
        <w:rPr>
          <w:color w:val="000000"/>
          <w:sz w:val="40"/>
          <w:szCs w:val="40"/>
          <w:lang w:eastAsia="sk-SK"/>
        </w:rPr>
      </w:pPr>
      <w:r w:rsidRPr="001F392C">
        <w:rPr>
          <w:b/>
          <w:bCs/>
          <w:color w:val="000000"/>
          <w:sz w:val="40"/>
          <w:szCs w:val="40"/>
          <w:lang w:eastAsia="sk-SK"/>
        </w:rPr>
        <w:t xml:space="preserve">Úvod </w:t>
      </w:r>
    </w:p>
    <w:p w:rsidR="002D6E12" w:rsidRPr="001F392C" w:rsidRDefault="002D6E12" w:rsidP="002D6E12">
      <w:pPr>
        <w:autoSpaceDE w:val="0"/>
        <w:autoSpaceDN w:val="0"/>
        <w:adjustRightInd w:val="0"/>
        <w:jc w:val="both"/>
      </w:pPr>
    </w:p>
    <w:p w:rsidR="00DD16FB" w:rsidRPr="001F392C" w:rsidRDefault="00DD16FB" w:rsidP="002D6E12">
      <w:pPr>
        <w:autoSpaceDE w:val="0"/>
        <w:autoSpaceDN w:val="0"/>
        <w:adjustRightInd w:val="0"/>
        <w:ind w:firstLine="709"/>
        <w:jc w:val="both"/>
      </w:pPr>
      <w:r w:rsidRPr="001F392C">
        <w:t xml:space="preserve">Národná rada Slovenskej republiky podľa § 128 ods. 1 zákona Národnej rady Slovenskej republiky č. 350/1996 Z. z. o rokovacom poriadku Národnej rady Slovenskej republiky v znení neskorších predpisov </w:t>
      </w:r>
      <w:r w:rsidR="009C5934" w:rsidRPr="001F392C">
        <w:t xml:space="preserve">svojim </w:t>
      </w:r>
      <w:r w:rsidRPr="001F392C">
        <w:t>uznesením č.</w:t>
      </w:r>
      <w:r w:rsidR="00AD4E36" w:rsidRPr="001F392C">
        <w:t> </w:t>
      </w:r>
      <w:r w:rsidRPr="001F392C">
        <w:t>401 z 29. januára 2013 k žiadosti Národnej rady Slovenskej republiky o podanie správy požiadala  ministra práce, sociálnych vecí a rodiny predložiť do 31. marca 2013 Národnej rade Slovenskej republiky Správu o aktuálnej situácii na trhu práce v Slovenskej republike a o opatreniach na jej zlepšenie</w:t>
      </w:r>
      <w:r w:rsidRPr="001F392C">
        <w:rPr>
          <w:i/>
        </w:rPr>
        <w:t xml:space="preserve"> </w:t>
      </w:r>
      <w:r w:rsidRPr="001F392C">
        <w:t xml:space="preserve">(ďalej len „správa“). </w:t>
      </w:r>
    </w:p>
    <w:p w:rsidR="002D6E12" w:rsidRPr="001F392C" w:rsidRDefault="002D6E12" w:rsidP="002D6E12">
      <w:pPr>
        <w:autoSpaceDE w:val="0"/>
        <w:autoSpaceDN w:val="0"/>
        <w:adjustRightInd w:val="0"/>
        <w:ind w:firstLine="709"/>
        <w:jc w:val="both"/>
        <w:rPr>
          <w:color w:val="000000"/>
          <w:lang w:eastAsia="sk-SK"/>
        </w:rPr>
      </w:pPr>
    </w:p>
    <w:p w:rsidR="00882F69" w:rsidRPr="001F392C" w:rsidRDefault="00DD16FB" w:rsidP="009063F4">
      <w:pPr>
        <w:autoSpaceDE w:val="0"/>
        <w:autoSpaceDN w:val="0"/>
        <w:adjustRightInd w:val="0"/>
        <w:ind w:firstLine="709"/>
        <w:jc w:val="both"/>
        <w:rPr>
          <w:bCs/>
          <w:color w:val="000000"/>
          <w:lang w:eastAsia="sk-SK"/>
        </w:rPr>
      </w:pPr>
      <w:r w:rsidRPr="001F392C">
        <w:rPr>
          <w:color w:val="000000"/>
          <w:lang w:eastAsia="sk-SK"/>
        </w:rPr>
        <w:t>Sprá</w:t>
      </w:r>
      <w:r w:rsidR="00882F69" w:rsidRPr="001F392C">
        <w:rPr>
          <w:color w:val="000000"/>
          <w:lang w:eastAsia="sk-SK"/>
        </w:rPr>
        <w:t>va je rozdelená do troch častí, ktorým predchádza s</w:t>
      </w:r>
      <w:r w:rsidR="00882F69" w:rsidRPr="001F392C">
        <w:rPr>
          <w:bCs/>
          <w:color w:val="000000"/>
          <w:lang w:eastAsia="sk-SK"/>
        </w:rPr>
        <w:t xml:space="preserve">tručné zhrnutie vývoja na trhu práce za posledných desať rokov. </w:t>
      </w:r>
    </w:p>
    <w:p w:rsidR="00882F69" w:rsidRPr="001F392C" w:rsidRDefault="00882F69" w:rsidP="009063F4">
      <w:pPr>
        <w:autoSpaceDE w:val="0"/>
        <w:autoSpaceDN w:val="0"/>
        <w:adjustRightInd w:val="0"/>
        <w:ind w:firstLine="709"/>
        <w:jc w:val="both"/>
        <w:rPr>
          <w:bCs/>
          <w:color w:val="000000"/>
          <w:lang w:eastAsia="sk-SK"/>
        </w:rPr>
      </w:pPr>
    </w:p>
    <w:p w:rsidR="009063F4" w:rsidRPr="001F392C" w:rsidRDefault="00DD16FB" w:rsidP="009063F4">
      <w:pPr>
        <w:autoSpaceDE w:val="0"/>
        <w:autoSpaceDN w:val="0"/>
        <w:adjustRightInd w:val="0"/>
        <w:ind w:firstLine="709"/>
        <w:jc w:val="both"/>
        <w:rPr>
          <w:color w:val="000000"/>
          <w:lang w:eastAsia="sk-SK"/>
        </w:rPr>
      </w:pPr>
      <w:r w:rsidRPr="001F392C">
        <w:rPr>
          <w:color w:val="000000"/>
          <w:lang w:eastAsia="sk-SK"/>
        </w:rPr>
        <w:t xml:space="preserve">Súčasťou </w:t>
      </w:r>
      <w:r w:rsidRPr="001F392C">
        <w:rPr>
          <w:b/>
          <w:color w:val="000000"/>
          <w:lang w:eastAsia="sk-SK"/>
        </w:rPr>
        <w:t>prvej časti</w:t>
      </w:r>
      <w:r w:rsidRPr="001F392C">
        <w:rPr>
          <w:color w:val="000000"/>
          <w:lang w:eastAsia="sk-SK"/>
        </w:rPr>
        <w:t xml:space="preserve"> je súhrnný integrovaný pohľad na</w:t>
      </w:r>
      <w:r w:rsidR="002D6E12" w:rsidRPr="001F392C">
        <w:rPr>
          <w:color w:val="000000"/>
          <w:lang w:eastAsia="sk-SK"/>
        </w:rPr>
        <w:t xml:space="preserve"> </w:t>
      </w:r>
      <w:r w:rsidRPr="001F392C">
        <w:rPr>
          <w:color w:val="000000"/>
          <w:lang w:eastAsia="sk-SK"/>
        </w:rPr>
        <w:t xml:space="preserve">makroekonomické </w:t>
      </w:r>
      <w:r w:rsidR="00AA7D16" w:rsidRPr="001F392C">
        <w:rPr>
          <w:color w:val="000000"/>
          <w:lang w:eastAsia="sk-SK"/>
        </w:rPr>
        <w:t>faktory ovplyvňujúce vývoj na trhu práce</w:t>
      </w:r>
      <w:r w:rsidRPr="001F392C">
        <w:rPr>
          <w:color w:val="000000"/>
          <w:lang w:eastAsia="sk-SK"/>
        </w:rPr>
        <w:t xml:space="preserve">. </w:t>
      </w:r>
      <w:r w:rsidRPr="001F392C">
        <w:rPr>
          <w:b/>
          <w:color w:val="000000"/>
          <w:lang w:eastAsia="sk-SK"/>
        </w:rPr>
        <w:t>V</w:t>
      </w:r>
      <w:r w:rsidR="00AD4E36" w:rsidRPr="001F392C">
        <w:rPr>
          <w:b/>
          <w:color w:val="000000"/>
          <w:lang w:eastAsia="sk-SK"/>
        </w:rPr>
        <w:t> </w:t>
      </w:r>
      <w:r w:rsidRPr="001F392C">
        <w:rPr>
          <w:b/>
          <w:color w:val="000000"/>
          <w:lang w:eastAsia="sk-SK"/>
        </w:rPr>
        <w:t>druhej časti</w:t>
      </w:r>
      <w:r w:rsidRPr="001F392C">
        <w:rPr>
          <w:color w:val="000000"/>
          <w:lang w:eastAsia="sk-SK"/>
        </w:rPr>
        <w:t xml:space="preserve"> je vlastná analýza</w:t>
      </w:r>
      <w:r w:rsidR="002D6E12" w:rsidRPr="001F392C">
        <w:rPr>
          <w:color w:val="000000"/>
          <w:lang w:eastAsia="sk-SK"/>
        </w:rPr>
        <w:t xml:space="preserve"> situácie na trhu práce </w:t>
      </w:r>
      <w:r w:rsidR="003E53A0" w:rsidRPr="001F392C">
        <w:rPr>
          <w:color w:val="000000"/>
          <w:lang w:eastAsia="sk-SK"/>
        </w:rPr>
        <w:t xml:space="preserve">za aktuálne obdobie </w:t>
      </w:r>
      <w:r w:rsidR="00882F69" w:rsidRPr="001F392C">
        <w:rPr>
          <w:color w:val="000000"/>
          <w:lang w:eastAsia="sk-SK"/>
        </w:rPr>
        <w:t>roku</w:t>
      </w:r>
      <w:r w:rsidR="002D6E12" w:rsidRPr="001F392C">
        <w:rPr>
          <w:color w:val="000000"/>
          <w:lang w:eastAsia="sk-SK"/>
        </w:rPr>
        <w:t xml:space="preserve"> 2013 v kontexte s vývojom na t</w:t>
      </w:r>
      <w:r w:rsidR="00550A07" w:rsidRPr="001F392C">
        <w:rPr>
          <w:color w:val="000000"/>
          <w:lang w:eastAsia="sk-SK"/>
        </w:rPr>
        <w:t>rhu práce za posledné tri roky</w:t>
      </w:r>
      <w:r w:rsidR="002D6E12" w:rsidRPr="001F392C">
        <w:rPr>
          <w:color w:val="000000"/>
          <w:lang w:eastAsia="sk-SK"/>
        </w:rPr>
        <w:t xml:space="preserve">. </w:t>
      </w:r>
      <w:r w:rsidR="00550A07" w:rsidRPr="001F392C">
        <w:rPr>
          <w:color w:val="000000"/>
          <w:lang w:eastAsia="sk-SK"/>
        </w:rPr>
        <w:t xml:space="preserve">V tejto časti </w:t>
      </w:r>
      <w:r w:rsidR="003E53A0" w:rsidRPr="001F392C">
        <w:rPr>
          <w:color w:val="000000"/>
          <w:lang w:eastAsia="sk-SK"/>
        </w:rPr>
        <w:t xml:space="preserve">sa </w:t>
      </w:r>
      <w:r w:rsidR="00550A07" w:rsidRPr="001F392C">
        <w:rPr>
          <w:color w:val="000000"/>
          <w:lang w:eastAsia="sk-SK"/>
        </w:rPr>
        <w:t xml:space="preserve">správa </w:t>
      </w:r>
      <w:r w:rsidR="003E53A0" w:rsidRPr="001F392C">
        <w:rPr>
          <w:color w:val="000000"/>
          <w:lang w:eastAsia="sk-SK"/>
        </w:rPr>
        <w:t xml:space="preserve">zameriava najmä na základné aktuálne trendy na trhu práce z hľadiska zamestnanosti, nezamestnanosti, popisom voľných pracovných miest, venuje sa aj </w:t>
      </w:r>
      <w:r w:rsidR="00882F69" w:rsidRPr="001F392C">
        <w:rPr>
          <w:color w:val="000000"/>
          <w:lang w:eastAsia="sk-SK"/>
        </w:rPr>
        <w:t>eliminácii nelegálneho zamestnávania a nelegálnej práce a</w:t>
      </w:r>
      <w:r w:rsidR="006E62A2" w:rsidRPr="001F392C">
        <w:rPr>
          <w:color w:val="000000"/>
          <w:lang w:eastAsia="sk-SK"/>
        </w:rPr>
        <w:t> </w:t>
      </w:r>
      <w:r w:rsidR="00550A07" w:rsidRPr="001F392C">
        <w:rPr>
          <w:color w:val="000000"/>
          <w:lang w:eastAsia="sk-SK"/>
        </w:rPr>
        <w:t>vplyv</w:t>
      </w:r>
      <w:r w:rsidR="003E53A0" w:rsidRPr="001F392C">
        <w:rPr>
          <w:color w:val="000000"/>
          <w:lang w:eastAsia="sk-SK"/>
        </w:rPr>
        <w:t>om aktívnej politiky trhu prác</w:t>
      </w:r>
      <w:r w:rsidR="00CC5BA5" w:rsidRPr="001F392C">
        <w:rPr>
          <w:color w:val="000000"/>
          <w:lang w:eastAsia="sk-SK"/>
        </w:rPr>
        <w:t>e</w:t>
      </w:r>
      <w:r w:rsidR="003E53A0" w:rsidRPr="001F392C">
        <w:rPr>
          <w:color w:val="000000"/>
          <w:lang w:eastAsia="sk-SK"/>
        </w:rPr>
        <w:t xml:space="preserve">. </w:t>
      </w:r>
      <w:r w:rsidRPr="001F392C">
        <w:rPr>
          <w:b/>
          <w:color w:val="000000"/>
          <w:lang w:eastAsia="sk-SK"/>
        </w:rPr>
        <w:t>Tretia časť</w:t>
      </w:r>
      <w:r w:rsidRPr="001F392C">
        <w:rPr>
          <w:color w:val="000000"/>
          <w:lang w:eastAsia="sk-SK"/>
        </w:rPr>
        <w:t xml:space="preserve"> obsahuje </w:t>
      </w:r>
      <w:r w:rsidR="003E53A0" w:rsidRPr="001F392C">
        <w:rPr>
          <w:color w:val="000000"/>
          <w:lang w:eastAsia="sk-SK"/>
        </w:rPr>
        <w:t xml:space="preserve">opatrenia na </w:t>
      </w:r>
      <w:r w:rsidR="00550A07" w:rsidRPr="001F392C">
        <w:rPr>
          <w:color w:val="000000"/>
          <w:lang w:eastAsia="sk-SK"/>
        </w:rPr>
        <w:t>zlepšenie</w:t>
      </w:r>
      <w:r w:rsidR="003E53A0" w:rsidRPr="001F392C">
        <w:rPr>
          <w:color w:val="000000"/>
          <w:lang w:eastAsia="sk-SK"/>
        </w:rPr>
        <w:t xml:space="preserve"> situácie na trhu práce </w:t>
      </w:r>
      <w:r w:rsidR="009063F4" w:rsidRPr="001F392C">
        <w:rPr>
          <w:color w:val="000000"/>
          <w:lang w:eastAsia="sk-SK"/>
        </w:rPr>
        <w:t xml:space="preserve">v čase </w:t>
      </w:r>
      <w:r w:rsidR="00740F7F" w:rsidRPr="001F392C">
        <w:rPr>
          <w:color w:val="000000"/>
          <w:lang w:eastAsia="sk-SK"/>
        </w:rPr>
        <w:t>spomaľovania ekonomického rastu</w:t>
      </w:r>
      <w:r w:rsidR="009063F4" w:rsidRPr="001F392C">
        <w:rPr>
          <w:color w:val="000000"/>
          <w:lang w:eastAsia="sk-SK"/>
        </w:rPr>
        <w:t xml:space="preserve">. </w:t>
      </w:r>
    </w:p>
    <w:p w:rsidR="009063F4" w:rsidRPr="001F392C" w:rsidRDefault="009063F4" w:rsidP="009063F4">
      <w:pPr>
        <w:autoSpaceDE w:val="0"/>
        <w:autoSpaceDN w:val="0"/>
        <w:adjustRightInd w:val="0"/>
        <w:ind w:firstLine="709"/>
        <w:jc w:val="both"/>
        <w:rPr>
          <w:color w:val="000000"/>
          <w:lang w:eastAsia="sk-SK"/>
        </w:rPr>
      </w:pPr>
    </w:p>
    <w:p w:rsidR="00AD4E36" w:rsidRPr="001F392C" w:rsidRDefault="009063F4" w:rsidP="009063F4">
      <w:pPr>
        <w:autoSpaceDE w:val="0"/>
        <w:autoSpaceDN w:val="0"/>
        <w:adjustRightInd w:val="0"/>
        <w:ind w:firstLine="709"/>
        <w:jc w:val="both"/>
        <w:rPr>
          <w:b/>
          <w:u w:val="single"/>
        </w:rPr>
      </w:pPr>
      <w:r w:rsidRPr="001F392C">
        <w:rPr>
          <w:color w:val="000000"/>
          <w:lang w:eastAsia="sk-SK"/>
        </w:rPr>
        <w:t xml:space="preserve">Súčasťou správy </w:t>
      </w:r>
      <w:r w:rsidR="00B84332">
        <w:rPr>
          <w:color w:val="000000"/>
          <w:lang w:eastAsia="sk-SK"/>
        </w:rPr>
        <w:t xml:space="preserve">sú analytické dáta trhu práce, </w:t>
      </w:r>
      <w:r w:rsidRPr="001F392C">
        <w:rPr>
          <w:color w:val="000000"/>
          <w:lang w:eastAsia="sk-SK"/>
        </w:rPr>
        <w:t>záver a tabuľková časť</w:t>
      </w:r>
      <w:r w:rsidR="00881D94" w:rsidRPr="001F392C">
        <w:rPr>
          <w:color w:val="000000"/>
          <w:lang w:eastAsia="sk-SK"/>
        </w:rPr>
        <w:t xml:space="preserve"> predkladaná formou príloh</w:t>
      </w:r>
      <w:r w:rsidRPr="001F392C">
        <w:rPr>
          <w:color w:val="000000"/>
          <w:lang w:eastAsia="sk-SK"/>
        </w:rPr>
        <w:t>. Analytické dáta a údaje boli čerpané z informačných systémov Ústredia práce, sociálnych vecí a rodiny.</w:t>
      </w:r>
      <w:r w:rsidR="00AD4E36" w:rsidRPr="001F392C">
        <w:rPr>
          <w:color w:val="000000"/>
          <w:lang w:eastAsia="sk-SK"/>
        </w:rPr>
        <w:t xml:space="preserve"> Doplnkovým zdrojom boli </w:t>
      </w:r>
      <w:r w:rsidRPr="001F392C">
        <w:rPr>
          <w:color w:val="000000"/>
          <w:lang w:eastAsia="sk-SK"/>
        </w:rPr>
        <w:t>údaje zo Štatistického úradu SR, Eurostatu</w:t>
      </w:r>
      <w:r w:rsidR="00881D94" w:rsidRPr="001F392C">
        <w:rPr>
          <w:color w:val="000000"/>
          <w:lang w:eastAsia="sk-SK"/>
        </w:rPr>
        <w:t xml:space="preserve"> a</w:t>
      </w:r>
      <w:r w:rsidR="005C25B6">
        <w:rPr>
          <w:color w:val="000000"/>
          <w:lang w:eastAsia="sk-SK"/>
        </w:rPr>
        <w:t> štatistických zisťovaní organizovaných Ministerstvom práce, sociálnych vecí a rodiny SR</w:t>
      </w:r>
      <w:r w:rsidR="00AD4E36" w:rsidRPr="001F392C">
        <w:rPr>
          <w:color w:val="000000"/>
          <w:lang w:eastAsia="sk-SK"/>
        </w:rPr>
        <w:t xml:space="preserve">. Správa je založená aj na </w:t>
      </w:r>
      <w:r w:rsidR="00A2270B" w:rsidRPr="001F392C">
        <w:rPr>
          <w:color w:val="000000"/>
          <w:lang w:eastAsia="sk-SK"/>
        </w:rPr>
        <w:t>výstupoch z</w:t>
      </w:r>
      <w:r w:rsidR="006E62A2" w:rsidRPr="001F392C">
        <w:rPr>
          <w:color w:val="000000"/>
          <w:lang w:eastAsia="sk-SK"/>
        </w:rPr>
        <w:t> </w:t>
      </w:r>
      <w:r w:rsidR="00AD4E36" w:rsidRPr="001F392C">
        <w:rPr>
          <w:color w:val="000000"/>
          <w:lang w:eastAsia="sk-SK"/>
        </w:rPr>
        <w:t xml:space="preserve">expertíznej činnosti </w:t>
      </w:r>
      <w:r w:rsidR="00AD4E36" w:rsidRPr="001F392C">
        <w:t>Inštitútu pre výskum práce a rodiny, ktorý je zriadený Ministerstvom práce, sociálnych vecí a</w:t>
      </w:r>
      <w:r w:rsidR="00540856" w:rsidRPr="001F392C">
        <w:t> </w:t>
      </w:r>
      <w:r w:rsidR="00AD4E36" w:rsidRPr="001F392C">
        <w:t>rodiny</w:t>
      </w:r>
      <w:r w:rsidR="00540856" w:rsidRPr="001F392C">
        <w:t xml:space="preserve"> SR</w:t>
      </w:r>
      <w:r w:rsidR="00AD4E36" w:rsidRPr="001F392C">
        <w:t xml:space="preserve">.  </w:t>
      </w:r>
    </w:p>
    <w:p w:rsidR="009063F4" w:rsidRPr="001F392C" w:rsidRDefault="009063F4" w:rsidP="009063F4">
      <w:pPr>
        <w:jc w:val="both"/>
        <w:rPr>
          <w:i/>
        </w:rPr>
      </w:pPr>
    </w:p>
    <w:p w:rsidR="009063F4" w:rsidRPr="001F392C" w:rsidRDefault="009063F4"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3150B9" w:rsidRPr="001F392C" w:rsidRDefault="003150B9" w:rsidP="002D6E12">
      <w:pPr>
        <w:autoSpaceDE w:val="0"/>
        <w:autoSpaceDN w:val="0"/>
        <w:adjustRightInd w:val="0"/>
        <w:ind w:firstLine="709"/>
        <w:jc w:val="both"/>
        <w:rPr>
          <w:color w:val="000000"/>
          <w:lang w:eastAsia="sk-SK"/>
        </w:rPr>
      </w:pPr>
    </w:p>
    <w:p w:rsidR="00A439FE" w:rsidRPr="001F392C" w:rsidRDefault="00540856" w:rsidP="00634E74">
      <w:pPr>
        <w:autoSpaceDE w:val="0"/>
        <w:autoSpaceDN w:val="0"/>
        <w:adjustRightInd w:val="0"/>
        <w:rPr>
          <w:b/>
          <w:bCs/>
          <w:sz w:val="28"/>
          <w:szCs w:val="28"/>
        </w:rPr>
      </w:pPr>
      <w:r w:rsidRPr="001F392C">
        <w:rPr>
          <w:b/>
          <w:bCs/>
          <w:color w:val="000000"/>
          <w:sz w:val="36"/>
          <w:szCs w:val="36"/>
          <w:lang w:eastAsia="sk-SK"/>
        </w:rPr>
        <w:br w:type="page"/>
      </w:r>
      <w:r w:rsidR="00222EA2" w:rsidRPr="001F392C">
        <w:rPr>
          <w:b/>
          <w:bCs/>
          <w:sz w:val="28"/>
          <w:szCs w:val="28"/>
        </w:rPr>
        <w:lastRenderedPageBreak/>
        <w:t xml:space="preserve">STRUČNÉ ZHRNUTIE </w:t>
      </w:r>
      <w:r w:rsidR="00B96C4A" w:rsidRPr="001F392C">
        <w:rPr>
          <w:b/>
          <w:bCs/>
          <w:sz w:val="28"/>
          <w:szCs w:val="28"/>
        </w:rPr>
        <w:t>VÝ</w:t>
      </w:r>
      <w:r w:rsidR="00A439FE" w:rsidRPr="001F392C">
        <w:rPr>
          <w:b/>
          <w:bCs/>
          <w:sz w:val="28"/>
          <w:szCs w:val="28"/>
        </w:rPr>
        <w:t>VO</w:t>
      </w:r>
      <w:r w:rsidR="00B96C4A" w:rsidRPr="001F392C">
        <w:rPr>
          <w:b/>
          <w:bCs/>
          <w:sz w:val="28"/>
          <w:szCs w:val="28"/>
        </w:rPr>
        <w:t xml:space="preserve">JA </w:t>
      </w:r>
      <w:r w:rsidR="00251FA5" w:rsidRPr="001F392C">
        <w:rPr>
          <w:b/>
          <w:bCs/>
          <w:sz w:val="28"/>
          <w:szCs w:val="28"/>
        </w:rPr>
        <w:t xml:space="preserve">NA TRHU PRÁCE </w:t>
      </w:r>
      <w:r w:rsidR="00222EA2" w:rsidRPr="001F392C">
        <w:rPr>
          <w:b/>
          <w:bCs/>
          <w:sz w:val="28"/>
          <w:szCs w:val="28"/>
        </w:rPr>
        <w:t>ZA POSLEDNÝCH DESAŤ ROKOV</w:t>
      </w:r>
    </w:p>
    <w:p w:rsidR="00222EA2" w:rsidRPr="001F392C" w:rsidRDefault="00222EA2" w:rsidP="003150B9">
      <w:pPr>
        <w:jc w:val="both"/>
        <w:rPr>
          <w:color w:val="1F497D" w:themeColor="text2"/>
        </w:rPr>
      </w:pPr>
    </w:p>
    <w:p w:rsidR="00634E74" w:rsidRPr="001F392C" w:rsidRDefault="00634E74" w:rsidP="00A97DBD">
      <w:pPr>
        <w:autoSpaceDE w:val="0"/>
        <w:autoSpaceDN w:val="0"/>
        <w:adjustRightInd w:val="0"/>
        <w:jc w:val="both"/>
        <w:rPr>
          <w:u w:val="single"/>
        </w:rPr>
      </w:pPr>
    </w:p>
    <w:p w:rsidR="0036232E" w:rsidRPr="001F392C" w:rsidRDefault="0036232E" w:rsidP="00A97DBD">
      <w:pPr>
        <w:autoSpaceDE w:val="0"/>
        <w:autoSpaceDN w:val="0"/>
        <w:adjustRightInd w:val="0"/>
        <w:jc w:val="both"/>
        <w:rPr>
          <w:b/>
          <w:u w:val="single"/>
        </w:rPr>
      </w:pPr>
      <w:r w:rsidRPr="001F392C">
        <w:rPr>
          <w:b/>
          <w:u w:val="single"/>
        </w:rPr>
        <w:t>Vývoj na trhu práce od roku 2002 do apríla 2012</w:t>
      </w:r>
    </w:p>
    <w:p w:rsidR="0036232E" w:rsidRPr="001F392C" w:rsidRDefault="0036232E" w:rsidP="00A97DBD">
      <w:pPr>
        <w:autoSpaceDE w:val="0"/>
        <w:autoSpaceDN w:val="0"/>
        <w:adjustRightInd w:val="0"/>
        <w:jc w:val="both"/>
        <w:rPr>
          <w:b/>
        </w:rPr>
      </w:pPr>
    </w:p>
    <w:p w:rsidR="00A97DBD" w:rsidRPr="001F392C" w:rsidRDefault="00317DA9" w:rsidP="004447D6">
      <w:pPr>
        <w:autoSpaceDE w:val="0"/>
        <w:autoSpaceDN w:val="0"/>
        <w:adjustRightInd w:val="0"/>
        <w:ind w:firstLine="709"/>
        <w:jc w:val="both"/>
        <w:rPr>
          <w:lang w:eastAsia="sk-SK"/>
        </w:rPr>
      </w:pPr>
      <w:r w:rsidRPr="001F392C">
        <w:t>V</w:t>
      </w:r>
      <w:r w:rsidR="00B96C4A" w:rsidRPr="001F392C">
        <w:t xml:space="preserve">ývoj </w:t>
      </w:r>
      <w:r w:rsidR="002B083B" w:rsidRPr="001F392C">
        <w:t>trhu práce v</w:t>
      </w:r>
      <w:r w:rsidR="000B484B" w:rsidRPr="001F392C">
        <w:t xml:space="preserve"> období </w:t>
      </w:r>
      <w:r w:rsidR="002B083B" w:rsidRPr="001F392C">
        <w:t xml:space="preserve">posledných desiatich rokoch </w:t>
      </w:r>
      <w:r w:rsidRPr="001F392C">
        <w:t xml:space="preserve">ovplyvňovali viaceré </w:t>
      </w:r>
      <w:r w:rsidR="00B96C4A" w:rsidRPr="001F392C">
        <w:rPr>
          <w:color w:val="000000"/>
          <w:lang w:eastAsia="sk-SK"/>
        </w:rPr>
        <w:t>pozitívn</w:t>
      </w:r>
      <w:r w:rsidRPr="001F392C">
        <w:rPr>
          <w:color w:val="000000"/>
          <w:lang w:eastAsia="sk-SK"/>
        </w:rPr>
        <w:t>e</w:t>
      </w:r>
      <w:r w:rsidR="00B96C4A" w:rsidRPr="001F392C">
        <w:rPr>
          <w:color w:val="000000"/>
          <w:lang w:eastAsia="sk-SK"/>
        </w:rPr>
        <w:t xml:space="preserve"> a</w:t>
      </w:r>
      <w:r w:rsidRPr="001F392C">
        <w:rPr>
          <w:color w:val="000000"/>
          <w:lang w:eastAsia="sk-SK"/>
        </w:rPr>
        <w:t> </w:t>
      </w:r>
      <w:r w:rsidR="00B96C4A" w:rsidRPr="001F392C">
        <w:rPr>
          <w:color w:val="000000"/>
          <w:lang w:eastAsia="sk-SK"/>
        </w:rPr>
        <w:t>negatívn</w:t>
      </w:r>
      <w:r w:rsidRPr="001F392C">
        <w:rPr>
          <w:color w:val="000000"/>
          <w:lang w:eastAsia="sk-SK"/>
        </w:rPr>
        <w:t xml:space="preserve">e faktory. Najsilnejším bol v oboch prípadoch ekonomický vývoj SR, ktorý bol v plnej miere dôsledkom ekonomického vývoja predovšetkým v EÚ (v posledných rokoch osobitne v EMÚ), ako aj </w:t>
      </w:r>
      <w:r w:rsidR="00CC5BA5" w:rsidRPr="001F392C">
        <w:rPr>
          <w:color w:val="000000"/>
          <w:lang w:eastAsia="sk-SK"/>
        </w:rPr>
        <w:t xml:space="preserve">v </w:t>
      </w:r>
      <w:r w:rsidRPr="001F392C">
        <w:rPr>
          <w:color w:val="000000"/>
          <w:lang w:eastAsia="sk-SK"/>
        </w:rPr>
        <w:t>kľúčových štátoch za jej hranicami. Napr. t</w:t>
      </w:r>
      <w:r w:rsidR="007A18F5" w:rsidRPr="001F392C">
        <w:rPr>
          <w:lang w:eastAsia="sk-SK"/>
        </w:rPr>
        <w:t>vor</w:t>
      </w:r>
      <w:r w:rsidR="000B484B" w:rsidRPr="001F392C">
        <w:rPr>
          <w:lang w:eastAsia="sk-SK"/>
        </w:rPr>
        <w:t xml:space="preserve">ba </w:t>
      </w:r>
      <w:r w:rsidRPr="001F392C">
        <w:rPr>
          <w:lang w:eastAsia="sk-SK"/>
        </w:rPr>
        <w:t xml:space="preserve">HDP </w:t>
      </w:r>
      <w:r w:rsidR="000B484B" w:rsidRPr="001F392C">
        <w:rPr>
          <w:lang w:eastAsia="sk-SK"/>
        </w:rPr>
        <w:t>EÚ</w:t>
      </w:r>
      <w:r w:rsidR="00523C30" w:rsidRPr="001F392C">
        <w:rPr>
          <w:lang w:eastAsia="sk-SK"/>
        </w:rPr>
        <w:t> </w:t>
      </w:r>
      <w:r w:rsidR="007A18F5" w:rsidRPr="001F392C">
        <w:rPr>
          <w:lang w:eastAsia="sk-SK"/>
        </w:rPr>
        <w:t xml:space="preserve">27 </w:t>
      </w:r>
      <w:r w:rsidR="00DC2622" w:rsidRPr="001F392C">
        <w:rPr>
          <w:lang w:eastAsia="sk-SK"/>
        </w:rPr>
        <w:t xml:space="preserve">        </w:t>
      </w:r>
      <w:r w:rsidR="007A18F5" w:rsidRPr="001F392C">
        <w:rPr>
          <w:lang w:eastAsia="sk-SK"/>
        </w:rPr>
        <w:t>v roku 2009 medziročne poklesla</w:t>
      </w:r>
      <w:r w:rsidR="007A18F5" w:rsidRPr="001F392C">
        <w:rPr>
          <w:color w:val="000000"/>
          <w:lang w:eastAsia="sk-SK"/>
        </w:rPr>
        <w:t xml:space="preserve"> </w:t>
      </w:r>
      <w:r w:rsidR="007A18F5" w:rsidRPr="001F392C">
        <w:rPr>
          <w:lang w:eastAsia="sk-SK"/>
        </w:rPr>
        <w:t>o 4,</w:t>
      </w:r>
      <w:r w:rsidR="00B84332">
        <w:rPr>
          <w:lang w:eastAsia="sk-SK"/>
        </w:rPr>
        <w:t>3</w:t>
      </w:r>
      <w:r w:rsidR="004447D6" w:rsidRPr="001F392C">
        <w:rPr>
          <w:lang w:eastAsia="sk-SK"/>
        </w:rPr>
        <w:t xml:space="preserve"> </w:t>
      </w:r>
      <w:r w:rsidR="007A18F5" w:rsidRPr="001F392C">
        <w:rPr>
          <w:lang w:eastAsia="sk-SK"/>
        </w:rPr>
        <w:t>% a</w:t>
      </w:r>
      <w:r w:rsidR="004447D6" w:rsidRPr="001F392C">
        <w:rPr>
          <w:lang w:eastAsia="sk-SK"/>
        </w:rPr>
        <w:t> </w:t>
      </w:r>
      <w:r w:rsidR="007A18F5" w:rsidRPr="001F392C">
        <w:rPr>
          <w:lang w:eastAsia="sk-SK"/>
        </w:rPr>
        <w:t>zamestnanosť</w:t>
      </w:r>
      <w:r w:rsidR="004447D6" w:rsidRPr="001F392C">
        <w:rPr>
          <w:lang w:eastAsia="sk-SK"/>
        </w:rPr>
        <w:t xml:space="preserve"> </w:t>
      </w:r>
      <w:r w:rsidR="007A18F5" w:rsidRPr="001F392C">
        <w:rPr>
          <w:lang w:eastAsia="sk-SK"/>
        </w:rPr>
        <w:t>o 1,8</w:t>
      </w:r>
      <w:r w:rsidR="00523C30" w:rsidRPr="001F392C">
        <w:rPr>
          <w:lang w:eastAsia="sk-SK"/>
        </w:rPr>
        <w:t xml:space="preserve"> </w:t>
      </w:r>
      <w:r w:rsidR="007A18F5" w:rsidRPr="001F392C">
        <w:rPr>
          <w:lang w:eastAsia="sk-SK"/>
        </w:rPr>
        <w:t>%. Počet nezamestnaných dosiahol 21,</w:t>
      </w:r>
      <w:r w:rsidR="00B84332">
        <w:rPr>
          <w:lang w:eastAsia="sk-SK"/>
        </w:rPr>
        <w:t>2</w:t>
      </w:r>
      <w:r w:rsidR="007A18F5" w:rsidRPr="001F392C">
        <w:rPr>
          <w:lang w:eastAsia="sk-SK"/>
        </w:rPr>
        <w:t xml:space="preserve"> m</w:t>
      </w:r>
      <w:r w:rsidRPr="001F392C">
        <w:rPr>
          <w:lang w:eastAsia="sk-SK"/>
        </w:rPr>
        <w:t>i</w:t>
      </w:r>
      <w:r w:rsidR="007A18F5" w:rsidRPr="001F392C">
        <w:rPr>
          <w:lang w:eastAsia="sk-SK"/>
        </w:rPr>
        <w:t xml:space="preserve">l. osôb, čo predstavovalo </w:t>
      </w:r>
      <w:r w:rsidR="00B84332">
        <w:rPr>
          <w:lang w:eastAsia="sk-SK"/>
        </w:rPr>
        <w:t>9</w:t>
      </w:r>
      <w:r w:rsidR="00523C30" w:rsidRPr="001F392C">
        <w:rPr>
          <w:lang w:eastAsia="sk-SK"/>
        </w:rPr>
        <w:t xml:space="preserve"> </w:t>
      </w:r>
      <w:r w:rsidR="007A18F5" w:rsidRPr="001F392C">
        <w:rPr>
          <w:lang w:eastAsia="sk-SK"/>
        </w:rPr>
        <w:t xml:space="preserve">% jej ekonomicky aktívneho obyvateľstva. </w:t>
      </w:r>
    </w:p>
    <w:p w:rsidR="00A97DBD" w:rsidRPr="001F392C" w:rsidRDefault="00A97DBD" w:rsidP="00A97DBD">
      <w:pPr>
        <w:autoSpaceDE w:val="0"/>
        <w:autoSpaceDN w:val="0"/>
        <w:adjustRightInd w:val="0"/>
        <w:jc w:val="both"/>
        <w:rPr>
          <w:lang w:eastAsia="sk-SK"/>
        </w:rPr>
      </w:pPr>
    </w:p>
    <w:p w:rsidR="00BE61E1" w:rsidRDefault="00BE61E1" w:rsidP="004447D6">
      <w:pPr>
        <w:autoSpaceDE w:val="0"/>
        <w:autoSpaceDN w:val="0"/>
        <w:adjustRightInd w:val="0"/>
        <w:ind w:firstLine="709"/>
        <w:jc w:val="both"/>
        <w:rPr>
          <w:lang w:eastAsia="sk-SK"/>
        </w:rPr>
      </w:pPr>
      <w:r>
        <w:rPr>
          <w:lang w:eastAsia="sk-SK"/>
        </w:rPr>
        <w:t>D</w:t>
      </w:r>
      <w:r w:rsidR="00634E74" w:rsidRPr="001F392C">
        <w:rPr>
          <w:lang w:eastAsia="sk-SK"/>
        </w:rPr>
        <w:t>o polovice roka</w:t>
      </w:r>
      <w:r w:rsidR="00317DA9" w:rsidRPr="001F392C">
        <w:rPr>
          <w:lang w:eastAsia="sk-SK"/>
        </w:rPr>
        <w:t xml:space="preserve"> 2008 </w:t>
      </w:r>
      <w:r>
        <w:rPr>
          <w:lang w:eastAsia="sk-SK"/>
        </w:rPr>
        <w:t>bol vývoj slovenského trhu práce bezprecedentne pozitívny. Tento fakt súvisí s rekordnými medziročnými rastami HDP, ktoré dokazovali prudký rast produkcie slovenských podnikov. Napr. v roku 2004 bola miera nezamestnanosti 13,1% pri 5%-tnom raste HDP. V roku 2005 klesla miera nezamestnanosti na 9,4% pri raste HDP 8,5% a v roku 2007</w:t>
      </w:r>
      <w:r w:rsidR="00E30EEC">
        <w:rPr>
          <w:lang w:eastAsia="sk-SK"/>
        </w:rPr>
        <w:t xml:space="preserve"> dosiahla miera nezamestnanosti len 8%, ale rast HDP prekročil 10 a pol percenta. V tom istom čase sa kontinuálne zvyšoval aj podiel exportu  na tvorbe HDP a v súčasnosti osciluje okolo 90%. </w:t>
      </w:r>
    </w:p>
    <w:p w:rsidR="00E30EEC" w:rsidRDefault="00E30EEC" w:rsidP="004447D6">
      <w:pPr>
        <w:autoSpaceDE w:val="0"/>
        <w:autoSpaceDN w:val="0"/>
        <w:adjustRightInd w:val="0"/>
        <w:ind w:firstLine="709"/>
        <w:jc w:val="both"/>
        <w:rPr>
          <w:lang w:eastAsia="sk-SK"/>
        </w:rPr>
      </w:pPr>
    </w:p>
    <w:p w:rsidR="00E30EEC" w:rsidRDefault="00E30EEC" w:rsidP="004447D6">
      <w:pPr>
        <w:autoSpaceDE w:val="0"/>
        <w:autoSpaceDN w:val="0"/>
        <w:adjustRightInd w:val="0"/>
        <w:ind w:firstLine="709"/>
        <w:jc w:val="both"/>
        <w:rPr>
          <w:lang w:eastAsia="sk-SK"/>
        </w:rPr>
      </w:pPr>
      <w:r>
        <w:rPr>
          <w:lang w:eastAsia="sk-SK"/>
        </w:rPr>
        <w:t xml:space="preserve">Pracovnoprávna legislatíva sa v tomto čase menila viackrát rôznym spôsobom, po výmene vládnej garnitúry aj úplne protichodne. Analýza vývoja trhu práce a ekonomického rastu v porovnaní s takýmito legislatívnymi zmenami ukazuje, že kľúčovým faktorom vplývajúcim na náš trh práce je práve hospodársky vývoj a ten je zasa podmienený predovšetkým globálnymi vplyvmi. </w:t>
      </w:r>
    </w:p>
    <w:p w:rsidR="00E30EEC" w:rsidRDefault="00E30EEC" w:rsidP="004447D6">
      <w:pPr>
        <w:autoSpaceDE w:val="0"/>
        <w:autoSpaceDN w:val="0"/>
        <w:adjustRightInd w:val="0"/>
        <w:ind w:firstLine="709"/>
        <w:jc w:val="both"/>
        <w:rPr>
          <w:lang w:eastAsia="sk-SK"/>
        </w:rPr>
      </w:pPr>
    </w:p>
    <w:p w:rsidR="00E30EEC" w:rsidRDefault="00E30EEC" w:rsidP="004447D6">
      <w:pPr>
        <w:autoSpaceDE w:val="0"/>
        <w:autoSpaceDN w:val="0"/>
        <w:adjustRightInd w:val="0"/>
        <w:ind w:firstLine="709"/>
        <w:jc w:val="both"/>
        <w:rPr>
          <w:lang w:eastAsia="sk-SK"/>
        </w:rPr>
      </w:pPr>
      <w:r>
        <w:rPr>
          <w:lang w:eastAsia="sk-SK"/>
        </w:rPr>
        <w:t xml:space="preserve">Pozitívny hospodársky vývoj v EÚ však ovplyvňuje náš trh práce ešte jedným spôsobom. Európska legislatíva zaručuje ľuďom ich voľný cezhraničný pohyb na pracovných trhoch. </w:t>
      </w:r>
      <w:r w:rsidR="003316EB">
        <w:rPr>
          <w:lang w:eastAsia="sk-SK"/>
        </w:rPr>
        <w:t>Do druhej polovice roku 2008 hospodársky rast v ostatných čl. krajinách EÚ vytváral tlak na potrebu nových pracovných síl. Pokles nezamestnanosti u nás v tomto čase pozitívne ovplyvňoval rastúci počet občanov SR, ktorí odchádzali pracovať do zahraničia. Naopak, od r</w:t>
      </w:r>
      <w:r w:rsidR="002C4F7E">
        <w:rPr>
          <w:lang w:eastAsia="sk-SK"/>
        </w:rPr>
        <w:t>oku</w:t>
      </w:r>
      <w:r w:rsidR="003316EB">
        <w:rPr>
          <w:lang w:eastAsia="sk-SK"/>
        </w:rPr>
        <w:t xml:space="preserve"> 2009 </w:t>
      </w:r>
      <w:r w:rsidR="002C4F7E">
        <w:rPr>
          <w:lang w:eastAsia="sk-SK"/>
        </w:rPr>
        <w:t>–</w:t>
      </w:r>
      <w:r w:rsidR="003316EB">
        <w:rPr>
          <w:lang w:eastAsia="sk-SK"/>
        </w:rPr>
        <w:t xml:space="preserve"> kedy</w:t>
      </w:r>
      <w:r w:rsidR="002C4F7E">
        <w:rPr>
          <w:lang w:eastAsia="sk-SK"/>
        </w:rPr>
        <w:t xml:space="preserve"> </w:t>
      </w:r>
      <w:r w:rsidR="003316EB">
        <w:rPr>
          <w:lang w:eastAsia="sk-SK"/>
        </w:rPr>
        <w:t>Európu zasiahla hosp</w:t>
      </w:r>
      <w:r w:rsidR="002C4F7E">
        <w:rPr>
          <w:lang w:eastAsia="sk-SK"/>
        </w:rPr>
        <w:t>odárska</w:t>
      </w:r>
      <w:r w:rsidR="003316EB">
        <w:rPr>
          <w:lang w:eastAsia="sk-SK"/>
        </w:rPr>
        <w:t xml:space="preserve"> kríza – sme zaznamenali signifikantný nárast nezamestnaných, ktorí ako posledné miesto zamestnania uvádzali prácu v zahraničí. </w:t>
      </w:r>
    </w:p>
    <w:p w:rsidR="003316EB" w:rsidRDefault="003316EB" w:rsidP="004447D6">
      <w:pPr>
        <w:autoSpaceDE w:val="0"/>
        <w:autoSpaceDN w:val="0"/>
        <w:adjustRightInd w:val="0"/>
        <w:ind w:firstLine="709"/>
        <w:jc w:val="both"/>
        <w:rPr>
          <w:lang w:eastAsia="sk-SK"/>
        </w:rPr>
      </w:pPr>
    </w:p>
    <w:p w:rsidR="00DA632A" w:rsidRPr="001F392C" w:rsidRDefault="00DA632A" w:rsidP="00DA632A">
      <w:pPr>
        <w:pStyle w:val="Odsekzoznamu"/>
        <w:overflowPunct w:val="0"/>
        <w:autoSpaceDE w:val="0"/>
        <w:autoSpaceDN w:val="0"/>
        <w:adjustRightInd w:val="0"/>
        <w:ind w:left="0" w:firstLine="709"/>
        <w:contextualSpacing/>
        <w:jc w:val="both"/>
      </w:pPr>
      <w:r w:rsidRPr="001F392C">
        <w:t xml:space="preserve">V roku 2012 v porovnaní s rokom 2008 miera evidovanej nezamestnanosti vzrástla </w:t>
      </w:r>
      <w:r w:rsidRPr="001F392C">
        <w:br/>
        <w:t xml:space="preserve">o 5,94 p.b. </w:t>
      </w:r>
      <w:r w:rsidRPr="001F392C">
        <w:rPr>
          <w:b/>
        </w:rPr>
        <w:t>Negatívne na vývoj nezamestnanosti v tomto období pôsobil európsky a globálny ekonomický vývoj. Jeho dôsledky na trh práce čiastočne eliminovali protikrízové opatrenia vlády SR prijaté v roko</w:t>
      </w:r>
      <w:r w:rsidR="00634E74" w:rsidRPr="001F392C">
        <w:rPr>
          <w:b/>
        </w:rPr>
        <w:t>ch</w:t>
      </w:r>
      <w:r w:rsidRPr="001F392C">
        <w:rPr>
          <w:b/>
        </w:rPr>
        <w:t xml:space="preserve"> 2009 a 2010</w:t>
      </w:r>
      <w:r w:rsidRPr="001F392C">
        <w:t>.</w:t>
      </w:r>
    </w:p>
    <w:p w:rsidR="00DA632A" w:rsidRPr="001F392C" w:rsidRDefault="00DA632A" w:rsidP="004447D6">
      <w:pPr>
        <w:autoSpaceDE w:val="0"/>
        <w:autoSpaceDN w:val="0"/>
        <w:adjustRightInd w:val="0"/>
        <w:ind w:firstLine="709"/>
        <w:jc w:val="both"/>
        <w:rPr>
          <w:lang w:eastAsia="sk-SK"/>
        </w:rPr>
      </w:pPr>
    </w:p>
    <w:p w:rsidR="00740F7F" w:rsidRPr="001F392C" w:rsidRDefault="000B484B" w:rsidP="004447D6">
      <w:pPr>
        <w:autoSpaceDE w:val="0"/>
        <w:autoSpaceDN w:val="0"/>
        <w:adjustRightInd w:val="0"/>
        <w:ind w:firstLine="709"/>
        <w:jc w:val="both"/>
        <w:rPr>
          <w:lang w:eastAsia="sk-SK"/>
        </w:rPr>
      </w:pPr>
      <w:r w:rsidRPr="001F392C">
        <w:rPr>
          <w:lang w:eastAsia="sk-SK"/>
        </w:rPr>
        <w:t xml:space="preserve">Meritórnu súčasť týchto rozsiahlych intervenčných krokov tvorili opatrenia na trhu práce, prioritne zamerané na tri oblasti </w:t>
      </w:r>
      <w:r w:rsidR="00740F7F" w:rsidRPr="001F392C">
        <w:rPr>
          <w:lang w:eastAsia="sk-SK"/>
        </w:rPr>
        <w:t xml:space="preserve">- </w:t>
      </w:r>
      <w:r w:rsidRPr="001F392C">
        <w:rPr>
          <w:lang w:eastAsia="sk-SK"/>
        </w:rPr>
        <w:t>udržanie zamestnanost</w:t>
      </w:r>
      <w:r w:rsidR="00740F7F" w:rsidRPr="001F392C">
        <w:rPr>
          <w:lang w:eastAsia="sk-SK"/>
        </w:rPr>
        <w:t>i a tvorbu pracovných miest,</w:t>
      </w:r>
      <w:r w:rsidRPr="001F392C">
        <w:rPr>
          <w:lang w:eastAsia="sk-SK"/>
        </w:rPr>
        <w:t xml:space="preserve"> zvyšovanie odborných zručností a ich adaptáciu na potreby trhu práce a zlepšenie prístupu k</w:t>
      </w:r>
      <w:r w:rsidR="00634E74" w:rsidRPr="001F392C">
        <w:rPr>
          <w:lang w:eastAsia="sk-SK"/>
        </w:rPr>
        <w:t> </w:t>
      </w:r>
      <w:r w:rsidRPr="001F392C">
        <w:rPr>
          <w:lang w:eastAsia="sk-SK"/>
        </w:rPr>
        <w:t>zamestnanosti</w:t>
      </w:r>
      <w:r w:rsidR="00634E74" w:rsidRPr="001F392C">
        <w:rPr>
          <w:lang w:eastAsia="sk-SK"/>
        </w:rPr>
        <w:t xml:space="preserve"> </w:t>
      </w:r>
      <w:r w:rsidRPr="001F392C">
        <w:rPr>
          <w:lang w:eastAsia="sk-SK"/>
        </w:rPr>
        <w:t>a podporu mobility.</w:t>
      </w:r>
      <w:r w:rsidR="00A97DBD" w:rsidRPr="001F392C">
        <w:rPr>
          <w:lang w:eastAsia="sk-SK"/>
        </w:rPr>
        <w:t xml:space="preserve"> </w:t>
      </w:r>
    </w:p>
    <w:p w:rsidR="00740F7F" w:rsidRPr="001F392C" w:rsidRDefault="00740F7F" w:rsidP="004447D6">
      <w:pPr>
        <w:autoSpaceDE w:val="0"/>
        <w:autoSpaceDN w:val="0"/>
        <w:adjustRightInd w:val="0"/>
        <w:jc w:val="both"/>
        <w:rPr>
          <w:lang w:eastAsia="sk-SK"/>
        </w:rPr>
      </w:pPr>
    </w:p>
    <w:p w:rsidR="00A97DBD" w:rsidRPr="001F392C" w:rsidRDefault="00A97DBD" w:rsidP="004447D6">
      <w:pPr>
        <w:autoSpaceDE w:val="0"/>
        <w:autoSpaceDN w:val="0"/>
        <w:adjustRightInd w:val="0"/>
        <w:ind w:firstLine="709"/>
        <w:jc w:val="both"/>
        <w:rPr>
          <w:lang w:eastAsia="sk-SK"/>
        </w:rPr>
      </w:pPr>
      <w:r w:rsidRPr="001F392C">
        <w:rPr>
          <w:lang w:eastAsia="sk-SK"/>
        </w:rPr>
        <w:t xml:space="preserve">Tieto </w:t>
      </w:r>
      <w:r w:rsidR="00C1778C" w:rsidRPr="001F392C">
        <w:rPr>
          <w:lang w:eastAsia="sk-SK"/>
        </w:rPr>
        <w:t>ozdravné</w:t>
      </w:r>
      <w:r w:rsidRPr="001F392C">
        <w:rPr>
          <w:lang w:eastAsia="sk-SK"/>
        </w:rPr>
        <w:t xml:space="preserve"> impulzy sa odzrkadlili v prostredí trhu práce najmä v roku 2010, v ktorom aj slovenská ekonomika začala vykazovať </w:t>
      </w:r>
      <w:r w:rsidR="00740F7F" w:rsidRPr="001F392C">
        <w:rPr>
          <w:lang w:eastAsia="sk-SK"/>
        </w:rPr>
        <w:t>náznaky ekonomického oživ</w:t>
      </w:r>
      <w:r w:rsidR="007D0B38" w:rsidRPr="001F392C">
        <w:rPr>
          <w:lang w:eastAsia="sk-SK"/>
        </w:rPr>
        <w:t>enia a kulminovala zamestnanosť.</w:t>
      </w:r>
    </w:p>
    <w:p w:rsidR="00574B32" w:rsidRPr="001F392C" w:rsidRDefault="00574B32" w:rsidP="004447D6">
      <w:pPr>
        <w:pStyle w:val="Odsekzoznamu"/>
        <w:overflowPunct w:val="0"/>
        <w:autoSpaceDE w:val="0"/>
        <w:autoSpaceDN w:val="0"/>
        <w:adjustRightInd w:val="0"/>
        <w:ind w:left="360"/>
        <w:contextualSpacing/>
        <w:jc w:val="both"/>
      </w:pPr>
    </w:p>
    <w:p w:rsidR="00C1778C" w:rsidRPr="001F392C" w:rsidRDefault="00C1778C" w:rsidP="004447D6">
      <w:pPr>
        <w:autoSpaceDE w:val="0"/>
        <w:autoSpaceDN w:val="0"/>
        <w:adjustRightInd w:val="0"/>
        <w:jc w:val="both"/>
        <w:rPr>
          <w:color w:val="000000"/>
          <w:sz w:val="23"/>
          <w:szCs w:val="23"/>
          <w:lang w:eastAsia="sk-SK"/>
        </w:rPr>
      </w:pPr>
    </w:p>
    <w:p w:rsidR="003150B9" w:rsidRPr="001F392C" w:rsidRDefault="00222EA2" w:rsidP="004447D6">
      <w:pPr>
        <w:autoSpaceDE w:val="0"/>
        <w:autoSpaceDN w:val="0"/>
        <w:adjustRightInd w:val="0"/>
        <w:rPr>
          <w:b/>
          <w:u w:val="single"/>
        </w:rPr>
      </w:pPr>
      <w:r w:rsidRPr="001F392C">
        <w:rPr>
          <w:b/>
          <w:u w:val="single"/>
        </w:rPr>
        <w:lastRenderedPageBreak/>
        <w:t xml:space="preserve">Trh práce a opatrenia </w:t>
      </w:r>
      <w:r w:rsidR="00DA632A" w:rsidRPr="001F392C">
        <w:rPr>
          <w:b/>
          <w:u w:val="single"/>
        </w:rPr>
        <w:t xml:space="preserve">ovplyvňujúce jeho vývoj </w:t>
      </w:r>
      <w:r w:rsidRPr="001F392C">
        <w:rPr>
          <w:b/>
          <w:u w:val="single"/>
        </w:rPr>
        <w:t xml:space="preserve">od mája 2012 </w:t>
      </w:r>
    </w:p>
    <w:p w:rsidR="008E1A92" w:rsidRPr="001F392C" w:rsidRDefault="008E1A92" w:rsidP="008E1A92">
      <w:pPr>
        <w:jc w:val="both"/>
        <w:rPr>
          <w:b/>
          <w:u w:val="single"/>
        </w:rPr>
      </w:pPr>
    </w:p>
    <w:p w:rsidR="000665EA" w:rsidRPr="001F392C" w:rsidRDefault="000665EA" w:rsidP="004447D6">
      <w:pPr>
        <w:autoSpaceDE w:val="0"/>
        <w:autoSpaceDN w:val="0"/>
        <w:adjustRightInd w:val="0"/>
        <w:ind w:firstLine="709"/>
        <w:jc w:val="both"/>
        <w:rPr>
          <w:color w:val="000000"/>
          <w:lang w:eastAsia="sk-SK"/>
        </w:rPr>
      </w:pPr>
      <w:r w:rsidRPr="001F392C">
        <w:rPr>
          <w:color w:val="000000"/>
          <w:lang w:eastAsia="sk-SK"/>
        </w:rPr>
        <w:t xml:space="preserve">Prioritou novej vlády po voľbách v marci 2012 sa stala podpora hospodárskeho rastu a zamestnanosti. Záporne na tieto ciele od samého začiatku vplýva negatívny hospodársky vývoj v krajinách, ktoré sú kľúčovými exportnými partnermi SR, najmä </w:t>
      </w:r>
      <w:r w:rsidR="00CC5BA5" w:rsidRPr="001F392C">
        <w:rPr>
          <w:color w:val="000000"/>
          <w:lang w:eastAsia="sk-SK"/>
        </w:rPr>
        <w:t xml:space="preserve">v </w:t>
      </w:r>
      <w:r w:rsidRPr="001F392C">
        <w:rPr>
          <w:color w:val="000000"/>
          <w:lang w:eastAsia="sk-SK"/>
        </w:rPr>
        <w:t>čl</w:t>
      </w:r>
      <w:r w:rsidR="00DC2622" w:rsidRPr="001F392C">
        <w:rPr>
          <w:color w:val="000000"/>
          <w:lang w:eastAsia="sk-SK"/>
        </w:rPr>
        <w:t xml:space="preserve">enských </w:t>
      </w:r>
      <w:r w:rsidRPr="001F392C">
        <w:rPr>
          <w:color w:val="000000"/>
          <w:lang w:eastAsia="sk-SK"/>
        </w:rPr>
        <w:t xml:space="preserve"> krajinách eurozóny. Intervenčné možnosti vlády SR obmedzuje aj nevyhnutnosť fiškálnej konsolidácie štátu, ktorá je kľúčovým predpokladom pre dlhodobo udržateľný rast hospodárstva a teda i pozitívny vývoj trhu práce. </w:t>
      </w:r>
    </w:p>
    <w:p w:rsidR="000665EA" w:rsidRPr="001F392C" w:rsidRDefault="000665EA" w:rsidP="004447D6">
      <w:pPr>
        <w:autoSpaceDE w:val="0"/>
        <w:autoSpaceDN w:val="0"/>
        <w:adjustRightInd w:val="0"/>
        <w:ind w:firstLine="709"/>
        <w:jc w:val="both"/>
        <w:rPr>
          <w:color w:val="000000"/>
          <w:lang w:eastAsia="sk-SK"/>
        </w:rPr>
      </w:pPr>
    </w:p>
    <w:p w:rsidR="000665EA" w:rsidRPr="001F392C" w:rsidRDefault="000665EA" w:rsidP="004447D6">
      <w:pPr>
        <w:autoSpaceDE w:val="0"/>
        <w:autoSpaceDN w:val="0"/>
        <w:adjustRightInd w:val="0"/>
        <w:ind w:firstLine="709"/>
        <w:jc w:val="both"/>
        <w:rPr>
          <w:color w:val="000000"/>
          <w:lang w:eastAsia="sk-SK"/>
        </w:rPr>
      </w:pPr>
      <w:r w:rsidRPr="001F392C">
        <w:rPr>
          <w:color w:val="000000"/>
          <w:lang w:eastAsia="sk-SK"/>
        </w:rPr>
        <w:t xml:space="preserve">Už z hľadiska niekoľkých rokov možno konštatovať, že fiškálna konsolidácia, ktorú realizuje terajšia vláda, predstavuje dobrý a nevyhnutný základ, na ktorom bude možné stavať taký rast hospodárstva, ktorý sa pozitívne odrazí aj na vývoji na trhu práce. </w:t>
      </w:r>
    </w:p>
    <w:p w:rsidR="000665EA" w:rsidRPr="001F392C" w:rsidRDefault="000665EA" w:rsidP="004447D6">
      <w:pPr>
        <w:autoSpaceDE w:val="0"/>
        <w:autoSpaceDN w:val="0"/>
        <w:adjustRightInd w:val="0"/>
        <w:ind w:firstLine="709"/>
        <w:jc w:val="both"/>
        <w:rPr>
          <w:color w:val="000000"/>
          <w:lang w:eastAsia="sk-SK"/>
        </w:rPr>
      </w:pPr>
    </w:p>
    <w:p w:rsidR="008E1A92" w:rsidRPr="001F392C" w:rsidRDefault="000665EA" w:rsidP="000665EA">
      <w:pPr>
        <w:autoSpaceDE w:val="0"/>
        <w:autoSpaceDN w:val="0"/>
        <w:adjustRightInd w:val="0"/>
        <w:ind w:firstLine="709"/>
        <w:jc w:val="both"/>
      </w:pPr>
      <w:r w:rsidRPr="001F392C">
        <w:rPr>
          <w:color w:val="000000"/>
          <w:lang w:eastAsia="sk-SK"/>
        </w:rPr>
        <w:t>V súlade so svojim programovým vyhlásením vláda SR navrhla a v</w:t>
      </w:r>
      <w:r w:rsidR="00DC2622" w:rsidRPr="001F392C">
        <w:rPr>
          <w:color w:val="000000"/>
          <w:lang w:eastAsia="sk-SK"/>
        </w:rPr>
        <w:t> </w:t>
      </w:r>
      <w:r w:rsidRPr="001F392C">
        <w:rPr>
          <w:color w:val="000000"/>
          <w:lang w:eastAsia="sk-SK"/>
        </w:rPr>
        <w:t>N</w:t>
      </w:r>
      <w:r w:rsidR="00DC2622" w:rsidRPr="001F392C">
        <w:rPr>
          <w:color w:val="000000"/>
          <w:lang w:eastAsia="sk-SK"/>
        </w:rPr>
        <w:t xml:space="preserve">árodnej rade </w:t>
      </w:r>
      <w:r w:rsidR="00634E74" w:rsidRPr="001F392C">
        <w:rPr>
          <w:color w:val="000000"/>
          <w:lang w:eastAsia="sk-SK"/>
        </w:rPr>
        <w:t>SR</w:t>
      </w:r>
      <w:r w:rsidRPr="001F392C">
        <w:rPr>
          <w:color w:val="000000"/>
          <w:lang w:eastAsia="sk-SK"/>
        </w:rPr>
        <w:t xml:space="preserve"> presadila od </w:t>
      </w:r>
      <w:r w:rsidR="00634E74" w:rsidRPr="001F392C">
        <w:rPr>
          <w:color w:val="000000"/>
          <w:lang w:eastAsia="sk-SK"/>
        </w:rPr>
        <w:t xml:space="preserve">januára </w:t>
      </w:r>
      <w:r w:rsidRPr="001F392C">
        <w:rPr>
          <w:color w:val="000000"/>
          <w:lang w:eastAsia="sk-SK"/>
        </w:rPr>
        <w:t>201</w:t>
      </w:r>
      <w:r w:rsidR="00DC2622" w:rsidRPr="001F392C">
        <w:rPr>
          <w:color w:val="000000"/>
          <w:lang w:eastAsia="sk-SK"/>
        </w:rPr>
        <w:t>3</w:t>
      </w:r>
      <w:r w:rsidRPr="001F392C">
        <w:rPr>
          <w:color w:val="000000"/>
          <w:lang w:eastAsia="sk-SK"/>
        </w:rPr>
        <w:t xml:space="preserve"> aj viaceré legislatívne zmeny, ktoré spoločne s inými faktormi budú mať dlhodobo priaznivý vplyv na pracovný trh. </w:t>
      </w:r>
      <w:r w:rsidR="008E1A92" w:rsidRPr="001F392C">
        <w:t xml:space="preserve">Za kľúčové </w:t>
      </w:r>
      <w:r w:rsidRPr="001F392C">
        <w:t xml:space="preserve">možno označiť </w:t>
      </w:r>
      <w:r w:rsidR="008E1A92" w:rsidRPr="001F392C">
        <w:t xml:space="preserve">tie, ktoré smerujú </w:t>
      </w:r>
      <w:r w:rsidR="008E1A92" w:rsidRPr="001F392C">
        <w:rPr>
          <w:b/>
        </w:rPr>
        <w:t>k</w:t>
      </w:r>
      <w:r w:rsidR="006E62A2" w:rsidRPr="001F392C">
        <w:rPr>
          <w:b/>
        </w:rPr>
        <w:t> </w:t>
      </w:r>
      <w:r w:rsidR="008E1A92" w:rsidRPr="001F392C">
        <w:rPr>
          <w:b/>
        </w:rPr>
        <w:t>odstráneniu bariér rastu zamestnanosti</w:t>
      </w:r>
      <w:r w:rsidR="008E1A92" w:rsidRPr="001F392C">
        <w:t xml:space="preserve"> a umožnia pružné formy pracovných úväzkov. </w:t>
      </w:r>
    </w:p>
    <w:p w:rsidR="008E1A92" w:rsidRPr="001F392C" w:rsidRDefault="008E1A92" w:rsidP="008E1A92">
      <w:pPr>
        <w:autoSpaceDE w:val="0"/>
        <w:autoSpaceDN w:val="0"/>
        <w:adjustRightInd w:val="0"/>
        <w:jc w:val="both"/>
      </w:pPr>
    </w:p>
    <w:p w:rsidR="00B27068" w:rsidRPr="001F392C" w:rsidRDefault="000665EA" w:rsidP="004447D6">
      <w:pPr>
        <w:ind w:firstLine="709"/>
        <w:jc w:val="both"/>
      </w:pPr>
      <w:r w:rsidRPr="001F392C">
        <w:rPr>
          <w:bCs/>
        </w:rPr>
        <w:t>Jedným z t</w:t>
      </w:r>
      <w:r w:rsidR="00B27068" w:rsidRPr="001F392C">
        <w:rPr>
          <w:bCs/>
        </w:rPr>
        <w:t>ak</w:t>
      </w:r>
      <w:r w:rsidRPr="001F392C">
        <w:rPr>
          <w:bCs/>
        </w:rPr>
        <w:t xml:space="preserve">ýchto opatrení </w:t>
      </w:r>
      <w:r w:rsidR="00B27068" w:rsidRPr="001F392C">
        <w:rPr>
          <w:bCs/>
        </w:rPr>
        <w:t xml:space="preserve">bola </w:t>
      </w:r>
      <w:r w:rsidR="008E1A92" w:rsidRPr="001F392C">
        <w:rPr>
          <w:bCs/>
        </w:rPr>
        <w:t>novel</w:t>
      </w:r>
      <w:r w:rsidR="00DC2622" w:rsidRPr="001F392C">
        <w:rPr>
          <w:bCs/>
        </w:rPr>
        <w:t>a</w:t>
      </w:r>
      <w:r w:rsidR="008E1A92" w:rsidRPr="001F392C">
        <w:rPr>
          <w:bCs/>
        </w:rPr>
        <w:t xml:space="preserve"> </w:t>
      </w:r>
      <w:r w:rsidR="00B27068" w:rsidRPr="001F392C">
        <w:rPr>
          <w:bCs/>
        </w:rPr>
        <w:t xml:space="preserve">Zákonníka práce (ZP), ktorá presadzuje </w:t>
      </w:r>
      <w:r w:rsidR="008E1A92" w:rsidRPr="001F392C">
        <w:t>rovnováhu práv a povinností medzi zamestnancom a</w:t>
      </w:r>
      <w:r w:rsidR="00B27068" w:rsidRPr="001F392C">
        <w:t> </w:t>
      </w:r>
      <w:r w:rsidR="008E1A92" w:rsidRPr="001F392C">
        <w:t>zamestnávateľom</w:t>
      </w:r>
      <w:r w:rsidR="00B27068" w:rsidRPr="001F392C">
        <w:t xml:space="preserve"> a podporuje vytváranie </w:t>
      </w:r>
      <w:r w:rsidR="008E1A92" w:rsidRPr="001F392C">
        <w:t>dôstojn</w:t>
      </w:r>
      <w:r w:rsidR="00B27068" w:rsidRPr="001F392C">
        <w:t>ých</w:t>
      </w:r>
      <w:r w:rsidR="008E1A92" w:rsidRPr="001F392C">
        <w:t xml:space="preserve"> pracovn</w:t>
      </w:r>
      <w:r w:rsidR="00B27068" w:rsidRPr="001F392C">
        <w:t>ých</w:t>
      </w:r>
      <w:r w:rsidR="008E1A92" w:rsidRPr="001F392C">
        <w:t xml:space="preserve"> podmien</w:t>
      </w:r>
      <w:r w:rsidR="00B27068" w:rsidRPr="001F392C">
        <w:t>o</w:t>
      </w:r>
      <w:r w:rsidR="008E1A92" w:rsidRPr="001F392C">
        <w:t xml:space="preserve">k </w:t>
      </w:r>
      <w:r w:rsidR="00B27068" w:rsidRPr="001F392C">
        <w:t xml:space="preserve">pre </w:t>
      </w:r>
      <w:r w:rsidR="008E1A92" w:rsidRPr="001F392C">
        <w:t xml:space="preserve">zamestnancov s osobitným dôrazom </w:t>
      </w:r>
      <w:r w:rsidR="00DC2622" w:rsidRPr="001F392C">
        <w:t xml:space="preserve">         </w:t>
      </w:r>
      <w:r w:rsidR="008E1A92" w:rsidRPr="001F392C">
        <w:t xml:space="preserve">na  </w:t>
      </w:r>
      <w:r w:rsidR="00B27068" w:rsidRPr="001F392C">
        <w:t xml:space="preserve">podporu a rozšírenie sociálneho dialógu a spoluúčasti zástupcov zamestnancov </w:t>
      </w:r>
      <w:r w:rsidR="00DC2622" w:rsidRPr="001F392C">
        <w:t xml:space="preserve">               </w:t>
      </w:r>
      <w:r w:rsidR="00B27068" w:rsidRPr="001F392C">
        <w:t xml:space="preserve">na kľúčových rozhodnutiach na podnikovej úrovni. S týmto zámerom pripravilo </w:t>
      </w:r>
      <w:r w:rsidR="00DC2622" w:rsidRPr="001F392C">
        <w:t>Ministerstvo práce, sociálnych vecí a rodiny SR (</w:t>
      </w:r>
      <w:r w:rsidR="00B27068" w:rsidRPr="001F392C">
        <w:t>MPSVR SR</w:t>
      </w:r>
      <w:r w:rsidR="00DC2622" w:rsidRPr="001F392C">
        <w:t>)</w:t>
      </w:r>
      <w:r w:rsidR="00B27068" w:rsidRPr="001F392C">
        <w:t xml:space="preserve"> aj novelu zákona o kolektívnom vyjednávaní.</w:t>
      </w:r>
    </w:p>
    <w:p w:rsidR="00B27068" w:rsidRPr="001F392C" w:rsidRDefault="00B27068" w:rsidP="004447D6">
      <w:pPr>
        <w:ind w:firstLine="709"/>
        <w:jc w:val="both"/>
      </w:pPr>
    </w:p>
    <w:p w:rsidR="008E1A92" w:rsidRPr="001F392C" w:rsidRDefault="00B27068" w:rsidP="004447D6">
      <w:pPr>
        <w:ind w:firstLine="709"/>
        <w:jc w:val="both"/>
      </w:pPr>
      <w:r w:rsidRPr="001F392C">
        <w:t xml:space="preserve">Tieto zámery novelizácie zákonov plne rešpektujú odporúčania OECD zverejnené </w:t>
      </w:r>
      <w:r w:rsidR="00DC2622" w:rsidRPr="001F392C">
        <w:t xml:space="preserve">     </w:t>
      </w:r>
      <w:r w:rsidRPr="001F392C">
        <w:t xml:space="preserve">vo vlaňajšom vydaní štúdie OECD Employment Outlook. Jedným z odporúčaní je </w:t>
      </w:r>
      <w:r w:rsidRPr="001F392C">
        <w:rPr>
          <w:b/>
          <w:bCs/>
        </w:rPr>
        <w:t>koordinovanie inštitúcií kolektívneho vyjednávania, ktoré môže prispieť k dobrej štrukturálnej výkonnosti a odolnosti pracovných trhov</w:t>
      </w:r>
      <w:r w:rsidRPr="001F392C">
        <w:t xml:space="preserve">. OECD tiež upozorňuje na negatívny trend znižovania podielu </w:t>
      </w:r>
      <w:r w:rsidR="00AA7D16" w:rsidRPr="001F392C">
        <w:t xml:space="preserve">ceny </w:t>
      </w:r>
      <w:r w:rsidR="00FC23F4" w:rsidRPr="001F392C">
        <w:t>práce vyjadren</w:t>
      </w:r>
      <w:r w:rsidR="00AA7D16" w:rsidRPr="001F392C">
        <w:t>ej</w:t>
      </w:r>
      <w:r w:rsidR="00FC23F4" w:rsidRPr="001F392C">
        <w:t xml:space="preserve"> platmi, mzdami a ostatnými výhodami na národnom dôchodku. Varuje pritom, že „znižovanie tohto podielu spôsobuje  väčšie nerovnosti v rozdeľovaní príjmov, čo môže ohroziť sociálnu súdržnosť a spomaliť súčasné hospodárske zotavovanie“. </w:t>
      </w:r>
      <w:r w:rsidR="00FC23F4" w:rsidRPr="001F392C">
        <w:rPr>
          <w:b/>
        </w:rPr>
        <w:t xml:space="preserve">Pokiaľ ide o príčiny tohto vývoja, </w:t>
      </w:r>
      <w:r w:rsidR="00FC23F4" w:rsidRPr="001F392C">
        <w:t>OECD ich okrem vývoja produktivity práce a zvyšujúcej sa konkurencii vidí aj</w:t>
      </w:r>
      <w:r w:rsidR="00FC23F4" w:rsidRPr="001F392C">
        <w:rPr>
          <w:b/>
        </w:rPr>
        <w:t xml:space="preserve"> v znižujúcej sa sile zástupcov pracujúcich pri kolektívnom vyjednávaní a vývoji inštitúcií kolektívneho vyjednávania.</w:t>
      </w:r>
      <w:r w:rsidR="00FC23F4" w:rsidRPr="001F392C">
        <w:t xml:space="preserve">  Zvýšené investície do vzdelania a </w:t>
      </w:r>
      <w:r w:rsidR="00FC23F4" w:rsidRPr="001F392C">
        <w:rPr>
          <w:b/>
        </w:rPr>
        <w:t>využívanie daňových systémov na prerozdelenie príjmov</w:t>
      </w:r>
      <w:r w:rsidR="00FC23F4" w:rsidRPr="001F392C">
        <w:t xml:space="preserve"> môžu  podľa OECD efektívne znížiť tieto riziká.</w:t>
      </w:r>
    </w:p>
    <w:p w:rsidR="008E1A92" w:rsidRPr="001F392C" w:rsidRDefault="008E1A92" w:rsidP="004447D6">
      <w:pPr>
        <w:jc w:val="both"/>
      </w:pPr>
    </w:p>
    <w:p w:rsidR="008E1A92" w:rsidRPr="001F392C" w:rsidRDefault="00FC23F4" w:rsidP="00FC23F4">
      <w:pPr>
        <w:jc w:val="both"/>
      </w:pPr>
      <w:r w:rsidRPr="001F392C">
        <w:tab/>
        <w:t xml:space="preserve">Popri rešpektovaní uvedených odporúčaní OECD novela ZP zároveň posilňuje nevyhnutnú flexiblitu. </w:t>
      </w:r>
      <w:r w:rsidR="008E1A92" w:rsidRPr="001F392C">
        <w:t>Túto flexibilitu pracovnoprávneho vzťahu možno dosiahnuť niekoľkými, v</w:t>
      </w:r>
      <w:r w:rsidRPr="001F392C">
        <w:t xml:space="preserve"> ZP </w:t>
      </w:r>
      <w:r w:rsidR="008E1A92" w:rsidRPr="001F392C">
        <w:t xml:space="preserve">ustanovenými spôsobmi: </w:t>
      </w:r>
    </w:p>
    <w:p w:rsidR="008E1A92" w:rsidRPr="001F392C" w:rsidRDefault="008E1A92" w:rsidP="004447D6">
      <w:pPr>
        <w:numPr>
          <w:ilvl w:val="0"/>
          <w:numId w:val="4"/>
        </w:numPr>
        <w:autoSpaceDE w:val="0"/>
        <w:autoSpaceDN w:val="0"/>
        <w:adjustRightInd w:val="0"/>
        <w:jc w:val="both"/>
      </w:pPr>
      <w:r w:rsidRPr="001F392C">
        <w:t>delené pracovné miesto,</w:t>
      </w:r>
    </w:p>
    <w:p w:rsidR="008E1A92" w:rsidRPr="001F392C" w:rsidRDefault="008E1A92" w:rsidP="004447D6">
      <w:pPr>
        <w:numPr>
          <w:ilvl w:val="0"/>
          <w:numId w:val="4"/>
        </w:numPr>
        <w:autoSpaceDE w:val="0"/>
        <w:autoSpaceDN w:val="0"/>
        <w:adjustRightInd w:val="0"/>
        <w:jc w:val="both"/>
      </w:pPr>
      <w:r w:rsidRPr="001F392C">
        <w:t>konto pracovného času,</w:t>
      </w:r>
    </w:p>
    <w:p w:rsidR="008E1A92" w:rsidRPr="001F392C" w:rsidRDefault="008E1A92" w:rsidP="004447D6">
      <w:pPr>
        <w:numPr>
          <w:ilvl w:val="0"/>
          <w:numId w:val="4"/>
        </w:numPr>
        <w:autoSpaceDE w:val="0"/>
        <w:autoSpaceDN w:val="0"/>
        <w:adjustRightInd w:val="0"/>
        <w:jc w:val="both"/>
      </w:pPr>
      <w:r w:rsidRPr="001F392C">
        <w:t xml:space="preserve">pružný pracovný čas, </w:t>
      </w:r>
    </w:p>
    <w:p w:rsidR="008E1A92" w:rsidRPr="001F392C" w:rsidRDefault="008E1A92" w:rsidP="004447D6">
      <w:pPr>
        <w:numPr>
          <w:ilvl w:val="0"/>
          <w:numId w:val="4"/>
        </w:numPr>
        <w:autoSpaceDE w:val="0"/>
        <w:autoSpaceDN w:val="0"/>
        <w:adjustRightInd w:val="0"/>
        <w:jc w:val="both"/>
      </w:pPr>
      <w:r w:rsidRPr="001F392C">
        <w:t>vhodná úprava alebo rozvrhnutie pracovného času,</w:t>
      </w:r>
    </w:p>
    <w:p w:rsidR="008E1A92" w:rsidRPr="001F392C" w:rsidRDefault="008E1A92" w:rsidP="004447D6">
      <w:pPr>
        <w:numPr>
          <w:ilvl w:val="0"/>
          <w:numId w:val="4"/>
        </w:numPr>
        <w:autoSpaceDE w:val="0"/>
        <w:autoSpaceDN w:val="0"/>
        <w:adjustRightInd w:val="0"/>
        <w:jc w:val="both"/>
      </w:pPr>
      <w:r w:rsidRPr="001F392C">
        <w:t>kombinácia uvedených foriem a spôsobov.</w:t>
      </w:r>
    </w:p>
    <w:p w:rsidR="008E1A92" w:rsidRPr="001F392C" w:rsidRDefault="008E1A92" w:rsidP="004447D6">
      <w:pPr>
        <w:jc w:val="both"/>
        <w:rPr>
          <w:b/>
        </w:rPr>
      </w:pPr>
    </w:p>
    <w:p w:rsidR="008E1A92" w:rsidRPr="001F392C" w:rsidRDefault="00FC23F4" w:rsidP="004447D6">
      <w:pPr>
        <w:ind w:firstLine="709"/>
        <w:jc w:val="both"/>
      </w:pPr>
      <w:r w:rsidRPr="001F392C">
        <w:rPr>
          <w:b/>
        </w:rPr>
        <w:t xml:space="preserve">Nová úprava konta </w:t>
      </w:r>
      <w:r w:rsidR="008E1A92" w:rsidRPr="001F392C">
        <w:rPr>
          <w:b/>
        </w:rPr>
        <w:t xml:space="preserve">pracovného času </w:t>
      </w:r>
      <w:r w:rsidRPr="001F392C">
        <w:rPr>
          <w:b/>
        </w:rPr>
        <w:t xml:space="preserve">(vrátane tzv. flexikonta) poskytuje zamestnávateľom väčšiu flexibilitu než doterajšia právna úprava a </w:t>
      </w:r>
      <w:r w:rsidR="008E1A92" w:rsidRPr="001F392C">
        <w:rPr>
          <w:b/>
        </w:rPr>
        <w:t xml:space="preserve">umožňuje </w:t>
      </w:r>
      <w:r w:rsidR="008E1A92" w:rsidRPr="001F392C">
        <w:rPr>
          <w:b/>
        </w:rPr>
        <w:lastRenderedPageBreak/>
        <w:t>zachovanie stability pracovných miest nielen v obdobiach, keď je u zamestnávateľa vyššia potreba práce, ale aj v období, keď je potreba práce u zamestnávateľa nižšia alebo žiadna.</w:t>
      </w:r>
      <w:r w:rsidRPr="001F392C">
        <w:t xml:space="preserve"> K zvýšeniu flexibility prispieva najmä predĺženie tzv. </w:t>
      </w:r>
      <w:r w:rsidR="008E1A92" w:rsidRPr="001F392C">
        <w:rPr>
          <w:b/>
          <w:bCs/>
        </w:rPr>
        <w:t>vyrovnávacie</w:t>
      </w:r>
      <w:r w:rsidRPr="001F392C">
        <w:rPr>
          <w:b/>
          <w:bCs/>
        </w:rPr>
        <w:t>ho</w:t>
      </w:r>
      <w:r w:rsidR="008E1A92" w:rsidRPr="001F392C">
        <w:rPr>
          <w:b/>
          <w:bCs/>
        </w:rPr>
        <w:t xml:space="preserve"> obdobi</w:t>
      </w:r>
      <w:r w:rsidRPr="001F392C">
        <w:rPr>
          <w:b/>
          <w:bCs/>
        </w:rPr>
        <w:t>a</w:t>
      </w:r>
      <w:r w:rsidR="008E1A92" w:rsidRPr="001F392C">
        <w:rPr>
          <w:b/>
          <w:bCs/>
        </w:rPr>
        <w:t xml:space="preserve"> až </w:t>
      </w:r>
      <w:r w:rsidRPr="001F392C">
        <w:rPr>
          <w:b/>
          <w:bCs/>
        </w:rPr>
        <w:t xml:space="preserve">na </w:t>
      </w:r>
      <w:r w:rsidR="008E1A92" w:rsidRPr="001F392C">
        <w:rPr>
          <w:b/>
          <w:bCs/>
        </w:rPr>
        <w:t>30 mesiacov</w:t>
      </w:r>
      <w:r w:rsidR="008E1A92" w:rsidRPr="001F392C">
        <w:t xml:space="preserve"> (pred účinnosťou novely ZP najviac 12 mesiacov).</w:t>
      </w:r>
    </w:p>
    <w:p w:rsidR="008E1A92" w:rsidRPr="001F392C" w:rsidRDefault="008E1A92" w:rsidP="008E1A92">
      <w:pPr>
        <w:autoSpaceDE w:val="0"/>
        <w:autoSpaceDN w:val="0"/>
        <w:adjustRightInd w:val="0"/>
        <w:jc w:val="both"/>
      </w:pPr>
    </w:p>
    <w:p w:rsidR="005D1C43" w:rsidRPr="001F392C" w:rsidRDefault="008E1A92" w:rsidP="004447D6">
      <w:pPr>
        <w:autoSpaceDE w:val="0"/>
        <w:autoSpaceDN w:val="0"/>
        <w:adjustRightInd w:val="0"/>
        <w:ind w:firstLine="709"/>
        <w:jc w:val="both"/>
      </w:pPr>
      <w:r w:rsidRPr="001F392C">
        <w:rPr>
          <w:rFonts w:ascii="TimesNewRomanPSMT" w:hAnsi="TimesNewRomanPSMT" w:cs="TimesNewRomanPSMT"/>
        </w:rPr>
        <w:t>Vyššie uvedené atypické formy zamestnávania, variabilné spôsoby pracovn</w:t>
      </w:r>
      <w:r w:rsidRPr="001F392C">
        <w:rPr>
          <w:rFonts w:ascii="TimesNewRomanPSMT CE" w:hAnsi="TimesNewRomanPSMT CE" w:cs="TimesNewRomanPSMT CE"/>
        </w:rPr>
        <w:t>ého času a aktívne opatrenia na trhu práce</w:t>
      </w:r>
      <w:r w:rsidRPr="001F392C">
        <w:rPr>
          <w:rFonts w:ascii="TimesNewRomanPSMT" w:hAnsi="TimesNewRomanPSMT" w:cs="TimesNewRomanPSMT"/>
        </w:rPr>
        <w:t xml:space="preserve"> prispievajú k flexibilite pracovnoprávnych vzťahov, k zvyšovaniu kvality pracovného miesta a k  efektívnosti pracovného procesu. S</w:t>
      </w:r>
      <w:r w:rsidRPr="001F392C">
        <w:t xml:space="preserve">ú dôležitým aspektom zamestnanosti, ale nie dominantným. </w:t>
      </w:r>
    </w:p>
    <w:p w:rsidR="005D1C43" w:rsidRPr="001F392C" w:rsidRDefault="005D1C43" w:rsidP="008E1A92">
      <w:pPr>
        <w:autoSpaceDE w:val="0"/>
        <w:autoSpaceDN w:val="0"/>
        <w:adjustRightInd w:val="0"/>
        <w:jc w:val="both"/>
      </w:pPr>
    </w:p>
    <w:p w:rsidR="008E1A92" w:rsidRPr="001F392C" w:rsidRDefault="008E1A92" w:rsidP="00475897">
      <w:pPr>
        <w:autoSpaceDE w:val="0"/>
        <w:autoSpaceDN w:val="0"/>
        <w:adjustRightInd w:val="0"/>
        <w:ind w:firstLine="709"/>
        <w:jc w:val="both"/>
      </w:pPr>
      <w:r w:rsidRPr="001F392C">
        <w:rPr>
          <w:b/>
          <w:bCs/>
        </w:rPr>
        <w:t>Dominantným vplyvom na</w:t>
      </w:r>
      <w:r w:rsidR="00077AF8" w:rsidRPr="001F392C">
        <w:rPr>
          <w:b/>
          <w:bCs/>
        </w:rPr>
        <w:t xml:space="preserve"> vývoj</w:t>
      </w:r>
      <w:r w:rsidRPr="001F392C">
        <w:rPr>
          <w:b/>
          <w:bCs/>
        </w:rPr>
        <w:t xml:space="preserve"> zamestnanosti je predovšetkým hospodársky </w:t>
      </w:r>
      <w:r w:rsidR="00475897" w:rsidRPr="001F392C">
        <w:rPr>
          <w:bCs/>
        </w:rPr>
        <w:t xml:space="preserve">vývoj, ako to dokazuje nasledujúce </w:t>
      </w:r>
      <w:r w:rsidR="004447D6" w:rsidRPr="001F392C">
        <w:t>porovnanie</w:t>
      </w:r>
      <w:r w:rsidRPr="001F392C">
        <w:t xml:space="preserve">: </w:t>
      </w:r>
    </w:p>
    <w:p w:rsidR="00881D94" w:rsidRPr="001F392C" w:rsidRDefault="00881D94" w:rsidP="008E1A92">
      <w:pPr>
        <w:jc w:val="both"/>
      </w:pPr>
    </w:p>
    <w:p w:rsidR="007A29EF" w:rsidRPr="001F392C" w:rsidRDefault="007A29EF" w:rsidP="00077AF8">
      <w:pPr>
        <w:jc w:val="both"/>
        <w:rPr>
          <w:i/>
        </w:rPr>
      </w:pPr>
      <w:r w:rsidRPr="001F392C">
        <w:rPr>
          <w:i/>
        </w:rPr>
        <w:t>Tabuľka č. 1</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1"/>
        <w:gridCol w:w="1631"/>
        <w:gridCol w:w="2386"/>
        <w:gridCol w:w="2246"/>
        <w:gridCol w:w="1808"/>
      </w:tblGrid>
      <w:tr w:rsidR="00077AF8" w:rsidRPr="001F392C" w:rsidTr="00C178EC">
        <w:trPr>
          <w:trHeight w:val="345"/>
        </w:trPr>
        <w:tc>
          <w:tcPr>
            <w:tcW w:w="1011" w:type="dxa"/>
            <w:hideMark/>
          </w:tcPr>
          <w:p w:rsidR="00077AF8" w:rsidRPr="001F392C" w:rsidRDefault="00077AF8">
            <w:pPr>
              <w:ind w:left="142"/>
              <w:rPr>
                <w:b/>
                <w:bCs/>
              </w:rPr>
            </w:pPr>
            <w:r w:rsidRPr="001F392C">
              <w:rPr>
                <w:b/>
                <w:bCs/>
              </w:rPr>
              <w:t>Rok</w:t>
            </w:r>
          </w:p>
        </w:tc>
        <w:tc>
          <w:tcPr>
            <w:tcW w:w="1631" w:type="dxa"/>
            <w:hideMark/>
          </w:tcPr>
          <w:p w:rsidR="00077AF8" w:rsidRPr="001F392C" w:rsidRDefault="00077AF8">
            <w:pPr>
              <w:ind w:left="142"/>
              <w:jc w:val="center"/>
            </w:pPr>
            <w:r w:rsidRPr="001F392C">
              <w:rPr>
                <w:b/>
                <w:bCs/>
              </w:rPr>
              <w:t>Novela Zákonníka práce  účinná:</w:t>
            </w:r>
          </w:p>
        </w:tc>
        <w:tc>
          <w:tcPr>
            <w:tcW w:w="2386" w:type="dxa"/>
            <w:hideMark/>
          </w:tcPr>
          <w:p w:rsidR="00077AF8" w:rsidRPr="001F392C" w:rsidRDefault="00077AF8">
            <w:pPr>
              <w:jc w:val="center"/>
            </w:pPr>
            <w:r w:rsidRPr="001F392C">
              <w:rPr>
                <w:b/>
                <w:bCs/>
              </w:rPr>
              <w:t>Priemerná miera evidovanej nezamestnanosti za  rok v %</w:t>
            </w:r>
          </w:p>
        </w:tc>
        <w:tc>
          <w:tcPr>
            <w:tcW w:w="2246" w:type="dxa"/>
            <w:hideMark/>
          </w:tcPr>
          <w:p w:rsidR="00077AF8" w:rsidRPr="001F392C" w:rsidRDefault="00077AF8">
            <w:pPr>
              <w:jc w:val="center"/>
              <w:rPr>
                <w:b/>
                <w:bCs/>
              </w:rPr>
            </w:pPr>
            <w:r w:rsidRPr="001F392C">
              <w:rPr>
                <w:b/>
                <w:bCs/>
              </w:rPr>
              <w:t>Medziročný vývoj reálneho HDP</w:t>
            </w:r>
          </w:p>
          <w:p w:rsidR="00077AF8" w:rsidRPr="001F392C" w:rsidRDefault="00077AF8">
            <w:pPr>
              <w:jc w:val="center"/>
            </w:pPr>
            <w:r w:rsidRPr="001F392C">
              <w:rPr>
                <w:b/>
                <w:bCs/>
              </w:rPr>
              <w:t>v %</w:t>
            </w:r>
          </w:p>
        </w:tc>
        <w:tc>
          <w:tcPr>
            <w:tcW w:w="1808" w:type="dxa"/>
            <w:hideMark/>
          </w:tcPr>
          <w:p w:rsidR="00077AF8" w:rsidRPr="001F392C" w:rsidRDefault="00077AF8">
            <w:pPr>
              <w:jc w:val="center"/>
              <w:rPr>
                <w:b/>
                <w:bCs/>
              </w:rPr>
            </w:pPr>
            <w:r w:rsidRPr="001F392C">
              <w:rPr>
                <w:b/>
                <w:bCs/>
              </w:rPr>
              <w:t>Medziročný vývoj zamestnanosti (ESA 95) v %</w:t>
            </w:r>
          </w:p>
        </w:tc>
      </w:tr>
      <w:tr w:rsidR="00077AF8" w:rsidRPr="001F392C" w:rsidTr="00C178EC">
        <w:trPr>
          <w:trHeight w:val="346"/>
        </w:trPr>
        <w:tc>
          <w:tcPr>
            <w:tcW w:w="1011" w:type="dxa"/>
            <w:hideMark/>
          </w:tcPr>
          <w:p w:rsidR="00077AF8" w:rsidRPr="001F392C" w:rsidRDefault="00077AF8">
            <w:pPr>
              <w:ind w:left="142"/>
            </w:pPr>
            <w:r w:rsidRPr="001F392C">
              <w:t>2002</w:t>
            </w:r>
          </w:p>
        </w:tc>
        <w:tc>
          <w:tcPr>
            <w:tcW w:w="1631" w:type="dxa"/>
            <w:hideMark/>
          </w:tcPr>
          <w:p w:rsidR="00077AF8" w:rsidRPr="001F392C" w:rsidRDefault="00077AF8">
            <w:pPr>
              <w:ind w:left="142"/>
            </w:pPr>
            <w:r w:rsidRPr="001F392C">
              <w:t>od 1. 4. 2002</w:t>
            </w:r>
          </w:p>
        </w:tc>
        <w:tc>
          <w:tcPr>
            <w:tcW w:w="2386" w:type="dxa"/>
            <w:hideMark/>
          </w:tcPr>
          <w:p w:rsidR="00077AF8" w:rsidRPr="001F392C" w:rsidRDefault="00077AF8">
            <w:pPr>
              <w:jc w:val="center"/>
            </w:pPr>
            <w:r w:rsidRPr="001F392C">
              <w:t>17,8</w:t>
            </w:r>
          </w:p>
        </w:tc>
        <w:tc>
          <w:tcPr>
            <w:tcW w:w="2246" w:type="dxa"/>
            <w:hideMark/>
          </w:tcPr>
          <w:p w:rsidR="00077AF8" w:rsidRPr="001F392C" w:rsidRDefault="00077AF8">
            <w:pPr>
              <w:jc w:val="center"/>
            </w:pPr>
            <w:r w:rsidRPr="001F392C">
              <w:t>4,6</w:t>
            </w:r>
          </w:p>
        </w:tc>
        <w:tc>
          <w:tcPr>
            <w:tcW w:w="1808" w:type="dxa"/>
            <w:hideMark/>
          </w:tcPr>
          <w:p w:rsidR="00077AF8" w:rsidRPr="001F392C" w:rsidRDefault="00077AF8">
            <w:pPr>
              <w:jc w:val="center"/>
            </w:pPr>
            <w:r w:rsidRPr="001F392C">
              <w:t>0,1</w:t>
            </w:r>
          </w:p>
        </w:tc>
      </w:tr>
      <w:tr w:rsidR="00077AF8" w:rsidRPr="001F392C" w:rsidTr="00C178EC">
        <w:trPr>
          <w:trHeight w:val="345"/>
        </w:trPr>
        <w:tc>
          <w:tcPr>
            <w:tcW w:w="1011" w:type="dxa"/>
            <w:hideMark/>
          </w:tcPr>
          <w:p w:rsidR="00077AF8" w:rsidRPr="001F392C" w:rsidRDefault="00077AF8">
            <w:pPr>
              <w:ind w:left="142"/>
            </w:pPr>
            <w:r w:rsidRPr="001F392C">
              <w:t>2003</w:t>
            </w:r>
          </w:p>
        </w:tc>
        <w:tc>
          <w:tcPr>
            <w:tcW w:w="1631" w:type="dxa"/>
            <w:hideMark/>
          </w:tcPr>
          <w:p w:rsidR="00077AF8" w:rsidRPr="001F392C" w:rsidRDefault="00077AF8">
            <w:pPr>
              <w:ind w:left="142"/>
            </w:pPr>
            <w:r w:rsidRPr="001F392C">
              <w:t>od 1. 7.2003 </w:t>
            </w:r>
          </w:p>
        </w:tc>
        <w:tc>
          <w:tcPr>
            <w:tcW w:w="2386" w:type="dxa"/>
            <w:hideMark/>
          </w:tcPr>
          <w:p w:rsidR="00077AF8" w:rsidRPr="001F392C" w:rsidRDefault="00077AF8">
            <w:pPr>
              <w:jc w:val="center"/>
            </w:pPr>
            <w:r w:rsidRPr="001F392C">
              <w:t>15,2</w:t>
            </w:r>
          </w:p>
        </w:tc>
        <w:tc>
          <w:tcPr>
            <w:tcW w:w="2246" w:type="dxa"/>
            <w:hideMark/>
          </w:tcPr>
          <w:p w:rsidR="00077AF8" w:rsidRPr="001F392C" w:rsidRDefault="00077AF8">
            <w:pPr>
              <w:jc w:val="center"/>
            </w:pPr>
            <w:r w:rsidRPr="001F392C">
              <w:t>4,8</w:t>
            </w:r>
          </w:p>
        </w:tc>
        <w:tc>
          <w:tcPr>
            <w:tcW w:w="1808" w:type="dxa"/>
            <w:hideMark/>
          </w:tcPr>
          <w:p w:rsidR="00077AF8" w:rsidRPr="001F392C" w:rsidRDefault="00077AF8">
            <w:pPr>
              <w:jc w:val="center"/>
            </w:pPr>
            <w:r w:rsidRPr="001F392C">
              <w:t>1,1</w:t>
            </w:r>
          </w:p>
        </w:tc>
      </w:tr>
      <w:tr w:rsidR="00077AF8" w:rsidRPr="001F392C" w:rsidTr="00C178EC">
        <w:trPr>
          <w:trHeight w:val="345"/>
        </w:trPr>
        <w:tc>
          <w:tcPr>
            <w:tcW w:w="1011" w:type="dxa"/>
            <w:hideMark/>
          </w:tcPr>
          <w:p w:rsidR="00077AF8" w:rsidRPr="001F392C" w:rsidRDefault="00077AF8">
            <w:pPr>
              <w:ind w:left="142"/>
            </w:pPr>
            <w:r w:rsidRPr="001F392C">
              <w:t>2004</w:t>
            </w:r>
          </w:p>
        </w:tc>
        <w:tc>
          <w:tcPr>
            <w:tcW w:w="1631" w:type="dxa"/>
          </w:tcPr>
          <w:p w:rsidR="00077AF8" w:rsidRPr="001F392C" w:rsidRDefault="00077AF8">
            <w:pPr>
              <w:ind w:left="142"/>
            </w:pPr>
          </w:p>
        </w:tc>
        <w:tc>
          <w:tcPr>
            <w:tcW w:w="2386" w:type="dxa"/>
            <w:hideMark/>
          </w:tcPr>
          <w:p w:rsidR="00077AF8" w:rsidRPr="001F392C" w:rsidRDefault="00077AF8">
            <w:pPr>
              <w:jc w:val="center"/>
            </w:pPr>
            <w:r w:rsidRPr="001F392C">
              <w:t>14,3</w:t>
            </w:r>
          </w:p>
        </w:tc>
        <w:tc>
          <w:tcPr>
            <w:tcW w:w="2246" w:type="dxa"/>
            <w:hideMark/>
          </w:tcPr>
          <w:p w:rsidR="00077AF8" w:rsidRPr="001F392C" w:rsidRDefault="00077AF8">
            <w:pPr>
              <w:jc w:val="center"/>
            </w:pPr>
            <w:r w:rsidRPr="001F392C">
              <w:t>5,1</w:t>
            </w:r>
          </w:p>
        </w:tc>
        <w:tc>
          <w:tcPr>
            <w:tcW w:w="1808" w:type="dxa"/>
            <w:hideMark/>
          </w:tcPr>
          <w:p w:rsidR="00077AF8" w:rsidRPr="001F392C" w:rsidRDefault="00077AF8">
            <w:pPr>
              <w:jc w:val="center"/>
            </w:pPr>
            <w:r w:rsidRPr="001F392C">
              <w:t>-0,2</w:t>
            </w:r>
          </w:p>
        </w:tc>
      </w:tr>
      <w:tr w:rsidR="00077AF8" w:rsidRPr="001F392C" w:rsidTr="00C178EC">
        <w:trPr>
          <w:trHeight w:val="345"/>
        </w:trPr>
        <w:tc>
          <w:tcPr>
            <w:tcW w:w="1011" w:type="dxa"/>
            <w:hideMark/>
          </w:tcPr>
          <w:p w:rsidR="00077AF8" w:rsidRPr="001F392C" w:rsidRDefault="00077AF8">
            <w:pPr>
              <w:ind w:left="142"/>
            </w:pPr>
            <w:r w:rsidRPr="001F392C">
              <w:t>2005</w:t>
            </w:r>
          </w:p>
        </w:tc>
        <w:tc>
          <w:tcPr>
            <w:tcW w:w="1631" w:type="dxa"/>
          </w:tcPr>
          <w:p w:rsidR="00077AF8" w:rsidRPr="001F392C" w:rsidRDefault="00077AF8">
            <w:pPr>
              <w:ind w:left="142"/>
            </w:pPr>
          </w:p>
        </w:tc>
        <w:tc>
          <w:tcPr>
            <w:tcW w:w="2386" w:type="dxa"/>
            <w:hideMark/>
          </w:tcPr>
          <w:p w:rsidR="00077AF8" w:rsidRPr="001F392C" w:rsidRDefault="00077AF8">
            <w:pPr>
              <w:jc w:val="center"/>
            </w:pPr>
            <w:r w:rsidRPr="001F392C">
              <w:t>11,6</w:t>
            </w:r>
          </w:p>
        </w:tc>
        <w:tc>
          <w:tcPr>
            <w:tcW w:w="2246" w:type="dxa"/>
            <w:hideMark/>
          </w:tcPr>
          <w:p w:rsidR="00077AF8" w:rsidRPr="001F392C" w:rsidRDefault="00077AF8">
            <w:pPr>
              <w:jc w:val="center"/>
            </w:pPr>
            <w:r w:rsidRPr="001F392C">
              <w:t>6,7</w:t>
            </w:r>
          </w:p>
        </w:tc>
        <w:tc>
          <w:tcPr>
            <w:tcW w:w="1808" w:type="dxa"/>
            <w:hideMark/>
          </w:tcPr>
          <w:p w:rsidR="00077AF8" w:rsidRPr="001F392C" w:rsidRDefault="00077AF8">
            <w:pPr>
              <w:jc w:val="center"/>
            </w:pPr>
            <w:r w:rsidRPr="001F392C">
              <w:t>1,6</w:t>
            </w:r>
          </w:p>
        </w:tc>
      </w:tr>
      <w:tr w:rsidR="00077AF8" w:rsidRPr="001F392C" w:rsidTr="00C178EC">
        <w:trPr>
          <w:trHeight w:val="345"/>
        </w:trPr>
        <w:tc>
          <w:tcPr>
            <w:tcW w:w="1011" w:type="dxa"/>
            <w:hideMark/>
          </w:tcPr>
          <w:p w:rsidR="00077AF8" w:rsidRPr="001F392C" w:rsidRDefault="00077AF8">
            <w:pPr>
              <w:ind w:left="142"/>
            </w:pPr>
            <w:r w:rsidRPr="001F392C">
              <w:t>2006</w:t>
            </w:r>
          </w:p>
        </w:tc>
        <w:tc>
          <w:tcPr>
            <w:tcW w:w="1631" w:type="dxa"/>
            <w:hideMark/>
          </w:tcPr>
          <w:p w:rsidR="00077AF8" w:rsidRPr="001F392C" w:rsidRDefault="00077AF8">
            <w:pPr>
              <w:ind w:left="142"/>
            </w:pPr>
            <w:r w:rsidRPr="001F392C">
              <w:t> </w:t>
            </w:r>
          </w:p>
        </w:tc>
        <w:tc>
          <w:tcPr>
            <w:tcW w:w="2386" w:type="dxa"/>
            <w:hideMark/>
          </w:tcPr>
          <w:p w:rsidR="00077AF8" w:rsidRPr="001F392C" w:rsidRDefault="00077AF8">
            <w:pPr>
              <w:jc w:val="center"/>
            </w:pPr>
            <w:r w:rsidRPr="001F392C">
              <w:t>10,4</w:t>
            </w:r>
          </w:p>
        </w:tc>
        <w:tc>
          <w:tcPr>
            <w:tcW w:w="2246" w:type="dxa"/>
            <w:hideMark/>
          </w:tcPr>
          <w:p w:rsidR="00077AF8" w:rsidRPr="001F392C" w:rsidRDefault="00077AF8">
            <w:pPr>
              <w:jc w:val="center"/>
            </w:pPr>
            <w:r w:rsidRPr="001F392C">
              <w:t>8,3</w:t>
            </w:r>
          </w:p>
        </w:tc>
        <w:tc>
          <w:tcPr>
            <w:tcW w:w="1808" w:type="dxa"/>
            <w:hideMark/>
          </w:tcPr>
          <w:p w:rsidR="00077AF8" w:rsidRPr="001F392C" w:rsidRDefault="00077AF8">
            <w:pPr>
              <w:jc w:val="center"/>
            </w:pPr>
            <w:r w:rsidRPr="001F392C">
              <w:t>2,1</w:t>
            </w:r>
          </w:p>
        </w:tc>
      </w:tr>
      <w:tr w:rsidR="00077AF8" w:rsidRPr="001F392C" w:rsidTr="00C178EC">
        <w:trPr>
          <w:trHeight w:val="345"/>
        </w:trPr>
        <w:tc>
          <w:tcPr>
            <w:tcW w:w="1011" w:type="dxa"/>
            <w:hideMark/>
          </w:tcPr>
          <w:p w:rsidR="00077AF8" w:rsidRPr="001F392C" w:rsidRDefault="00077AF8">
            <w:pPr>
              <w:ind w:left="142"/>
            </w:pPr>
            <w:r w:rsidRPr="001F392C">
              <w:t>2007</w:t>
            </w:r>
          </w:p>
        </w:tc>
        <w:tc>
          <w:tcPr>
            <w:tcW w:w="1631" w:type="dxa"/>
            <w:hideMark/>
          </w:tcPr>
          <w:p w:rsidR="00077AF8" w:rsidRPr="001F392C" w:rsidRDefault="00077AF8">
            <w:pPr>
              <w:ind w:left="142"/>
            </w:pPr>
            <w:r w:rsidRPr="001F392C">
              <w:t>od 1. 9. 2007</w:t>
            </w:r>
          </w:p>
        </w:tc>
        <w:tc>
          <w:tcPr>
            <w:tcW w:w="2386" w:type="dxa"/>
            <w:hideMark/>
          </w:tcPr>
          <w:p w:rsidR="00077AF8" w:rsidRPr="001F392C" w:rsidRDefault="00077AF8">
            <w:pPr>
              <w:jc w:val="center"/>
            </w:pPr>
            <w:r w:rsidRPr="001F392C">
              <w:t>8,4</w:t>
            </w:r>
          </w:p>
        </w:tc>
        <w:tc>
          <w:tcPr>
            <w:tcW w:w="2246" w:type="dxa"/>
            <w:hideMark/>
          </w:tcPr>
          <w:p w:rsidR="00077AF8" w:rsidRPr="001F392C" w:rsidRDefault="00077AF8">
            <w:pPr>
              <w:jc w:val="center"/>
            </w:pPr>
            <w:r w:rsidRPr="001F392C">
              <w:t>10,5</w:t>
            </w:r>
          </w:p>
        </w:tc>
        <w:tc>
          <w:tcPr>
            <w:tcW w:w="1808" w:type="dxa"/>
            <w:hideMark/>
          </w:tcPr>
          <w:p w:rsidR="00077AF8" w:rsidRPr="001F392C" w:rsidRDefault="00077AF8">
            <w:pPr>
              <w:jc w:val="center"/>
            </w:pPr>
            <w:r w:rsidRPr="001F392C">
              <w:t>2,1</w:t>
            </w:r>
          </w:p>
        </w:tc>
      </w:tr>
      <w:tr w:rsidR="00077AF8" w:rsidRPr="001F392C" w:rsidTr="00C178EC">
        <w:trPr>
          <w:trHeight w:val="345"/>
        </w:trPr>
        <w:tc>
          <w:tcPr>
            <w:tcW w:w="1011" w:type="dxa"/>
            <w:hideMark/>
          </w:tcPr>
          <w:p w:rsidR="00077AF8" w:rsidRPr="001F392C" w:rsidRDefault="00077AF8">
            <w:pPr>
              <w:ind w:left="142"/>
            </w:pPr>
            <w:r w:rsidRPr="001F392C">
              <w:t>2008</w:t>
            </w:r>
          </w:p>
        </w:tc>
        <w:tc>
          <w:tcPr>
            <w:tcW w:w="1631" w:type="dxa"/>
          </w:tcPr>
          <w:p w:rsidR="00077AF8" w:rsidRPr="001F392C" w:rsidRDefault="00077AF8">
            <w:pPr>
              <w:ind w:left="142"/>
            </w:pPr>
          </w:p>
        </w:tc>
        <w:tc>
          <w:tcPr>
            <w:tcW w:w="2386" w:type="dxa"/>
            <w:hideMark/>
          </w:tcPr>
          <w:p w:rsidR="00077AF8" w:rsidRPr="001F392C" w:rsidRDefault="00077AF8">
            <w:pPr>
              <w:jc w:val="center"/>
            </w:pPr>
            <w:r w:rsidRPr="001F392C">
              <w:t>7,7</w:t>
            </w:r>
          </w:p>
        </w:tc>
        <w:tc>
          <w:tcPr>
            <w:tcW w:w="2246" w:type="dxa"/>
            <w:hideMark/>
          </w:tcPr>
          <w:p w:rsidR="00077AF8" w:rsidRPr="001F392C" w:rsidRDefault="00077AF8">
            <w:pPr>
              <w:jc w:val="center"/>
            </w:pPr>
            <w:r w:rsidRPr="001F392C">
              <w:t>5,8</w:t>
            </w:r>
          </w:p>
        </w:tc>
        <w:tc>
          <w:tcPr>
            <w:tcW w:w="1808" w:type="dxa"/>
            <w:hideMark/>
          </w:tcPr>
          <w:p w:rsidR="00077AF8" w:rsidRPr="001F392C" w:rsidRDefault="00077AF8">
            <w:pPr>
              <w:jc w:val="center"/>
            </w:pPr>
            <w:r w:rsidRPr="001F392C">
              <w:t>3,2</w:t>
            </w:r>
          </w:p>
        </w:tc>
      </w:tr>
      <w:tr w:rsidR="00077AF8" w:rsidRPr="001F392C" w:rsidTr="00C178EC">
        <w:trPr>
          <w:trHeight w:val="345"/>
        </w:trPr>
        <w:tc>
          <w:tcPr>
            <w:tcW w:w="1011" w:type="dxa"/>
            <w:hideMark/>
          </w:tcPr>
          <w:p w:rsidR="00077AF8" w:rsidRPr="001F392C" w:rsidRDefault="00077AF8">
            <w:pPr>
              <w:ind w:left="142"/>
            </w:pPr>
            <w:r w:rsidRPr="001F392C">
              <w:t>2009</w:t>
            </w:r>
          </w:p>
        </w:tc>
        <w:tc>
          <w:tcPr>
            <w:tcW w:w="1631" w:type="dxa"/>
            <w:hideMark/>
          </w:tcPr>
          <w:p w:rsidR="00077AF8" w:rsidRPr="001F392C" w:rsidRDefault="00077AF8">
            <w:pPr>
              <w:ind w:left="142"/>
            </w:pPr>
            <w:r w:rsidRPr="001F392C">
              <w:t> </w:t>
            </w:r>
          </w:p>
        </w:tc>
        <w:tc>
          <w:tcPr>
            <w:tcW w:w="2386" w:type="dxa"/>
            <w:hideMark/>
          </w:tcPr>
          <w:p w:rsidR="00077AF8" w:rsidRPr="001F392C" w:rsidRDefault="00077AF8">
            <w:pPr>
              <w:jc w:val="center"/>
            </w:pPr>
            <w:r w:rsidRPr="001F392C">
              <w:t>11,4</w:t>
            </w:r>
          </w:p>
        </w:tc>
        <w:tc>
          <w:tcPr>
            <w:tcW w:w="2246" w:type="dxa"/>
            <w:hideMark/>
          </w:tcPr>
          <w:p w:rsidR="00077AF8" w:rsidRPr="001F392C" w:rsidRDefault="00077AF8">
            <w:pPr>
              <w:jc w:val="center"/>
            </w:pPr>
            <w:r w:rsidRPr="001F392C">
              <w:t>- 4,9</w:t>
            </w:r>
          </w:p>
        </w:tc>
        <w:tc>
          <w:tcPr>
            <w:tcW w:w="1808" w:type="dxa"/>
            <w:hideMark/>
          </w:tcPr>
          <w:p w:rsidR="00077AF8" w:rsidRPr="001F392C" w:rsidRDefault="00077AF8">
            <w:pPr>
              <w:jc w:val="center"/>
            </w:pPr>
            <w:r w:rsidRPr="001F392C">
              <w:t>-2,0</w:t>
            </w:r>
          </w:p>
        </w:tc>
      </w:tr>
      <w:tr w:rsidR="00077AF8" w:rsidRPr="001F392C" w:rsidTr="00C178EC">
        <w:trPr>
          <w:trHeight w:val="345"/>
        </w:trPr>
        <w:tc>
          <w:tcPr>
            <w:tcW w:w="1011" w:type="dxa"/>
            <w:hideMark/>
          </w:tcPr>
          <w:p w:rsidR="00077AF8" w:rsidRPr="001F392C" w:rsidRDefault="00077AF8">
            <w:pPr>
              <w:ind w:left="142"/>
            </w:pPr>
            <w:r w:rsidRPr="001F392C">
              <w:t>2010</w:t>
            </w:r>
          </w:p>
        </w:tc>
        <w:tc>
          <w:tcPr>
            <w:tcW w:w="1631" w:type="dxa"/>
            <w:hideMark/>
          </w:tcPr>
          <w:p w:rsidR="00077AF8" w:rsidRPr="001F392C" w:rsidRDefault="00077AF8">
            <w:pPr>
              <w:ind w:left="142"/>
            </w:pPr>
            <w:r w:rsidRPr="001F392C">
              <w:t> </w:t>
            </w:r>
          </w:p>
        </w:tc>
        <w:tc>
          <w:tcPr>
            <w:tcW w:w="2386" w:type="dxa"/>
            <w:hideMark/>
          </w:tcPr>
          <w:p w:rsidR="00077AF8" w:rsidRPr="001F392C" w:rsidRDefault="00077AF8">
            <w:pPr>
              <w:jc w:val="center"/>
            </w:pPr>
            <w:r w:rsidRPr="001F392C">
              <w:t>12,5</w:t>
            </w:r>
          </w:p>
        </w:tc>
        <w:tc>
          <w:tcPr>
            <w:tcW w:w="2246" w:type="dxa"/>
            <w:hideMark/>
          </w:tcPr>
          <w:p w:rsidR="00077AF8" w:rsidRPr="001F392C" w:rsidRDefault="00077AF8">
            <w:pPr>
              <w:jc w:val="center"/>
            </w:pPr>
            <w:r w:rsidRPr="001F392C">
              <w:t>4,4</w:t>
            </w:r>
          </w:p>
        </w:tc>
        <w:tc>
          <w:tcPr>
            <w:tcW w:w="1808" w:type="dxa"/>
            <w:hideMark/>
          </w:tcPr>
          <w:p w:rsidR="00077AF8" w:rsidRPr="001F392C" w:rsidRDefault="00077AF8">
            <w:pPr>
              <w:jc w:val="center"/>
            </w:pPr>
            <w:r w:rsidRPr="001F392C">
              <w:t>-1,5</w:t>
            </w:r>
          </w:p>
        </w:tc>
      </w:tr>
      <w:tr w:rsidR="00077AF8" w:rsidRPr="001F392C" w:rsidTr="00C178EC">
        <w:trPr>
          <w:trHeight w:val="345"/>
        </w:trPr>
        <w:tc>
          <w:tcPr>
            <w:tcW w:w="1011" w:type="dxa"/>
            <w:hideMark/>
          </w:tcPr>
          <w:p w:rsidR="00077AF8" w:rsidRPr="001F392C" w:rsidRDefault="00077AF8">
            <w:pPr>
              <w:ind w:left="142"/>
            </w:pPr>
            <w:r w:rsidRPr="001F392C">
              <w:t>2011</w:t>
            </w:r>
          </w:p>
        </w:tc>
        <w:tc>
          <w:tcPr>
            <w:tcW w:w="1631" w:type="dxa"/>
            <w:hideMark/>
          </w:tcPr>
          <w:p w:rsidR="00077AF8" w:rsidRPr="001F392C" w:rsidRDefault="00077AF8">
            <w:pPr>
              <w:ind w:left="142"/>
            </w:pPr>
            <w:r w:rsidRPr="001F392C">
              <w:t>od 1. 9. 2011</w:t>
            </w:r>
          </w:p>
        </w:tc>
        <w:tc>
          <w:tcPr>
            <w:tcW w:w="2386" w:type="dxa"/>
            <w:hideMark/>
          </w:tcPr>
          <w:p w:rsidR="00077AF8" w:rsidRPr="001F392C" w:rsidRDefault="00077AF8">
            <w:pPr>
              <w:jc w:val="center"/>
            </w:pPr>
            <w:r w:rsidRPr="001F392C">
              <w:t>13,2</w:t>
            </w:r>
          </w:p>
        </w:tc>
        <w:tc>
          <w:tcPr>
            <w:tcW w:w="2246" w:type="dxa"/>
            <w:hideMark/>
          </w:tcPr>
          <w:p w:rsidR="00077AF8" w:rsidRPr="001F392C" w:rsidRDefault="00077AF8">
            <w:pPr>
              <w:jc w:val="center"/>
            </w:pPr>
            <w:r w:rsidRPr="001F392C">
              <w:t>3,2</w:t>
            </w:r>
          </w:p>
        </w:tc>
        <w:tc>
          <w:tcPr>
            <w:tcW w:w="1808" w:type="dxa"/>
            <w:hideMark/>
          </w:tcPr>
          <w:p w:rsidR="00077AF8" w:rsidRPr="001F392C" w:rsidRDefault="00077AF8">
            <w:pPr>
              <w:jc w:val="center"/>
            </w:pPr>
            <w:r w:rsidRPr="001F392C">
              <w:t>1,8</w:t>
            </w:r>
          </w:p>
        </w:tc>
      </w:tr>
      <w:tr w:rsidR="00077AF8" w:rsidRPr="001F392C" w:rsidTr="00C178EC">
        <w:trPr>
          <w:trHeight w:val="345"/>
        </w:trPr>
        <w:tc>
          <w:tcPr>
            <w:tcW w:w="1011" w:type="dxa"/>
            <w:hideMark/>
          </w:tcPr>
          <w:p w:rsidR="00077AF8" w:rsidRPr="001F392C" w:rsidRDefault="00077AF8">
            <w:pPr>
              <w:ind w:left="142"/>
            </w:pPr>
            <w:r w:rsidRPr="001F392C">
              <w:t>2012</w:t>
            </w:r>
          </w:p>
        </w:tc>
        <w:tc>
          <w:tcPr>
            <w:tcW w:w="1631" w:type="dxa"/>
            <w:hideMark/>
          </w:tcPr>
          <w:p w:rsidR="00077AF8" w:rsidRPr="001F392C" w:rsidRDefault="00077AF8">
            <w:pPr>
              <w:ind w:left="142"/>
            </w:pPr>
            <w:r w:rsidRPr="001F392C">
              <w:t> </w:t>
            </w:r>
          </w:p>
        </w:tc>
        <w:tc>
          <w:tcPr>
            <w:tcW w:w="2386" w:type="dxa"/>
            <w:hideMark/>
          </w:tcPr>
          <w:p w:rsidR="00077AF8" w:rsidRPr="001F392C" w:rsidRDefault="00077AF8">
            <w:pPr>
              <w:jc w:val="center"/>
            </w:pPr>
            <w:r w:rsidRPr="001F392C">
              <w:t>13,6</w:t>
            </w:r>
          </w:p>
        </w:tc>
        <w:tc>
          <w:tcPr>
            <w:tcW w:w="2246" w:type="dxa"/>
            <w:hideMark/>
          </w:tcPr>
          <w:p w:rsidR="00077AF8" w:rsidRPr="001F392C" w:rsidRDefault="00077AF8">
            <w:pPr>
              <w:jc w:val="center"/>
            </w:pPr>
            <w:r w:rsidRPr="001F392C">
              <w:t>2,0</w:t>
            </w:r>
          </w:p>
        </w:tc>
        <w:tc>
          <w:tcPr>
            <w:tcW w:w="1808" w:type="dxa"/>
            <w:hideMark/>
          </w:tcPr>
          <w:p w:rsidR="00077AF8" w:rsidRPr="001F392C" w:rsidRDefault="00077AF8">
            <w:pPr>
              <w:jc w:val="center"/>
            </w:pPr>
            <w:r w:rsidRPr="001F392C">
              <w:t>0,1</w:t>
            </w:r>
          </w:p>
        </w:tc>
      </w:tr>
    </w:tbl>
    <w:p w:rsidR="00077AF8" w:rsidRPr="001F392C" w:rsidRDefault="00077AF8" w:rsidP="00077AF8">
      <w:pPr>
        <w:jc w:val="both"/>
        <w:rPr>
          <w:iCs/>
          <w:sz w:val="20"/>
          <w:szCs w:val="20"/>
        </w:rPr>
      </w:pPr>
      <w:r w:rsidRPr="001F392C">
        <w:rPr>
          <w:sz w:val="20"/>
          <w:szCs w:val="20"/>
        </w:rPr>
        <w:t xml:space="preserve">Zdroj: </w:t>
      </w:r>
      <w:r w:rsidRPr="001F392C">
        <w:rPr>
          <w:iCs/>
          <w:sz w:val="20"/>
          <w:szCs w:val="20"/>
        </w:rPr>
        <w:t>Štatistický úrad SR, Ústredie práce, sociálnych vecí a rodiny</w:t>
      </w:r>
    </w:p>
    <w:p w:rsidR="00634E74" w:rsidRPr="001F392C" w:rsidRDefault="00634E74">
      <w:pPr>
        <w:jc w:val="both"/>
      </w:pPr>
    </w:p>
    <w:p w:rsidR="0081470B" w:rsidRPr="004F5B84" w:rsidRDefault="0095646C" w:rsidP="002C4F7E">
      <w:pPr>
        <w:ind w:firstLine="708"/>
        <w:jc w:val="both"/>
      </w:pPr>
      <w:r w:rsidRPr="001F392C">
        <w:t>Z uvedenej tabuľky vyplýva, že trh práce, prejavujúci sa rastom alebo poklesom zamestnanosti a miery nezamestnanosti reaguje na vývoj HDP s oneskorením. Avšak aj v</w:t>
      </w:r>
      <w:r w:rsidR="00C178EC" w:rsidRPr="001F392C">
        <w:t> </w:t>
      </w:r>
      <w:r w:rsidRPr="001F392C">
        <w:t>období silnej ekonomickej expanzie v rokoch 2005 a 2006 dosiahol rast zamestnanosti v SR približne 2 %, v dôsledku čoho priemerná miera evidovanej nezamestnanosti výrazne neklesla a jej úroveň presiahla viac ako 10 %. Rok 2007 s mimoriadne silným  rastom ekonomiky o</w:t>
      </w:r>
      <w:r w:rsidR="00634E74" w:rsidRPr="001F392C">
        <w:t> </w:t>
      </w:r>
      <w:r w:rsidRPr="001F392C">
        <w:t>viac ako 10 % sa premietol v raste zamestnanosti o viac ako 3 % s ročným oneskorením. Priaznivý ekonomický vývoj sa na vývoji evidovanej nezamestnanosti prejavil takmer okamžite, keď v roku 2007 sa oproti predchádzajúcemu roku znížila o 2 p. b. a v roku 2008 ďalej klesala. Podľa očakávaní sa má tempo rastu HDP v SR po nízkej hodnote v roku 2013 výraznejšie zrýchliť v rokoch 2014 a 2015, čo by malo byť opäť stimulom k obnoveniu rastu zamestnanosti</w:t>
      </w:r>
      <w:r w:rsidR="00D039EC">
        <w:t>, a to</w:t>
      </w:r>
      <w:r w:rsidR="0081470B">
        <w:t xml:space="preserve"> za predpokladu, že </w:t>
      </w:r>
      <w:r w:rsidR="0081470B" w:rsidRPr="004F5B84">
        <w:t>prognózovaný ekonomický</w:t>
      </w:r>
      <w:r w:rsidR="0081470B">
        <w:t xml:space="preserve"> rast prekročí</w:t>
      </w:r>
      <w:r w:rsidR="0081470B" w:rsidRPr="004F5B84">
        <w:t xml:space="preserve"> hodnotu, ktorá sa </w:t>
      </w:r>
      <w:r w:rsidR="0081470B">
        <w:t>spája aj s rastom zamestnanosti</w:t>
      </w:r>
      <w:r w:rsidR="0081470B" w:rsidRPr="004F5B84">
        <w:t xml:space="preserve">. </w:t>
      </w:r>
    </w:p>
    <w:p w:rsidR="0081470B" w:rsidRDefault="0081470B" w:rsidP="0081470B">
      <w:pPr>
        <w:rPr>
          <w:b/>
        </w:rPr>
      </w:pPr>
    </w:p>
    <w:p w:rsidR="00077AF8" w:rsidRPr="001F392C" w:rsidRDefault="00077AF8" w:rsidP="00077AF8">
      <w:pPr>
        <w:ind w:firstLine="708"/>
        <w:jc w:val="both"/>
      </w:pPr>
    </w:p>
    <w:p w:rsidR="00634E74" w:rsidRPr="001F392C" w:rsidRDefault="00634E74">
      <w:pPr>
        <w:jc w:val="both"/>
      </w:pPr>
    </w:p>
    <w:p w:rsidR="008B16AB" w:rsidRPr="001F392C" w:rsidRDefault="00475897" w:rsidP="008B16AB">
      <w:pPr>
        <w:ind w:firstLine="708"/>
        <w:jc w:val="both"/>
      </w:pPr>
      <w:r w:rsidRPr="001F392C">
        <w:lastRenderedPageBreak/>
        <w:t xml:space="preserve">Iným legislatívnym opatrením s pozitívnym dopadom na trh práce je novela </w:t>
      </w:r>
      <w:r w:rsidR="00E4728C" w:rsidRPr="001F392C">
        <w:t xml:space="preserve">zákona </w:t>
      </w:r>
      <w:r w:rsidR="00DC2622" w:rsidRPr="001F392C">
        <w:t xml:space="preserve">    </w:t>
      </w:r>
      <w:r w:rsidR="00E4728C" w:rsidRPr="001F392C">
        <w:t>č. 561/2007 Z. z. o investičnej pomoci</w:t>
      </w:r>
      <w:r w:rsidR="001355C9" w:rsidRPr="001F392C">
        <w:t xml:space="preserve"> a o zmene a doplnení niektorých zákonov v znení neskorších predpisov</w:t>
      </w:r>
      <w:r w:rsidRPr="001F392C">
        <w:t xml:space="preserve">, </w:t>
      </w:r>
      <w:r w:rsidR="00634E74" w:rsidRPr="001F392C">
        <w:t>ktorú Národná rada SR schválila dňa 19. marca 2013 s účinnosťou od 1. mája 2013</w:t>
      </w:r>
      <w:r w:rsidRPr="001F392C">
        <w:t>. I</w:t>
      </w:r>
      <w:r w:rsidR="00C2724E" w:rsidRPr="001F392C">
        <w:t xml:space="preserve">nvestičná pomoc bude poskytnutá len </w:t>
      </w:r>
      <w:r w:rsidR="00C2724E" w:rsidRPr="001F392C">
        <w:rPr>
          <w:b/>
        </w:rPr>
        <w:t>ak investičný zámer vedie k čistému nárastu nových pracovných miest</w:t>
      </w:r>
      <w:r w:rsidR="00C2724E" w:rsidRPr="001F392C">
        <w:t xml:space="preserve"> v porovnaní s priemerom za predošlých dvanásť mesiacov a prioritne sa bude poskytovať vo forme úľavy na dani z príjmu.</w:t>
      </w:r>
      <w:r w:rsidR="00C2724E" w:rsidRPr="001F392C" w:rsidDel="00C2724E">
        <w:t xml:space="preserve"> </w:t>
      </w:r>
    </w:p>
    <w:p w:rsidR="0052582D" w:rsidRPr="001F392C" w:rsidRDefault="0052582D" w:rsidP="008B16AB">
      <w:pPr>
        <w:ind w:firstLine="708"/>
        <w:jc w:val="both"/>
      </w:pPr>
    </w:p>
    <w:p w:rsidR="00475897" w:rsidRPr="001F392C" w:rsidRDefault="00C31F6E" w:rsidP="008B16AB">
      <w:pPr>
        <w:ind w:firstLine="708"/>
        <w:jc w:val="both"/>
      </w:pPr>
      <w:r w:rsidRPr="001F392C">
        <w:t>Efektívnejšiu podporu v</w:t>
      </w:r>
      <w:r w:rsidR="00E4728C" w:rsidRPr="001F392C">
        <w:t>ytvárani</w:t>
      </w:r>
      <w:r w:rsidRPr="001F392C">
        <w:t>a</w:t>
      </w:r>
      <w:r w:rsidR="00E4728C" w:rsidRPr="001F392C">
        <w:t xml:space="preserve"> pracovných miest </w:t>
      </w:r>
      <w:r w:rsidR="00475897" w:rsidRPr="001F392C">
        <w:t xml:space="preserve">než doteraz podporí aj novela </w:t>
      </w:r>
      <w:r w:rsidR="00E4728C" w:rsidRPr="001F392C">
        <w:t>zákon</w:t>
      </w:r>
      <w:r w:rsidR="00475897" w:rsidRPr="001F392C">
        <w:t>a</w:t>
      </w:r>
      <w:r w:rsidR="00E4728C" w:rsidRPr="001F392C">
        <w:t xml:space="preserve"> č. 5/2004 Z. z. o službách zamestnanosti</w:t>
      </w:r>
      <w:r w:rsidR="00241FA5" w:rsidRPr="001F392C">
        <w:t xml:space="preserve"> a o zmene a doplnení niektorých zákonov v znení neskorších predpisov (ďalej len </w:t>
      </w:r>
      <w:r w:rsidRPr="001F392C">
        <w:t>„</w:t>
      </w:r>
      <w:r w:rsidR="00241FA5" w:rsidRPr="001F392C">
        <w:t>novela zákona o službách zamestnanosti“)</w:t>
      </w:r>
      <w:r w:rsidR="00475897" w:rsidRPr="001F392C">
        <w:t>, ktorú N</w:t>
      </w:r>
      <w:r w:rsidR="00241FA5" w:rsidRPr="001F392C">
        <w:t xml:space="preserve">árodná rada </w:t>
      </w:r>
      <w:r w:rsidR="00475897" w:rsidRPr="001F392C">
        <w:t xml:space="preserve">SR </w:t>
      </w:r>
      <w:r w:rsidR="0073257F" w:rsidRPr="001F392C">
        <w:t>schválila dňa 20. </w:t>
      </w:r>
      <w:r w:rsidR="00475897" w:rsidRPr="001F392C">
        <w:t>marc</w:t>
      </w:r>
      <w:r w:rsidR="0073257F" w:rsidRPr="001F392C">
        <w:t>a 2013 s účinnosťou od 1. mája 2013</w:t>
      </w:r>
      <w:r w:rsidR="00475897" w:rsidRPr="001F392C">
        <w:t xml:space="preserve">. Kľúčovou pozitívnou zmenou je </w:t>
      </w:r>
      <w:r w:rsidR="00475897" w:rsidRPr="001F392C">
        <w:rPr>
          <w:b/>
        </w:rPr>
        <w:t>výraznejšie zapojenie predstaviteľov podnikateľského sektora, ako aj samosprávy</w:t>
      </w:r>
      <w:r w:rsidR="00E4728C" w:rsidRPr="001F392C">
        <w:rPr>
          <w:b/>
        </w:rPr>
        <w:t xml:space="preserve"> </w:t>
      </w:r>
      <w:r w:rsidR="00475897" w:rsidRPr="001F392C">
        <w:rPr>
          <w:b/>
        </w:rPr>
        <w:t>do tvorby i realizácie politiky zamestnanosti v konkrétnom regióne.</w:t>
      </w:r>
      <w:r w:rsidR="00475897" w:rsidRPr="001F392C">
        <w:t xml:space="preserve"> Ide o partnerov, ktorí priamo ovplyvňujú hospodárstvo i zamestnanosť na regionálnej úrovni.</w:t>
      </w:r>
      <w:r w:rsidR="00425A3A" w:rsidRPr="001F392C">
        <w:t xml:space="preserve"> tomto zmysle budú rekonš</w:t>
      </w:r>
      <w:r w:rsidRPr="001F392C">
        <w:t>t</w:t>
      </w:r>
      <w:r w:rsidR="00425A3A" w:rsidRPr="001F392C">
        <w:t xml:space="preserve">ruované </w:t>
      </w:r>
      <w:r w:rsidR="0073257F" w:rsidRPr="001F392C">
        <w:t xml:space="preserve">aj </w:t>
      </w:r>
      <w:r w:rsidR="00425A3A" w:rsidRPr="001F392C">
        <w:t>Výbory pre otázky zamestnanosti.</w:t>
      </w:r>
      <w:r w:rsidR="00475897" w:rsidRPr="001F392C">
        <w:t xml:space="preserve"> Novela</w:t>
      </w:r>
      <w:r w:rsidRPr="001F392C">
        <w:t xml:space="preserve"> zákona o službách zamestnanosti</w:t>
      </w:r>
      <w:r w:rsidR="00475897" w:rsidRPr="001F392C">
        <w:t xml:space="preserve"> tiež zjednoduší administratívu a uvoľní kapacity pre diferencovaný prístup najmä vo v</w:t>
      </w:r>
      <w:r w:rsidR="001355C9" w:rsidRPr="001F392C">
        <w:t>zťahu k dlhodobo nezamestnaným</w:t>
      </w:r>
      <w:r w:rsidRPr="001F392C">
        <w:t xml:space="preserve"> občanom</w:t>
      </w:r>
      <w:r w:rsidR="001355C9" w:rsidRPr="001F392C">
        <w:t>.</w:t>
      </w:r>
    </w:p>
    <w:p w:rsidR="00475897" w:rsidRPr="001F392C" w:rsidRDefault="00475897" w:rsidP="008B16AB">
      <w:pPr>
        <w:ind w:firstLine="708"/>
        <w:jc w:val="both"/>
      </w:pPr>
    </w:p>
    <w:p w:rsidR="00C178EC" w:rsidRPr="001F392C" w:rsidRDefault="00C178EC" w:rsidP="008B16AB">
      <w:pPr>
        <w:ind w:firstLine="708"/>
        <w:jc w:val="both"/>
      </w:pPr>
    </w:p>
    <w:p w:rsidR="00635867" w:rsidRPr="001F392C" w:rsidRDefault="00AA7D16" w:rsidP="004447D6">
      <w:pPr>
        <w:pStyle w:val="Odsekzoznamu"/>
        <w:numPr>
          <w:ilvl w:val="0"/>
          <w:numId w:val="26"/>
        </w:numPr>
        <w:tabs>
          <w:tab w:val="left" w:pos="567"/>
        </w:tabs>
        <w:ind w:left="567" w:hanging="567"/>
        <w:jc w:val="both"/>
        <w:rPr>
          <w:b/>
          <w:u w:val="single"/>
        </w:rPr>
      </w:pPr>
      <w:r w:rsidRPr="001F392C">
        <w:rPr>
          <w:b/>
          <w:bCs/>
          <w:sz w:val="28"/>
          <w:szCs w:val="28"/>
        </w:rPr>
        <w:t xml:space="preserve">VPLYV </w:t>
      </w:r>
      <w:r w:rsidR="00635867" w:rsidRPr="001F392C">
        <w:rPr>
          <w:b/>
          <w:bCs/>
          <w:sz w:val="28"/>
          <w:szCs w:val="28"/>
        </w:rPr>
        <w:t>MAKROEKONOMICK</w:t>
      </w:r>
      <w:r w:rsidRPr="001F392C">
        <w:rPr>
          <w:b/>
          <w:bCs/>
          <w:sz w:val="28"/>
          <w:szCs w:val="28"/>
        </w:rPr>
        <w:t>ÉHO VÝVOJA</w:t>
      </w:r>
      <w:r w:rsidR="00475897" w:rsidRPr="001F392C">
        <w:rPr>
          <w:b/>
          <w:bCs/>
          <w:sz w:val="28"/>
          <w:szCs w:val="28"/>
        </w:rPr>
        <w:t xml:space="preserve"> </w:t>
      </w:r>
      <w:r w:rsidR="00635867" w:rsidRPr="001F392C">
        <w:rPr>
          <w:b/>
          <w:bCs/>
          <w:sz w:val="28"/>
          <w:szCs w:val="28"/>
        </w:rPr>
        <w:t>NA TRH PRÁCE</w:t>
      </w:r>
    </w:p>
    <w:p w:rsidR="00635867" w:rsidRPr="001F392C" w:rsidRDefault="00635867" w:rsidP="00635867">
      <w:pPr>
        <w:pStyle w:val="Odsekzoznamu"/>
        <w:ind w:left="0"/>
        <w:jc w:val="both"/>
        <w:rPr>
          <w:b/>
          <w:u w:val="single"/>
        </w:rPr>
      </w:pPr>
    </w:p>
    <w:p w:rsidR="00634E74" w:rsidRPr="001F392C" w:rsidRDefault="00025C5E"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 xml:space="preserve">Vývoj </w:t>
      </w:r>
      <w:r w:rsidR="005A6431" w:rsidRPr="001F392C">
        <w:rPr>
          <w:rFonts w:ascii="Times New Roman" w:hAnsi="Times New Roman" w:cs="Times New Roman"/>
          <w:b/>
          <w:sz w:val="24"/>
          <w:szCs w:val="24"/>
          <w:u w:val="single"/>
          <w:lang w:val="sk-SK"/>
        </w:rPr>
        <w:t xml:space="preserve">hrubého domáceho produktu </w:t>
      </w:r>
      <w:r w:rsidRPr="001F392C">
        <w:rPr>
          <w:rFonts w:ascii="Times New Roman" w:hAnsi="Times New Roman" w:cs="Times New Roman"/>
          <w:b/>
          <w:sz w:val="24"/>
          <w:szCs w:val="24"/>
          <w:u w:val="single"/>
          <w:lang w:val="sk-SK"/>
        </w:rPr>
        <w:t>v EÚ 27 a v eurozóne v 4. štvrťroku 2012</w:t>
      </w:r>
    </w:p>
    <w:p w:rsidR="00025C5E" w:rsidRPr="001F392C" w:rsidRDefault="00025C5E" w:rsidP="00025C5E">
      <w:pPr>
        <w:pStyle w:val="3Title"/>
        <w:jc w:val="both"/>
        <w:rPr>
          <w:rFonts w:ascii="Times New Roman" w:hAnsi="Times New Roman" w:cs="Times New Roman"/>
          <w:sz w:val="24"/>
          <w:szCs w:val="24"/>
          <w:lang w:val="sk-SK"/>
        </w:rPr>
      </w:pPr>
    </w:p>
    <w:p w:rsidR="00B31B44" w:rsidRDefault="00025C5E" w:rsidP="004447D6">
      <w:pPr>
        <w:pStyle w:val="3Title"/>
        <w:tabs>
          <w:tab w:val="clear" w:pos="9360"/>
        </w:tabs>
        <w:ind w:firstLine="709"/>
        <w:jc w:val="both"/>
        <w:rPr>
          <w:rFonts w:ascii="Times New Roman" w:hAnsi="Times New Roman" w:cs="Times New Roman"/>
          <w:sz w:val="24"/>
          <w:szCs w:val="24"/>
          <w:lang w:val="sk-SK"/>
        </w:rPr>
      </w:pPr>
      <w:r w:rsidRPr="001F392C">
        <w:rPr>
          <w:rFonts w:ascii="Times New Roman" w:hAnsi="Times New Roman" w:cs="Times New Roman"/>
          <w:sz w:val="24"/>
          <w:szCs w:val="24"/>
          <w:lang w:val="sk-SK"/>
        </w:rPr>
        <w:t xml:space="preserve">V poslednom štvrťroku 2012 sa recesia v eurozóne i v EÚ 27 prehĺbila. </w:t>
      </w:r>
      <w:r w:rsidR="00B31B44">
        <w:rPr>
          <w:rFonts w:ascii="Times New Roman" w:hAnsi="Times New Roman" w:cs="Times New Roman"/>
          <w:sz w:val="24"/>
          <w:szCs w:val="24"/>
          <w:lang w:val="sk-SK"/>
        </w:rPr>
        <w:t xml:space="preserve">Čl. štáty EÚ sú pritom kľúčovými exportnými partnermi SR. Spomaľovanie hospodárskeho rastu, či dokonca recesia v týchto krajinách má teda priamy negatívny dopad na slovenské hospodárstvo a teda aj trh práce. A vzhľadom na mizivý vplyv nášho domáceho dopytu na výkon slovenského hospodárstva, je toto rozhodujúca príčina spôsobujúce negatívny vývoj trhu práce v SR. </w:t>
      </w:r>
    </w:p>
    <w:p w:rsidR="00B31B44" w:rsidRDefault="00B31B44" w:rsidP="004447D6">
      <w:pPr>
        <w:pStyle w:val="3Title"/>
        <w:tabs>
          <w:tab w:val="clear" w:pos="9360"/>
        </w:tabs>
        <w:ind w:firstLine="709"/>
        <w:jc w:val="both"/>
        <w:rPr>
          <w:rFonts w:ascii="Times New Roman" w:hAnsi="Times New Roman" w:cs="Times New Roman"/>
          <w:sz w:val="24"/>
          <w:szCs w:val="24"/>
          <w:lang w:val="sk-SK"/>
        </w:rPr>
      </w:pPr>
    </w:p>
    <w:p w:rsidR="00B31B44" w:rsidRDefault="00B31B44" w:rsidP="004447D6">
      <w:pPr>
        <w:pStyle w:val="3Title"/>
        <w:tabs>
          <w:tab w:val="clear" w:pos="9360"/>
        </w:tabs>
        <w:ind w:firstLine="709"/>
        <w:jc w:val="both"/>
        <w:rPr>
          <w:rFonts w:ascii="Times New Roman" w:hAnsi="Times New Roman" w:cs="Times New Roman"/>
          <w:sz w:val="24"/>
          <w:szCs w:val="24"/>
          <w:lang w:val="sk-SK"/>
        </w:rPr>
      </w:pPr>
      <w:r>
        <w:rPr>
          <w:rFonts w:ascii="Times New Roman" w:hAnsi="Times New Roman" w:cs="Times New Roman"/>
          <w:sz w:val="24"/>
          <w:szCs w:val="24"/>
          <w:lang w:val="sk-SK"/>
        </w:rPr>
        <w:t>V tejto súvislosti pritom nie je rozhodujúci vývoj nezamestnanosti v čl. štátoch EÚ, lebo jej úroveň ovplyvňujú vlády rôznymi nástrojmi, ktoré však nedokážu udržať kúpyschopnosť tamojšieho obyvateľstva. Úroveň nášho exportu závisí od domácej spotreby (najmä) v západnej Európe, ako aj od produkcie tamojšieho priemyslu – ak sa oba faktory vyvíjajú negatívne</w:t>
      </w:r>
      <w:r w:rsidR="00EB77F0">
        <w:rPr>
          <w:rFonts w:ascii="Times New Roman" w:hAnsi="Times New Roman" w:cs="Times New Roman"/>
          <w:sz w:val="24"/>
          <w:szCs w:val="24"/>
          <w:lang w:val="sk-SK"/>
        </w:rPr>
        <w:t xml:space="preserve">, slovenská produkcia klesá a to má nevyhnutne negatívny vplyv na trh práce. </w:t>
      </w:r>
    </w:p>
    <w:p w:rsidR="00B31B44" w:rsidRDefault="00B31B44" w:rsidP="004447D6">
      <w:pPr>
        <w:pStyle w:val="3Title"/>
        <w:tabs>
          <w:tab w:val="clear" w:pos="9360"/>
        </w:tabs>
        <w:ind w:firstLine="709"/>
        <w:jc w:val="both"/>
        <w:rPr>
          <w:rFonts w:ascii="Times New Roman" w:hAnsi="Times New Roman" w:cs="Times New Roman"/>
          <w:sz w:val="24"/>
          <w:szCs w:val="24"/>
          <w:lang w:val="sk-SK"/>
        </w:rPr>
      </w:pPr>
    </w:p>
    <w:p w:rsidR="00025C5E" w:rsidRPr="001F392C" w:rsidRDefault="00025C5E" w:rsidP="004447D6">
      <w:pPr>
        <w:pStyle w:val="3Title"/>
        <w:tabs>
          <w:tab w:val="clear" w:pos="9360"/>
        </w:tabs>
        <w:ind w:firstLine="709"/>
        <w:jc w:val="both"/>
        <w:rPr>
          <w:rFonts w:ascii="Times New Roman" w:hAnsi="Times New Roman" w:cs="Times New Roman"/>
          <w:sz w:val="24"/>
          <w:szCs w:val="24"/>
          <w:lang w:val="sk-SK"/>
        </w:rPr>
      </w:pPr>
      <w:r w:rsidRPr="001F392C">
        <w:rPr>
          <w:rFonts w:ascii="Times New Roman" w:hAnsi="Times New Roman" w:cs="Times New Roman"/>
          <w:sz w:val="24"/>
          <w:szCs w:val="24"/>
          <w:lang w:val="sk-SK"/>
        </w:rPr>
        <w:t xml:space="preserve">Podľa odhadu Eurostatu </w:t>
      </w:r>
      <w:r w:rsidR="005A6431" w:rsidRPr="001F392C">
        <w:rPr>
          <w:rFonts w:ascii="Times New Roman" w:hAnsi="Times New Roman" w:cs="Times New Roman"/>
          <w:sz w:val="24"/>
          <w:szCs w:val="24"/>
          <w:lang w:val="sk-SK"/>
        </w:rPr>
        <w:t>hrubý domáci produkt (</w:t>
      </w:r>
      <w:r w:rsidRPr="001F392C">
        <w:rPr>
          <w:rFonts w:ascii="Times New Roman" w:hAnsi="Times New Roman" w:cs="Times New Roman"/>
          <w:sz w:val="24"/>
          <w:szCs w:val="24"/>
          <w:lang w:val="sk-SK"/>
        </w:rPr>
        <w:t>HDP</w:t>
      </w:r>
      <w:r w:rsidR="005A6431" w:rsidRPr="001F392C">
        <w:rPr>
          <w:rFonts w:ascii="Times New Roman" w:hAnsi="Times New Roman" w:cs="Times New Roman"/>
          <w:sz w:val="24"/>
          <w:szCs w:val="24"/>
          <w:lang w:val="sk-SK"/>
        </w:rPr>
        <w:t>)</w:t>
      </w:r>
      <w:r w:rsidRPr="001F392C">
        <w:rPr>
          <w:rFonts w:ascii="Times New Roman" w:hAnsi="Times New Roman" w:cs="Times New Roman"/>
          <w:sz w:val="24"/>
          <w:szCs w:val="24"/>
          <w:lang w:val="sk-SK"/>
        </w:rPr>
        <w:t xml:space="preserve"> eurozóny klesol v 4. štvrťroku 2012 medziročne o</w:t>
      </w:r>
      <w:r w:rsidR="0052582D"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0,9</w:t>
      </w:r>
      <w:r w:rsidR="0052582D"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 a v EÚ 27 o 0,6</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(sezónne očistené údaje). Za celý rok 2012 HDP v eurozóne klesol v porovnaní s rovnakým obdobím predchádzajúceho roka podľa odhadu o 0,6</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a v EÚ 27 o</w:t>
      </w:r>
      <w:r w:rsidR="0052582D"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0,3</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xml:space="preserve">%. </w:t>
      </w:r>
    </w:p>
    <w:p w:rsidR="00025C5E" w:rsidRPr="001F392C" w:rsidRDefault="00025C5E" w:rsidP="00025C5E">
      <w:pPr>
        <w:pStyle w:val="3Title"/>
        <w:jc w:val="both"/>
        <w:rPr>
          <w:rFonts w:ascii="Times New Roman" w:hAnsi="Times New Roman" w:cs="Times New Roman"/>
          <w:sz w:val="24"/>
          <w:szCs w:val="24"/>
          <w:lang w:val="sk-SK"/>
        </w:rPr>
      </w:pPr>
    </w:p>
    <w:p w:rsidR="00025C5E" w:rsidRPr="001F392C" w:rsidRDefault="00025C5E" w:rsidP="004447D6">
      <w:pPr>
        <w:pStyle w:val="3Title"/>
        <w:tabs>
          <w:tab w:val="clear" w:pos="9360"/>
        </w:tabs>
        <w:ind w:firstLine="709"/>
        <w:jc w:val="both"/>
        <w:rPr>
          <w:rFonts w:ascii="Times New Roman" w:hAnsi="Times New Roman" w:cs="Times New Roman"/>
          <w:sz w:val="24"/>
          <w:szCs w:val="24"/>
          <w:lang w:val="sk-SK"/>
        </w:rPr>
      </w:pPr>
      <w:r w:rsidRPr="001F392C">
        <w:rPr>
          <w:rFonts w:ascii="Times New Roman" w:hAnsi="Times New Roman" w:cs="Times New Roman"/>
          <w:sz w:val="24"/>
          <w:szCs w:val="24"/>
          <w:lang w:val="sk-SK"/>
        </w:rPr>
        <w:t>V rámci členských štátov</w:t>
      </w:r>
      <w:r w:rsidR="00C31F6E" w:rsidRPr="001F392C">
        <w:rPr>
          <w:rFonts w:ascii="Times New Roman" w:hAnsi="Times New Roman" w:cs="Times New Roman"/>
          <w:sz w:val="24"/>
          <w:szCs w:val="24"/>
          <w:lang w:val="sk-SK"/>
        </w:rPr>
        <w:t xml:space="preserve"> EÚ</w:t>
      </w:r>
      <w:r w:rsidRPr="001F392C">
        <w:rPr>
          <w:rFonts w:ascii="Times New Roman" w:hAnsi="Times New Roman" w:cs="Times New Roman"/>
          <w:sz w:val="24"/>
          <w:szCs w:val="24"/>
          <w:lang w:val="sk-SK"/>
        </w:rPr>
        <w:t>, ktorých údaje za 4. štvrťrok 2012 sú dostupné, najrýchlejší medziročný rast zaznamenalo Lotyšsko (5,7</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Estónsko (3,4</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Litva (3,0</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Slovensko patrilo medzi štáty, v ktorých HDP rástol a dosiahlo piaty najdynamickejší rast (1,2</w:t>
      </w:r>
      <w:r w:rsidR="00C31F6E"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 v</w:t>
      </w:r>
      <w:r w:rsidR="004447D6"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rámci</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EÚ 27. Najväčší pokles ekonomickej aktivity zaznamenalo Grécko (6,0</w:t>
      </w:r>
      <w:r w:rsidR="00C31F6E"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Portugalsko (3,8</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Cyprus (3,0</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Maďarsko, Slovinsko (zhodne o 2,8</w:t>
      </w:r>
      <w:r w:rsidR="004447D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a Taliansko (2,7</w:t>
      </w:r>
      <w:r w:rsidR="004447D6"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 xml:space="preserve">%). </w:t>
      </w:r>
    </w:p>
    <w:p w:rsidR="00025C5E" w:rsidRPr="001F392C" w:rsidRDefault="00025C5E" w:rsidP="004447D6">
      <w:pPr>
        <w:pStyle w:val="3Title"/>
        <w:tabs>
          <w:tab w:val="clear" w:pos="9360"/>
        </w:tabs>
        <w:jc w:val="both"/>
        <w:rPr>
          <w:rFonts w:ascii="Times New Roman" w:hAnsi="Times New Roman" w:cs="Times New Roman"/>
          <w:sz w:val="24"/>
          <w:szCs w:val="24"/>
          <w:lang w:val="sk-SK"/>
        </w:rPr>
      </w:pPr>
    </w:p>
    <w:p w:rsidR="00025C5E" w:rsidRPr="001F392C" w:rsidRDefault="00025C5E" w:rsidP="004447D6">
      <w:pPr>
        <w:pStyle w:val="3Title"/>
        <w:tabs>
          <w:tab w:val="clear" w:pos="9360"/>
        </w:tabs>
        <w:ind w:firstLine="709"/>
        <w:jc w:val="both"/>
        <w:rPr>
          <w:rFonts w:ascii="Times New Roman" w:hAnsi="Times New Roman" w:cs="Times New Roman"/>
          <w:sz w:val="24"/>
          <w:szCs w:val="24"/>
          <w:lang w:val="sk-SK"/>
        </w:rPr>
      </w:pPr>
      <w:r w:rsidRPr="001F392C">
        <w:rPr>
          <w:rFonts w:ascii="Times New Roman" w:hAnsi="Times New Roman" w:cs="Times New Roman"/>
          <w:sz w:val="24"/>
          <w:szCs w:val="24"/>
          <w:lang w:val="sk-SK"/>
        </w:rPr>
        <w:lastRenderedPageBreak/>
        <w:t>Z odvetvového hľadiska k poklesu HDP eurozóny a EÚ 27 prispeli viaceré odvetvia, pričom najviac sa znížila tvorba pridanej hodnoty v stavebníctve, pôdohospodárstve a</w:t>
      </w:r>
      <w:r w:rsidR="004447D6"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rybolove, priemyselnej výrobe a obchodných službách (obchod, doprava, ubytovanie a</w:t>
      </w:r>
      <w:r w:rsidR="004447D6"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 xml:space="preserve">stravovacie služby).    </w:t>
      </w:r>
    </w:p>
    <w:p w:rsidR="00025C5E" w:rsidRPr="001F392C" w:rsidRDefault="00025C5E" w:rsidP="00025C5E">
      <w:pPr>
        <w:pStyle w:val="3Title"/>
        <w:jc w:val="both"/>
        <w:rPr>
          <w:rFonts w:ascii="Times New Roman" w:hAnsi="Times New Roman" w:cs="Times New Roman"/>
          <w:sz w:val="24"/>
          <w:szCs w:val="24"/>
          <w:lang w:val="sk-SK"/>
        </w:rPr>
      </w:pPr>
    </w:p>
    <w:p w:rsidR="00077AF8" w:rsidRPr="001F392C" w:rsidRDefault="00077AF8" w:rsidP="00077AF8">
      <w:pPr>
        <w:pStyle w:val="3Title"/>
        <w:jc w:val="both"/>
        <w:rPr>
          <w:rFonts w:ascii="Times New Roman" w:hAnsi="Times New Roman" w:cs="Times New Roman"/>
          <w:i/>
          <w:sz w:val="24"/>
          <w:szCs w:val="24"/>
          <w:lang w:val="sk-SK"/>
        </w:rPr>
      </w:pPr>
      <w:r w:rsidRPr="001F392C">
        <w:rPr>
          <w:rFonts w:ascii="Times New Roman" w:hAnsi="Times New Roman" w:cs="Times New Roman"/>
          <w:i/>
          <w:sz w:val="24"/>
          <w:szCs w:val="24"/>
          <w:lang w:val="sk-SK"/>
        </w:rPr>
        <w:t>Tabuľka č. 2: Vývoj HDP v roku 2012 (sezónne očistené údaje, zmena v % k rovnakému obdobiu predchádzajúceho roka)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1283"/>
        <w:gridCol w:w="1283"/>
        <w:gridCol w:w="1283"/>
        <w:gridCol w:w="1283"/>
        <w:gridCol w:w="1199"/>
      </w:tblGrid>
      <w:tr w:rsidR="00077AF8" w:rsidRPr="001F392C" w:rsidTr="00077AF8">
        <w:tc>
          <w:tcPr>
            <w:tcW w:w="2919" w:type="dxa"/>
            <w:tcBorders>
              <w:top w:val="single" w:sz="4" w:space="0" w:color="auto"/>
              <w:left w:val="single" w:sz="4" w:space="0" w:color="auto"/>
              <w:bottom w:val="single" w:sz="4" w:space="0" w:color="auto"/>
              <w:right w:val="single" w:sz="4" w:space="0" w:color="auto"/>
            </w:tcBorders>
          </w:tcPr>
          <w:p w:rsidR="00077AF8" w:rsidRPr="001F392C" w:rsidRDefault="00077AF8">
            <w:pPr>
              <w:pStyle w:val="3Title"/>
              <w:jc w:val="both"/>
              <w:rPr>
                <w:rFonts w:ascii="Times New Roman" w:hAnsi="Times New Roman" w:cs="Times New Roman"/>
                <w:sz w:val="22"/>
                <w:szCs w:val="22"/>
                <w:lang w:val="sk-SK"/>
              </w:rPr>
            </w:pP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1.Q 2012</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2.Q 2012</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3.Q 2012</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4.Q 2012</w:t>
            </w:r>
          </w:p>
        </w:tc>
        <w:tc>
          <w:tcPr>
            <w:tcW w:w="119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rok 2012</w:t>
            </w:r>
          </w:p>
        </w:tc>
      </w:tr>
      <w:tr w:rsidR="00077AF8" w:rsidRPr="001F392C" w:rsidTr="00077AF8">
        <w:tc>
          <w:tcPr>
            <w:tcW w:w="291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EÚ 27</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0,1</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-0,3</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-0,4</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-0,6</w:t>
            </w:r>
          </w:p>
        </w:tc>
        <w:tc>
          <w:tcPr>
            <w:tcW w:w="119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-0,3</w:t>
            </w:r>
          </w:p>
        </w:tc>
      </w:tr>
      <w:tr w:rsidR="00077AF8" w:rsidRPr="001F392C" w:rsidTr="00077AF8">
        <w:tc>
          <w:tcPr>
            <w:tcW w:w="291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 xml:space="preserve">Eurozóna </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-0,1</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-0,5</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-0,6</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-0,9</w:t>
            </w:r>
          </w:p>
        </w:tc>
        <w:tc>
          <w:tcPr>
            <w:tcW w:w="119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-0,6</w:t>
            </w:r>
          </w:p>
        </w:tc>
      </w:tr>
      <w:tr w:rsidR="00077AF8" w:rsidRPr="001F392C" w:rsidTr="00077AF8">
        <w:tc>
          <w:tcPr>
            <w:tcW w:w="291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SR</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2,7</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2,3</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1,9</w:t>
            </w:r>
          </w:p>
        </w:tc>
        <w:tc>
          <w:tcPr>
            <w:tcW w:w="1283"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1,2</w:t>
            </w:r>
          </w:p>
        </w:tc>
        <w:tc>
          <w:tcPr>
            <w:tcW w:w="1199" w:type="dxa"/>
            <w:tcBorders>
              <w:top w:val="single" w:sz="4" w:space="0" w:color="auto"/>
              <w:left w:val="single" w:sz="4" w:space="0" w:color="auto"/>
              <w:bottom w:val="single" w:sz="4" w:space="0" w:color="auto"/>
              <w:right w:val="single" w:sz="4" w:space="0" w:color="auto"/>
            </w:tcBorders>
            <w:hideMark/>
          </w:tcPr>
          <w:p w:rsidR="00077AF8" w:rsidRPr="001F392C" w:rsidRDefault="00077AF8">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2,0</w:t>
            </w:r>
          </w:p>
        </w:tc>
      </w:tr>
    </w:tbl>
    <w:p w:rsidR="00077AF8" w:rsidRPr="001F392C" w:rsidRDefault="00077AF8" w:rsidP="00077AF8">
      <w:pPr>
        <w:pStyle w:val="3Title"/>
        <w:jc w:val="both"/>
        <w:rPr>
          <w:rFonts w:ascii="Times New Roman" w:hAnsi="Times New Roman" w:cs="Times New Roman"/>
          <w:sz w:val="20"/>
          <w:lang w:val="sk-SK"/>
        </w:rPr>
      </w:pPr>
      <w:r w:rsidRPr="001F392C">
        <w:rPr>
          <w:rFonts w:ascii="Times New Roman" w:hAnsi="Times New Roman" w:cs="Times New Roman"/>
          <w:sz w:val="20"/>
          <w:lang w:val="sk-SK"/>
        </w:rPr>
        <w:t>Zdroj: Eurostat</w:t>
      </w:r>
    </w:p>
    <w:p w:rsidR="00025C5E" w:rsidRPr="001F392C" w:rsidRDefault="00025C5E" w:rsidP="00025C5E">
      <w:pPr>
        <w:jc w:val="both"/>
        <w:rPr>
          <w:color w:val="365F91" w:themeColor="accent1" w:themeShade="BF"/>
        </w:rPr>
      </w:pPr>
    </w:p>
    <w:p w:rsidR="00634E74" w:rsidRPr="001F392C" w:rsidRDefault="0095646C"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Makroekonomický vývoj v SR</w:t>
      </w:r>
    </w:p>
    <w:p w:rsidR="00025C5E" w:rsidRPr="001F392C" w:rsidRDefault="00025C5E" w:rsidP="00025C5E">
      <w:pPr>
        <w:jc w:val="both"/>
        <w:rPr>
          <w:b/>
        </w:rPr>
      </w:pPr>
    </w:p>
    <w:p w:rsidR="00025C5E" w:rsidRPr="001F392C" w:rsidRDefault="00025C5E" w:rsidP="004447D6">
      <w:pPr>
        <w:ind w:firstLine="709"/>
        <w:jc w:val="both"/>
      </w:pPr>
      <w:r w:rsidRPr="001F392C">
        <w:t xml:space="preserve">Makroekonomický vývoj v SR bol </w:t>
      </w:r>
      <w:r w:rsidRPr="001F392C">
        <w:rPr>
          <w:b/>
        </w:rPr>
        <w:t>v roku 2010</w:t>
      </w:r>
      <w:r w:rsidRPr="001F392C">
        <w:t xml:space="preserve"> ovplyvnený </w:t>
      </w:r>
      <w:r w:rsidR="005161D1" w:rsidRPr="001F392C">
        <w:t xml:space="preserve">dopadmi </w:t>
      </w:r>
      <w:r w:rsidRPr="001F392C">
        <w:t xml:space="preserve">svetovej finančnej a hospodárskej krízy. Hospodársky rast SR </w:t>
      </w:r>
      <w:r w:rsidR="00EB77F0">
        <w:t xml:space="preserve">síce </w:t>
      </w:r>
      <w:r w:rsidRPr="001F392C">
        <w:t xml:space="preserve">zaznamenal relatívne silnú obnovu, </w:t>
      </w:r>
      <w:r w:rsidR="00EB77F0">
        <w:t>ale bol to dôsledok aktívnych vládnych opatrení v SR, ako aj v iných čl. štátoch EÚ</w:t>
      </w:r>
      <w:r w:rsidR="005161D1" w:rsidRPr="001F392C">
        <w:t xml:space="preserve">. </w:t>
      </w:r>
    </w:p>
    <w:p w:rsidR="00025C5E" w:rsidRPr="001F392C" w:rsidRDefault="00025C5E" w:rsidP="00025C5E">
      <w:pPr>
        <w:jc w:val="both"/>
      </w:pPr>
    </w:p>
    <w:p w:rsidR="00025C5E" w:rsidRPr="001F392C" w:rsidRDefault="00025C5E" w:rsidP="004447D6">
      <w:pPr>
        <w:ind w:firstLine="709"/>
        <w:jc w:val="both"/>
      </w:pPr>
      <w:r w:rsidRPr="001F392C">
        <w:t>H</w:t>
      </w:r>
      <w:r w:rsidR="005A6431" w:rsidRPr="001F392C">
        <w:t>DP</w:t>
      </w:r>
      <w:r w:rsidRPr="001F392C">
        <w:t xml:space="preserve"> vzrástol v roku 2010 v stálych cenách medziročne o 4,4</w:t>
      </w:r>
      <w:r w:rsidR="004447D6" w:rsidRPr="001F392C">
        <w:t xml:space="preserve"> </w:t>
      </w:r>
      <w:r w:rsidRPr="001F392C">
        <w:t xml:space="preserve">%, kým v roku 2009 poklesol o </w:t>
      </w:r>
      <w:r w:rsidR="00B84332">
        <w:t>4</w:t>
      </w:r>
      <w:r w:rsidRPr="001F392C">
        <w:t>,</w:t>
      </w:r>
      <w:r w:rsidR="00B84332">
        <w:t>9</w:t>
      </w:r>
      <w:r w:rsidR="004447D6" w:rsidRPr="001F392C">
        <w:t xml:space="preserve"> </w:t>
      </w:r>
      <w:r w:rsidRPr="001F392C">
        <w:t>%. Zdrojom rastu HDP bol hlavne zahraničný dopyt s</w:t>
      </w:r>
      <w:r w:rsidR="004447D6" w:rsidRPr="001F392C">
        <w:t> </w:t>
      </w:r>
      <w:r w:rsidRPr="001F392C">
        <w:t>medziročným</w:t>
      </w:r>
      <w:r w:rsidR="004447D6" w:rsidRPr="001F392C">
        <w:t xml:space="preserve"> </w:t>
      </w:r>
      <w:r w:rsidRPr="001F392C">
        <w:t>reálnym rastom o 16,0</w:t>
      </w:r>
      <w:r w:rsidR="004447D6" w:rsidRPr="001F392C">
        <w:t xml:space="preserve"> </w:t>
      </w:r>
      <w:r w:rsidRPr="001F392C">
        <w:t>%. V rámci domáceho dopytu mal na vývoj HDP najvýraznejší prorastový vplyv investičný dopyt (tvorba hrubého fixného kapitálu sa medziročne zvýšila o 6,5</w:t>
      </w:r>
      <w:r w:rsidR="004447D6" w:rsidRPr="001F392C">
        <w:t xml:space="preserve"> </w:t>
      </w:r>
      <w:r w:rsidRPr="001F392C">
        <w:t>% v</w:t>
      </w:r>
      <w:r w:rsidR="00C31F6E" w:rsidRPr="001F392C">
        <w:t> </w:t>
      </w:r>
      <w:r w:rsidRPr="001F392C">
        <w:t>stálych cenách). Okrem konečnej spotreby domácností rástli aj ďalšie zložky domáceho dopytu, avšak miernym tempom pohybujúcim sa okolo 1</w:t>
      </w:r>
      <w:r w:rsidR="004447D6" w:rsidRPr="001F392C">
        <w:t xml:space="preserve"> </w:t>
      </w:r>
      <w:r w:rsidRPr="001F392C">
        <w:t>%. Z</w:t>
      </w:r>
      <w:r w:rsidR="004447D6" w:rsidRPr="001F392C">
        <w:t> </w:t>
      </w:r>
      <w:r w:rsidRPr="001F392C">
        <w:t xml:space="preserve">hľadiska tvorby k rastu HDP prispeli predovšetkým priemysel a služby, zatiaľ čo stavebníctvo zostávalo naďalej v recesii.  </w:t>
      </w:r>
    </w:p>
    <w:p w:rsidR="00025C5E" w:rsidRPr="001F392C" w:rsidRDefault="00025C5E" w:rsidP="00025C5E">
      <w:pPr>
        <w:jc w:val="both"/>
      </w:pPr>
    </w:p>
    <w:p w:rsidR="00025C5E" w:rsidRPr="001F392C" w:rsidRDefault="00025C5E" w:rsidP="004447D6">
      <w:pPr>
        <w:ind w:firstLine="709"/>
        <w:jc w:val="both"/>
        <w:rPr>
          <w:b/>
        </w:rPr>
      </w:pPr>
      <w:r w:rsidRPr="001F392C">
        <w:t xml:space="preserve">Situácia na trhu práce v roku 2010 sa vplyvom oživenia ekonomickej aktivity začala postupne stabilizovať. </w:t>
      </w:r>
      <w:r w:rsidR="00077AF8" w:rsidRPr="001F392C">
        <w:t xml:space="preserve">Tento vývoj súvisel s časovým posunom efektu poklesu HDP v roku 2009 na zamestnanosť. </w:t>
      </w:r>
    </w:p>
    <w:p w:rsidR="00025C5E" w:rsidRPr="001F392C" w:rsidRDefault="00025C5E" w:rsidP="00025C5E">
      <w:pPr>
        <w:jc w:val="both"/>
        <w:rPr>
          <w:b/>
        </w:rPr>
      </w:pPr>
    </w:p>
    <w:p w:rsidR="00025C5E" w:rsidRPr="001F392C" w:rsidRDefault="009A243E" w:rsidP="00025C5E">
      <w:pPr>
        <w:rPr>
          <w:i/>
        </w:rPr>
      </w:pPr>
      <w:r w:rsidRPr="001F392C">
        <w:rPr>
          <w:i/>
        </w:rPr>
        <w:t xml:space="preserve">Tabuľka č. </w:t>
      </w:r>
      <w:r w:rsidR="007A29EF" w:rsidRPr="001F392C">
        <w:rPr>
          <w:i/>
        </w:rPr>
        <w:t>3</w:t>
      </w:r>
      <w:r w:rsidRPr="001F392C">
        <w:rPr>
          <w:i/>
        </w:rPr>
        <w:t xml:space="preserve">: </w:t>
      </w:r>
      <w:r w:rsidR="00025C5E" w:rsidRPr="001F392C">
        <w:rPr>
          <w:i/>
        </w:rPr>
        <w:t>Vývoj základných makroekonomických ukazovateľov SR                                       (romr=100, v %)</w:t>
      </w: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012"/>
        <w:gridCol w:w="1017"/>
        <w:gridCol w:w="845"/>
        <w:gridCol w:w="859"/>
        <w:gridCol w:w="885"/>
        <w:gridCol w:w="844"/>
        <w:gridCol w:w="1016"/>
      </w:tblGrid>
      <w:tr w:rsidR="004447D6" w:rsidRPr="001F392C" w:rsidTr="00CE5FC3">
        <w:trPr>
          <w:tblHeader/>
        </w:trPr>
        <w:tc>
          <w:tcPr>
            <w:tcW w:w="3460" w:type="dxa"/>
            <w:tcBorders>
              <w:bottom w:val="nil"/>
            </w:tcBorders>
          </w:tcPr>
          <w:p w:rsidR="00025C5E" w:rsidRPr="001F392C" w:rsidRDefault="00025C5E" w:rsidP="00540856">
            <w:pPr>
              <w:jc w:val="both"/>
              <w:rPr>
                <w:b/>
                <w:sz w:val="22"/>
                <w:szCs w:val="22"/>
              </w:rPr>
            </w:pPr>
          </w:p>
        </w:tc>
        <w:tc>
          <w:tcPr>
            <w:tcW w:w="1021" w:type="dxa"/>
            <w:hideMark/>
          </w:tcPr>
          <w:p w:rsidR="00025C5E" w:rsidRPr="001F392C" w:rsidRDefault="00025C5E" w:rsidP="00540856">
            <w:pPr>
              <w:jc w:val="center"/>
              <w:rPr>
                <w:b/>
                <w:sz w:val="22"/>
                <w:szCs w:val="22"/>
              </w:rPr>
            </w:pPr>
            <w:r w:rsidRPr="001F392C">
              <w:rPr>
                <w:b/>
                <w:sz w:val="22"/>
                <w:szCs w:val="22"/>
              </w:rPr>
              <w:t>2010</w:t>
            </w:r>
          </w:p>
        </w:tc>
        <w:tc>
          <w:tcPr>
            <w:tcW w:w="1027" w:type="dxa"/>
            <w:hideMark/>
          </w:tcPr>
          <w:p w:rsidR="00025C5E" w:rsidRPr="001F392C" w:rsidRDefault="00025C5E" w:rsidP="00540856">
            <w:pPr>
              <w:jc w:val="center"/>
              <w:rPr>
                <w:b/>
                <w:sz w:val="22"/>
                <w:szCs w:val="22"/>
              </w:rPr>
            </w:pPr>
            <w:r w:rsidRPr="001F392C">
              <w:rPr>
                <w:b/>
                <w:sz w:val="22"/>
                <w:szCs w:val="22"/>
              </w:rPr>
              <w:t>2011</w:t>
            </w:r>
          </w:p>
        </w:tc>
        <w:tc>
          <w:tcPr>
            <w:tcW w:w="910" w:type="dxa"/>
            <w:tcBorders>
              <w:right w:val="nil"/>
            </w:tcBorders>
          </w:tcPr>
          <w:p w:rsidR="00025C5E" w:rsidRPr="001F392C" w:rsidRDefault="00025C5E" w:rsidP="00540856">
            <w:pPr>
              <w:jc w:val="center"/>
              <w:rPr>
                <w:b/>
                <w:sz w:val="22"/>
                <w:szCs w:val="22"/>
              </w:rPr>
            </w:pPr>
          </w:p>
        </w:tc>
        <w:tc>
          <w:tcPr>
            <w:tcW w:w="917" w:type="dxa"/>
            <w:tcBorders>
              <w:left w:val="nil"/>
              <w:right w:val="nil"/>
            </w:tcBorders>
          </w:tcPr>
          <w:p w:rsidR="00025C5E" w:rsidRPr="001F392C" w:rsidRDefault="00025C5E" w:rsidP="00540856">
            <w:pPr>
              <w:jc w:val="center"/>
              <w:rPr>
                <w:b/>
                <w:sz w:val="22"/>
                <w:szCs w:val="22"/>
              </w:rPr>
            </w:pPr>
          </w:p>
        </w:tc>
        <w:tc>
          <w:tcPr>
            <w:tcW w:w="936" w:type="dxa"/>
            <w:tcBorders>
              <w:left w:val="nil"/>
              <w:right w:val="nil"/>
            </w:tcBorders>
            <w:hideMark/>
          </w:tcPr>
          <w:p w:rsidR="00025C5E" w:rsidRPr="001F392C" w:rsidRDefault="00025C5E" w:rsidP="00540856">
            <w:pPr>
              <w:jc w:val="center"/>
              <w:rPr>
                <w:b/>
                <w:sz w:val="22"/>
                <w:szCs w:val="22"/>
              </w:rPr>
            </w:pPr>
            <w:r w:rsidRPr="001F392C">
              <w:rPr>
                <w:b/>
                <w:sz w:val="22"/>
                <w:szCs w:val="22"/>
              </w:rPr>
              <w:t>2012</w:t>
            </w:r>
          </w:p>
        </w:tc>
        <w:tc>
          <w:tcPr>
            <w:tcW w:w="909" w:type="dxa"/>
            <w:tcBorders>
              <w:left w:val="nil"/>
              <w:right w:val="nil"/>
            </w:tcBorders>
          </w:tcPr>
          <w:p w:rsidR="00025C5E" w:rsidRPr="001F392C" w:rsidRDefault="00025C5E" w:rsidP="00540856">
            <w:pPr>
              <w:jc w:val="center"/>
              <w:rPr>
                <w:b/>
                <w:sz w:val="22"/>
                <w:szCs w:val="22"/>
              </w:rPr>
            </w:pPr>
          </w:p>
        </w:tc>
        <w:tc>
          <w:tcPr>
            <w:tcW w:w="1026" w:type="dxa"/>
            <w:tcBorders>
              <w:left w:val="nil"/>
            </w:tcBorders>
          </w:tcPr>
          <w:p w:rsidR="00025C5E" w:rsidRPr="001F392C" w:rsidRDefault="00025C5E" w:rsidP="00540856">
            <w:pPr>
              <w:jc w:val="center"/>
              <w:rPr>
                <w:b/>
                <w:sz w:val="22"/>
                <w:szCs w:val="22"/>
              </w:rPr>
            </w:pPr>
          </w:p>
        </w:tc>
      </w:tr>
      <w:tr w:rsidR="004447D6" w:rsidRPr="001F392C" w:rsidTr="00CE5FC3">
        <w:trPr>
          <w:tblHeader/>
        </w:trPr>
        <w:tc>
          <w:tcPr>
            <w:tcW w:w="3460" w:type="dxa"/>
            <w:tcBorders>
              <w:top w:val="nil"/>
            </w:tcBorders>
            <w:hideMark/>
          </w:tcPr>
          <w:p w:rsidR="00025C5E" w:rsidRPr="001F392C" w:rsidRDefault="00025C5E" w:rsidP="00540856">
            <w:pPr>
              <w:jc w:val="center"/>
              <w:rPr>
                <w:b/>
                <w:sz w:val="22"/>
                <w:szCs w:val="22"/>
              </w:rPr>
            </w:pPr>
            <w:r w:rsidRPr="001F392C">
              <w:rPr>
                <w:b/>
                <w:sz w:val="22"/>
                <w:szCs w:val="22"/>
              </w:rPr>
              <w:t>Ukazovateľ</w:t>
            </w:r>
          </w:p>
        </w:tc>
        <w:tc>
          <w:tcPr>
            <w:tcW w:w="1021" w:type="dxa"/>
            <w:hideMark/>
          </w:tcPr>
          <w:p w:rsidR="00025C5E" w:rsidRPr="001F392C" w:rsidRDefault="00025C5E" w:rsidP="00540856">
            <w:pPr>
              <w:jc w:val="center"/>
              <w:rPr>
                <w:b/>
                <w:sz w:val="22"/>
                <w:szCs w:val="22"/>
              </w:rPr>
            </w:pPr>
            <w:r w:rsidRPr="001F392C">
              <w:rPr>
                <w:b/>
                <w:sz w:val="22"/>
                <w:szCs w:val="22"/>
              </w:rPr>
              <w:t>priemer za rok</w:t>
            </w:r>
          </w:p>
        </w:tc>
        <w:tc>
          <w:tcPr>
            <w:tcW w:w="1027" w:type="dxa"/>
            <w:hideMark/>
          </w:tcPr>
          <w:p w:rsidR="00025C5E" w:rsidRPr="001F392C" w:rsidRDefault="00025C5E" w:rsidP="00540856">
            <w:pPr>
              <w:jc w:val="center"/>
              <w:rPr>
                <w:b/>
                <w:sz w:val="22"/>
                <w:szCs w:val="22"/>
              </w:rPr>
            </w:pPr>
            <w:r w:rsidRPr="001F392C">
              <w:rPr>
                <w:b/>
                <w:sz w:val="22"/>
                <w:szCs w:val="22"/>
              </w:rPr>
              <w:t>priemer za rok</w:t>
            </w:r>
          </w:p>
        </w:tc>
        <w:tc>
          <w:tcPr>
            <w:tcW w:w="910" w:type="dxa"/>
          </w:tcPr>
          <w:p w:rsidR="00025C5E" w:rsidRPr="001F392C" w:rsidRDefault="00025C5E" w:rsidP="00540856">
            <w:pPr>
              <w:jc w:val="center"/>
              <w:rPr>
                <w:b/>
                <w:sz w:val="22"/>
                <w:szCs w:val="22"/>
              </w:rPr>
            </w:pPr>
          </w:p>
          <w:p w:rsidR="00025C5E" w:rsidRPr="001F392C" w:rsidRDefault="00025C5E" w:rsidP="00540856">
            <w:pPr>
              <w:jc w:val="center"/>
              <w:rPr>
                <w:b/>
                <w:sz w:val="22"/>
                <w:szCs w:val="22"/>
              </w:rPr>
            </w:pPr>
            <w:r w:rsidRPr="001F392C">
              <w:rPr>
                <w:b/>
                <w:sz w:val="22"/>
                <w:szCs w:val="22"/>
              </w:rPr>
              <w:t>1.Q</w:t>
            </w:r>
          </w:p>
        </w:tc>
        <w:tc>
          <w:tcPr>
            <w:tcW w:w="917" w:type="dxa"/>
          </w:tcPr>
          <w:p w:rsidR="00025C5E" w:rsidRPr="001F392C" w:rsidRDefault="00025C5E" w:rsidP="00540856">
            <w:pPr>
              <w:jc w:val="center"/>
              <w:rPr>
                <w:b/>
                <w:sz w:val="22"/>
                <w:szCs w:val="22"/>
              </w:rPr>
            </w:pPr>
          </w:p>
          <w:p w:rsidR="00025C5E" w:rsidRPr="001F392C" w:rsidRDefault="00025C5E" w:rsidP="00540856">
            <w:pPr>
              <w:jc w:val="center"/>
              <w:rPr>
                <w:b/>
                <w:sz w:val="22"/>
                <w:szCs w:val="22"/>
              </w:rPr>
            </w:pPr>
            <w:r w:rsidRPr="001F392C">
              <w:rPr>
                <w:b/>
                <w:sz w:val="22"/>
                <w:szCs w:val="22"/>
              </w:rPr>
              <w:t>2.Q</w:t>
            </w:r>
          </w:p>
        </w:tc>
        <w:tc>
          <w:tcPr>
            <w:tcW w:w="936" w:type="dxa"/>
          </w:tcPr>
          <w:p w:rsidR="00025C5E" w:rsidRPr="001F392C" w:rsidRDefault="00025C5E" w:rsidP="00540856">
            <w:pPr>
              <w:jc w:val="center"/>
              <w:rPr>
                <w:b/>
                <w:sz w:val="22"/>
                <w:szCs w:val="22"/>
              </w:rPr>
            </w:pPr>
          </w:p>
          <w:p w:rsidR="00025C5E" w:rsidRPr="001F392C" w:rsidRDefault="00025C5E" w:rsidP="00540856">
            <w:pPr>
              <w:jc w:val="center"/>
              <w:rPr>
                <w:b/>
                <w:sz w:val="22"/>
                <w:szCs w:val="22"/>
              </w:rPr>
            </w:pPr>
            <w:r w:rsidRPr="001F392C">
              <w:rPr>
                <w:b/>
                <w:sz w:val="22"/>
                <w:szCs w:val="22"/>
              </w:rPr>
              <w:t>3.Q</w:t>
            </w:r>
          </w:p>
        </w:tc>
        <w:tc>
          <w:tcPr>
            <w:tcW w:w="909" w:type="dxa"/>
          </w:tcPr>
          <w:p w:rsidR="00025C5E" w:rsidRPr="001F392C" w:rsidRDefault="00025C5E" w:rsidP="00540856">
            <w:pPr>
              <w:jc w:val="center"/>
              <w:rPr>
                <w:b/>
                <w:sz w:val="22"/>
                <w:szCs w:val="22"/>
              </w:rPr>
            </w:pPr>
          </w:p>
          <w:p w:rsidR="00025C5E" w:rsidRPr="001F392C" w:rsidRDefault="00025C5E" w:rsidP="00540856">
            <w:pPr>
              <w:jc w:val="center"/>
              <w:rPr>
                <w:b/>
                <w:sz w:val="22"/>
                <w:szCs w:val="22"/>
              </w:rPr>
            </w:pPr>
            <w:r w:rsidRPr="001F392C">
              <w:rPr>
                <w:b/>
                <w:sz w:val="22"/>
                <w:szCs w:val="22"/>
              </w:rPr>
              <w:t>4.Q</w:t>
            </w:r>
          </w:p>
        </w:tc>
        <w:tc>
          <w:tcPr>
            <w:tcW w:w="1026" w:type="dxa"/>
            <w:hideMark/>
          </w:tcPr>
          <w:p w:rsidR="00025C5E" w:rsidRPr="001F392C" w:rsidRDefault="00025C5E" w:rsidP="00540856">
            <w:pPr>
              <w:jc w:val="center"/>
              <w:rPr>
                <w:b/>
                <w:sz w:val="22"/>
                <w:szCs w:val="22"/>
              </w:rPr>
            </w:pPr>
            <w:r w:rsidRPr="001F392C">
              <w:rPr>
                <w:b/>
                <w:sz w:val="22"/>
                <w:szCs w:val="22"/>
              </w:rPr>
              <w:t>priemer za rok</w:t>
            </w:r>
          </w:p>
        </w:tc>
      </w:tr>
      <w:tr w:rsidR="004447D6" w:rsidRPr="001F392C" w:rsidTr="00540856">
        <w:tc>
          <w:tcPr>
            <w:tcW w:w="3460" w:type="dxa"/>
            <w:tcBorders>
              <w:right w:val="nil"/>
            </w:tcBorders>
            <w:shd w:val="clear" w:color="auto" w:fill="CCCCCC"/>
            <w:hideMark/>
          </w:tcPr>
          <w:p w:rsidR="00025C5E" w:rsidRPr="001F392C" w:rsidRDefault="00025C5E">
            <w:pPr>
              <w:rPr>
                <w:b/>
                <w:sz w:val="22"/>
                <w:szCs w:val="22"/>
              </w:rPr>
            </w:pPr>
            <w:r w:rsidRPr="001F392C">
              <w:rPr>
                <w:b/>
                <w:sz w:val="22"/>
                <w:szCs w:val="22"/>
              </w:rPr>
              <w:t>Hrubý domáci produkt</w:t>
            </w:r>
          </w:p>
        </w:tc>
        <w:tc>
          <w:tcPr>
            <w:tcW w:w="1021" w:type="dxa"/>
            <w:tcBorders>
              <w:left w:val="nil"/>
              <w:right w:val="nil"/>
            </w:tcBorders>
            <w:shd w:val="clear" w:color="auto" w:fill="CCCCCC"/>
          </w:tcPr>
          <w:p w:rsidR="00025C5E" w:rsidRPr="001F392C" w:rsidRDefault="00025C5E" w:rsidP="00540856">
            <w:pPr>
              <w:jc w:val="right"/>
              <w:rPr>
                <w:sz w:val="22"/>
                <w:szCs w:val="22"/>
              </w:rPr>
            </w:pPr>
          </w:p>
        </w:tc>
        <w:tc>
          <w:tcPr>
            <w:tcW w:w="1027" w:type="dxa"/>
            <w:tcBorders>
              <w:left w:val="nil"/>
              <w:right w:val="nil"/>
            </w:tcBorders>
            <w:shd w:val="clear" w:color="auto" w:fill="CCCCCC"/>
            <w:vAlign w:val="bottom"/>
          </w:tcPr>
          <w:p w:rsidR="00025C5E" w:rsidRPr="001F392C" w:rsidRDefault="00025C5E" w:rsidP="00540856">
            <w:pPr>
              <w:jc w:val="right"/>
              <w:rPr>
                <w:sz w:val="22"/>
                <w:szCs w:val="22"/>
              </w:rPr>
            </w:pPr>
          </w:p>
        </w:tc>
        <w:tc>
          <w:tcPr>
            <w:tcW w:w="910" w:type="dxa"/>
            <w:tcBorders>
              <w:left w:val="nil"/>
              <w:right w:val="nil"/>
            </w:tcBorders>
            <w:shd w:val="clear" w:color="auto" w:fill="CCCCCC"/>
            <w:vAlign w:val="bottom"/>
          </w:tcPr>
          <w:p w:rsidR="00025C5E" w:rsidRPr="001F392C" w:rsidRDefault="00025C5E" w:rsidP="00540856">
            <w:pPr>
              <w:jc w:val="right"/>
              <w:rPr>
                <w:sz w:val="22"/>
                <w:szCs w:val="22"/>
              </w:rPr>
            </w:pPr>
          </w:p>
        </w:tc>
        <w:tc>
          <w:tcPr>
            <w:tcW w:w="917" w:type="dxa"/>
            <w:tcBorders>
              <w:left w:val="nil"/>
              <w:right w:val="nil"/>
            </w:tcBorders>
            <w:shd w:val="clear" w:color="auto" w:fill="CCCCCC"/>
            <w:vAlign w:val="bottom"/>
          </w:tcPr>
          <w:p w:rsidR="00025C5E" w:rsidRPr="001F392C" w:rsidRDefault="00025C5E" w:rsidP="00540856">
            <w:pPr>
              <w:jc w:val="right"/>
              <w:rPr>
                <w:sz w:val="22"/>
                <w:szCs w:val="22"/>
              </w:rPr>
            </w:pPr>
          </w:p>
        </w:tc>
        <w:tc>
          <w:tcPr>
            <w:tcW w:w="936" w:type="dxa"/>
            <w:tcBorders>
              <w:left w:val="nil"/>
              <w:right w:val="nil"/>
            </w:tcBorders>
            <w:shd w:val="clear" w:color="auto" w:fill="CCCCCC"/>
            <w:vAlign w:val="bottom"/>
          </w:tcPr>
          <w:p w:rsidR="00025C5E" w:rsidRPr="001F392C" w:rsidRDefault="00025C5E" w:rsidP="00540856">
            <w:pPr>
              <w:jc w:val="right"/>
              <w:rPr>
                <w:sz w:val="22"/>
                <w:szCs w:val="22"/>
              </w:rPr>
            </w:pPr>
          </w:p>
        </w:tc>
        <w:tc>
          <w:tcPr>
            <w:tcW w:w="909" w:type="dxa"/>
            <w:tcBorders>
              <w:left w:val="nil"/>
              <w:right w:val="nil"/>
            </w:tcBorders>
            <w:shd w:val="clear" w:color="auto" w:fill="CCCCCC"/>
            <w:vAlign w:val="bottom"/>
          </w:tcPr>
          <w:p w:rsidR="00025C5E" w:rsidRPr="001F392C" w:rsidRDefault="00025C5E" w:rsidP="00540856">
            <w:pPr>
              <w:jc w:val="right"/>
              <w:rPr>
                <w:sz w:val="22"/>
                <w:szCs w:val="22"/>
              </w:rPr>
            </w:pPr>
          </w:p>
        </w:tc>
        <w:tc>
          <w:tcPr>
            <w:tcW w:w="1026" w:type="dxa"/>
            <w:tcBorders>
              <w:left w:val="nil"/>
            </w:tcBorders>
            <w:shd w:val="clear" w:color="auto" w:fill="CCCCCC"/>
            <w:vAlign w:val="bottom"/>
          </w:tcPr>
          <w:p w:rsidR="00025C5E" w:rsidRPr="001F392C" w:rsidRDefault="00025C5E" w:rsidP="00540856">
            <w:pPr>
              <w:jc w:val="right"/>
              <w:rPr>
                <w:sz w:val="22"/>
                <w:szCs w:val="22"/>
              </w:rPr>
            </w:pPr>
          </w:p>
        </w:tc>
      </w:tr>
      <w:tr w:rsidR="004447D6" w:rsidRPr="001F392C" w:rsidTr="00540856">
        <w:tc>
          <w:tcPr>
            <w:tcW w:w="3460" w:type="dxa"/>
            <w:hideMark/>
          </w:tcPr>
          <w:p w:rsidR="00025C5E" w:rsidRPr="001F392C" w:rsidRDefault="00025C5E">
            <w:pPr>
              <w:rPr>
                <w:sz w:val="22"/>
                <w:szCs w:val="22"/>
              </w:rPr>
            </w:pPr>
            <w:r w:rsidRPr="001F392C">
              <w:rPr>
                <w:sz w:val="22"/>
                <w:szCs w:val="22"/>
              </w:rPr>
              <w:t xml:space="preserve">Reálny HDP </w:t>
            </w:r>
          </w:p>
        </w:tc>
        <w:tc>
          <w:tcPr>
            <w:tcW w:w="1021" w:type="dxa"/>
            <w:hideMark/>
          </w:tcPr>
          <w:p w:rsidR="00025C5E" w:rsidRPr="001F392C" w:rsidRDefault="00025C5E" w:rsidP="00540856">
            <w:pPr>
              <w:jc w:val="right"/>
              <w:rPr>
                <w:sz w:val="22"/>
                <w:szCs w:val="22"/>
              </w:rPr>
            </w:pPr>
            <w:r w:rsidRPr="001F392C">
              <w:rPr>
                <w:sz w:val="22"/>
                <w:szCs w:val="22"/>
              </w:rPr>
              <w:t>4,4</w:t>
            </w:r>
          </w:p>
        </w:tc>
        <w:tc>
          <w:tcPr>
            <w:tcW w:w="1027" w:type="dxa"/>
            <w:vAlign w:val="bottom"/>
            <w:hideMark/>
          </w:tcPr>
          <w:p w:rsidR="00025C5E" w:rsidRPr="001F392C" w:rsidRDefault="00025C5E" w:rsidP="00540856">
            <w:pPr>
              <w:jc w:val="right"/>
              <w:rPr>
                <w:sz w:val="22"/>
                <w:szCs w:val="22"/>
              </w:rPr>
            </w:pPr>
            <w:r w:rsidRPr="001F392C">
              <w:rPr>
                <w:sz w:val="22"/>
                <w:szCs w:val="22"/>
              </w:rPr>
              <w:t>3,2</w:t>
            </w:r>
          </w:p>
        </w:tc>
        <w:tc>
          <w:tcPr>
            <w:tcW w:w="910" w:type="dxa"/>
            <w:vAlign w:val="bottom"/>
            <w:hideMark/>
          </w:tcPr>
          <w:p w:rsidR="00025C5E" w:rsidRPr="001F392C" w:rsidRDefault="00025C5E" w:rsidP="00540856">
            <w:pPr>
              <w:jc w:val="right"/>
              <w:rPr>
                <w:sz w:val="22"/>
                <w:szCs w:val="22"/>
              </w:rPr>
            </w:pPr>
            <w:r w:rsidRPr="001F392C">
              <w:rPr>
                <w:sz w:val="22"/>
                <w:szCs w:val="22"/>
              </w:rPr>
              <w:t>2,9</w:t>
            </w:r>
          </w:p>
        </w:tc>
        <w:tc>
          <w:tcPr>
            <w:tcW w:w="917" w:type="dxa"/>
            <w:vAlign w:val="bottom"/>
            <w:hideMark/>
          </w:tcPr>
          <w:p w:rsidR="00025C5E" w:rsidRPr="001F392C" w:rsidRDefault="00025C5E" w:rsidP="00540856">
            <w:pPr>
              <w:jc w:val="right"/>
              <w:rPr>
                <w:sz w:val="22"/>
                <w:szCs w:val="22"/>
              </w:rPr>
            </w:pPr>
            <w:r w:rsidRPr="001F392C">
              <w:rPr>
                <w:sz w:val="22"/>
                <w:szCs w:val="22"/>
              </w:rPr>
              <w:t>2,6</w:t>
            </w:r>
          </w:p>
        </w:tc>
        <w:tc>
          <w:tcPr>
            <w:tcW w:w="936" w:type="dxa"/>
            <w:vAlign w:val="bottom"/>
            <w:hideMark/>
          </w:tcPr>
          <w:p w:rsidR="00025C5E" w:rsidRPr="001F392C" w:rsidRDefault="00025C5E" w:rsidP="00540856">
            <w:pPr>
              <w:jc w:val="right"/>
              <w:rPr>
                <w:sz w:val="22"/>
                <w:szCs w:val="22"/>
              </w:rPr>
            </w:pPr>
            <w:r w:rsidRPr="001F392C">
              <w:rPr>
                <w:sz w:val="22"/>
                <w:szCs w:val="22"/>
              </w:rPr>
              <w:t>2,1</w:t>
            </w:r>
          </w:p>
        </w:tc>
        <w:tc>
          <w:tcPr>
            <w:tcW w:w="909" w:type="dxa"/>
            <w:vAlign w:val="bottom"/>
            <w:hideMark/>
          </w:tcPr>
          <w:p w:rsidR="00025C5E" w:rsidRPr="001F392C" w:rsidRDefault="00025C5E" w:rsidP="00540856">
            <w:pPr>
              <w:jc w:val="right"/>
              <w:rPr>
                <w:sz w:val="22"/>
                <w:szCs w:val="22"/>
              </w:rPr>
            </w:pPr>
            <w:r w:rsidRPr="001F392C">
              <w:rPr>
                <w:sz w:val="22"/>
                <w:szCs w:val="22"/>
              </w:rPr>
              <w:t>0,7</w:t>
            </w:r>
          </w:p>
        </w:tc>
        <w:tc>
          <w:tcPr>
            <w:tcW w:w="1026" w:type="dxa"/>
            <w:vAlign w:val="bottom"/>
            <w:hideMark/>
          </w:tcPr>
          <w:p w:rsidR="00025C5E" w:rsidRPr="001F392C" w:rsidRDefault="00025C5E" w:rsidP="00540856">
            <w:pPr>
              <w:jc w:val="right"/>
              <w:rPr>
                <w:sz w:val="22"/>
                <w:szCs w:val="22"/>
              </w:rPr>
            </w:pPr>
            <w:r w:rsidRPr="001F392C">
              <w:rPr>
                <w:sz w:val="22"/>
                <w:szCs w:val="22"/>
              </w:rPr>
              <w:t>2,0</w:t>
            </w:r>
          </w:p>
        </w:tc>
      </w:tr>
      <w:tr w:rsidR="004447D6" w:rsidRPr="001F392C" w:rsidTr="00540856">
        <w:tc>
          <w:tcPr>
            <w:tcW w:w="3460" w:type="dxa"/>
            <w:hideMark/>
          </w:tcPr>
          <w:p w:rsidR="00025C5E" w:rsidRPr="001F392C" w:rsidRDefault="00025C5E">
            <w:pPr>
              <w:rPr>
                <w:sz w:val="22"/>
                <w:szCs w:val="22"/>
              </w:rPr>
            </w:pPr>
            <w:r w:rsidRPr="001F392C">
              <w:rPr>
                <w:sz w:val="22"/>
                <w:szCs w:val="22"/>
              </w:rPr>
              <w:t xml:space="preserve">   Domáci dopyt</w:t>
            </w:r>
          </w:p>
        </w:tc>
        <w:tc>
          <w:tcPr>
            <w:tcW w:w="1021" w:type="dxa"/>
            <w:hideMark/>
          </w:tcPr>
          <w:p w:rsidR="00025C5E" w:rsidRPr="001F392C" w:rsidRDefault="00025C5E" w:rsidP="00540856">
            <w:pPr>
              <w:jc w:val="right"/>
              <w:rPr>
                <w:sz w:val="22"/>
                <w:szCs w:val="22"/>
              </w:rPr>
            </w:pPr>
            <w:r w:rsidRPr="001F392C">
              <w:rPr>
                <w:sz w:val="22"/>
                <w:szCs w:val="22"/>
              </w:rPr>
              <w:t>3,6</w:t>
            </w:r>
          </w:p>
        </w:tc>
        <w:tc>
          <w:tcPr>
            <w:tcW w:w="1027" w:type="dxa"/>
            <w:vAlign w:val="bottom"/>
            <w:hideMark/>
          </w:tcPr>
          <w:p w:rsidR="00025C5E" w:rsidRPr="001F392C" w:rsidRDefault="00025C5E" w:rsidP="00540856">
            <w:pPr>
              <w:jc w:val="right"/>
              <w:rPr>
                <w:sz w:val="22"/>
                <w:szCs w:val="22"/>
              </w:rPr>
            </w:pPr>
            <w:r w:rsidRPr="001F392C">
              <w:rPr>
                <w:sz w:val="22"/>
                <w:szCs w:val="22"/>
              </w:rPr>
              <w:t>1,2</w:t>
            </w:r>
          </w:p>
        </w:tc>
        <w:tc>
          <w:tcPr>
            <w:tcW w:w="910" w:type="dxa"/>
            <w:vAlign w:val="bottom"/>
            <w:hideMark/>
          </w:tcPr>
          <w:p w:rsidR="00025C5E" w:rsidRPr="001F392C" w:rsidRDefault="00025C5E" w:rsidP="00540856">
            <w:pPr>
              <w:jc w:val="right"/>
              <w:rPr>
                <w:sz w:val="22"/>
                <w:szCs w:val="22"/>
              </w:rPr>
            </w:pPr>
            <w:r w:rsidRPr="001F392C">
              <w:rPr>
                <w:sz w:val="22"/>
                <w:szCs w:val="22"/>
              </w:rPr>
              <w:t>-0,8</w:t>
            </w:r>
          </w:p>
        </w:tc>
        <w:tc>
          <w:tcPr>
            <w:tcW w:w="917" w:type="dxa"/>
            <w:vAlign w:val="bottom"/>
            <w:hideMark/>
          </w:tcPr>
          <w:p w:rsidR="00025C5E" w:rsidRPr="001F392C" w:rsidRDefault="00025C5E" w:rsidP="00540856">
            <w:pPr>
              <w:jc w:val="right"/>
              <w:rPr>
                <w:sz w:val="22"/>
                <w:szCs w:val="22"/>
              </w:rPr>
            </w:pPr>
            <w:r w:rsidRPr="001F392C">
              <w:rPr>
                <w:sz w:val="22"/>
                <w:szCs w:val="22"/>
              </w:rPr>
              <w:t>-5,4</w:t>
            </w:r>
          </w:p>
        </w:tc>
        <w:tc>
          <w:tcPr>
            <w:tcW w:w="936" w:type="dxa"/>
            <w:vAlign w:val="bottom"/>
            <w:hideMark/>
          </w:tcPr>
          <w:p w:rsidR="00025C5E" w:rsidRPr="001F392C" w:rsidRDefault="00025C5E" w:rsidP="00540856">
            <w:pPr>
              <w:jc w:val="right"/>
              <w:rPr>
                <w:sz w:val="22"/>
                <w:szCs w:val="22"/>
              </w:rPr>
            </w:pPr>
            <w:r w:rsidRPr="001F392C">
              <w:rPr>
                <w:sz w:val="22"/>
                <w:szCs w:val="22"/>
              </w:rPr>
              <w:t>-3,3</w:t>
            </w:r>
          </w:p>
        </w:tc>
        <w:tc>
          <w:tcPr>
            <w:tcW w:w="909" w:type="dxa"/>
            <w:vAlign w:val="bottom"/>
            <w:hideMark/>
          </w:tcPr>
          <w:p w:rsidR="00025C5E" w:rsidRPr="001F392C" w:rsidRDefault="00025C5E" w:rsidP="00540856">
            <w:pPr>
              <w:jc w:val="right"/>
              <w:rPr>
                <w:sz w:val="22"/>
                <w:szCs w:val="22"/>
              </w:rPr>
            </w:pPr>
            <w:r w:rsidRPr="001F392C">
              <w:rPr>
                <w:sz w:val="22"/>
                <w:szCs w:val="22"/>
              </w:rPr>
              <w:t>-1,9</w:t>
            </w:r>
          </w:p>
        </w:tc>
        <w:tc>
          <w:tcPr>
            <w:tcW w:w="1026" w:type="dxa"/>
            <w:vAlign w:val="bottom"/>
            <w:hideMark/>
          </w:tcPr>
          <w:p w:rsidR="00025C5E" w:rsidRPr="001F392C" w:rsidRDefault="00025C5E" w:rsidP="00540856">
            <w:pPr>
              <w:jc w:val="right"/>
              <w:rPr>
                <w:sz w:val="22"/>
                <w:szCs w:val="22"/>
              </w:rPr>
            </w:pPr>
            <w:r w:rsidRPr="001F392C">
              <w:rPr>
                <w:sz w:val="22"/>
                <w:szCs w:val="22"/>
              </w:rPr>
              <w:t>-2,9</w:t>
            </w:r>
          </w:p>
        </w:tc>
      </w:tr>
      <w:tr w:rsidR="004447D6" w:rsidRPr="001F392C" w:rsidTr="00540856">
        <w:tc>
          <w:tcPr>
            <w:tcW w:w="3460" w:type="dxa"/>
            <w:hideMark/>
          </w:tcPr>
          <w:p w:rsidR="00025C5E" w:rsidRPr="001F392C" w:rsidRDefault="00025C5E">
            <w:pPr>
              <w:rPr>
                <w:sz w:val="22"/>
                <w:szCs w:val="22"/>
              </w:rPr>
            </w:pPr>
            <w:r w:rsidRPr="001F392C">
              <w:rPr>
                <w:sz w:val="22"/>
                <w:szCs w:val="22"/>
              </w:rPr>
              <w:t xml:space="preserve">     Konečná spotreba domácností</w:t>
            </w:r>
          </w:p>
        </w:tc>
        <w:tc>
          <w:tcPr>
            <w:tcW w:w="1021" w:type="dxa"/>
            <w:vAlign w:val="bottom"/>
            <w:hideMark/>
          </w:tcPr>
          <w:p w:rsidR="00025C5E" w:rsidRPr="001F392C" w:rsidRDefault="00025C5E" w:rsidP="00540856">
            <w:pPr>
              <w:jc w:val="right"/>
              <w:rPr>
                <w:sz w:val="22"/>
                <w:szCs w:val="22"/>
              </w:rPr>
            </w:pPr>
            <w:r w:rsidRPr="001F392C">
              <w:rPr>
                <w:sz w:val="22"/>
                <w:szCs w:val="22"/>
              </w:rPr>
              <w:t>-0,8</w:t>
            </w:r>
          </w:p>
        </w:tc>
        <w:tc>
          <w:tcPr>
            <w:tcW w:w="1027" w:type="dxa"/>
            <w:vAlign w:val="bottom"/>
            <w:hideMark/>
          </w:tcPr>
          <w:p w:rsidR="00025C5E" w:rsidRPr="001F392C" w:rsidRDefault="00025C5E" w:rsidP="00540856">
            <w:pPr>
              <w:jc w:val="right"/>
              <w:rPr>
                <w:sz w:val="22"/>
                <w:szCs w:val="22"/>
              </w:rPr>
            </w:pPr>
            <w:r w:rsidRPr="001F392C">
              <w:rPr>
                <w:sz w:val="22"/>
                <w:szCs w:val="22"/>
              </w:rPr>
              <w:t>-0,5</w:t>
            </w:r>
          </w:p>
        </w:tc>
        <w:tc>
          <w:tcPr>
            <w:tcW w:w="910" w:type="dxa"/>
            <w:vAlign w:val="bottom"/>
            <w:hideMark/>
          </w:tcPr>
          <w:p w:rsidR="00025C5E" w:rsidRPr="001F392C" w:rsidRDefault="00025C5E" w:rsidP="00540856">
            <w:pPr>
              <w:jc w:val="right"/>
              <w:rPr>
                <w:sz w:val="22"/>
                <w:szCs w:val="22"/>
              </w:rPr>
            </w:pPr>
            <w:r w:rsidRPr="001F392C">
              <w:rPr>
                <w:sz w:val="22"/>
                <w:szCs w:val="22"/>
              </w:rPr>
              <w:t>-0,1</w:t>
            </w:r>
          </w:p>
        </w:tc>
        <w:tc>
          <w:tcPr>
            <w:tcW w:w="917" w:type="dxa"/>
            <w:vAlign w:val="bottom"/>
            <w:hideMark/>
          </w:tcPr>
          <w:p w:rsidR="00025C5E" w:rsidRPr="001F392C" w:rsidRDefault="00025C5E" w:rsidP="00540856">
            <w:pPr>
              <w:jc w:val="right"/>
              <w:rPr>
                <w:sz w:val="22"/>
                <w:szCs w:val="22"/>
              </w:rPr>
            </w:pPr>
            <w:r w:rsidRPr="001F392C">
              <w:rPr>
                <w:sz w:val="22"/>
                <w:szCs w:val="22"/>
              </w:rPr>
              <w:t>-0,3</w:t>
            </w:r>
          </w:p>
        </w:tc>
        <w:tc>
          <w:tcPr>
            <w:tcW w:w="936" w:type="dxa"/>
            <w:vAlign w:val="bottom"/>
            <w:hideMark/>
          </w:tcPr>
          <w:p w:rsidR="00025C5E" w:rsidRPr="001F392C" w:rsidRDefault="00025C5E" w:rsidP="00540856">
            <w:pPr>
              <w:jc w:val="right"/>
              <w:rPr>
                <w:sz w:val="22"/>
                <w:szCs w:val="22"/>
              </w:rPr>
            </w:pPr>
            <w:r w:rsidRPr="001F392C">
              <w:rPr>
                <w:sz w:val="22"/>
                <w:szCs w:val="22"/>
              </w:rPr>
              <w:t>-0,6</w:t>
            </w:r>
          </w:p>
        </w:tc>
        <w:tc>
          <w:tcPr>
            <w:tcW w:w="909" w:type="dxa"/>
            <w:vAlign w:val="bottom"/>
            <w:hideMark/>
          </w:tcPr>
          <w:p w:rsidR="00025C5E" w:rsidRPr="001F392C" w:rsidRDefault="00025C5E" w:rsidP="00540856">
            <w:pPr>
              <w:jc w:val="right"/>
              <w:rPr>
                <w:sz w:val="22"/>
                <w:szCs w:val="22"/>
              </w:rPr>
            </w:pPr>
            <w:r w:rsidRPr="001F392C">
              <w:rPr>
                <w:sz w:val="22"/>
                <w:szCs w:val="22"/>
              </w:rPr>
              <w:t>-1,2</w:t>
            </w:r>
          </w:p>
        </w:tc>
        <w:tc>
          <w:tcPr>
            <w:tcW w:w="1026" w:type="dxa"/>
            <w:vAlign w:val="bottom"/>
            <w:hideMark/>
          </w:tcPr>
          <w:p w:rsidR="00025C5E" w:rsidRPr="001F392C" w:rsidRDefault="00025C5E" w:rsidP="00540856">
            <w:pPr>
              <w:jc w:val="right"/>
              <w:rPr>
                <w:sz w:val="22"/>
                <w:szCs w:val="22"/>
              </w:rPr>
            </w:pPr>
            <w:r w:rsidRPr="001F392C">
              <w:rPr>
                <w:sz w:val="22"/>
                <w:szCs w:val="22"/>
              </w:rPr>
              <w:t>-0,6</w:t>
            </w:r>
          </w:p>
        </w:tc>
      </w:tr>
      <w:tr w:rsidR="004447D6" w:rsidRPr="001F392C" w:rsidTr="00540856">
        <w:tc>
          <w:tcPr>
            <w:tcW w:w="3460" w:type="dxa"/>
            <w:hideMark/>
          </w:tcPr>
          <w:p w:rsidR="00025C5E" w:rsidRPr="001F392C" w:rsidRDefault="00025C5E" w:rsidP="00540856">
            <w:pPr>
              <w:ind w:left="322"/>
              <w:rPr>
                <w:sz w:val="22"/>
                <w:szCs w:val="22"/>
              </w:rPr>
            </w:pPr>
            <w:r w:rsidRPr="001F392C">
              <w:rPr>
                <w:sz w:val="22"/>
                <w:szCs w:val="22"/>
              </w:rPr>
              <w:t xml:space="preserve">Konečná spotreba nezisk. inštitúcií slúžiacich domácnostiam </w:t>
            </w:r>
          </w:p>
        </w:tc>
        <w:tc>
          <w:tcPr>
            <w:tcW w:w="1021" w:type="dxa"/>
            <w:vAlign w:val="bottom"/>
            <w:hideMark/>
          </w:tcPr>
          <w:p w:rsidR="00025C5E" w:rsidRPr="001F392C" w:rsidRDefault="00025C5E" w:rsidP="00540856">
            <w:pPr>
              <w:jc w:val="right"/>
              <w:rPr>
                <w:sz w:val="22"/>
                <w:szCs w:val="22"/>
              </w:rPr>
            </w:pPr>
            <w:r w:rsidRPr="001F392C">
              <w:rPr>
                <w:sz w:val="22"/>
                <w:szCs w:val="22"/>
              </w:rPr>
              <w:t>1,1</w:t>
            </w:r>
          </w:p>
        </w:tc>
        <w:tc>
          <w:tcPr>
            <w:tcW w:w="1027" w:type="dxa"/>
            <w:vAlign w:val="bottom"/>
            <w:hideMark/>
          </w:tcPr>
          <w:p w:rsidR="00025C5E" w:rsidRPr="001F392C" w:rsidRDefault="00025C5E" w:rsidP="00540856">
            <w:pPr>
              <w:jc w:val="right"/>
              <w:rPr>
                <w:sz w:val="22"/>
                <w:szCs w:val="22"/>
              </w:rPr>
            </w:pPr>
            <w:r w:rsidRPr="001F392C">
              <w:rPr>
                <w:sz w:val="22"/>
                <w:szCs w:val="22"/>
              </w:rPr>
              <w:t>0,2</w:t>
            </w:r>
          </w:p>
        </w:tc>
        <w:tc>
          <w:tcPr>
            <w:tcW w:w="910" w:type="dxa"/>
            <w:vAlign w:val="bottom"/>
            <w:hideMark/>
          </w:tcPr>
          <w:p w:rsidR="00025C5E" w:rsidRPr="001F392C" w:rsidRDefault="00025C5E" w:rsidP="00540856">
            <w:pPr>
              <w:jc w:val="right"/>
              <w:rPr>
                <w:sz w:val="22"/>
                <w:szCs w:val="22"/>
              </w:rPr>
            </w:pPr>
            <w:r w:rsidRPr="001F392C">
              <w:rPr>
                <w:sz w:val="22"/>
                <w:szCs w:val="22"/>
              </w:rPr>
              <w:t>-1,1</w:t>
            </w:r>
          </w:p>
        </w:tc>
        <w:tc>
          <w:tcPr>
            <w:tcW w:w="917" w:type="dxa"/>
            <w:vAlign w:val="bottom"/>
            <w:hideMark/>
          </w:tcPr>
          <w:p w:rsidR="00025C5E" w:rsidRPr="001F392C" w:rsidRDefault="00025C5E" w:rsidP="00540856">
            <w:pPr>
              <w:jc w:val="right"/>
              <w:rPr>
                <w:sz w:val="22"/>
                <w:szCs w:val="22"/>
              </w:rPr>
            </w:pPr>
            <w:r w:rsidRPr="001F392C">
              <w:rPr>
                <w:sz w:val="22"/>
                <w:szCs w:val="22"/>
              </w:rPr>
              <w:t>-0,9</w:t>
            </w:r>
          </w:p>
        </w:tc>
        <w:tc>
          <w:tcPr>
            <w:tcW w:w="936" w:type="dxa"/>
            <w:vAlign w:val="bottom"/>
            <w:hideMark/>
          </w:tcPr>
          <w:p w:rsidR="00025C5E" w:rsidRPr="001F392C" w:rsidRDefault="00025C5E" w:rsidP="00540856">
            <w:pPr>
              <w:jc w:val="right"/>
              <w:rPr>
                <w:sz w:val="22"/>
                <w:szCs w:val="22"/>
              </w:rPr>
            </w:pPr>
            <w:r w:rsidRPr="001F392C">
              <w:rPr>
                <w:sz w:val="22"/>
                <w:szCs w:val="22"/>
              </w:rPr>
              <w:t>-0,3</w:t>
            </w:r>
          </w:p>
        </w:tc>
        <w:tc>
          <w:tcPr>
            <w:tcW w:w="909" w:type="dxa"/>
            <w:vAlign w:val="bottom"/>
            <w:hideMark/>
          </w:tcPr>
          <w:p w:rsidR="00025C5E" w:rsidRPr="001F392C" w:rsidRDefault="00025C5E" w:rsidP="00540856">
            <w:pPr>
              <w:jc w:val="right"/>
              <w:rPr>
                <w:sz w:val="22"/>
                <w:szCs w:val="22"/>
              </w:rPr>
            </w:pPr>
            <w:r w:rsidRPr="001F392C">
              <w:rPr>
                <w:sz w:val="22"/>
                <w:szCs w:val="22"/>
              </w:rPr>
              <w:t>0,0</w:t>
            </w:r>
          </w:p>
        </w:tc>
        <w:tc>
          <w:tcPr>
            <w:tcW w:w="1026" w:type="dxa"/>
            <w:vAlign w:val="bottom"/>
            <w:hideMark/>
          </w:tcPr>
          <w:p w:rsidR="00025C5E" w:rsidRPr="001F392C" w:rsidRDefault="00025C5E" w:rsidP="00540856">
            <w:pPr>
              <w:jc w:val="right"/>
              <w:rPr>
                <w:sz w:val="22"/>
                <w:szCs w:val="22"/>
              </w:rPr>
            </w:pPr>
            <w:r w:rsidRPr="001F392C">
              <w:rPr>
                <w:sz w:val="22"/>
                <w:szCs w:val="22"/>
              </w:rPr>
              <w:t>-0,6</w:t>
            </w:r>
          </w:p>
        </w:tc>
      </w:tr>
      <w:tr w:rsidR="004447D6" w:rsidRPr="001F392C" w:rsidTr="00540856">
        <w:tc>
          <w:tcPr>
            <w:tcW w:w="3460" w:type="dxa"/>
            <w:hideMark/>
          </w:tcPr>
          <w:p w:rsidR="00025C5E" w:rsidRPr="001F392C" w:rsidRDefault="00025C5E" w:rsidP="00540856">
            <w:pPr>
              <w:ind w:left="322"/>
              <w:rPr>
                <w:sz w:val="22"/>
                <w:szCs w:val="22"/>
              </w:rPr>
            </w:pPr>
            <w:r w:rsidRPr="001F392C">
              <w:rPr>
                <w:sz w:val="22"/>
                <w:szCs w:val="22"/>
              </w:rPr>
              <w:t>Konečná spotreba verejnej správy</w:t>
            </w:r>
          </w:p>
        </w:tc>
        <w:tc>
          <w:tcPr>
            <w:tcW w:w="1021" w:type="dxa"/>
            <w:vAlign w:val="bottom"/>
            <w:hideMark/>
          </w:tcPr>
          <w:p w:rsidR="00025C5E" w:rsidRPr="001F392C" w:rsidRDefault="00025C5E" w:rsidP="00540856">
            <w:pPr>
              <w:jc w:val="right"/>
              <w:rPr>
                <w:sz w:val="22"/>
                <w:szCs w:val="22"/>
              </w:rPr>
            </w:pPr>
            <w:r w:rsidRPr="001F392C">
              <w:rPr>
                <w:sz w:val="22"/>
                <w:szCs w:val="22"/>
              </w:rPr>
              <w:t>1,0</w:t>
            </w:r>
          </w:p>
        </w:tc>
        <w:tc>
          <w:tcPr>
            <w:tcW w:w="1027" w:type="dxa"/>
            <w:vAlign w:val="bottom"/>
            <w:hideMark/>
          </w:tcPr>
          <w:p w:rsidR="00025C5E" w:rsidRPr="001F392C" w:rsidRDefault="00025C5E" w:rsidP="00540856">
            <w:pPr>
              <w:jc w:val="right"/>
              <w:rPr>
                <w:sz w:val="22"/>
                <w:szCs w:val="22"/>
              </w:rPr>
            </w:pPr>
            <w:r w:rsidRPr="001F392C">
              <w:rPr>
                <w:sz w:val="22"/>
                <w:szCs w:val="22"/>
              </w:rPr>
              <w:t>-4,3</w:t>
            </w:r>
          </w:p>
        </w:tc>
        <w:tc>
          <w:tcPr>
            <w:tcW w:w="910" w:type="dxa"/>
            <w:vAlign w:val="bottom"/>
            <w:hideMark/>
          </w:tcPr>
          <w:p w:rsidR="00025C5E" w:rsidRPr="001F392C" w:rsidRDefault="00025C5E" w:rsidP="00540856">
            <w:pPr>
              <w:jc w:val="right"/>
              <w:rPr>
                <w:sz w:val="22"/>
                <w:szCs w:val="22"/>
              </w:rPr>
            </w:pPr>
            <w:r w:rsidRPr="001F392C">
              <w:rPr>
                <w:sz w:val="22"/>
                <w:szCs w:val="22"/>
              </w:rPr>
              <w:t>0,5</w:t>
            </w:r>
          </w:p>
        </w:tc>
        <w:tc>
          <w:tcPr>
            <w:tcW w:w="917" w:type="dxa"/>
            <w:vAlign w:val="bottom"/>
            <w:hideMark/>
          </w:tcPr>
          <w:p w:rsidR="00025C5E" w:rsidRPr="001F392C" w:rsidRDefault="00025C5E" w:rsidP="00540856">
            <w:pPr>
              <w:jc w:val="right"/>
              <w:rPr>
                <w:sz w:val="22"/>
                <w:szCs w:val="22"/>
              </w:rPr>
            </w:pPr>
            <w:r w:rsidRPr="001F392C">
              <w:rPr>
                <w:sz w:val="22"/>
                <w:szCs w:val="22"/>
              </w:rPr>
              <w:t>-2,1</w:t>
            </w:r>
          </w:p>
        </w:tc>
        <w:tc>
          <w:tcPr>
            <w:tcW w:w="936" w:type="dxa"/>
            <w:vAlign w:val="bottom"/>
            <w:hideMark/>
          </w:tcPr>
          <w:p w:rsidR="00025C5E" w:rsidRPr="001F392C" w:rsidRDefault="00025C5E" w:rsidP="00540856">
            <w:pPr>
              <w:jc w:val="right"/>
              <w:rPr>
                <w:sz w:val="22"/>
                <w:szCs w:val="22"/>
              </w:rPr>
            </w:pPr>
            <w:r w:rsidRPr="001F392C">
              <w:rPr>
                <w:sz w:val="22"/>
                <w:szCs w:val="22"/>
              </w:rPr>
              <w:t>-0,4</w:t>
            </w:r>
          </w:p>
        </w:tc>
        <w:tc>
          <w:tcPr>
            <w:tcW w:w="909" w:type="dxa"/>
            <w:vAlign w:val="bottom"/>
            <w:hideMark/>
          </w:tcPr>
          <w:p w:rsidR="00025C5E" w:rsidRPr="001F392C" w:rsidRDefault="00025C5E" w:rsidP="00540856">
            <w:pPr>
              <w:jc w:val="right"/>
              <w:rPr>
                <w:sz w:val="22"/>
                <w:szCs w:val="22"/>
              </w:rPr>
            </w:pPr>
            <w:r w:rsidRPr="001F392C">
              <w:rPr>
                <w:sz w:val="22"/>
                <w:szCs w:val="22"/>
              </w:rPr>
              <w:t>-0,3</w:t>
            </w:r>
          </w:p>
        </w:tc>
        <w:tc>
          <w:tcPr>
            <w:tcW w:w="1026" w:type="dxa"/>
            <w:vAlign w:val="bottom"/>
            <w:hideMark/>
          </w:tcPr>
          <w:p w:rsidR="00025C5E" w:rsidRPr="001F392C" w:rsidRDefault="00025C5E" w:rsidP="00540856">
            <w:pPr>
              <w:jc w:val="right"/>
              <w:rPr>
                <w:sz w:val="22"/>
                <w:szCs w:val="22"/>
              </w:rPr>
            </w:pPr>
            <w:r w:rsidRPr="001F392C">
              <w:rPr>
                <w:sz w:val="22"/>
                <w:szCs w:val="22"/>
              </w:rPr>
              <w:t>-0,6</w:t>
            </w:r>
          </w:p>
        </w:tc>
      </w:tr>
      <w:tr w:rsidR="004447D6" w:rsidRPr="001F392C" w:rsidTr="00540856">
        <w:tc>
          <w:tcPr>
            <w:tcW w:w="3460" w:type="dxa"/>
            <w:hideMark/>
          </w:tcPr>
          <w:p w:rsidR="00025C5E" w:rsidRPr="001F392C" w:rsidRDefault="00025C5E" w:rsidP="00540856">
            <w:pPr>
              <w:ind w:left="322" w:hanging="322"/>
              <w:rPr>
                <w:sz w:val="22"/>
                <w:szCs w:val="22"/>
              </w:rPr>
            </w:pPr>
            <w:r w:rsidRPr="001F392C">
              <w:rPr>
                <w:sz w:val="22"/>
                <w:szCs w:val="22"/>
              </w:rPr>
              <w:t xml:space="preserve">      Tvorba hrubého fixného kapitálu </w:t>
            </w:r>
          </w:p>
        </w:tc>
        <w:tc>
          <w:tcPr>
            <w:tcW w:w="1021" w:type="dxa"/>
            <w:hideMark/>
          </w:tcPr>
          <w:p w:rsidR="00180904" w:rsidRDefault="00180904" w:rsidP="00540856">
            <w:pPr>
              <w:jc w:val="right"/>
              <w:rPr>
                <w:sz w:val="22"/>
                <w:szCs w:val="22"/>
              </w:rPr>
            </w:pPr>
          </w:p>
          <w:p w:rsidR="00025C5E" w:rsidRPr="001F392C" w:rsidRDefault="00025C5E" w:rsidP="00540856">
            <w:pPr>
              <w:jc w:val="right"/>
              <w:rPr>
                <w:sz w:val="22"/>
                <w:szCs w:val="22"/>
              </w:rPr>
            </w:pPr>
            <w:r w:rsidRPr="001F392C">
              <w:rPr>
                <w:sz w:val="22"/>
                <w:szCs w:val="22"/>
              </w:rPr>
              <w:t>6,5</w:t>
            </w:r>
          </w:p>
        </w:tc>
        <w:tc>
          <w:tcPr>
            <w:tcW w:w="1027" w:type="dxa"/>
            <w:vAlign w:val="bottom"/>
            <w:hideMark/>
          </w:tcPr>
          <w:p w:rsidR="00025C5E" w:rsidRPr="001F392C" w:rsidRDefault="00025C5E" w:rsidP="00540856">
            <w:pPr>
              <w:jc w:val="right"/>
              <w:rPr>
                <w:sz w:val="22"/>
                <w:szCs w:val="22"/>
              </w:rPr>
            </w:pPr>
            <w:r w:rsidRPr="001F392C">
              <w:rPr>
                <w:sz w:val="22"/>
                <w:szCs w:val="22"/>
              </w:rPr>
              <w:t>14,2</w:t>
            </w:r>
          </w:p>
        </w:tc>
        <w:tc>
          <w:tcPr>
            <w:tcW w:w="910" w:type="dxa"/>
            <w:vAlign w:val="bottom"/>
            <w:hideMark/>
          </w:tcPr>
          <w:p w:rsidR="00025C5E" w:rsidRPr="001F392C" w:rsidRDefault="00025C5E" w:rsidP="00540856">
            <w:pPr>
              <w:jc w:val="right"/>
              <w:rPr>
                <w:sz w:val="22"/>
                <w:szCs w:val="22"/>
              </w:rPr>
            </w:pPr>
            <w:r w:rsidRPr="001F392C">
              <w:rPr>
                <w:sz w:val="22"/>
                <w:szCs w:val="22"/>
              </w:rPr>
              <w:t>-3,3</w:t>
            </w:r>
          </w:p>
        </w:tc>
        <w:tc>
          <w:tcPr>
            <w:tcW w:w="917" w:type="dxa"/>
            <w:vAlign w:val="bottom"/>
            <w:hideMark/>
          </w:tcPr>
          <w:p w:rsidR="00025C5E" w:rsidRPr="001F392C" w:rsidRDefault="00025C5E" w:rsidP="00540856">
            <w:pPr>
              <w:jc w:val="right"/>
              <w:rPr>
                <w:sz w:val="22"/>
                <w:szCs w:val="22"/>
              </w:rPr>
            </w:pPr>
            <w:r w:rsidRPr="001F392C">
              <w:rPr>
                <w:sz w:val="22"/>
                <w:szCs w:val="22"/>
              </w:rPr>
              <w:t>-2,5</w:t>
            </w:r>
          </w:p>
        </w:tc>
        <w:tc>
          <w:tcPr>
            <w:tcW w:w="936" w:type="dxa"/>
            <w:vAlign w:val="bottom"/>
            <w:hideMark/>
          </w:tcPr>
          <w:p w:rsidR="00025C5E" w:rsidRPr="001F392C" w:rsidRDefault="00025C5E" w:rsidP="00540856">
            <w:pPr>
              <w:jc w:val="right"/>
              <w:rPr>
                <w:sz w:val="22"/>
                <w:szCs w:val="22"/>
              </w:rPr>
            </w:pPr>
            <w:r w:rsidRPr="001F392C">
              <w:rPr>
                <w:sz w:val="22"/>
                <w:szCs w:val="22"/>
              </w:rPr>
              <w:t>-3,7</w:t>
            </w:r>
          </w:p>
        </w:tc>
        <w:tc>
          <w:tcPr>
            <w:tcW w:w="909" w:type="dxa"/>
            <w:vAlign w:val="bottom"/>
            <w:hideMark/>
          </w:tcPr>
          <w:p w:rsidR="00025C5E" w:rsidRPr="001F392C" w:rsidRDefault="00025C5E" w:rsidP="00540856">
            <w:pPr>
              <w:jc w:val="right"/>
              <w:rPr>
                <w:sz w:val="22"/>
                <w:szCs w:val="22"/>
              </w:rPr>
            </w:pPr>
            <w:r w:rsidRPr="001F392C">
              <w:rPr>
                <w:sz w:val="22"/>
                <w:szCs w:val="22"/>
              </w:rPr>
              <w:t>-5,0</w:t>
            </w:r>
          </w:p>
        </w:tc>
        <w:tc>
          <w:tcPr>
            <w:tcW w:w="1026" w:type="dxa"/>
            <w:vAlign w:val="bottom"/>
            <w:hideMark/>
          </w:tcPr>
          <w:p w:rsidR="00025C5E" w:rsidRPr="001F392C" w:rsidRDefault="00025C5E" w:rsidP="00540856">
            <w:pPr>
              <w:jc w:val="right"/>
              <w:rPr>
                <w:sz w:val="22"/>
                <w:szCs w:val="22"/>
              </w:rPr>
            </w:pPr>
            <w:r w:rsidRPr="001F392C">
              <w:rPr>
                <w:sz w:val="22"/>
                <w:szCs w:val="22"/>
              </w:rPr>
              <w:t>-3,7</w:t>
            </w:r>
          </w:p>
        </w:tc>
      </w:tr>
      <w:tr w:rsidR="004447D6" w:rsidRPr="001F392C" w:rsidTr="00540856">
        <w:tc>
          <w:tcPr>
            <w:tcW w:w="3460" w:type="dxa"/>
            <w:hideMark/>
          </w:tcPr>
          <w:p w:rsidR="00025C5E" w:rsidRPr="001F392C" w:rsidRDefault="00025C5E">
            <w:pPr>
              <w:rPr>
                <w:sz w:val="22"/>
                <w:szCs w:val="22"/>
              </w:rPr>
            </w:pPr>
            <w:r w:rsidRPr="001F392C">
              <w:rPr>
                <w:sz w:val="22"/>
                <w:szCs w:val="22"/>
              </w:rPr>
              <w:t xml:space="preserve">   Vývoz výrobkov a služieb     </w:t>
            </w:r>
          </w:p>
        </w:tc>
        <w:tc>
          <w:tcPr>
            <w:tcW w:w="1021" w:type="dxa"/>
            <w:hideMark/>
          </w:tcPr>
          <w:p w:rsidR="00025C5E" w:rsidRPr="001F392C" w:rsidRDefault="00025C5E" w:rsidP="00540856">
            <w:pPr>
              <w:jc w:val="right"/>
              <w:rPr>
                <w:sz w:val="22"/>
                <w:szCs w:val="22"/>
              </w:rPr>
            </w:pPr>
            <w:r w:rsidRPr="001F392C">
              <w:rPr>
                <w:sz w:val="22"/>
                <w:szCs w:val="22"/>
              </w:rPr>
              <w:t>16,0</w:t>
            </w:r>
          </w:p>
        </w:tc>
        <w:tc>
          <w:tcPr>
            <w:tcW w:w="1027" w:type="dxa"/>
            <w:vAlign w:val="bottom"/>
            <w:hideMark/>
          </w:tcPr>
          <w:p w:rsidR="00025C5E" w:rsidRPr="001F392C" w:rsidRDefault="00025C5E" w:rsidP="00540856">
            <w:pPr>
              <w:jc w:val="right"/>
              <w:rPr>
                <w:sz w:val="22"/>
                <w:szCs w:val="22"/>
              </w:rPr>
            </w:pPr>
            <w:r w:rsidRPr="001F392C">
              <w:rPr>
                <w:sz w:val="22"/>
                <w:szCs w:val="22"/>
              </w:rPr>
              <w:t>12,7</w:t>
            </w:r>
          </w:p>
        </w:tc>
        <w:tc>
          <w:tcPr>
            <w:tcW w:w="910" w:type="dxa"/>
            <w:vAlign w:val="bottom"/>
            <w:hideMark/>
          </w:tcPr>
          <w:p w:rsidR="00025C5E" w:rsidRPr="001F392C" w:rsidRDefault="00025C5E" w:rsidP="00540856">
            <w:pPr>
              <w:jc w:val="right"/>
              <w:rPr>
                <w:sz w:val="22"/>
                <w:szCs w:val="22"/>
              </w:rPr>
            </w:pPr>
            <w:r w:rsidRPr="001F392C">
              <w:rPr>
                <w:sz w:val="22"/>
                <w:szCs w:val="22"/>
              </w:rPr>
              <w:t>5,0</w:t>
            </w:r>
          </w:p>
        </w:tc>
        <w:tc>
          <w:tcPr>
            <w:tcW w:w="917" w:type="dxa"/>
            <w:vAlign w:val="bottom"/>
            <w:hideMark/>
          </w:tcPr>
          <w:p w:rsidR="00025C5E" w:rsidRPr="001F392C" w:rsidRDefault="00025C5E" w:rsidP="00540856">
            <w:pPr>
              <w:jc w:val="right"/>
              <w:rPr>
                <w:sz w:val="22"/>
                <w:szCs w:val="22"/>
              </w:rPr>
            </w:pPr>
            <w:r w:rsidRPr="001F392C">
              <w:rPr>
                <w:sz w:val="22"/>
                <w:szCs w:val="22"/>
              </w:rPr>
              <w:t>10,8</w:t>
            </w:r>
          </w:p>
        </w:tc>
        <w:tc>
          <w:tcPr>
            <w:tcW w:w="936" w:type="dxa"/>
            <w:vAlign w:val="bottom"/>
            <w:hideMark/>
          </w:tcPr>
          <w:p w:rsidR="00025C5E" w:rsidRPr="001F392C" w:rsidRDefault="00025C5E" w:rsidP="00540856">
            <w:pPr>
              <w:jc w:val="right"/>
              <w:rPr>
                <w:sz w:val="22"/>
                <w:szCs w:val="22"/>
              </w:rPr>
            </w:pPr>
            <w:r w:rsidRPr="001F392C">
              <w:rPr>
                <w:sz w:val="22"/>
                <w:szCs w:val="22"/>
              </w:rPr>
              <w:t>11,6</w:t>
            </w:r>
          </w:p>
        </w:tc>
        <w:tc>
          <w:tcPr>
            <w:tcW w:w="909" w:type="dxa"/>
            <w:vAlign w:val="bottom"/>
            <w:hideMark/>
          </w:tcPr>
          <w:p w:rsidR="00025C5E" w:rsidRPr="001F392C" w:rsidRDefault="00025C5E" w:rsidP="00540856">
            <w:pPr>
              <w:jc w:val="right"/>
              <w:rPr>
                <w:sz w:val="22"/>
                <w:szCs w:val="22"/>
              </w:rPr>
            </w:pPr>
            <w:r w:rsidRPr="001F392C">
              <w:rPr>
                <w:sz w:val="22"/>
                <w:szCs w:val="22"/>
              </w:rPr>
              <w:t>7,1</w:t>
            </w:r>
          </w:p>
        </w:tc>
        <w:tc>
          <w:tcPr>
            <w:tcW w:w="1026" w:type="dxa"/>
            <w:vAlign w:val="bottom"/>
            <w:hideMark/>
          </w:tcPr>
          <w:p w:rsidR="00025C5E" w:rsidRPr="001F392C" w:rsidRDefault="00025C5E" w:rsidP="00540856">
            <w:pPr>
              <w:jc w:val="right"/>
              <w:rPr>
                <w:sz w:val="22"/>
                <w:szCs w:val="22"/>
              </w:rPr>
            </w:pPr>
            <w:r w:rsidRPr="001F392C">
              <w:rPr>
                <w:sz w:val="22"/>
                <w:szCs w:val="22"/>
              </w:rPr>
              <w:t>8,6</w:t>
            </w:r>
          </w:p>
        </w:tc>
      </w:tr>
      <w:tr w:rsidR="004447D6" w:rsidRPr="001F392C" w:rsidTr="00540856">
        <w:tc>
          <w:tcPr>
            <w:tcW w:w="3460" w:type="dxa"/>
            <w:hideMark/>
          </w:tcPr>
          <w:p w:rsidR="00025C5E" w:rsidRPr="001F392C" w:rsidRDefault="00025C5E">
            <w:pPr>
              <w:rPr>
                <w:sz w:val="22"/>
                <w:szCs w:val="22"/>
              </w:rPr>
            </w:pPr>
            <w:r w:rsidRPr="001F392C">
              <w:rPr>
                <w:sz w:val="22"/>
                <w:szCs w:val="22"/>
              </w:rPr>
              <w:t xml:space="preserve">   Dovoz výrobkov a služieb</w:t>
            </w:r>
          </w:p>
        </w:tc>
        <w:tc>
          <w:tcPr>
            <w:tcW w:w="1021" w:type="dxa"/>
            <w:hideMark/>
          </w:tcPr>
          <w:p w:rsidR="00025C5E" w:rsidRPr="001F392C" w:rsidRDefault="00025C5E" w:rsidP="00540856">
            <w:pPr>
              <w:jc w:val="right"/>
              <w:rPr>
                <w:sz w:val="22"/>
                <w:szCs w:val="22"/>
              </w:rPr>
            </w:pPr>
            <w:r w:rsidRPr="001F392C">
              <w:rPr>
                <w:sz w:val="22"/>
                <w:szCs w:val="22"/>
              </w:rPr>
              <w:t>14,9</w:t>
            </w:r>
          </w:p>
        </w:tc>
        <w:tc>
          <w:tcPr>
            <w:tcW w:w="1027" w:type="dxa"/>
            <w:vAlign w:val="bottom"/>
            <w:hideMark/>
          </w:tcPr>
          <w:p w:rsidR="00025C5E" w:rsidRPr="001F392C" w:rsidRDefault="00025C5E" w:rsidP="00540856">
            <w:pPr>
              <w:jc w:val="right"/>
              <w:rPr>
                <w:sz w:val="22"/>
                <w:szCs w:val="22"/>
              </w:rPr>
            </w:pPr>
            <w:r w:rsidRPr="001F392C">
              <w:rPr>
                <w:sz w:val="22"/>
                <w:szCs w:val="22"/>
              </w:rPr>
              <w:t>10,1</w:t>
            </w:r>
          </w:p>
        </w:tc>
        <w:tc>
          <w:tcPr>
            <w:tcW w:w="910" w:type="dxa"/>
            <w:vAlign w:val="bottom"/>
            <w:hideMark/>
          </w:tcPr>
          <w:p w:rsidR="00025C5E" w:rsidRPr="001F392C" w:rsidRDefault="00025C5E" w:rsidP="00540856">
            <w:pPr>
              <w:jc w:val="right"/>
              <w:rPr>
                <w:sz w:val="22"/>
                <w:szCs w:val="22"/>
              </w:rPr>
            </w:pPr>
            <w:r w:rsidRPr="001F392C">
              <w:rPr>
                <w:sz w:val="22"/>
                <w:szCs w:val="22"/>
              </w:rPr>
              <w:t>-0,2</w:t>
            </w:r>
          </w:p>
        </w:tc>
        <w:tc>
          <w:tcPr>
            <w:tcW w:w="917" w:type="dxa"/>
            <w:vAlign w:val="bottom"/>
            <w:hideMark/>
          </w:tcPr>
          <w:p w:rsidR="00025C5E" w:rsidRPr="001F392C" w:rsidRDefault="00025C5E" w:rsidP="00540856">
            <w:pPr>
              <w:jc w:val="right"/>
              <w:rPr>
                <w:sz w:val="22"/>
                <w:szCs w:val="22"/>
              </w:rPr>
            </w:pPr>
            <w:r w:rsidRPr="001F392C">
              <w:rPr>
                <w:sz w:val="22"/>
                <w:szCs w:val="22"/>
              </w:rPr>
              <w:t>1,6</w:t>
            </w:r>
          </w:p>
        </w:tc>
        <w:tc>
          <w:tcPr>
            <w:tcW w:w="936" w:type="dxa"/>
            <w:vAlign w:val="bottom"/>
            <w:hideMark/>
          </w:tcPr>
          <w:p w:rsidR="00025C5E" w:rsidRPr="001F392C" w:rsidRDefault="00025C5E" w:rsidP="00540856">
            <w:pPr>
              <w:jc w:val="right"/>
              <w:rPr>
                <w:sz w:val="22"/>
                <w:szCs w:val="22"/>
              </w:rPr>
            </w:pPr>
            <w:r w:rsidRPr="001F392C">
              <w:rPr>
                <w:sz w:val="22"/>
                <w:szCs w:val="22"/>
              </w:rPr>
              <w:t>5,7</w:t>
            </w:r>
          </w:p>
        </w:tc>
        <w:tc>
          <w:tcPr>
            <w:tcW w:w="909" w:type="dxa"/>
            <w:vAlign w:val="bottom"/>
            <w:hideMark/>
          </w:tcPr>
          <w:p w:rsidR="00025C5E" w:rsidRPr="001F392C" w:rsidRDefault="00025C5E" w:rsidP="00540856">
            <w:pPr>
              <w:jc w:val="right"/>
              <w:rPr>
                <w:sz w:val="22"/>
                <w:szCs w:val="22"/>
              </w:rPr>
            </w:pPr>
            <w:r w:rsidRPr="001F392C">
              <w:rPr>
                <w:sz w:val="22"/>
                <w:szCs w:val="22"/>
              </w:rPr>
              <w:t>4,2</w:t>
            </w:r>
          </w:p>
        </w:tc>
        <w:tc>
          <w:tcPr>
            <w:tcW w:w="1026" w:type="dxa"/>
            <w:vAlign w:val="bottom"/>
            <w:hideMark/>
          </w:tcPr>
          <w:p w:rsidR="00025C5E" w:rsidRPr="001F392C" w:rsidRDefault="00025C5E" w:rsidP="00540856">
            <w:pPr>
              <w:jc w:val="right"/>
              <w:rPr>
                <w:sz w:val="22"/>
                <w:szCs w:val="22"/>
              </w:rPr>
            </w:pPr>
            <w:r w:rsidRPr="001F392C">
              <w:rPr>
                <w:sz w:val="22"/>
                <w:szCs w:val="22"/>
              </w:rPr>
              <w:t>2,8</w:t>
            </w:r>
          </w:p>
        </w:tc>
      </w:tr>
      <w:tr w:rsidR="004447D6" w:rsidRPr="001F392C" w:rsidTr="00540856">
        <w:tc>
          <w:tcPr>
            <w:tcW w:w="3460" w:type="dxa"/>
            <w:tcBorders>
              <w:right w:val="nil"/>
            </w:tcBorders>
            <w:shd w:val="clear" w:color="auto" w:fill="CCCCCC"/>
            <w:hideMark/>
          </w:tcPr>
          <w:p w:rsidR="00025C5E" w:rsidRPr="001F392C" w:rsidRDefault="00025C5E">
            <w:pPr>
              <w:rPr>
                <w:b/>
                <w:sz w:val="22"/>
                <w:szCs w:val="22"/>
              </w:rPr>
            </w:pPr>
            <w:r w:rsidRPr="001F392C">
              <w:rPr>
                <w:b/>
                <w:sz w:val="22"/>
                <w:szCs w:val="22"/>
              </w:rPr>
              <w:t>Trh práce</w:t>
            </w:r>
          </w:p>
        </w:tc>
        <w:tc>
          <w:tcPr>
            <w:tcW w:w="1021" w:type="dxa"/>
            <w:tcBorders>
              <w:left w:val="nil"/>
              <w:right w:val="nil"/>
            </w:tcBorders>
            <w:shd w:val="clear" w:color="auto" w:fill="CCCCCC"/>
          </w:tcPr>
          <w:p w:rsidR="00025C5E" w:rsidRPr="001F392C" w:rsidRDefault="00025C5E" w:rsidP="00540856">
            <w:pPr>
              <w:jc w:val="right"/>
              <w:rPr>
                <w:sz w:val="22"/>
                <w:szCs w:val="22"/>
              </w:rPr>
            </w:pPr>
          </w:p>
        </w:tc>
        <w:tc>
          <w:tcPr>
            <w:tcW w:w="1027" w:type="dxa"/>
            <w:tcBorders>
              <w:left w:val="nil"/>
              <w:right w:val="nil"/>
            </w:tcBorders>
            <w:shd w:val="clear" w:color="auto" w:fill="CCCCCC"/>
            <w:vAlign w:val="bottom"/>
          </w:tcPr>
          <w:p w:rsidR="00025C5E" w:rsidRPr="001F392C" w:rsidRDefault="00025C5E" w:rsidP="00540856">
            <w:pPr>
              <w:jc w:val="right"/>
              <w:rPr>
                <w:sz w:val="22"/>
                <w:szCs w:val="22"/>
              </w:rPr>
            </w:pPr>
          </w:p>
        </w:tc>
        <w:tc>
          <w:tcPr>
            <w:tcW w:w="910" w:type="dxa"/>
            <w:tcBorders>
              <w:left w:val="nil"/>
              <w:right w:val="nil"/>
            </w:tcBorders>
            <w:shd w:val="clear" w:color="auto" w:fill="CCCCCC"/>
            <w:vAlign w:val="bottom"/>
          </w:tcPr>
          <w:p w:rsidR="00025C5E" w:rsidRPr="001F392C" w:rsidRDefault="00025C5E" w:rsidP="00540856">
            <w:pPr>
              <w:jc w:val="right"/>
              <w:rPr>
                <w:sz w:val="22"/>
                <w:szCs w:val="22"/>
              </w:rPr>
            </w:pPr>
          </w:p>
        </w:tc>
        <w:tc>
          <w:tcPr>
            <w:tcW w:w="917" w:type="dxa"/>
            <w:tcBorders>
              <w:left w:val="nil"/>
              <w:right w:val="nil"/>
            </w:tcBorders>
            <w:shd w:val="clear" w:color="auto" w:fill="CCCCCC"/>
            <w:vAlign w:val="bottom"/>
          </w:tcPr>
          <w:p w:rsidR="00025C5E" w:rsidRPr="001F392C" w:rsidRDefault="00025C5E" w:rsidP="00540856">
            <w:pPr>
              <w:jc w:val="right"/>
              <w:rPr>
                <w:sz w:val="22"/>
                <w:szCs w:val="22"/>
              </w:rPr>
            </w:pPr>
          </w:p>
        </w:tc>
        <w:tc>
          <w:tcPr>
            <w:tcW w:w="936" w:type="dxa"/>
            <w:tcBorders>
              <w:left w:val="nil"/>
              <w:right w:val="nil"/>
            </w:tcBorders>
            <w:shd w:val="clear" w:color="auto" w:fill="CCCCCC"/>
            <w:vAlign w:val="bottom"/>
          </w:tcPr>
          <w:p w:rsidR="00025C5E" w:rsidRPr="001F392C" w:rsidRDefault="00025C5E" w:rsidP="00540856">
            <w:pPr>
              <w:jc w:val="right"/>
              <w:rPr>
                <w:sz w:val="22"/>
                <w:szCs w:val="22"/>
              </w:rPr>
            </w:pPr>
          </w:p>
        </w:tc>
        <w:tc>
          <w:tcPr>
            <w:tcW w:w="909" w:type="dxa"/>
            <w:tcBorders>
              <w:left w:val="nil"/>
              <w:right w:val="nil"/>
            </w:tcBorders>
            <w:shd w:val="clear" w:color="auto" w:fill="CCCCCC"/>
            <w:vAlign w:val="bottom"/>
          </w:tcPr>
          <w:p w:rsidR="00025C5E" w:rsidRPr="001F392C" w:rsidRDefault="00025C5E" w:rsidP="00540856">
            <w:pPr>
              <w:jc w:val="right"/>
              <w:rPr>
                <w:sz w:val="22"/>
                <w:szCs w:val="22"/>
              </w:rPr>
            </w:pPr>
          </w:p>
        </w:tc>
        <w:tc>
          <w:tcPr>
            <w:tcW w:w="1026" w:type="dxa"/>
            <w:tcBorders>
              <w:left w:val="nil"/>
            </w:tcBorders>
            <w:shd w:val="clear" w:color="auto" w:fill="CCCCCC"/>
            <w:vAlign w:val="bottom"/>
          </w:tcPr>
          <w:p w:rsidR="00025C5E" w:rsidRPr="001F392C" w:rsidRDefault="00025C5E" w:rsidP="00540856">
            <w:pPr>
              <w:jc w:val="right"/>
              <w:rPr>
                <w:sz w:val="22"/>
                <w:szCs w:val="22"/>
              </w:rPr>
            </w:pPr>
          </w:p>
        </w:tc>
      </w:tr>
      <w:tr w:rsidR="004447D6" w:rsidRPr="001F392C" w:rsidTr="00540856">
        <w:tc>
          <w:tcPr>
            <w:tcW w:w="3460" w:type="dxa"/>
            <w:hideMark/>
          </w:tcPr>
          <w:p w:rsidR="00025C5E" w:rsidRPr="001F392C" w:rsidRDefault="00025C5E">
            <w:pPr>
              <w:rPr>
                <w:sz w:val="22"/>
                <w:szCs w:val="22"/>
              </w:rPr>
            </w:pPr>
            <w:r w:rsidRPr="001F392C">
              <w:rPr>
                <w:sz w:val="22"/>
                <w:szCs w:val="22"/>
              </w:rPr>
              <w:t xml:space="preserve">Reálna produktivita práce </w:t>
            </w:r>
          </w:p>
        </w:tc>
        <w:tc>
          <w:tcPr>
            <w:tcW w:w="1021" w:type="dxa"/>
            <w:hideMark/>
          </w:tcPr>
          <w:p w:rsidR="00025C5E" w:rsidRPr="001F392C" w:rsidRDefault="00025C5E" w:rsidP="00540856">
            <w:pPr>
              <w:jc w:val="right"/>
              <w:rPr>
                <w:sz w:val="22"/>
                <w:szCs w:val="22"/>
              </w:rPr>
            </w:pPr>
            <w:r w:rsidRPr="001F392C">
              <w:rPr>
                <w:sz w:val="22"/>
                <w:szCs w:val="22"/>
              </w:rPr>
              <w:t>6,0</w:t>
            </w:r>
          </w:p>
        </w:tc>
        <w:tc>
          <w:tcPr>
            <w:tcW w:w="1027" w:type="dxa"/>
            <w:vAlign w:val="bottom"/>
            <w:hideMark/>
          </w:tcPr>
          <w:p w:rsidR="00025C5E" w:rsidRPr="001F392C" w:rsidRDefault="00025C5E" w:rsidP="00540856">
            <w:pPr>
              <w:jc w:val="right"/>
              <w:rPr>
                <w:sz w:val="22"/>
                <w:szCs w:val="22"/>
              </w:rPr>
            </w:pPr>
            <w:r w:rsidRPr="001F392C">
              <w:rPr>
                <w:sz w:val="22"/>
                <w:szCs w:val="22"/>
              </w:rPr>
              <w:t>1,4</w:t>
            </w:r>
          </w:p>
        </w:tc>
        <w:tc>
          <w:tcPr>
            <w:tcW w:w="910" w:type="dxa"/>
            <w:vAlign w:val="bottom"/>
            <w:hideMark/>
          </w:tcPr>
          <w:p w:rsidR="00025C5E" w:rsidRPr="001F392C" w:rsidRDefault="00025C5E" w:rsidP="00540856">
            <w:pPr>
              <w:jc w:val="right"/>
              <w:rPr>
                <w:sz w:val="22"/>
                <w:szCs w:val="22"/>
              </w:rPr>
            </w:pPr>
            <w:r w:rsidRPr="001F392C">
              <w:rPr>
                <w:sz w:val="22"/>
                <w:szCs w:val="22"/>
              </w:rPr>
              <w:t>2,3</w:t>
            </w:r>
          </w:p>
        </w:tc>
        <w:tc>
          <w:tcPr>
            <w:tcW w:w="917" w:type="dxa"/>
            <w:vAlign w:val="bottom"/>
            <w:hideMark/>
          </w:tcPr>
          <w:p w:rsidR="00025C5E" w:rsidRPr="001F392C" w:rsidRDefault="00BE141D" w:rsidP="00BE141D">
            <w:pPr>
              <w:jc w:val="right"/>
              <w:rPr>
                <w:sz w:val="22"/>
                <w:szCs w:val="22"/>
              </w:rPr>
            </w:pPr>
            <w:r w:rsidRPr="001F392C">
              <w:rPr>
                <w:sz w:val="22"/>
                <w:szCs w:val="22"/>
              </w:rPr>
              <w:t>2,4</w:t>
            </w:r>
          </w:p>
        </w:tc>
        <w:tc>
          <w:tcPr>
            <w:tcW w:w="936" w:type="dxa"/>
            <w:vAlign w:val="bottom"/>
            <w:hideMark/>
          </w:tcPr>
          <w:p w:rsidR="00025C5E" w:rsidRPr="001F392C" w:rsidRDefault="00025C5E" w:rsidP="00540856">
            <w:pPr>
              <w:jc w:val="right"/>
              <w:rPr>
                <w:sz w:val="22"/>
                <w:szCs w:val="22"/>
              </w:rPr>
            </w:pPr>
            <w:r w:rsidRPr="001F392C">
              <w:rPr>
                <w:sz w:val="22"/>
                <w:szCs w:val="22"/>
              </w:rPr>
              <w:t>2,2</w:t>
            </w:r>
          </w:p>
        </w:tc>
        <w:tc>
          <w:tcPr>
            <w:tcW w:w="909" w:type="dxa"/>
            <w:vAlign w:val="bottom"/>
            <w:hideMark/>
          </w:tcPr>
          <w:p w:rsidR="00025C5E" w:rsidRPr="001F392C" w:rsidRDefault="00025C5E" w:rsidP="00540856">
            <w:pPr>
              <w:jc w:val="right"/>
              <w:rPr>
                <w:sz w:val="22"/>
                <w:szCs w:val="22"/>
              </w:rPr>
            </w:pPr>
            <w:r w:rsidRPr="001F392C">
              <w:rPr>
                <w:sz w:val="22"/>
                <w:szCs w:val="22"/>
              </w:rPr>
              <w:t>1,3</w:t>
            </w:r>
          </w:p>
        </w:tc>
        <w:tc>
          <w:tcPr>
            <w:tcW w:w="1026" w:type="dxa"/>
            <w:vAlign w:val="bottom"/>
            <w:hideMark/>
          </w:tcPr>
          <w:p w:rsidR="00025C5E" w:rsidRPr="001F392C" w:rsidRDefault="00025C5E" w:rsidP="00540856">
            <w:pPr>
              <w:jc w:val="right"/>
              <w:rPr>
                <w:sz w:val="22"/>
                <w:szCs w:val="22"/>
              </w:rPr>
            </w:pPr>
            <w:r w:rsidRPr="001F392C">
              <w:rPr>
                <w:sz w:val="22"/>
                <w:szCs w:val="22"/>
              </w:rPr>
              <w:t>1,9</w:t>
            </w:r>
          </w:p>
        </w:tc>
      </w:tr>
      <w:tr w:rsidR="004447D6" w:rsidRPr="001F392C" w:rsidTr="00540856">
        <w:tc>
          <w:tcPr>
            <w:tcW w:w="3460" w:type="dxa"/>
            <w:hideMark/>
          </w:tcPr>
          <w:p w:rsidR="00025C5E" w:rsidRPr="001F392C" w:rsidRDefault="00025C5E">
            <w:pPr>
              <w:rPr>
                <w:sz w:val="22"/>
                <w:szCs w:val="22"/>
              </w:rPr>
            </w:pPr>
            <w:r w:rsidRPr="001F392C">
              <w:rPr>
                <w:sz w:val="22"/>
                <w:szCs w:val="22"/>
              </w:rPr>
              <w:t>Zamestnanosť (ESA 95)</w:t>
            </w:r>
          </w:p>
        </w:tc>
        <w:tc>
          <w:tcPr>
            <w:tcW w:w="1021" w:type="dxa"/>
            <w:hideMark/>
          </w:tcPr>
          <w:p w:rsidR="00025C5E" w:rsidRPr="001F392C" w:rsidRDefault="00025C5E" w:rsidP="00540856">
            <w:pPr>
              <w:jc w:val="right"/>
              <w:rPr>
                <w:sz w:val="22"/>
                <w:szCs w:val="22"/>
              </w:rPr>
            </w:pPr>
            <w:r w:rsidRPr="001F392C">
              <w:rPr>
                <w:sz w:val="22"/>
                <w:szCs w:val="22"/>
              </w:rPr>
              <w:t>-1,5</w:t>
            </w:r>
          </w:p>
        </w:tc>
        <w:tc>
          <w:tcPr>
            <w:tcW w:w="1027" w:type="dxa"/>
            <w:vAlign w:val="bottom"/>
            <w:hideMark/>
          </w:tcPr>
          <w:p w:rsidR="00025C5E" w:rsidRPr="001F392C" w:rsidRDefault="00025C5E" w:rsidP="00540856">
            <w:pPr>
              <w:jc w:val="right"/>
              <w:rPr>
                <w:sz w:val="22"/>
                <w:szCs w:val="22"/>
              </w:rPr>
            </w:pPr>
            <w:r w:rsidRPr="001F392C">
              <w:rPr>
                <w:sz w:val="22"/>
                <w:szCs w:val="22"/>
              </w:rPr>
              <w:t>1,8</w:t>
            </w:r>
          </w:p>
        </w:tc>
        <w:tc>
          <w:tcPr>
            <w:tcW w:w="910" w:type="dxa"/>
            <w:vAlign w:val="bottom"/>
            <w:hideMark/>
          </w:tcPr>
          <w:p w:rsidR="00025C5E" w:rsidRPr="001F392C" w:rsidRDefault="00025C5E" w:rsidP="00540856">
            <w:pPr>
              <w:jc w:val="right"/>
              <w:rPr>
                <w:sz w:val="22"/>
                <w:szCs w:val="22"/>
              </w:rPr>
            </w:pPr>
            <w:r w:rsidRPr="001F392C">
              <w:rPr>
                <w:sz w:val="22"/>
                <w:szCs w:val="22"/>
              </w:rPr>
              <w:t>0,6</w:t>
            </w:r>
          </w:p>
        </w:tc>
        <w:tc>
          <w:tcPr>
            <w:tcW w:w="917" w:type="dxa"/>
            <w:vAlign w:val="bottom"/>
            <w:hideMark/>
          </w:tcPr>
          <w:p w:rsidR="00025C5E" w:rsidRPr="001F392C" w:rsidRDefault="00BE141D" w:rsidP="00BE141D">
            <w:pPr>
              <w:jc w:val="right"/>
              <w:rPr>
                <w:sz w:val="22"/>
                <w:szCs w:val="22"/>
              </w:rPr>
            </w:pPr>
            <w:r w:rsidRPr="001F392C">
              <w:rPr>
                <w:sz w:val="22"/>
                <w:szCs w:val="22"/>
              </w:rPr>
              <w:t>0,2</w:t>
            </w:r>
          </w:p>
        </w:tc>
        <w:tc>
          <w:tcPr>
            <w:tcW w:w="936" w:type="dxa"/>
            <w:vAlign w:val="bottom"/>
            <w:hideMark/>
          </w:tcPr>
          <w:p w:rsidR="00025C5E" w:rsidRPr="001F392C" w:rsidRDefault="00025C5E" w:rsidP="00540856">
            <w:pPr>
              <w:jc w:val="right"/>
              <w:rPr>
                <w:sz w:val="22"/>
                <w:szCs w:val="22"/>
              </w:rPr>
            </w:pPr>
            <w:r w:rsidRPr="001F392C">
              <w:rPr>
                <w:sz w:val="22"/>
                <w:szCs w:val="22"/>
              </w:rPr>
              <w:t>-0,1</w:t>
            </w:r>
          </w:p>
        </w:tc>
        <w:tc>
          <w:tcPr>
            <w:tcW w:w="909" w:type="dxa"/>
            <w:vAlign w:val="bottom"/>
            <w:hideMark/>
          </w:tcPr>
          <w:p w:rsidR="00025C5E" w:rsidRPr="001F392C" w:rsidRDefault="00025C5E" w:rsidP="00540856">
            <w:pPr>
              <w:jc w:val="right"/>
              <w:rPr>
                <w:sz w:val="22"/>
                <w:szCs w:val="22"/>
              </w:rPr>
            </w:pPr>
            <w:r w:rsidRPr="001F392C">
              <w:rPr>
                <w:sz w:val="22"/>
                <w:szCs w:val="22"/>
              </w:rPr>
              <w:t>-0,6</w:t>
            </w:r>
          </w:p>
        </w:tc>
        <w:tc>
          <w:tcPr>
            <w:tcW w:w="1026" w:type="dxa"/>
            <w:vAlign w:val="bottom"/>
            <w:hideMark/>
          </w:tcPr>
          <w:p w:rsidR="00025C5E" w:rsidRPr="001F392C" w:rsidRDefault="00025C5E" w:rsidP="00540856">
            <w:pPr>
              <w:jc w:val="right"/>
              <w:rPr>
                <w:sz w:val="22"/>
                <w:szCs w:val="22"/>
              </w:rPr>
            </w:pPr>
            <w:r w:rsidRPr="001F392C">
              <w:rPr>
                <w:sz w:val="22"/>
                <w:szCs w:val="22"/>
              </w:rPr>
              <w:t>0,1</w:t>
            </w:r>
          </w:p>
        </w:tc>
      </w:tr>
      <w:tr w:rsidR="004447D6" w:rsidRPr="001F392C" w:rsidTr="00540856">
        <w:tc>
          <w:tcPr>
            <w:tcW w:w="3460" w:type="dxa"/>
            <w:hideMark/>
          </w:tcPr>
          <w:p w:rsidR="00025C5E" w:rsidRPr="001F392C" w:rsidRDefault="00025C5E">
            <w:pPr>
              <w:rPr>
                <w:sz w:val="22"/>
                <w:szCs w:val="22"/>
              </w:rPr>
            </w:pPr>
            <w:r w:rsidRPr="001F392C">
              <w:rPr>
                <w:sz w:val="22"/>
                <w:szCs w:val="22"/>
              </w:rPr>
              <w:lastRenderedPageBreak/>
              <w:t xml:space="preserve">Nominálne mzdy </w:t>
            </w:r>
          </w:p>
        </w:tc>
        <w:tc>
          <w:tcPr>
            <w:tcW w:w="1021" w:type="dxa"/>
            <w:hideMark/>
          </w:tcPr>
          <w:p w:rsidR="00025C5E" w:rsidRPr="001F392C" w:rsidRDefault="00025C5E" w:rsidP="00540856">
            <w:pPr>
              <w:jc w:val="right"/>
              <w:rPr>
                <w:sz w:val="22"/>
                <w:szCs w:val="22"/>
              </w:rPr>
            </w:pPr>
            <w:r w:rsidRPr="001F392C">
              <w:rPr>
                <w:sz w:val="22"/>
                <w:szCs w:val="22"/>
              </w:rPr>
              <w:t>3,2</w:t>
            </w:r>
          </w:p>
        </w:tc>
        <w:tc>
          <w:tcPr>
            <w:tcW w:w="1027" w:type="dxa"/>
            <w:vAlign w:val="bottom"/>
            <w:hideMark/>
          </w:tcPr>
          <w:p w:rsidR="00025C5E" w:rsidRPr="001F392C" w:rsidRDefault="00025C5E" w:rsidP="00540856">
            <w:pPr>
              <w:jc w:val="right"/>
              <w:rPr>
                <w:sz w:val="22"/>
                <w:szCs w:val="22"/>
              </w:rPr>
            </w:pPr>
            <w:r w:rsidRPr="001F392C">
              <w:rPr>
                <w:sz w:val="22"/>
                <w:szCs w:val="22"/>
              </w:rPr>
              <w:t>2,2</w:t>
            </w:r>
          </w:p>
        </w:tc>
        <w:tc>
          <w:tcPr>
            <w:tcW w:w="910" w:type="dxa"/>
            <w:vAlign w:val="bottom"/>
            <w:hideMark/>
          </w:tcPr>
          <w:p w:rsidR="00025C5E" w:rsidRPr="001F392C" w:rsidRDefault="00025C5E" w:rsidP="00540856">
            <w:pPr>
              <w:jc w:val="right"/>
              <w:rPr>
                <w:color w:val="000000"/>
                <w:sz w:val="22"/>
                <w:szCs w:val="22"/>
              </w:rPr>
            </w:pPr>
            <w:r w:rsidRPr="001F392C">
              <w:rPr>
                <w:color w:val="000000"/>
                <w:sz w:val="22"/>
                <w:szCs w:val="22"/>
              </w:rPr>
              <w:t>3,2</w:t>
            </w:r>
          </w:p>
        </w:tc>
        <w:tc>
          <w:tcPr>
            <w:tcW w:w="917" w:type="dxa"/>
            <w:vAlign w:val="bottom"/>
            <w:hideMark/>
          </w:tcPr>
          <w:p w:rsidR="00025C5E" w:rsidRPr="001F392C" w:rsidRDefault="00025C5E" w:rsidP="00540856">
            <w:pPr>
              <w:jc w:val="right"/>
              <w:rPr>
                <w:color w:val="000000"/>
                <w:sz w:val="22"/>
                <w:szCs w:val="22"/>
              </w:rPr>
            </w:pPr>
            <w:r w:rsidRPr="001F392C">
              <w:rPr>
                <w:color w:val="000000"/>
                <w:sz w:val="22"/>
                <w:szCs w:val="22"/>
              </w:rPr>
              <w:t>1,5</w:t>
            </w:r>
          </w:p>
        </w:tc>
        <w:tc>
          <w:tcPr>
            <w:tcW w:w="936" w:type="dxa"/>
            <w:vAlign w:val="bottom"/>
            <w:hideMark/>
          </w:tcPr>
          <w:p w:rsidR="00025C5E" w:rsidRPr="001F392C" w:rsidRDefault="00025C5E" w:rsidP="00540856">
            <w:pPr>
              <w:jc w:val="right"/>
              <w:rPr>
                <w:sz w:val="22"/>
                <w:szCs w:val="22"/>
              </w:rPr>
            </w:pPr>
            <w:r w:rsidRPr="001F392C">
              <w:rPr>
                <w:sz w:val="22"/>
                <w:szCs w:val="22"/>
              </w:rPr>
              <w:t>2,0</w:t>
            </w:r>
          </w:p>
        </w:tc>
        <w:tc>
          <w:tcPr>
            <w:tcW w:w="909" w:type="dxa"/>
            <w:vAlign w:val="bottom"/>
            <w:hideMark/>
          </w:tcPr>
          <w:p w:rsidR="00025C5E" w:rsidRPr="001F392C" w:rsidRDefault="00025C5E" w:rsidP="00540856">
            <w:pPr>
              <w:jc w:val="right"/>
              <w:rPr>
                <w:sz w:val="22"/>
                <w:szCs w:val="22"/>
              </w:rPr>
            </w:pPr>
            <w:r w:rsidRPr="001F392C">
              <w:rPr>
                <w:sz w:val="22"/>
                <w:szCs w:val="22"/>
              </w:rPr>
              <w:t>3,2</w:t>
            </w:r>
          </w:p>
        </w:tc>
        <w:tc>
          <w:tcPr>
            <w:tcW w:w="1026" w:type="dxa"/>
            <w:vAlign w:val="bottom"/>
            <w:hideMark/>
          </w:tcPr>
          <w:p w:rsidR="00025C5E" w:rsidRPr="001F392C" w:rsidRDefault="00025C5E" w:rsidP="00540856">
            <w:pPr>
              <w:jc w:val="right"/>
              <w:rPr>
                <w:sz w:val="22"/>
                <w:szCs w:val="22"/>
              </w:rPr>
            </w:pPr>
            <w:r w:rsidRPr="001F392C">
              <w:rPr>
                <w:sz w:val="22"/>
                <w:szCs w:val="22"/>
              </w:rPr>
              <w:t>2,4</w:t>
            </w:r>
          </w:p>
        </w:tc>
      </w:tr>
      <w:tr w:rsidR="004447D6" w:rsidRPr="001F392C" w:rsidTr="00540856">
        <w:tc>
          <w:tcPr>
            <w:tcW w:w="3460" w:type="dxa"/>
            <w:hideMark/>
          </w:tcPr>
          <w:p w:rsidR="00025C5E" w:rsidRPr="001F392C" w:rsidRDefault="00025C5E">
            <w:pPr>
              <w:rPr>
                <w:sz w:val="22"/>
                <w:szCs w:val="22"/>
              </w:rPr>
            </w:pPr>
            <w:r w:rsidRPr="001F392C">
              <w:rPr>
                <w:sz w:val="22"/>
                <w:szCs w:val="22"/>
              </w:rPr>
              <w:t>Reálne mzdy</w:t>
            </w:r>
          </w:p>
        </w:tc>
        <w:tc>
          <w:tcPr>
            <w:tcW w:w="1021" w:type="dxa"/>
            <w:hideMark/>
          </w:tcPr>
          <w:p w:rsidR="00025C5E" w:rsidRPr="001F392C" w:rsidRDefault="00025C5E" w:rsidP="00540856">
            <w:pPr>
              <w:jc w:val="right"/>
              <w:rPr>
                <w:sz w:val="22"/>
                <w:szCs w:val="22"/>
              </w:rPr>
            </w:pPr>
            <w:r w:rsidRPr="001F392C">
              <w:rPr>
                <w:sz w:val="22"/>
                <w:szCs w:val="22"/>
              </w:rPr>
              <w:t>2,2</w:t>
            </w:r>
          </w:p>
        </w:tc>
        <w:tc>
          <w:tcPr>
            <w:tcW w:w="1027" w:type="dxa"/>
            <w:vAlign w:val="bottom"/>
            <w:hideMark/>
          </w:tcPr>
          <w:p w:rsidR="00025C5E" w:rsidRPr="001F392C" w:rsidRDefault="00025C5E" w:rsidP="00540856">
            <w:pPr>
              <w:jc w:val="right"/>
              <w:rPr>
                <w:sz w:val="22"/>
                <w:szCs w:val="22"/>
              </w:rPr>
            </w:pPr>
            <w:r w:rsidRPr="001F392C">
              <w:rPr>
                <w:sz w:val="22"/>
                <w:szCs w:val="22"/>
              </w:rPr>
              <w:t>-1,6</w:t>
            </w:r>
          </w:p>
        </w:tc>
        <w:tc>
          <w:tcPr>
            <w:tcW w:w="910" w:type="dxa"/>
            <w:vAlign w:val="bottom"/>
            <w:hideMark/>
          </w:tcPr>
          <w:p w:rsidR="00025C5E" w:rsidRPr="001F392C" w:rsidRDefault="00025C5E" w:rsidP="00540856">
            <w:pPr>
              <w:jc w:val="right"/>
              <w:rPr>
                <w:color w:val="000000"/>
                <w:sz w:val="22"/>
                <w:szCs w:val="22"/>
              </w:rPr>
            </w:pPr>
            <w:r w:rsidRPr="001F392C">
              <w:rPr>
                <w:color w:val="000000"/>
                <w:sz w:val="22"/>
                <w:szCs w:val="22"/>
              </w:rPr>
              <w:t>-0,6</w:t>
            </w:r>
          </w:p>
        </w:tc>
        <w:tc>
          <w:tcPr>
            <w:tcW w:w="917" w:type="dxa"/>
            <w:vAlign w:val="bottom"/>
            <w:hideMark/>
          </w:tcPr>
          <w:p w:rsidR="00025C5E" w:rsidRPr="001F392C" w:rsidRDefault="00025C5E" w:rsidP="00540856">
            <w:pPr>
              <w:jc w:val="right"/>
              <w:rPr>
                <w:color w:val="000000"/>
                <w:sz w:val="22"/>
                <w:szCs w:val="22"/>
              </w:rPr>
            </w:pPr>
            <w:r w:rsidRPr="001F392C">
              <w:rPr>
                <w:color w:val="000000"/>
                <w:sz w:val="22"/>
                <w:szCs w:val="22"/>
              </w:rPr>
              <w:t>-1,9</w:t>
            </w:r>
          </w:p>
        </w:tc>
        <w:tc>
          <w:tcPr>
            <w:tcW w:w="936" w:type="dxa"/>
            <w:vAlign w:val="bottom"/>
            <w:hideMark/>
          </w:tcPr>
          <w:p w:rsidR="00025C5E" w:rsidRPr="001F392C" w:rsidRDefault="00025C5E" w:rsidP="00540856">
            <w:pPr>
              <w:jc w:val="right"/>
              <w:rPr>
                <w:sz w:val="22"/>
                <w:szCs w:val="22"/>
              </w:rPr>
            </w:pPr>
            <w:r w:rsidRPr="001F392C">
              <w:rPr>
                <w:sz w:val="22"/>
                <w:szCs w:val="22"/>
              </w:rPr>
              <w:t>-1,6</w:t>
            </w:r>
          </w:p>
        </w:tc>
        <w:tc>
          <w:tcPr>
            <w:tcW w:w="909" w:type="dxa"/>
            <w:vAlign w:val="bottom"/>
            <w:hideMark/>
          </w:tcPr>
          <w:p w:rsidR="00025C5E" w:rsidRPr="001F392C" w:rsidRDefault="00025C5E" w:rsidP="00540856">
            <w:pPr>
              <w:jc w:val="right"/>
              <w:rPr>
                <w:sz w:val="22"/>
                <w:szCs w:val="22"/>
              </w:rPr>
            </w:pPr>
            <w:r w:rsidRPr="001F392C">
              <w:rPr>
                <w:sz w:val="22"/>
                <w:szCs w:val="22"/>
              </w:rPr>
              <w:t>-0,3</w:t>
            </w:r>
          </w:p>
        </w:tc>
        <w:tc>
          <w:tcPr>
            <w:tcW w:w="1026" w:type="dxa"/>
            <w:vAlign w:val="bottom"/>
            <w:hideMark/>
          </w:tcPr>
          <w:p w:rsidR="00025C5E" w:rsidRPr="001F392C" w:rsidRDefault="00025C5E" w:rsidP="00540856">
            <w:pPr>
              <w:jc w:val="right"/>
              <w:rPr>
                <w:sz w:val="22"/>
                <w:szCs w:val="22"/>
              </w:rPr>
            </w:pPr>
            <w:r w:rsidRPr="001F392C">
              <w:rPr>
                <w:sz w:val="22"/>
                <w:szCs w:val="22"/>
              </w:rPr>
              <w:t>-1,2</w:t>
            </w:r>
          </w:p>
        </w:tc>
      </w:tr>
    </w:tbl>
    <w:p w:rsidR="00025C5E" w:rsidRPr="001F392C" w:rsidRDefault="00025C5E" w:rsidP="00025C5E">
      <w:pPr>
        <w:jc w:val="both"/>
        <w:rPr>
          <w:b/>
        </w:rPr>
      </w:pPr>
      <w:r w:rsidRPr="001F392C">
        <w:rPr>
          <w:sz w:val="20"/>
          <w:szCs w:val="20"/>
        </w:rPr>
        <w:t>Zdroj: Štatistický úrad SR</w:t>
      </w:r>
      <w:r w:rsidR="00155085" w:rsidRPr="001F392C">
        <w:rPr>
          <w:sz w:val="20"/>
          <w:szCs w:val="20"/>
        </w:rPr>
        <w:t>, štvrťročné národné účty, štatistické výkazníctvo</w:t>
      </w:r>
    </w:p>
    <w:p w:rsidR="00025C5E" w:rsidRPr="001F392C" w:rsidRDefault="00025C5E" w:rsidP="00025C5E">
      <w:pPr>
        <w:jc w:val="both"/>
        <w:rPr>
          <w:b/>
        </w:rPr>
      </w:pPr>
    </w:p>
    <w:p w:rsidR="00025C5E" w:rsidRPr="001F392C" w:rsidRDefault="00025C5E" w:rsidP="009A243E">
      <w:pPr>
        <w:ind w:firstLine="709"/>
        <w:jc w:val="both"/>
      </w:pPr>
      <w:r w:rsidRPr="001F392C">
        <w:rPr>
          <w:b/>
        </w:rPr>
        <w:t xml:space="preserve">V roku 2011 </w:t>
      </w:r>
      <w:r w:rsidRPr="001F392C">
        <w:t>tendencia rastu ekonomiky SR pokračovala, avšak miernejšou dynamikou ako v roku 2010. Prejavilo sa tu hlavne prehĺbenie neistoty na finančných trhoch v</w:t>
      </w:r>
      <w:r w:rsidR="009A243E" w:rsidRPr="001F392C">
        <w:t> </w:t>
      </w:r>
      <w:r w:rsidRPr="001F392C">
        <w:t>dôsledku</w:t>
      </w:r>
      <w:r w:rsidR="009A243E" w:rsidRPr="001F392C">
        <w:t xml:space="preserve"> </w:t>
      </w:r>
      <w:r w:rsidRPr="001F392C">
        <w:t xml:space="preserve">dlhovej krízy niektorých ekonomík eurozóny. </w:t>
      </w:r>
    </w:p>
    <w:p w:rsidR="00025C5E" w:rsidRPr="001F392C" w:rsidRDefault="00025C5E" w:rsidP="00025C5E">
      <w:pPr>
        <w:jc w:val="both"/>
      </w:pPr>
    </w:p>
    <w:p w:rsidR="00025C5E" w:rsidRPr="001F392C" w:rsidRDefault="009A243E" w:rsidP="009A243E">
      <w:pPr>
        <w:ind w:firstLine="709"/>
        <w:jc w:val="both"/>
      </w:pPr>
      <w:r w:rsidRPr="001F392C">
        <w:t>HDP</w:t>
      </w:r>
      <w:r w:rsidR="00025C5E" w:rsidRPr="001F392C">
        <w:t xml:space="preserve"> sa v roku 2011 zvýšil medziročne o 3,2</w:t>
      </w:r>
      <w:r w:rsidRPr="001F392C">
        <w:t xml:space="preserve"> </w:t>
      </w:r>
      <w:r w:rsidR="00025C5E" w:rsidRPr="001F392C">
        <w:t>% v stálych cenách. Zdrojom rastu HDP bol hlavne zahraničný dopyt (medziročný reálny rast o 12,7</w:t>
      </w:r>
      <w:r w:rsidRPr="001F392C">
        <w:t xml:space="preserve"> </w:t>
      </w:r>
      <w:r w:rsidR="00025C5E" w:rsidRPr="001F392C">
        <w:t>%). Domáci dopyt mal iba mierne prorastový vplyv, keď z jeho zložiek tvorba hrubého fixného kapitálu vzrástla medziročne reálne o 14,2</w:t>
      </w:r>
      <w:r w:rsidRPr="001F392C">
        <w:t xml:space="preserve"> </w:t>
      </w:r>
      <w:r w:rsidR="00025C5E" w:rsidRPr="001F392C">
        <w:t>% (viac ako dvojnásobne ako pred rokom), ale konečná spotreba domácností a</w:t>
      </w:r>
      <w:r w:rsidRPr="001F392C">
        <w:t> </w:t>
      </w:r>
      <w:r w:rsidR="00025C5E" w:rsidRPr="001F392C">
        <w:t>konečná</w:t>
      </w:r>
      <w:r w:rsidRPr="001F392C">
        <w:t xml:space="preserve"> </w:t>
      </w:r>
      <w:r w:rsidR="00025C5E" w:rsidRPr="001F392C">
        <w:t>spotreba verejnej správy poklesli (o 0,5</w:t>
      </w:r>
      <w:r w:rsidRPr="001F392C">
        <w:t xml:space="preserve"> </w:t>
      </w:r>
      <w:r w:rsidR="00025C5E" w:rsidRPr="001F392C">
        <w:t>%, resp. o 4,3</w:t>
      </w:r>
      <w:r w:rsidRPr="001F392C">
        <w:t xml:space="preserve"> </w:t>
      </w:r>
      <w:r w:rsidR="00025C5E" w:rsidRPr="001F392C">
        <w:t xml:space="preserve">%). </w:t>
      </w:r>
    </w:p>
    <w:p w:rsidR="00025C5E" w:rsidRPr="001F392C" w:rsidRDefault="00025C5E" w:rsidP="00025C5E">
      <w:pPr>
        <w:jc w:val="both"/>
      </w:pPr>
    </w:p>
    <w:p w:rsidR="00077AF8" w:rsidRPr="001F392C" w:rsidRDefault="00025C5E" w:rsidP="00077AF8">
      <w:pPr>
        <w:ind w:firstLine="709"/>
        <w:jc w:val="both"/>
      </w:pPr>
      <w:r w:rsidRPr="001F392C">
        <w:t xml:space="preserve">Vývoj trhu práce SR bol v roku 2011 ovplyvnený pretrvávajúcou priaznivou ekonomickou aktivitou, keď </w:t>
      </w:r>
      <w:r w:rsidR="00C31F6E" w:rsidRPr="001F392C">
        <w:t xml:space="preserve">sa </w:t>
      </w:r>
      <w:r w:rsidRPr="001F392C">
        <w:t xml:space="preserve">nárast ziskovosti podnikateľského sektora premietol do rastu tvorby hrubého fixného kapitálu a následne do tvorby pracovných miest. </w:t>
      </w:r>
      <w:r w:rsidR="00077AF8" w:rsidRPr="001F392C">
        <w:t xml:space="preserve">Rast zamestnanosti  sa po dvojročnom poklese obnovil, miera nezamestnanosti podľa výberového zisťovania pracovných síl (VZPS) klesla o 0,9 p. b. na 13,5 %. </w:t>
      </w:r>
    </w:p>
    <w:p w:rsidR="00025C5E" w:rsidRPr="001F392C" w:rsidRDefault="00025C5E" w:rsidP="00025C5E">
      <w:pPr>
        <w:jc w:val="both"/>
      </w:pPr>
    </w:p>
    <w:p w:rsidR="00025C5E" w:rsidRPr="001F392C" w:rsidRDefault="00025C5E" w:rsidP="009A243E">
      <w:pPr>
        <w:ind w:firstLine="709"/>
        <w:jc w:val="both"/>
      </w:pPr>
      <w:r w:rsidRPr="001F392C">
        <w:t xml:space="preserve">Ekonomika SR si </w:t>
      </w:r>
      <w:r w:rsidRPr="001F392C">
        <w:rPr>
          <w:b/>
        </w:rPr>
        <w:t>v roku 2012</w:t>
      </w:r>
      <w:r w:rsidRPr="001F392C">
        <w:t xml:space="preserve"> udržala prorastovú tendenciu, keď reálny HDP sa zvýšil oproti roku 2011 o</w:t>
      </w:r>
      <w:r w:rsidR="009A243E" w:rsidRPr="001F392C">
        <w:t> </w:t>
      </w:r>
      <w:r w:rsidRPr="001F392C">
        <w:t>2</w:t>
      </w:r>
      <w:r w:rsidR="009A243E" w:rsidRPr="001F392C">
        <w:t xml:space="preserve"> </w:t>
      </w:r>
      <w:r w:rsidRPr="001F392C">
        <w:t>%. Zdrojom rastu z hľadiska použitia bol výlučne zahraničný dopyt, ktorý v priemere za rok dosiahol medziročný rast o 8,6</w:t>
      </w:r>
      <w:r w:rsidR="009A243E" w:rsidRPr="001F392C">
        <w:t xml:space="preserve"> </w:t>
      </w:r>
      <w:r w:rsidRPr="001F392C">
        <w:t xml:space="preserve">% v stálych cenách. V pomalšej dynamike zahraničného dopytu </w:t>
      </w:r>
      <w:r w:rsidR="00C31F6E" w:rsidRPr="001F392C">
        <w:t xml:space="preserve">sa </w:t>
      </w:r>
      <w:r w:rsidRPr="001F392C">
        <w:t xml:space="preserve">oproti predchádzajúcim rokom premietla zhoršujúca sa ekonomická aktivita hlavných obchodných partnerov SR, čo bolo viditeľné aj v pomalšom raste vývozu tovarov a služieb v závere roka 2012. </w:t>
      </w:r>
    </w:p>
    <w:p w:rsidR="00025C5E" w:rsidRPr="001F392C" w:rsidRDefault="00025C5E" w:rsidP="00025C5E">
      <w:pPr>
        <w:jc w:val="both"/>
      </w:pPr>
    </w:p>
    <w:p w:rsidR="00025C5E" w:rsidRPr="001F392C" w:rsidRDefault="00025C5E" w:rsidP="009A243E">
      <w:pPr>
        <w:spacing w:after="100" w:afterAutospacing="1"/>
        <w:ind w:firstLine="709"/>
        <w:jc w:val="both"/>
        <w:textAlignment w:val="top"/>
      </w:pPr>
      <w:r w:rsidRPr="001F392C">
        <w:t>Vývoj trhu práce bol poznamenaný spomaľujúcou sa ekonomickou aktivitou, čo sa premietlo v</w:t>
      </w:r>
      <w:r w:rsidR="005161D1" w:rsidRPr="001F392C">
        <w:t xml:space="preserve">o </w:t>
      </w:r>
      <w:r w:rsidRPr="001F392C">
        <w:t xml:space="preserve">veľmi miernom raste zamestnanosti podľa metodiky ESA 95 (medziročne </w:t>
      </w:r>
      <w:r w:rsidR="000D6E77" w:rsidRPr="001F392C">
        <w:t xml:space="preserve">          </w:t>
      </w:r>
      <w:r w:rsidRPr="001F392C">
        <w:t>o 0,1</w:t>
      </w:r>
      <w:r w:rsidR="00C31F6E" w:rsidRPr="001F392C">
        <w:t xml:space="preserve"> </w:t>
      </w:r>
      <w:r w:rsidRPr="001F392C">
        <w:t xml:space="preserve">%). </w:t>
      </w:r>
      <w:r w:rsidR="005161D1" w:rsidRPr="001F392C">
        <w:t xml:space="preserve">Miera </w:t>
      </w:r>
      <w:r w:rsidRPr="001F392C">
        <w:t xml:space="preserve">nezamestnanosti </w:t>
      </w:r>
      <w:r w:rsidR="00077AF8" w:rsidRPr="001F392C">
        <w:t xml:space="preserve">podľa VZPS </w:t>
      </w:r>
      <w:r w:rsidRPr="001F392C">
        <w:t>sa zvýšila o 0,4 p. b. na 14%.</w:t>
      </w:r>
    </w:p>
    <w:p w:rsidR="00634E74" w:rsidRPr="001F392C" w:rsidRDefault="0095646C"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Vplyvy domáceho dopytu na trh práce</w:t>
      </w:r>
    </w:p>
    <w:p w:rsidR="00077AF8" w:rsidRPr="001F392C" w:rsidRDefault="00077AF8" w:rsidP="00077AF8">
      <w:pPr>
        <w:ind w:firstLine="709"/>
        <w:jc w:val="both"/>
      </w:pPr>
    </w:p>
    <w:p w:rsidR="00077AF8" w:rsidRPr="001F392C" w:rsidRDefault="00077AF8" w:rsidP="00077AF8">
      <w:pPr>
        <w:ind w:firstLine="709"/>
        <w:jc w:val="both"/>
      </w:pPr>
      <w:r w:rsidRPr="001F392C">
        <w:t>Nárast ekonomických aktivít zameraných na uspokojovanie domáceho dopytu má zrejme výraznejší príspevok k rastu zamestnanosti ako rovnaký nárast exportných aktivít. Je to jedno zo štrukt</w:t>
      </w:r>
      <w:r w:rsidR="002C4F7E">
        <w:t>urál</w:t>
      </w:r>
      <w:r w:rsidRPr="001F392C">
        <w:t xml:space="preserve">nych špecifík slovenskej ekonomiky. Ako to nepriamo vyplynulo už aj z predchádzajúcej časti, práve exportné aktivity, ktoré ťahali v minulosti rast ekonomiky, majú relatívne nízku pracovnú náročnosť a slabú väzbu medzi rastom produkcie a rastom zamestnanosti. Je to jeden z dôvodov, prečo by hospodárska politika mala pôsobiť v záujme </w:t>
      </w:r>
      <w:r w:rsidRPr="001F392C">
        <w:rPr>
          <w:b/>
        </w:rPr>
        <w:t>posilnenia domáceho dopytu</w:t>
      </w:r>
      <w:r w:rsidRPr="001F392C">
        <w:t xml:space="preserve">. </w:t>
      </w:r>
    </w:p>
    <w:p w:rsidR="00077AF8" w:rsidRPr="001F392C" w:rsidRDefault="00077AF8" w:rsidP="00077AF8">
      <w:pPr>
        <w:jc w:val="both"/>
      </w:pPr>
    </w:p>
    <w:p w:rsidR="00077AF8" w:rsidRPr="001F392C" w:rsidRDefault="00077AF8" w:rsidP="00077AF8">
      <w:pPr>
        <w:ind w:firstLine="709"/>
        <w:jc w:val="both"/>
      </w:pPr>
      <w:r w:rsidRPr="001F392C">
        <w:t xml:space="preserve">Ani štruktúra ekonomického rastu v ostatných dvoch rokoch v tomto zmysle nevytvorila priaznivé prostredie pre zamestnanosť: ekonomický rast bol aj v období 2011-2012 ťahaný vonkajším dopytom. Pozitívny vývoj exportne orientovanej časti ekonomiky však nebol dostatočný na to, aby sa prejavil na vývoji domáceho dopytu (slabý rast domáceho dopytu v roku 2011 a dokonca jeho výrazný pokles v roku 2012). Rast produkcie v exportne orientovaných odvetviach sa pritom zvyšoval skôr produktivitou práce ako prijímaním nových pracovníkov. </w:t>
      </w:r>
      <w:r w:rsidR="0081470B">
        <w:t>Jedným z</w:t>
      </w:r>
      <w:r w:rsidRPr="001F392C">
        <w:t xml:space="preserve"> </w:t>
      </w:r>
      <w:r w:rsidRPr="001F392C">
        <w:rPr>
          <w:b/>
        </w:rPr>
        <w:t>významn</w:t>
      </w:r>
      <w:r w:rsidR="0081470B">
        <w:rPr>
          <w:b/>
        </w:rPr>
        <w:t>ých</w:t>
      </w:r>
      <w:r w:rsidRPr="001F392C">
        <w:rPr>
          <w:b/>
        </w:rPr>
        <w:t xml:space="preserve"> kanálo</w:t>
      </w:r>
      <w:r w:rsidR="0081470B">
        <w:rPr>
          <w:b/>
        </w:rPr>
        <w:t>v</w:t>
      </w:r>
      <w:r w:rsidRPr="001F392C">
        <w:rPr>
          <w:b/>
        </w:rPr>
        <w:t xml:space="preserve"> oživovania domáceho dopytu</w:t>
      </w:r>
      <w:r w:rsidRPr="001F392C">
        <w:t xml:space="preserve"> </w:t>
      </w:r>
      <w:r w:rsidR="002C4F7E">
        <w:t xml:space="preserve">sú </w:t>
      </w:r>
      <w:r w:rsidR="002C4F7E">
        <w:lastRenderedPageBreak/>
        <w:t>zdroje</w:t>
      </w:r>
      <w:r w:rsidRPr="001F392C">
        <w:t xml:space="preserve"> </w:t>
      </w:r>
      <w:r w:rsidR="0081470B">
        <w:t xml:space="preserve">štrukturálnych </w:t>
      </w:r>
      <w:r w:rsidRPr="001F392C">
        <w:t>fondov. Potenciálne ide o</w:t>
      </w:r>
      <w:r w:rsidR="0081470B">
        <w:t> jeden z</w:t>
      </w:r>
      <w:r w:rsidRPr="001F392C">
        <w:t xml:space="preserve"> významný</w:t>
      </w:r>
      <w:r w:rsidR="0081470B">
        <w:t>ch</w:t>
      </w:r>
      <w:r w:rsidRPr="001F392C">
        <w:t xml:space="preserve"> zdroj</w:t>
      </w:r>
      <w:r w:rsidR="0081470B">
        <w:t>ov</w:t>
      </w:r>
      <w:r w:rsidRPr="001F392C">
        <w:t xml:space="preserve">, ktorý by pomohol </w:t>
      </w:r>
      <w:r w:rsidRPr="001F392C">
        <w:rPr>
          <w:b/>
        </w:rPr>
        <w:t>čeliť hrozbe recesie</w:t>
      </w:r>
      <w:r w:rsidRPr="001F392C">
        <w:t xml:space="preserve"> v najbližších rokoch. </w:t>
      </w:r>
      <w:r w:rsidR="0081470B">
        <w:t>Aj preto vláda SR prijíma opatrenia na ich rýchlejšie čerpanie.</w:t>
      </w:r>
    </w:p>
    <w:p w:rsidR="00077AF8" w:rsidRPr="001F392C" w:rsidRDefault="00077AF8" w:rsidP="00077AF8">
      <w:pPr>
        <w:ind w:firstLine="709"/>
        <w:jc w:val="both"/>
      </w:pPr>
      <w:r w:rsidRPr="001F392C">
        <w:t xml:space="preserve"> </w:t>
      </w:r>
    </w:p>
    <w:p w:rsidR="00077AF8" w:rsidRPr="001F392C" w:rsidRDefault="002E02D9" w:rsidP="00077AF8">
      <w:pPr>
        <w:pStyle w:val="Odsekzoznamu"/>
        <w:ind w:left="0"/>
        <w:jc w:val="both"/>
      </w:pPr>
      <w:r w:rsidRPr="002E02D9">
        <w:tab/>
      </w:r>
      <w:r w:rsidR="00077AF8" w:rsidRPr="001F392C">
        <w:t xml:space="preserve">Národný program reforiem SR 2013 (NPR) zdôrazňuje, že dlhodobý a udržateľný ekonomický rast je možné dosiahnuť </w:t>
      </w:r>
      <w:r w:rsidR="00077AF8" w:rsidRPr="001F392C">
        <w:rPr>
          <w:b/>
        </w:rPr>
        <w:t>systematickými a štrukturálnymi zmenami v</w:t>
      </w:r>
      <w:r w:rsidR="00C178EC" w:rsidRPr="001F392C">
        <w:rPr>
          <w:b/>
        </w:rPr>
        <w:t> </w:t>
      </w:r>
      <w:r w:rsidR="00077AF8" w:rsidRPr="001F392C">
        <w:rPr>
          <w:b/>
        </w:rPr>
        <w:t>ekonomike</w:t>
      </w:r>
      <w:r w:rsidR="00077AF8" w:rsidRPr="001F392C">
        <w:t>, ktoré sa prejavia najmä v stredno</w:t>
      </w:r>
      <w:r w:rsidR="00CE5FC3">
        <w:t>dobom</w:t>
      </w:r>
      <w:r w:rsidR="00077AF8" w:rsidRPr="001F392C">
        <w:t xml:space="preserve"> a dlhodobom horizonte. Pri snahe zvýšiť úroveň HDP sa preto vláda SR zameriava najmä na </w:t>
      </w:r>
      <w:r w:rsidR="00077AF8" w:rsidRPr="001F392C">
        <w:rPr>
          <w:b/>
        </w:rPr>
        <w:t>produkčnú stránku ekonomiky</w:t>
      </w:r>
      <w:r w:rsidR="00077AF8" w:rsidRPr="001F392C">
        <w:t>. Vláda SR bude hľadať aj spôsoby, ak</w:t>
      </w:r>
      <w:r w:rsidR="00267008" w:rsidRPr="001F392C">
        <w:t>o</w:t>
      </w:r>
      <w:r w:rsidR="00077AF8" w:rsidRPr="001F392C">
        <w:t xml:space="preserve"> zvýšiť rast v krátkodobom horizonte stimuláciou domáceho dopytu bez ohrozenia konsolidačných cieľov, ku ktorým sa Slovensko zaviazalo. NPR súčasne zdôrazňuje, že limitujúcim faktorom takýchto opatrení je skutočnosť, že Slovensko je malá otvorená ekonomika, v ktorej rast HDP krátkodobo najviac závisí od zahraničného dopytu.   </w:t>
      </w:r>
    </w:p>
    <w:p w:rsidR="00634E74" w:rsidRPr="001F392C" w:rsidRDefault="00634E74">
      <w:pPr>
        <w:ind w:firstLine="709"/>
        <w:jc w:val="both"/>
      </w:pPr>
    </w:p>
    <w:p w:rsidR="00384EF1" w:rsidRPr="001F392C" w:rsidRDefault="00384EF1" w:rsidP="00635867">
      <w:pPr>
        <w:pStyle w:val="Odsekzoznamu"/>
        <w:ind w:left="0"/>
        <w:jc w:val="both"/>
        <w:rPr>
          <w:b/>
          <w:u w:val="single"/>
        </w:rPr>
      </w:pPr>
    </w:p>
    <w:p w:rsidR="00635867" w:rsidRPr="001F392C" w:rsidRDefault="00635867" w:rsidP="009A243E">
      <w:pPr>
        <w:pStyle w:val="Odsekzoznamu"/>
        <w:numPr>
          <w:ilvl w:val="0"/>
          <w:numId w:val="26"/>
        </w:numPr>
        <w:tabs>
          <w:tab w:val="left" w:pos="567"/>
        </w:tabs>
        <w:ind w:left="567" w:hanging="567"/>
        <w:jc w:val="both"/>
        <w:rPr>
          <w:b/>
          <w:bCs/>
          <w:sz w:val="28"/>
          <w:szCs w:val="28"/>
        </w:rPr>
      </w:pPr>
      <w:r w:rsidRPr="001F392C">
        <w:rPr>
          <w:b/>
          <w:bCs/>
          <w:sz w:val="28"/>
          <w:szCs w:val="28"/>
        </w:rPr>
        <w:t>ANALÝZA AKTUÁLNEJ SITUÁCIE NA TRHU PRÁCE</w:t>
      </w:r>
    </w:p>
    <w:p w:rsidR="003150B9" w:rsidRPr="001F392C" w:rsidRDefault="003150B9" w:rsidP="003150B9">
      <w:pPr>
        <w:pStyle w:val="Default"/>
        <w:autoSpaceDE/>
        <w:autoSpaceDN/>
        <w:adjustRightInd/>
        <w:jc w:val="both"/>
        <w:rPr>
          <w:b/>
          <w:color w:val="auto"/>
          <w:lang w:val="sk-SK"/>
        </w:rPr>
      </w:pPr>
    </w:p>
    <w:p w:rsidR="00384EF1" w:rsidRPr="001F392C" w:rsidRDefault="00384EF1"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Porovnanie vývoja zamestnanosti a nezamestnanosti SR s EÚ 27</w:t>
      </w:r>
    </w:p>
    <w:p w:rsidR="00384EF1" w:rsidRPr="001F392C" w:rsidRDefault="00384EF1" w:rsidP="00384EF1">
      <w:pPr>
        <w:autoSpaceDE w:val="0"/>
        <w:autoSpaceDN w:val="0"/>
        <w:adjustRightInd w:val="0"/>
        <w:rPr>
          <w:b/>
          <w:u w:val="single"/>
        </w:rPr>
      </w:pPr>
    </w:p>
    <w:p w:rsidR="00634E74" w:rsidRPr="001F392C" w:rsidRDefault="00025C5E"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 xml:space="preserve">Aktuálna situácia v zamestnanosti v EÚ 27 a v eurozóne </w:t>
      </w:r>
    </w:p>
    <w:p w:rsidR="00025C5E" w:rsidRPr="001F392C" w:rsidRDefault="00025C5E" w:rsidP="00025C5E">
      <w:pPr>
        <w:pStyle w:val="3Title"/>
        <w:jc w:val="both"/>
        <w:rPr>
          <w:rFonts w:ascii="Times New Roman" w:hAnsi="Times New Roman" w:cs="Times New Roman"/>
          <w:b/>
          <w:sz w:val="24"/>
          <w:szCs w:val="24"/>
          <w:lang w:val="sk-SK"/>
        </w:rPr>
      </w:pPr>
    </w:p>
    <w:p w:rsidR="00FD2015" w:rsidRPr="001F392C" w:rsidRDefault="00025C5E" w:rsidP="009A243E">
      <w:pPr>
        <w:pStyle w:val="3Title"/>
        <w:tabs>
          <w:tab w:val="clear" w:pos="9360"/>
        </w:tabs>
        <w:ind w:firstLine="709"/>
        <w:jc w:val="both"/>
        <w:rPr>
          <w:rFonts w:ascii="Times New Roman" w:hAnsi="Times New Roman" w:cs="Times New Roman"/>
          <w:sz w:val="24"/>
          <w:szCs w:val="24"/>
          <w:lang w:val="sk-SK"/>
        </w:rPr>
      </w:pPr>
      <w:r w:rsidRPr="001F392C">
        <w:rPr>
          <w:rFonts w:ascii="Times New Roman" w:hAnsi="Times New Roman" w:cs="Times New Roman"/>
          <w:sz w:val="24"/>
          <w:szCs w:val="24"/>
          <w:lang w:val="sk-SK"/>
        </w:rPr>
        <w:t>Počet pracujúcich osôb (ide o zamestnancov a samozamestnaných pracujúcich v</w:t>
      </w:r>
      <w:r w:rsidR="009A243E" w:rsidRPr="001F392C">
        <w:rPr>
          <w:rFonts w:ascii="Times New Roman" w:hAnsi="Times New Roman" w:cs="Times New Roman"/>
          <w:sz w:val="24"/>
          <w:szCs w:val="24"/>
          <w:lang w:val="sk-SK"/>
        </w:rPr>
        <w:t> </w:t>
      </w:r>
      <w:r w:rsidRPr="001F392C">
        <w:rPr>
          <w:rFonts w:ascii="Times New Roman" w:hAnsi="Times New Roman" w:cs="Times New Roman"/>
          <w:sz w:val="24"/>
          <w:szCs w:val="24"/>
          <w:lang w:val="sk-SK"/>
        </w:rPr>
        <w:t>rezidentských</w:t>
      </w:r>
      <w:r w:rsidR="009A243E"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xml:space="preserve">produkčných jednotkách, t. j. domáci koncept zamestnanosti) v EÚ 27 </w:t>
      </w:r>
      <w:r w:rsidR="002D52CA"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v 4. štvrťroku 2012 sa podľa Eurostatu znížil medziročne o 0,4</w:t>
      </w:r>
      <w:r w:rsidR="009A243E"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a v eurozóne o 0,8</w:t>
      </w:r>
      <w:r w:rsidR="009A243E"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Za celý rok 2012 klesla zamestnanosť medziročne o 0,4</w:t>
      </w:r>
      <w:r w:rsidR="009A243E"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v EÚ 27 a o 0,7</w:t>
      </w:r>
      <w:r w:rsidR="009A243E"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xml:space="preserve">% v eurozóne. </w:t>
      </w:r>
      <w:r w:rsidR="00FD2015" w:rsidRPr="001F392C">
        <w:rPr>
          <w:rFonts w:ascii="Times New Roman" w:hAnsi="Times New Roman" w:cs="Times New Roman"/>
          <w:sz w:val="24"/>
          <w:szCs w:val="24"/>
          <w:lang w:val="sk-SK"/>
        </w:rPr>
        <w:t xml:space="preserve">Slovensko sa zaradilo medzi štáty s miernym poklesom zamestnanosti (0,6 %).    </w:t>
      </w:r>
    </w:p>
    <w:p w:rsidR="00A86097" w:rsidRPr="001F392C" w:rsidRDefault="00A86097" w:rsidP="00025C5E">
      <w:pPr>
        <w:pStyle w:val="3Title"/>
        <w:jc w:val="both"/>
        <w:rPr>
          <w:rFonts w:ascii="Times New Roman" w:hAnsi="Times New Roman" w:cs="Times New Roman"/>
          <w:sz w:val="24"/>
          <w:szCs w:val="24"/>
          <w:lang w:val="sk-SK"/>
        </w:rPr>
      </w:pPr>
    </w:p>
    <w:p w:rsidR="009408D3" w:rsidRPr="001F392C" w:rsidRDefault="009408D3" w:rsidP="009408D3">
      <w:pPr>
        <w:pStyle w:val="3Title"/>
        <w:jc w:val="both"/>
        <w:rPr>
          <w:rFonts w:ascii="Times New Roman" w:hAnsi="Times New Roman" w:cs="Times New Roman"/>
          <w:i/>
          <w:sz w:val="24"/>
          <w:szCs w:val="24"/>
          <w:lang w:val="sk-SK"/>
        </w:rPr>
      </w:pPr>
      <w:r w:rsidRPr="001F392C">
        <w:rPr>
          <w:rFonts w:ascii="Times New Roman" w:hAnsi="Times New Roman" w:cs="Times New Roman"/>
          <w:i/>
          <w:sz w:val="24"/>
          <w:szCs w:val="24"/>
          <w:lang w:val="sk-SK"/>
        </w:rPr>
        <w:t>Tabuľka č. 4: Vývoj zamestnanosti v roku 2012 (sezónne očistené údaje, zmena v % k rovnakému obdobiu predchádzajúceho roka)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1283"/>
        <w:gridCol w:w="1283"/>
        <w:gridCol w:w="1283"/>
        <w:gridCol w:w="1283"/>
        <w:gridCol w:w="1199"/>
      </w:tblGrid>
      <w:tr w:rsidR="009408D3" w:rsidRPr="001F392C" w:rsidTr="009408D3">
        <w:tc>
          <w:tcPr>
            <w:tcW w:w="2919" w:type="dxa"/>
            <w:tcBorders>
              <w:top w:val="single" w:sz="4" w:space="0" w:color="auto"/>
              <w:left w:val="single" w:sz="4" w:space="0" w:color="auto"/>
              <w:bottom w:val="single" w:sz="4" w:space="0" w:color="auto"/>
              <w:right w:val="single" w:sz="4" w:space="0" w:color="auto"/>
            </w:tcBorders>
          </w:tcPr>
          <w:p w:rsidR="009408D3" w:rsidRPr="001F392C" w:rsidRDefault="009408D3">
            <w:pPr>
              <w:pStyle w:val="3Title"/>
              <w:jc w:val="both"/>
              <w:rPr>
                <w:rFonts w:ascii="Times New Roman" w:hAnsi="Times New Roman" w:cs="Times New Roman"/>
                <w:sz w:val="22"/>
                <w:szCs w:val="22"/>
                <w:lang w:val="sk-SK"/>
              </w:rPr>
            </w:pP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1.Q 2012</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2.Q 2012</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3.Q 2012</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4.Q 2012</w:t>
            </w:r>
          </w:p>
        </w:tc>
        <w:tc>
          <w:tcPr>
            <w:tcW w:w="119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2012</w:t>
            </w:r>
          </w:p>
        </w:tc>
      </w:tr>
      <w:tr w:rsidR="009408D3" w:rsidRPr="001F392C" w:rsidTr="009408D3">
        <w:tc>
          <w:tcPr>
            <w:tcW w:w="291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EÚ 27</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-0,5</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-0,5</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-0,4</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-0,4</w:t>
            </w:r>
          </w:p>
        </w:tc>
        <w:tc>
          <w:tcPr>
            <w:tcW w:w="119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-0,4</w:t>
            </w:r>
          </w:p>
        </w:tc>
      </w:tr>
      <w:tr w:rsidR="009408D3" w:rsidRPr="001F392C" w:rsidTr="009408D3">
        <w:tc>
          <w:tcPr>
            <w:tcW w:w="291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 xml:space="preserve">Eurozóna </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-0,5</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-0,8</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-0,6</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-0,8</w:t>
            </w:r>
          </w:p>
        </w:tc>
        <w:tc>
          <w:tcPr>
            <w:tcW w:w="119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-0,7</w:t>
            </w:r>
          </w:p>
        </w:tc>
      </w:tr>
      <w:tr w:rsidR="009408D3" w:rsidRPr="001F392C" w:rsidTr="009408D3">
        <w:tc>
          <w:tcPr>
            <w:tcW w:w="291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SR</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0,6</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0,2</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-0,1</w:t>
            </w:r>
          </w:p>
        </w:tc>
        <w:tc>
          <w:tcPr>
            <w:tcW w:w="1283"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-0,6</w:t>
            </w:r>
          </w:p>
        </w:tc>
        <w:tc>
          <w:tcPr>
            <w:tcW w:w="1199" w:type="dxa"/>
            <w:tcBorders>
              <w:top w:val="single" w:sz="4" w:space="0" w:color="auto"/>
              <w:left w:val="single" w:sz="4" w:space="0" w:color="auto"/>
              <w:bottom w:val="single" w:sz="4" w:space="0" w:color="auto"/>
              <w:right w:val="single" w:sz="4" w:space="0" w:color="auto"/>
            </w:tcBorders>
            <w:hideMark/>
          </w:tcPr>
          <w:p w:rsidR="009408D3" w:rsidRPr="001F392C" w:rsidRDefault="009408D3">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0,1</w:t>
            </w:r>
          </w:p>
        </w:tc>
      </w:tr>
    </w:tbl>
    <w:p w:rsidR="009408D3" w:rsidRPr="001F392C" w:rsidRDefault="009408D3" w:rsidP="009408D3">
      <w:pPr>
        <w:pStyle w:val="3Title"/>
        <w:jc w:val="both"/>
        <w:rPr>
          <w:rFonts w:ascii="Times New Roman" w:hAnsi="Times New Roman" w:cs="Times New Roman"/>
          <w:sz w:val="24"/>
          <w:szCs w:val="24"/>
          <w:lang w:val="sk-SK"/>
        </w:rPr>
      </w:pPr>
      <w:r w:rsidRPr="001F392C">
        <w:rPr>
          <w:rFonts w:ascii="Times New Roman" w:hAnsi="Times New Roman" w:cs="Times New Roman"/>
          <w:sz w:val="20"/>
          <w:lang w:val="sk-SK"/>
        </w:rPr>
        <w:t>Zdroj: Eurostat</w:t>
      </w:r>
    </w:p>
    <w:p w:rsidR="009408D3" w:rsidRPr="001F392C" w:rsidRDefault="009408D3" w:rsidP="00025C5E">
      <w:pPr>
        <w:pStyle w:val="3Title"/>
        <w:jc w:val="both"/>
        <w:rPr>
          <w:rFonts w:ascii="Times New Roman" w:hAnsi="Times New Roman" w:cs="Times New Roman"/>
          <w:sz w:val="24"/>
          <w:szCs w:val="24"/>
          <w:lang w:val="sk-SK"/>
        </w:rPr>
      </w:pPr>
    </w:p>
    <w:p w:rsidR="00634E74" w:rsidRPr="001F392C" w:rsidRDefault="00025C5E"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 xml:space="preserve">Aktuálna situácia v nezamestnanosti v EÚ 27 a v eurozóne </w:t>
      </w:r>
    </w:p>
    <w:p w:rsidR="00025C5E" w:rsidRPr="001F392C" w:rsidRDefault="00025C5E" w:rsidP="00025C5E">
      <w:pPr>
        <w:pStyle w:val="3Title"/>
        <w:jc w:val="both"/>
        <w:rPr>
          <w:rFonts w:ascii="Times New Roman" w:hAnsi="Times New Roman" w:cs="Times New Roman"/>
          <w:b/>
          <w:sz w:val="24"/>
          <w:szCs w:val="24"/>
          <w:lang w:val="sk-SK"/>
        </w:rPr>
      </w:pPr>
    </w:p>
    <w:p w:rsidR="00025C5E" w:rsidRPr="001F392C" w:rsidRDefault="00025C5E" w:rsidP="00C85FE6">
      <w:pPr>
        <w:pStyle w:val="3Title"/>
        <w:tabs>
          <w:tab w:val="clear" w:pos="9360"/>
        </w:tabs>
        <w:ind w:firstLine="709"/>
        <w:jc w:val="both"/>
        <w:rPr>
          <w:rFonts w:ascii="Times New Roman" w:hAnsi="Times New Roman" w:cs="Times New Roman"/>
          <w:sz w:val="24"/>
          <w:szCs w:val="24"/>
          <w:lang w:val="sk-SK"/>
        </w:rPr>
      </w:pPr>
      <w:r w:rsidRPr="001F392C">
        <w:rPr>
          <w:rFonts w:ascii="Times New Roman" w:hAnsi="Times New Roman" w:cs="Times New Roman"/>
          <w:sz w:val="24"/>
          <w:szCs w:val="24"/>
          <w:lang w:val="sk-SK"/>
        </w:rPr>
        <w:t>Podľa údajov Eurostatu sezónne očistená miera nezamestnanosti v EÚ 27 v januári 2013 zaznamenala 10,8</w:t>
      </w:r>
      <w:r w:rsidR="00C85FE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zatiaľ čo v januári 2012 to bolo 10,1%. Sezónne očistená miera nezamestnanosti v eurozóne v januári 2013 dosiahla 11,9</w:t>
      </w:r>
      <w:r w:rsidR="00C85FE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a oproti rovnakému obdobiu predchádzaj</w:t>
      </w:r>
      <w:r w:rsidR="00C85FE6" w:rsidRPr="001F392C">
        <w:rPr>
          <w:rFonts w:ascii="Times New Roman" w:hAnsi="Times New Roman" w:cs="Times New Roman"/>
          <w:sz w:val="24"/>
          <w:szCs w:val="24"/>
          <w:lang w:val="sk-SK"/>
        </w:rPr>
        <w:t>úceho roka bola vyššia o 1,1 p.</w:t>
      </w:r>
      <w:r w:rsidRPr="001F392C">
        <w:rPr>
          <w:rFonts w:ascii="Times New Roman" w:hAnsi="Times New Roman" w:cs="Times New Roman"/>
          <w:sz w:val="24"/>
          <w:szCs w:val="24"/>
          <w:lang w:val="sk-SK"/>
        </w:rPr>
        <w:t>b. Najvyššiu mieru nezamestnanosti malo na základe dostupných údajov Španielsko (26,2</w:t>
      </w:r>
      <w:r w:rsidR="00C85FE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a Portugalsko (17,6</w:t>
      </w:r>
      <w:r w:rsidR="00C85FE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Slovensko dosiahlo podľa údajov Eurostatu 14,9</w:t>
      </w:r>
      <w:r w:rsidR="00C85FE6" w:rsidRPr="001F392C">
        <w:rPr>
          <w:rFonts w:ascii="Times New Roman" w:hAnsi="Times New Roman" w:cs="Times New Roman"/>
          <w:sz w:val="24"/>
          <w:szCs w:val="24"/>
          <w:lang w:val="sk-SK"/>
        </w:rPr>
        <w:t xml:space="preserve"> </w:t>
      </w:r>
      <w:r w:rsidRPr="001F392C">
        <w:rPr>
          <w:rFonts w:ascii="Times New Roman" w:hAnsi="Times New Roman" w:cs="Times New Roman"/>
          <w:sz w:val="24"/>
          <w:szCs w:val="24"/>
          <w:lang w:val="sk-SK"/>
        </w:rPr>
        <w:t xml:space="preserve">%.  </w:t>
      </w:r>
    </w:p>
    <w:p w:rsidR="004610E5" w:rsidRPr="001F392C" w:rsidRDefault="004610E5" w:rsidP="00025C5E">
      <w:pPr>
        <w:jc w:val="both"/>
        <w:rPr>
          <w:b/>
        </w:rPr>
      </w:pPr>
    </w:p>
    <w:p w:rsidR="00025C5E" w:rsidRPr="001F392C" w:rsidRDefault="00C85FE6" w:rsidP="00025C5E">
      <w:pPr>
        <w:pStyle w:val="3Title"/>
        <w:jc w:val="both"/>
        <w:rPr>
          <w:rFonts w:ascii="Times New Roman" w:hAnsi="Times New Roman" w:cs="Times New Roman"/>
          <w:i/>
          <w:sz w:val="24"/>
          <w:szCs w:val="24"/>
          <w:lang w:val="sk-SK"/>
        </w:rPr>
      </w:pPr>
      <w:r w:rsidRPr="001F392C">
        <w:rPr>
          <w:rFonts w:ascii="Times New Roman" w:hAnsi="Times New Roman" w:cs="Times New Roman"/>
          <w:i/>
          <w:sz w:val="24"/>
          <w:szCs w:val="24"/>
          <w:lang w:val="sk-SK"/>
        </w:rPr>
        <w:t xml:space="preserve">Tabuľka č. </w:t>
      </w:r>
      <w:r w:rsidR="007A29EF" w:rsidRPr="001F392C">
        <w:rPr>
          <w:rFonts w:ascii="Times New Roman" w:hAnsi="Times New Roman" w:cs="Times New Roman"/>
          <w:i/>
          <w:sz w:val="24"/>
          <w:szCs w:val="24"/>
          <w:lang w:val="sk-SK"/>
        </w:rPr>
        <w:t>5</w:t>
      </w:r>
      <w:r w:rsidRPr="001F392C">
        <w:rPr>
          <w:rFonts w:ascii="Times New Roman" w:hAnsi="Times New Roman" w:cs="Times New Roman"/>
          <w:i/>
          <w:sz w:val="24"/>
          <w:szCs w:val="24"/>
          <w:lang w:val="sk-SK"/>
        </w:rPr>
        <w:t xml:space="preserve">: </w:t>
      </w:r>
      <w:r w:rsidR="00025C5E" w:rsidRPr="001F392C">
        <w:rPr>
          <w:rFonts w:ascii="Times New Roman" w:hAnsi="Times New Roman" w:cs="Times New Roman"/>
          <w:i/>
          <w:sz w:val="24"/>
          <w:szCs w:val="24"/>
          <w:lang w:val="sk-SK"/>
        </w:rPr>
        <w:t>Vývoj miery nezamestnanosti (sezónne očistené údaje)</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3"/>
        <w:gridCol w:w="1439"/>
        <w:gridCol w:w="1440"/>
        <w:gridCol w:w="1440"/>
        <w:gridCol w:w="1440"/>
      </w:tblGrid>
      <w:tr w:rsidR="004447D6" w:rsidRPr="001F392C" w:rsidTr="00C85FE6">
        <w:tc>
          <w:tcPr>
            <w:tcW w:w="3383" w:type="dxa"/>
          </w:tcPr>
          <w:p w:rsidR="00025C5E" w:rsidRPr="001F392C" w:rsidRDefault="00025C5E" w:rsidP="00540856">
            <w:pPr>
              <w:pStyle w:val="3Title"/>
              <w:jc w:val="both"/>
              <w:rPr>
                <w:rFonts w:ascii="Times New Roman" w:hAnsi="Times New Roman" w:cs="Times New Roman"/>
                <w:sz w:val="22"/>
                <w:szCs w:val="22"/>
                <w:lang w:val="sk-SK"/>
              </w:rPr>
            </w:pPr>
          </w:p>
        </w:tc>
        <w:tc>
          <w:tcPr>
            <w:tcW w:w="1439"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Január 2012</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November 2012</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December  2012</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Január 2012</w:t>
            </w:r>
          </w:p>
        </w:tc>
      </w:tr>
      <w:tr w:rsidR="004447D6" w:rsidRPr="001F392C" w:rsidTr="00C85FE6">
        <w:tc>
          <w:tcPr>
            <w:tcW w:w="3383" w:type="dxa"/>
            <w:hideMark/>
          </w:tcPr>
          <w:p w:rsidR="00025C5E" w:rsidRPr="001F392C" w:rsidRDefault="00025C5E" w:rsidP="00540856">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EÚ 27</w:t>
            </w:r>
          </w:p>
        </w:tc>
        <w:tc>
          <w:tcPr>
            <w:tcW w:w="1439"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10,1</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10,7</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10,7</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10,8</w:t>
            </w:r>
          </w:p>
        </w:tc>
      </w:tr>
      <w:tr w:rsidR="004447D6" w:rsidRPr="001F392C" w:rsidTr="00C85FE6">
        <w:tc>
          <w:tcPr>
            <w:tcW w:w="3383" w:type="dxa"/>
            <w:hideMark/>
          </w:tcPr>
          <w:p w:rsidR="00025C5E" w:rsidRPr="001F392C" w:rsidRDefault="00025C5E" w:rsidP="00540856">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 xml:space="preserve">Eurozóna </w:t>
            </w:r>
          </w:p>
        </w:tc>
        <w:tc>
          <w:tcPr>
            <w:tcW w:w="1439"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10,8</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11,8</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11,8</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11,9</w:t>
            </w:r>
          </w:p>
        </w:tc>
      </w:tr>
      <w:tr w:rsidR="004447D6" w:rsidRPr="001F392C" w:rsidTr="00C85FE6">
        <w:tc>
          <w:tcPr>
            <w:tcW w:w="3383" w:type="dxa"/>
            <w:hideMark/>
          </w:tcPr>
          <w:p w:rsidR="00025C5E" w:rsidRPr="001F392C" w:rsidRDefault="00025C5E" w:rsidP="00540856">
            <w:pPr>
              <w:pStyle w:val="3Title"/>
              <w:jc w:val="both"/>
              <w:rPr>
                <w:rFonts w:ascii="Times New Roman" w:hAnsi="Times New Roman" w:cs="Times New Roman"/>
                <w:sz w:val="22"/>
                <w:szCs w:val="22"/>
                <w:lang w:val="sk-SK"/>
              </w:rPr>
            </w:pPr>
            <w:r w:rsidRPr="001F392C">
              <w:rPr>
                <w:rFonts w:ascii="Times New Roman" w:hAnsi="Times New Roman" w:cs="Times New Roman"/>
                <w:sz w:val="22"/>
                <w:szCs w:val="22"/>
                <w:lang w:val="sk-SK"/>
              </w:rPr>
              <w:t>SR</w:t>
            </w:r>
          </w:p>
        </w:tc>
        <w:tc>
          <w:tcPr>
            <w:tcW w:w="1439"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13,7</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14,5</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14,7</w:t>
            </w:r>
          </w:p>
        </w:tc>
        <w:tc>
          <w:tcPr>
            <w:tcW w:w="1440" w:type="dxa"/>
            <w:hideMark/>
          </w:tcPr>
          <w:p w:rsidR="00025C5E" w:rsidRPr="001F392C" w:rsidRDefault="00025C5E" w:rsidP="00540856">
            <w:pPr>
              <w:pStyle w:val="3Title"/>
              <w:jc w:val="center"/>
              <w:rPr>
                <w:rFonts w:ascii="Times New Roman" w:hAnsi="Times New Roman" w:cs="Times New Roman"/>
                <w:sz w:val="22"/>
                <w:szCs w:val="22"/>
                <w:lang w:val="sk-SK"/>
              </w:rPr>
            </w:pPr>
            <w:r w:rsidRPr="001F392C">
              <w:rPr>
                <w:rFonts w:ascii="Times New Roman" w:hAnsi="Times New Roman" w:cs="Times New Roman"/>
                <w:sz w:val="22"/>
                <w:szCs w:val="22"/>
                <w:lang w:val="sk-SK"/>
              </w:rPr>
              <w:t>14,9</w:t>
            </w:r>
          </w:p>
        </w:tc>
      </w:tr>
    </w:tbl>
    <w:p w:rsidR="00025C5E" w:rsidRPr="001F392C" w:rsidRDefault="00025C5E" w:rsidP="00025C5E">
      <w:pPr>
        <w:pStyle w:val="3Title"/>
        <w:jc w:val="both"/>
        <w:rPr>
          <w:rFonts w:ascii="Times New Roman" w:hAnsi="Times New Roman" w:cs="Times New Roman"/>
          <w:sz w:val="20"/>
          <w:lang w:val="sk-SK"/>
        </w:rPr>
      </w:pPr>
      <w:r w:rsidRPr="001F392C">
        <w:rPr>
          <w:rFonts w:ascii="Times New Roman" w:hAnsi="Times New Roman" w:cs="Times New Roman"/>
          <w:sz w:val="20"/>
          <w:lang w:val="sk-SK"/>
        </w:rPr>
        <w:t>Zdroj: Eurostat</w:t>
      </w:r>
    </w:p>
    <w:p w:rsidR="00A06661" w:rsidRPr="001F392C" w:rsidRDefault="00A06661" w:rsidP="00A06661">
      <w:pPr>
        <w:tabs>
          <w:tab w:val="left" w:pos="851"/>
        </w:tabs>
        <w:jc w:val="both"/>
        <w:rPr>
          <w:color w:val="C0504D"/>
        </w:rPr>
      </w:pPr>
    </w:p>
    <w:p w:rsidR="00384EF1" w:rsidRPr="001F392C" w:rsidRDefault="00025C5E"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Aktuálna situácia na trhu práce v Slovenskej republike</w:t>
      </w:r>
    </w:p>
    <w:p w:rsidR="00025C5E" w:rsidRDefault="00025C5E" w:rsidP="00122455">
      <w:pPr>
        <w:autoSpaceDE w:val="0"/>
        <w:autoSpaceDN w:val="0"/>
        <w:adjustRightInd w:val="0"/>
        <w:rPr>
          <w:b/>
          <w:color w:val="000000"/>
          <w:u w:val="single"/>
          <w:lang w:eastAsia="sk-SK"/>
        </w:rPr>
      </w:pPr>
    </w:p>
    <w:p w:rsidR="00EB77F0" w:rsidRDefault="00EB77F0" w:rsidP="002C4F7E">
      <w:pPr>
        <w:autoSpaceDE w:val="0"/>
        <w:autoSpaceDN w:val="0"/>
        <w:adjustRightInd w:val="0"/>
        <w:ind w:firstLine="567"/>
        <w:jc w:val="both"/>
        <w:rPr>
          <w:color w:val="000000"/>
          <w:lang w:eastAsia="sk-SK"/>
        </w:rPr>
      </w:pPr>
      <w:r>
        <w:rPr>
          <w:color w:val="000000"/>
          <w:lang w:eastAsia="sk-SK"/>
        </w:rPr>
        <w:t xml:space="preserve">Pri relatívne slabom hospodárskom raste má kľúčový vplyv na slovenský trh práce neistota zamestnávateľov a nízka dôvera v možnosť návratu k predkrízovým medziročným rastom HDP. Ani krátkodobé náznaky oživenia hospodárstva nevedú firmy k tomu, aby výrazne posilňovali svoje produkčné kapacity, o. i. aj zvyšovaním počtu zamestnancov. </w:t>
      </w:r>
    </w:p>
    <w:p w:rsidR="00EB77F0" w:rsidRPr="00EB77F0" w:rsidRDefault="00EB77F0" w:rsidP="00EB77F0">
      <w:pPr>
        <w:autoSpaceDE w:val="0"/>
        <w:autoSpaceDN w:val="0"/>
        <w:adjustRightInd w:val="0"/>
        <w:ind w:firstLine="567"/>
        <w:rPr>
          <w:color w:val="000000"/>
          <w:lang w:eastAsia="sk-SK"/>
        </w:rPr>
      </w:pPr>
    </w:p>
    <w:p w:rsidR="00634E74" w:rsidRPr="001F392C" w:rsidRDefault="00A90391"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 xml:space="preserve">Zamestnanosť v SR v rokoch 2010-2012 </w:t>
      </w:r>
    </w:p>
    <w:p w:rsidR="00A90391" w:rsidRPr="001F392C" w:rsidRDefault="00A90391" w:rsidP="00A90391">
      <w:pPr>
        <w:rPr>
          <w:b/>
          <w:sz w:val="28"/>
          <w:szCs w:val="28"/>
        </w:rPr>
      </w:pPr>
    </w:p>
    <w:p w:rsidR="00A90391" w:rsidRPr="001F392C" w:rsidRDefault="00A90391" w:rsidP="00A7088C">
      <w:pPr>
        <w:ind w:firstLine="709"/>
        <w:jc w:val="both"/>
      </w:pPr>
      <w:r w:rsidRPr="001F392C">
        <w:rPr>
          <w:b/>
        </w:rPr>
        <w:t>Počet pracujúcich</w:t>
      </w:r>
      <w:r w:rsidRPr="001F392C">
        <w:t xml:space="preserve"> na Slovensku </w:t>
      </w:r>
      <w:r w:rsidRPr="001F392C">
        <w:rPr>
          <w:b/>
        </w:rPr>
        <w:t xml:space="preserve">podľa </w:t>
      </w:r>
      <w:r w:rsidRPr="001F392C">
        <w:t>VZPS sa v</w:t>
      </w:r>
      <w:r w:rsidR="00155085" w:rsidRPr="001F392C">
        <w:t xml:space="preserve"> štvrťrokoch </w:t>
      </w:r>
      <w:r w:rsidRPr="001F392C">
        <w:t>2010-2012 pohyboval v rozmedzí od 2 28</w:t>
      </w:r>
      <w:r w:rsidR="00155085" w:rsidRPr="001F392C">
        <w:t>3 tis. do 2 366 tis. osôb.</w:t>
      </w:r>
      <w:r w:rsidRPr="001F392C">
        <w:t xml:space="preserve"> </w:t>
      </w:r>
      <w:r w:rsidR="00FD2015" w:rsidRPr="001F392C">
        <w:t>V</w:t>
      </w:r>
      <w:r w:rsidRPr="001F392C">
        <w:t xml:space="preserve">ývoj </w:t>
      </w:r>
      <w:r w:rsidRPr="001F392C">
        <w:rPr>
          <w:b/>
        </w:rPr>
        <w:t>počtu samozamestnaných osôb</w:t>
      </w:r>
      <w:r w:rsidRPr="001F392C">
        <w:rPr>
          <w:rStyle w:val="Odkaznapoznmkupodiarou"/>
        </w:rPr>
        <w:footnoteReference w:id="1"/>
      </w:r>
      <w:r w:rsidRPr="001F392C">
        <w:t xml:space="preserve"> sa vyznačoval počas celého sledovaného obdobia striedaním fáz rastu a poklesu, pričom k výraznejšiemu klesajúcemu trendu v počte samozamestnaných osôb došlo v 1. štvrťroku 2012 a tento trend sa udržal do konca roka 2012. Za obdobie rokov 2010 až 2012 počet samozamestnaných osôb sa znížil o 6,3% (v abs</w:t>
      </w:r>
      <w:r w:rsidR="00FA015D">
        <w:t>olútnom</w:t>
      </w:r>
      <w:r w:rsidRPr="001F392C">
        <w:t xml:space="preserve"> vyjadrení o 23,6 tis. osôb). </w:t>
      </w:r>
    </w:p>
    <w:p w:rsidR="00A90391" w:rsidRPr="001F392C" w:rsidRDefault="00A90391" w:rsidP="00A90391">
      <w:pPr>
        <w:jc w:val="both"/>
      </w:pPr>
    </w:p>
    <w:p w:rsidR="00811542" w:rsidRDefault="00A90391" w:rsidP="00A7088C">
      <w:pPr>
        <w:ind w:firstLine="709"/>
        <w:jc w:val="both"/>
      </w:pPr>
      <w:r w:rsidRPr="001F392C">
        <w:t xml:space="preserve">Celkový počet pracujúcich je na Slovensku dopĺňaný atypickými formami zamestnanosti, akými sú </w:t>
      </w:r>
      <w:r w:rsidRPr="001F392C">
        <w:rPr>
          <w:b/>
        </w:rPr>
        <w:t>dohody o prácach vykonávaných mimo pracovného pomeru</w:t>
      </w:r>
      <w:r w:rsidRPr="001F392C">
        <w:t>. V priebehu roka postupne narastal počet dohôd, keď v sledovanom období 2010-2012 ich vždy najmenej bolo začiatkom roku (v januári a februári) a najviac koncom roku (v novembri a decembri). Postupne mierne narástol počet dohôd (zo 610 tis. v novembri 2010 na 672 tis. v novembri 2012)</w:t>
      </w:r>
      <w:r w:rsidR="00FD2015" w:rsidRPr="001F392C">
        <w:t>, i</w:t>
      </w:r>
      <w:r w:rsidRPr="001F392C">
        <w:t xml:space="preserve"> počet pracujúcich na dohody (v novembri 2012 ich bolo 568 tis. osôb).</w:t>
      </w:r>
      <w:r w:rsidR="00273E0E" w:rsidRPr="001F392C">
        <w:t xml:space="preserve"> </w:t>
      </w:r>
    </w:p>
    <w:p w:rsidR="00811542" w:rsidRDefault="00811542" w:rsidP="00A7088C">
      <w:pPr>
        <w:ind w:firstLine="709"/>
        <w:jc w:val="both"/>
      </w:pPr>
    </w:p>
    <w:p w:rsidR="00A90391" w:rsidRPr="001F392C" w:rsidRDefault="00811542" w:rsidP="00A7088C">
      <w:pPr>
        <w:ind w:firstLine="709"/>
        <w:jc w:val="both"/>
      </w:pPr>
      <w:r>
        <w:t xml:space="preserve">Uvedené údaje </w:t>
      </w:r>
      <w:r w:rsidR="00A86097" w:rsidRPr="001F392C">
        <w:t>pouk</w:t>
      </w:r>
      <w:r>
        <w:t xml:space="preserve">azujú </w:t>
      </w:r>
      <w:r w:rsidR="00A86097" w:rsidRPr="001F392C">
        <w:t xml:space="preserve">na rastúcu tendenciu uplatňovania tejto atypickej formy </w:t>
      </w:r>
      <w:r w:rsidR="004C6D24">
        <w:t>zamestnávania</w:t>
      </w:r>
      <w:r w:rsidR="00A86097" w:rsidRPr="001F392C">
        <w:t xml:space="preserve">. </w:t>
      </w:r>
      <w:r>
        <w:t>Zamestnávatelia takúto formu volili najmä z dôvodu výrazne nižších mzdových</w:t>
      </w:r>
      <w:r w:rsidR="00273E0E" w:rsidRPr="001F392C">
        <w:t xml:space="preserve"> </w:t>
      </w:r>
      <w:r>
        <w:t xml:space="preserve">nákladoch, </w:t>
      </w:r>
      <w:r w:rsidR="008E6E51">
        <w:t xml:space="preserve">ako aj z dôvodu väčšej flexibility pri využívaní takto postavených pracovníkov. Takéto výhody pre zamestnávateľov však zároveň znamenali pre týchto pracovníkov stratu nároku na sociálno-právnu a pracovnoprávnu ochranu </w:t>
      </w:r>
      <w:r w:rsidR="004C6D24">
        <w:t>v porovnaní s</w:t>
      </w:r>
      <w:r w:rsidR="00CE5FC3">
        <w:t> </w:t>
      </w:r>
      <w:r w:rsidR="008E6E51">
        <w:t>riadn</w:t>
      </w:r>
      <w:r w:rsidR="004C6D24">
        <w:t>ym</w:t>
      </w:r>
      <w:r w:rsidR="00CE5FC3">
        <w:t xml:space="preserve"> </w:t>
      </w:r>
      <w:r w:rsidR="008E6E51">
        <w:t>zamestnaneck</w:t>
      </w:r>
      <w:r w:rsidR="004C6D24">
        <w:t>ý</w:t>
      </w:r>
      <w:r w:rsidR="008E6E51">
        <w:t>m pomer</w:t>
      </w:r>
      <w:r w:rsidR="004C6D24">
        <w:t>om</w:t>
      </w:r>
      <w:r w:rsidR="00CE5FC3">
        <w:t>, čo zmenili v roku</w:t>
      </w:r>
      <w:r w:rsidR="008E6E51">
        <w:t xml:space="preserve"> 2012 prijaté novely Zákonníka práce a zákona o sociálnom poistení.  </w:t>
      </w:r>
    </w:p>
    <w:p w:rsidR="00C31F6E" w:rsidRPr="001F392C" w:rsidRDefault="00C31F6E" w:rsidP="00A90391">
      <w:pPr>
        <w:rPr>
          <w:b/>
        </w:rPr>
      </w:pPr>
    </w:p>
    <w:p w:rsidR="00A90391" w:rsidRPr="001F392C" w:rsidRDefault="00BE3FCF" w:rsidP="00A90391">
      <w:pPr>
        <w:rPr>
          <w:i/>
        </w:rPr>
      </w:pPr>
      <w:r w:rsidRPr="001F392C">
        <w:rPr>
          <w:i/>
        </w:rPr>
        <w:t xml:space="preserve">Tabuľka č. 6: </w:t>
      </w:r>
      <w:r w:rsidR="00A90391" w:rsidRPr="001F392C">
        <w:rPr>
          <w:i/>
        </w:rPr>
        <w:t>Vývoj zamestnanosti v SR v rokoch 2010-2012</w:t>
      </w:r>
      <w:r w:rsidR="00A90391" w:rsidRPr="001F392C">
        <w:rPr>
          <w:i/>
        </w:rPr>
        <w:tab/>
      </w:r>
    </w:p>
    <w:tbl>
      <w:tblPr>
        <w:tblStyle w:val="Mriekatabuky"/>
        <w:tblW w:w="9639" w:type="dxa"/>
        <w:tblInd w:w="38" w:type="dxa"/>
        <w:tblLook w:val="01E0"/>
      </w:tblPr>
      <w:tblGrid>
        <w:gridCol w:w="2958"/>
        <w:gridCol w:w="1011"/>
        <w:gridCol w:w="1016"/>
        <w:gridCol w:w="901"/>
        <w:gridCol w:w="901"/>
        <w:gridCol w:w="901"/>
        <w:gridCol w:w="935"/>
        <w:gridCol w:w="1016"/>
      </w:tblGrid>
      <w:tr w:rsidR="00A90391" w:rsidRPr="001F392C" w:rsidTr="00A90391">
        <w:trPr>
          <w:trHeight w:val="319"/>
        </w:trPr>
        <w:tc>
          <w:tcPr>
            <w:tcW w:w="2958" w:type="dxa"/>
            <w:tcBorders>
              <w:bottom w:val="nil"/>
            </w:tcBorders>
          </w:tcPr>
          <w:p w:rsidR="00A90391" w:rsidRPr="001F392C" w:rsidRDefault="00A90391">
            <w:pPr>
              <w:jc w:val="both"/>
              <w:rPr>
                <w:b/>
                <w:sz w:val="22"/>
                <w:szCs w:val="22"/>
              </w:rPr>
            </w:pPr>
          </w:p>
        </w:tc>
        <w:tc>
          <w:tcPr>
            <w:tcW w:w="1011" w:type="dxa"/>
            <w:hideMark/>
          </w:tcPr>
          <w:p w:rsidR="00A90391" w:rsidRPr="001F392C" w:rsidRDefault="00A90391">
            <w:pPr>
              <w:jc w:val="center"/>
              <w:rPr>
                <w:b/>
                <w:sz w:val="22"/>
                <w:szCs w:val="22"/>
              </w:rPr>
            </w:pPr>
            <w:r w:rsidRPr="001F392C">
              <w:rPr>
                <w:b/>
                <w:sz w:val="22"/>
                <w:szCs w:val="22"/>
              </w:rPr>
              <w:t>2010</w:t>
            </w:r>
          </w:p>
        </w:tc>
        <w:tc>
          <w:tcPr>
            <w:tcW w:w="1016" w:type="dxa"/>
            <w:hideMark/>
          </w:tcPr>
          <w:p w:rsidR="00A90391" w:rsidRPr="001F392C" w:rsidRDefault="00A90391">
            <w:pPr>
              <w:jc w:val="center"/>
              <w:rPr>
                <w:b/>
                <w:sz w:val="22"/>
                <w:szCs w:val="22"/>
              </w:rPr>
            </w:pPr>
            <w:r w:rsidRPr="001F392C">
              <w:rPr>
                <w:b/>
                <w:sz w:val="22"/>
                <w:szCs w:val="22"/>
              </w:rPr>
              <w:t>2011</w:t>
            </w:r>
          </w:p>
        </w:tc>
        <w:tc>
          <w:tcPr>
            <w:tcW w:w="901" w:type="dxa"/>
            <w:tcBorders>
              <w:right w:val="nil"/>
            </w:tcBorders>
          </w:tcPr>
          <w:p w:rsidR="00A90391" w:rsidRPr="001F392C" w:rsidRDefault="00A90391">
            <w:pPr>
              <w:jc w:val="center"/>
              <w:rPr>
                <w:b/>
                <w:sz w:val="22"/>
                <w:szCs w:val="22"/>
              </w:rPr>
            </w:pPr>
          </w:p>
        </w:tc>
        <w:tc>
          <w:tcPr>
            <w:tcW w:w="901" w:type="dxa"/>
            <w:tcBorders>
              <w:left w:val="nil"/>
              <w:right w:val="nil"/>
            </w:tcBorders>
          </w:tcPr>
          <w:p w:rsidR="00A90391" w:rsidRPr="001F392C" w:rsidRDefault="00A90391">
            <w:pPr>
              <w:jc w:val="center"/>
              <w:rPr>
                <w:b/>
                <w:sz w:val="22"/>
                <w:szCs w:val="22"/>
              </w:rPr>
            </w:pPr>
          </w:p>
        </w:tc>
        <w:tc>
          <w:tcPr>
            <w:tcW w:w="901" w:type="dxa"/>
            <w:tcBorders>
              <w:left w:val="nil"/>
              <w:right w:val="nil"/>
            </w:tcBorders>
            <w:hideMark/>
          </w:tcPr>
          <w:p w:rsidR="00A90391" w:rsidRPr="001F392C" w:rsidRDefault="00A90391">
            <w:pPr>
              <w:jc w:val="center"/>
              <w:rPr>
                <w:b/>
                <w:sz w:val="22"/>
                <w:szCs w:val="22"/>
              </w:rPr>
            </w:pPr>
            <w:r w:rsidRPr="001F392C">
              <w:rPr>
                <w:b/>
                <w:sz w:val="22"/>
                <w:szCs w:val="22"/>
              </w:rPr>
              <w:t>2012</w:t>
            </w:r>
          </w:p>
        </w:tc>
        <w:tc>
          <w:tcPr>
            <w:tcW w:w="935" w:type="dxa"/>
            <w:tcBorders>
              <w:left w:val="nil"/>
              <w:right w:val="nil"/>
            </w:tcBorders>
          </w:tcPr>
          <w:p w:rsidR="00A90391" w:rsidRPr="001F392C" w:rsidRDefault="00A90391">
            <w:pPr>
              <w:jc w:val="center"/>
              <w:rPr>
                <w:b/>
                <w:sz w:val="22"/>
                <w:szCs w:val="22"/>
              </w:rPr>
            </w:pPr>
          </w:p>
        </w:tc>
        <w:tc>
          <w:tcPr>
            <w:tcW w:w="1016" w:type="dxa"/>
            <w:tcBorders>
              <w:left w:val="nil"/>
            </w:tcBorders>
          </w:tcPr>
          <w:p w:rsidR="00A90391" w:rsidRPr="001F392C" w:rsidRDefault="00A90391">
            <w:pPr>
              <w:jc w:val="center"/>
              <w:rPr>
                <w:b/>
                <w:sz w:val="22"/>
                <w:szCs w:val="22"/>
              </w:rPr>
            </w:pPr>
          </w:p>
        </w:tc>
      </w:tr>
      <w:tr w:rsidR="00A90391" w:rsidRPr="001F392C" w:rsidTr="00A90391">
        <w:tc>
          <w:tcPr>
            <w:tcW w:w="2958" w:type="dxa"/>
            <w:tcBorders>
              <w:top w:val="nil"/>
            </w:tcBorders>
            <w:hideMark/>
          </w:tcPr>
          <w:p w:rsidR="00A90391" w:rsidRPr="001F392C" w:rsidRDefault="00A90391">
            <w:pPr>
              <w:jc w:val="center"/>
              <w:rPr>
                <w:b/>
                <w:sz w:val="22"/>
                <w:szCs w:val="22"/>
              </w:rPr>
            </w:pPr>
            <w:r w:rsidRPr="001F392C">
              <w:rPr>
                <w:b/>
                <w:sz w:val="22"/>
                <w:szCs w:val="22"/>
              </w:rPr>
              <w:t>Ukazovateľ</w:t>
            </w:r>
          </w:p>
        </w:tc>
        <w:tc>
          <w:tcPr>
            <w:tcW w:w="1011" w:type="dxa"/>
            <w:hideMark/>
          </w:tcPr>
          <w:p w:rsidR="00A90391" w:rsidRPr="001F392C" w:rsidRDefault="00A90391">
            <w:pPr>
              <w:jc w:val="center"/>
              <w:rPr>
                <w:b/>
                <w:sz w:val="22"/>
                <w:szCs w:val="22"/>
              </w:rPr>
            </w:pPr>
            <w:r w:rsidRPr="001F392C">
              <w:rPr>
                <w:b/>
                <w:sz w:val="22"/>
                <w:szCs w:val="22"/>
              </w:rPr>
              <w:t>priemer za rok</w:t>
            </w:r>
          </w:p>
        </w:tc>
        <w:tc>
          <w:tcPr>
            <w:tcW w:w="1016" w:type="dxa"/>
            <w:hideMark/>
          </w:tcPr>
          <w:p w:rsidR="00A90391" w:rsidRPr="001F392C" w:rsidRDefault="00A90391">
            <w:pPr>
              <w:jc w:val="center"/>
              <w:rPr>
                <w:b/>
                <w:sz w:val="22"/>
                <w:szCs w:val="22"/>
              </w:rPr>
            </w:pPr>
            <w:r w:rsidRPr="001F392C">
              <w:rPr>
                <w:b/>
                <w:sz w:val="22"/>
                <w:szCs w:val="22"/>
              </w:rPr>
              <w:t>priemer za rok</w:t>
            </w:r>
          </w:p>
        </w:tc>
        <w:tc>
          <w:tcPr>
            <w:tcW w:w="901" w:type="dxa"/>
          </w:tcPr>
          <w:p w:rsidR="00A90391" w:rsidRPr="001F392C" w:rsidRDefault="00A90391">
            <w:pPr>
              <w:jc w:val="center"/>
              <w:rPr>
                <w:b/>
                <w:sz w:val="22"/>
                <w:szCs w:val="22"/>
              </w:rPr>
            </w:pPr>
          </w:p>
          <w:p w:rsidR="00A90391" w:rsidRPr="001F392C" w:rsidRDefault="00A90391">
            <w:pPr>
              <w:jc w:val="center"/>
              <w:rPr>
                <w:b/>
                <w:sz w:val="22"/>
                <w:szCs w:val="22"/>
              </w:rPr>
            </w:pPr>
            <w:r w:rsidRPr="001F392C">
              <w:rPr>
                <w:b/>
                <w:sz w:val="22"/>
                <w:szCs w:val="22"/>
              </w:rPr>
              <w:t>1.Q</w:t>
            </w:r>
          </w:p>
        </w:tc>
        <w:tc>
          <w:tcPr>
            <w:tcW w:w="901" w:type="dxa"/>
          </w:tcPr>
          <w:p w:rsidR="00A90391" w:rsidRPr="001F392C" w:rsidRDefault="00A90391">
            <w:pPr>
              <w:jc w:val="center"/>
              <w:rPr>
                <w:b/>
                <w:sz w:val="22"/>
                <w:szCs w:val="22"/>
              </w:rPr>
            </w:pPr>
          </w:p>
          <w:p w:rsidR="00A90391" w:rsidRPr="001F392C" w:rsidRDefault="00A90391">
            <w:pPr>
              <w:jc w:val="center"/>
              <w:rPr>
                <w:b/>
                <w:sz w:val="22"/>
                <w:szCs w:val="22"/>
              </w:rPr>
            </w:pPr>
            <w:r w:rsidRPr="001F392C">
              <w:rPr>
                <w:b/>
                <w:sz w:val="22"/>
                <w:szCs w:val="22"/>
              </w:rPr>
              <w:t>2.Q</w:t>
            </w:r>
          </w:p>
        </w:tc>
        <w:tc>
          <w:tcPr>
            <w:tcW w:w="901" w:type="dxa"/>
          </w:tcPr>
          <w:p w:rsidR="00A90391" w:rsidRPr="001F392C" w:rsidRDefault="00A90391">
            <w:pPr>
              <w:jc w:val="center"/>
              <w:rPr>
                <w:b/>
                <w:sz w:val="22"/>
                <w:szCs w:val="22"/>
              </w:rPr>
            </w:pPr>
          </w:p>
          <w:p w:rsidR="00A90391" w:rsidRPr="001F392C" w:rsidRDefault="00A90391">
            <w:pPr>
              <w:jc w:val="center"/>
              <w:rPr>
                <w:b/>
                <w:sz w:val="22"/>
                <w:szCs w:val="22"/>
              </w:rPr>
            </w:pPr>
            <w:r w:rsidRPr="001F392C">
              <w:rPr>
                <w:b/>
                <w:sz w:val="22"/>
                <w:szCs w:val="22"/>
              </w:rPr>
              <w:t>3.Q</w:t>
            </w:r>
          </w:p>
        </w:tc>
        <w:tc>
          <w:tcPr>
            <w:tcW w:w="935" w:type="dxa"/>
          </w:tcPr>
          <w:p w:rsidR="00A90391" w:rsidRPr="001F392C" w:rsidRDefault="00A90391">
            <w:pPr>
              <w:jc w:val="center"/>
              <w:rPr>
                <w:b/>
                <w:sz w:val="22"/>
                <w:szCs w:val="22"/>
              </w:rPr>
            </w:pPr>
          </w:p>
          <w:p w:rsidR="00A90391" w:rsidRPr="001F392C" w:rsidRDefault="00A90391">
            <w:pPr>
              <w:jc w:val="center"/>
              <w:rPr>
                <w:b/>
                <w:sz w:val="22"/>
                <w:szCs w:val="22"/>
              </w:rPr>
            </w:pPr>
            <w:r w:rsidRPr="001F392C">
              <w:rPr>
                <w:b/>
                <w:sz w:val="22"/>
                <w:szCs w:val="22"/>
              </w:rPr>
              <w:t>4.Q</w:t>
            </w:r>
          </w:p>
        </w:tc>
        <w:tc>
          <w:tcPr>
            <w:tcW w:w="1016" w:type="dxa"/>
            <w:hideMark/>
          </w:tcPr>
          <w:p w:rsidR="00A90391" w:rsidRPr="001F392C" w:rsidRDefault="00A90391">
            <w:pPr>
              <w:jc w:val="center"/>
              <w:rPr>
                <w:b/>
                <w:sz w:val="22"/>
                <w:szCs w:val="22"/>
              </w:rPr>
            </w:pPr>
            <w:r w:rsidRPr="001F392C">
              <w:rPr>
                <w:b/>
                <w:sz w:val="22"/>
                <w:szCs w:val="22"/>
              </w:rPr>
              <w:t>priemer za rok</w:t>
            </w:r>
          </w:p>
        </w:tc>
      </w:tr>
      <w:tr w:rsidR="00A90391" w:rsidRPr="001F392C" w:rsidTr="00A90391">
        <w:tc>
          <w:tcPr>
            <w:tcW w:w="2958" w:type="dxa"/>
            <w:tcBorders>
              <w:right w:val="nil"/>
            </w:tcBorders>
            <w:shd w:val="clear" w:color="auto" w:fill="C0C0C0"/>
            <w:hideMark/>
          </w:tcPr>
          <w:p w:rsidR="00A90391" w:rsidRPr="001F392C" w:rsidRDefault="00A90391">
            <w:pPr>
              <w:rPr>
                <w:b/>
                <w:sz w:val="22"/>
                <w:szCs w:val="22"/>
              </w:rPr>
            </w:pPr>
            <w:r w:rsidRPr="001F392C">
              <w:rPr>
                <w:b/>
                <w:sz w:val="22"/>
                <w:szCs w:val="22"/>
              </w:rPr>
              <w:t>Zamestnanosť</w:t>
            </w:r>
          </w:p>
        </w:tc>
        <w:tc>
          <w:tcPr>
            <w:tcW w:w="1011" w:type="dxa"/>
            <w:tcBorders>
              <w:left w:val="nil"/>
              <w:right w:val="nil"/>
            </w:tcBorders>
            <w:shd w:val="clear" w:color="auto" w:fill="C0C0C0"/>
          </w:tcPr>
          <w:p w:rsidR="00A90391" w:rsidRPr="001F392C" w:rsidRDefault="00A90391">
            <w:pPr>
              <w:jc w:val="right"/>
              <w:rPr>
                <w:b/>
                <w:sz w:val="22"/>
                <w:szCs w:val="22"/>
              </w:rPr>
            </w:pPr>
          </w:p>
        </w:tc>
        <w:tc>
          <w:tcPr>
            <w:tcW w:w="1016" w:type="dxa"/>
            <w:tcBorders>
              <w:left w:val="nil"/>
              <w:right w:val="nil"/>
            </w:tcBorders>
            <w:shd w:val="clear" w:color="auto" w:fill="C0C0C0"/>
            <w:vAlign w:val="bottom"/>
          </w:tcPr>
          <w:p w:rsidR="00A90391" w:rsidRPr="001F392C" w:rsidRDefault="00A90391">
            <w:pPr>
              <w:jc w:val="right"/>
              <w:rPr>
                <w:b/>
                <w:sz w:val="22"/>
                <w:szCs w:val="22"/>
              </w:rPr>
            </w:pPr>
          </w:p>
        </w:tc>
        <w:tc>
          <w:tcPr>
            <w:tcW w:w="901" w:type="dxa"/>
            <w:tcBorders>
              <w:left w:val="nil"/>
              <w:right w:val="nil"/>
            </w:tcBorders>
            <w:shd w:val="clear" w:color="auto" w:fill="C0C0C0"/>
            <w:vAlign w:val="bottom"/>
          </w:tcPr>
          <w:p w:rsidR="00A90391" w:rsidRPr="001F392C" w:rsidRDefault="00A90391">
            <w:pPr>
              <w:jc w:val="right"/>
              <w:rPr>
                <w:b/>
                <w:sz w:val="22"/>
                <w:szCs w:val="22"/>
              </w:rPr>
            </w:pPr>
          </w:p>
        </w:tc>
        <w:tc>
          <w:tcPr>
            <w:tcW w:w="901" w:type="dxa"/>
            <w:tcBorders>
              <w:left w:val="nil"/>
              <w:right w:val="nil"/>
            </w:tcBorders>
            <w:shd w:val="clear" w:color="auto" w:fill="C0C0C0"/>
            <w:vAlign w:val="bottom"/>
          </w:tcPr>
          <w:p w:rsidR="00A90391" w:rsidRPr="001F392C" w:rsidRDefault="00A90391">
            <w:pPr>
              <w:jc w:val="right"/>
              <w:rPr>
                <w:b/>
                <w:sz w:val="22"/>
                <w:szCs w:val="22"/>
              </w:rPr>
            </w:pPr>
          </w:p>
        </w:tc>
        <w:tc>
          <w:tcPr>
            <w:tcW w:w="901" w:type="dxa"/>
            <w:tcBorders>
              <w:left w:val="nil"/>
              <w:right w:val="nil"/>
            </w:tcBorders>
            <w:shd w:val="clear" w:color="auto" w:fill="C0C0C0"/>
            <w:vAlign w:val="bottom"/>
          </w:tcPr>
          <w:p w:rsidR="00A90391" w:rsidRPr="001F392C" w:rsidRDefault="00A90391">
            <w:pPr>
              <w:jc w:val="right"/>
              <w:rPr>
                <w:b/>
                <w:sz w:val="22"/>
                <w:szCs w:val="22"/>
              </w:rPr>
            </w:pPr>
          </w:p>
        </w:tc>
        <w:tc>
          <w:tcPr>
            <w:tcW w:w="935" w:type="dxa"/>
            <w:tcBorders>
              <w:left w:val="nil"/>
              <w:right w:val="nil"/>
            </w:tcBorders>
            <w:shd w:val="clear" w:color="auto" w:fill="C0C0C0"/>
            <w:vAlign w:val="bottom"/>
          </w:tcPr>
          <w:p w:rsidR="00A90391" w:rsidRPr="001F392C" w:rsidRDefault="00A90391">
            <w:pPr>
              <w:jc w:val="right"/>
              <w:rPr>
                <w:b/>
                <w:sz w:val="22"/>
                <w:szCs w:val="22"/>
              </w:rPr>
            </w:pPr>
          </w:p>
        </w:tc>
        <w:tc>
          <w:tcPr>
            <w:tcW w:w="1016" w:type="dxa"/>
            <w:tcBorders>
              <w:left w:val="nil"/>
            </w:tcBorders>
            <w:shd w:val="clear" w:color="auto" w:fill="C0C0C0"/>
            <w:vAlign w:val="bottom"/>
          </w:tcPr>
          <w:p w:rsidR="00A90391" w:rsidRPr="001F392C" w:rsidRDefault="00A90391">
            <w:pPr>
              <w:jc w:val="right"/>
              <w:rPr>
                <w:b/>
                <w:sz w:val="22"/>
                <w:szCs w:val="22"/>
              </w:rPr>
            </w:pPr>
          </w:p>
        </w:tc>
      </w:tr>
      <w:tr w:rsidR="00A90391" w:rsidRPr="001F392C" w:rsidTr="00A90391">
        <w:tc>
          <w:tcPr>
            <w:tcW w:w="2958" w:type="dxa"/>
            <w:hideMark/>
          </w:tcPr>
          <w:p w:rsidR="00A90391" w:rsidRPr="001F392C" w:rsidRDefault="00A90391">
            <w:pPr>
              <w:rPr>
                <w:sz w:val="22"/>
                <w:szCs w:val="22"/>
              </w:rPr>
            </w:pPr>
            <w:r w:rsidRPr="001F392C">
              <w:rPr>
                <w:sz w:val="22"/>
                <w:szCs w:val="22"/>
              </w:rPr>
              <w:t>Počet pracujúcich v tis. osôb</w:t>
            </w:r>
          </w:p>
        </w:tc>
        <w:tc>
          <w:tcPr>
            <w:tcW w:w="1011" w:type="dxa"/>
            <w:vAlign w:val="bottom"/>
            <w:hideMark/>
          </w:tcPr>
          <w:p w:rsidR="00A90391" w:rsidRPr="001F392C" w:rsidRDefault="00A90391">
            <w:pPr>
              <w:jc w:val="right"/>
              <w:rPr>
                <w:sz w:val="22"/>
                <w:szCs w:val="22"/>
              </w:rPr>
            </w:pPr>
            <w:r w:rsidRPr="001F392C">
              <w:rPr>
                <w:bCs/>
                <w:sz w:val="22"/>
                <w:szCs w:val="22"/>
              </w:rPr>
              <w:t>2 317,5</w:t>
            </w:r>
          </w:p>
        </w:tc>
        <w:tc>
          <w:tcPr>
            <w:tcW w:w="1016" w:type="dxa"/>
            <w:vAlign w:val="bottom"/>
            <w:hideMark/>
          </w:tcPr>
          <w:p w:rsidR="00A90391" w:rsidRPr="001F392C" w:rsidRDefault="00A90391">
            <w:pPr>
              <w:jc w:val="right"/>
              <w:rPr>
                <w:sz w:val="22"/>
                <w:szCs w:val="22"/>
              </w:rPr>
            </w:pPr>
            <w:r w:rsidRPr="001F392C">
              <w:rPr>
                <w:sz w:val="22"/>
                <w:szCs w:val="22"/>
              </w:rPr>
              <w:t>2 351,4</w:t>
            </w:r>
          </w:p>
        </w:tc>
        <w:tc>
          <w:tcPr>
            <w:tcW w:w="901" w:type="dxa"/>
            <w:vAlign w:val="bottom"/>
            <w:hideMark/>
          </w:tcPr>
          <w:p w:rsidR="00A90391" w:rsidRPr="001F392C" w:rsidRDefault="00A90391">
            <w:pPr>
              <w:jc w:val="right"/>
              <w:rPr>
                <w:sz w:val="22"/>
                <w:szCs w:val="22"/>
              </w:rPr>
            </w:pPr>
            <w:r w:rsidRPr="001F392C">
              <w:rPr>
                <w:bCs/>
                <w:sz w:val="22"/>
                <w:szCs w:val="22"/>
              </w:rPr>
              <w:t>2 324,7</w:t>
            </w:r>
          </w:p>
        </w:tc>
        <w:tc>
          <w:tcPr>
            <w:tcW w:w="901" w:type="dxa"/>
            <w:vAlign w:val="bottom"/>
            <w:hideMark/>
          </w:tcPr>
          <w:p w:rsidR="00A90391" w:rsidRPr="001F392C" w:rsidRDefault="00A90391">
            <w:pPr>
              <w:jc w:val="right"/>
              <w:rPr>
                <w:sz w:val="22"/>
                <w:szCs w:val="22"/>
              </w:rPr>
            </w:pPr>
            <w:r w:rsidRPr="001F392C">
              <w:rPr>
                <w:bCs/>
                <w:sz w:val="22"/>
                <w:szCs w:val="22"/>
              </w:rPr>
              <w:t>2 334,7</w:t>
            </w:r>
          </w:p>
        </w:tc>
        <w:tc>
          <w:tcPr>
            <w:tcW w:w="901" w:type="dxa"/>
            <w:vAlign w:val="bottom"/>
            <w:hideMark/>
          </w:tcPr>
          <w:p w:rsidR="00A90391" w:rsidRPr="001F392C" w:rsidRDefault="00A90391">
            <w:pPr>
              <w:jc w:val="right"/>
              <w:rPr>
                <w:sz w:val="22"/>
                <w:szCs w:val="22"/>
              </w:rPr>
            </w:pPr>
            <w:r w:rsidRPr="001F392C">
              <w:rPr>
                <w:bCs/>
                <w:sz w:val="22"/>
                <w:szCs w:val="22"/>
              </w:rPr>
              <w:t>2 342,8</w:t>
            </w:r>
          </w:p>
        </w:tc>
        <w:tc>
          <w:tcPr>
            <w:tcW w:w="935" w:type="dxa"/>
            <w:vAlign w:val="bottom"/>
            <w:hideMark/>
          </w:tcPr>
          <w:p w:rsidR="00A90391" w:rsidRPr="001F392C" w:rsidRDefault="00A90391">
            <w:pPr>
              <w:jc w:val="right"/>
              <w:rPr>
                <w:sz w:val="22"/>
                <w:szCs w:val="22"/>
              </w:rPr>
            </w:pPr>
            <w:r w:rsidRPr="001F392C">
              <w:rPr>
                <w:sz w:val="22"/>
                <w:szCs w:val="22"/>
              </w:rPr>
              <w:t>2 313,7</w:t>
            </w:r>
          </w:p>
        </w:tc>
        <w:tc>
          <w:tcPr>
            <w:tcW w:w="1016" w:type="dxa"/>
            <w:vAlign w:val="bottom"/>
            <w:hideMark/>
          </w:tcPr>
          <w:p w:rsidR="00A90391" w:rsidRPr="001F392C" w:rsidRDefault="00A90391">
            <w:pPr>
              <w:jc w:val="right"/>
              <w:rPr>
                <w:sz w:val="22"/>
                <w:szCs w:val="22"/>
              </w:rPr>
            </w:pPr>
            <w:r w:rsidRPr="001F392C">
              <w:rPr>
                <w:sz w:val="22"/>
                <w:szCs w:val="22"/>
              </w:rPr>
              <w:t>2 329,0</w:t>
            </w:r>
          </w:p>
        </w:tc>
      </w:tr>
      <w:tr w:rsidR="00A90391" w:rsidRPr="001F392C" w:rsidTr="00A90391">
        <w:tc>
          <w:tcPr>
            <w:tcW w:w="2958" w:type="dxa"/>
            <w:hideMark/>
          </w:tcPr>
          <w:p w:rsidR="00A90391" w:rsidRPr="001F392C" w:rsidRDefault="00A90391">
            <w:pPr>
              <w:jc w:val="both"/>
              <w:rPr>
                <w:sz w:val="22"/>
                <w:szCs w:val="22"/>
              </w:rPr>
            </w:pPr>
            <w:r w:rsidRPr="001F392C">
              <w:rPr>
                <w:sz w:val="22"/>
                <w:szCs w:val="22"/>
              </w:rPr>
              <w:t xml:space="preserve">    Medziročný vývoj v %</w:t>
            </w:r>
          </w:p>
        </w:tc>
        <w:tc>
          <w:tcPr>
            <w:tcW w:w="1011" w:type="dxa"/>
            <w:vAlign w:val="bottom"/>
            <w:hideMark/>
          </w:tcPr>
          <w:p w:rsidR="00A90391" w:rsidRPr="001F392C" w:rsidRDefault="00A90391">
            <w:pPr>
              <w:jc w:val="right"/>
              <w:rPr>
                <w:sz w:val="22"/>
                <w:szCs w:val="22"/>
              </w:rPr>
            </w:pPr>
            <w:r w:rsidRPr="001F392C">
              <w:rPr>
                <w:sz w:val="22"/>
                <w:szCs w:val="22"/>
              </w:rPr>
              <w:t>-2,0</w:t>
            </w:r>
          </w:p>
        </w:tc>
        <w:tc>
          <w:tcPr>
            <w:tcW w:w="1016" w:type="dxa"/>
            <w:vAlign w:val="bottom"/>
            <w:hideMark/>
          </w:tcPr>
          <w:p w:rsidR="00A90391" w:rsidRPr="001F392C" w:rsidRDefault="00A90391">
            <w:pPr>
              <w:jc w:val="right"/>
              <w:rPr>
                <w:sz w:val="22"/>
                <w:szCs w:val="22"/>
              </w:rPr>
            </w:pPr>
            <w:r w:rsidRPr="001F392C">
              <w:rPr>
                <w:sz w:val="22"/>
                <w:szCs w:val="22"/>
              </w:rPr>
              <w:t>1,5</w:t>
            </w:r>
          </w:p>
        </w:tc>
        <w:tc>
          <w:tcPr>
            <w:tcW w:w="901" w:type="dxa"/>
            <w:vAlign w:val="bottom"/>
            <w:hideMark/>
          </w:tcPr>
          <w:p w:rsidR="00A90391" w:rsidRPr="001F392C" w:rsidRDefault="00A90391">
            <w:pPr>
              <w:jc w:val="right"/>
              <w:rPr>
                <w:sz w:val="22"/>
                <w:szCs w:val="22"/>
              </w:rPr>
            </w:pPr>
            <w:r w:rsidRPr="001F392C">
              <w:rPr>
                <w:bCs/>
                <w:sz w:val="22"/>
                <w:szCs w:val="22"/>
              </w:rPr>
              <w:t>1,2</w:t>
            </w:r>
          </w:p>
        </w:tc>
        <w:tc>
          <w:tcPr>
            <w:tcW w:w="901" w:type="dxa"/>
            <w:vAlign w:val="bottom"/>
            <w:hideMark/>
          </w:tcPr>
          <w:p w:rsidR="00A90391" w:rsidRPr="001F392C" w:rsidRDefault="00A90391">
            <w:pPr>
              <w:jc w:val="right"/>
              <w:rPr>
                <w:sz w:val="22"/>
                <w:szCs w:val="22"/>
              </w:rPr>
            </w:pPr>
            <w:r w:rsidRPr="001F392C">
              <w:rPr>
                <w:bCs/>
                <w:sz w:val="22"/>
                <w:szCs w:val="22"/>
              </w:rPr>
              <w:t>0,7</w:t>
            </w:r>
          </w:p>
        </w:tc>
        <w:tc>
          <w:tcPr>
            <w:tcW w:w="901" w:type="dxa"/>
            <w:vAlign w:val="bottom"/>
            <w:hideMark/>
          </w:tcPr>
          <w:p w:rsidR="00A90391" w:rsidRPr="001F392C" w:rsidRDefault="00A90391">
            <w:pPr>
              <w:jc w:val="right"/>
              <w:rPr>
                <w:sz w:val="22"/>
                <w:szCs w:val="22"/>
              </w:rPr>
            </w:pPr>
            <w:r w:rsidRPr="001F392C">
              <w:rPr>
                <w:bCs/>
                <w:sz w:val="22"/>
                <w:szCs w:val="22"/>
              </w:rPr>
              <w:t>0,5</w:t>
            </w:r>
          </w:p>
        </w:tc>
        <w:tc>
          <w:tcPr>
            <w:tcW w:w="935" w:type="dxa"/>
            <w:vAlign w:val="bottom"/>
            <w:hideMark/>
          </w:tcPr>
          <w:p w:rsidR="00A90391" w:rsidRPr="001F392C" w:rsidRDefault="00A90391">
            <w:pPr>
              <w:jc w:val="right"/>
              <w:rPr>
                <w:sz w:val="22"/>
                <w:szCs w:val="22"/>
              </w:rPr>
            </w:pPr>
            <w:r w:rsidRPr="001F392C">
              <w:rPr>
                <w:sz w:val="22"/>
                <w:szCs w:val="22"/>
              </w:rPr>
              <w:t>-0,1</w:t>
            </w:r>
          </w:p>
        </w:tc>
        <w:tc>
          <w:tcPr>
            <w:tcW w:w="1016" w:type="dxa"/>
            <w:vAlign w:val="bottom"/>
            <w:hideMark/>
          </w:tcPr>
          <w:p w:rsidR="00A90391" w:rsidRPr="001F392C" w:rsidRDefault="00A90391">
            <w:pPr>
              <w:jc w:val="right"/>
              <w:rPr>
                <w:sz w:val="22"/>
                <w:szCs w:val="22"/>
              </w:rPr>
            </w:pPr>
            <w:r w:rsidRPr="001F392C">
              <w:rPr>
                <w:sz w:val="22"/>
                <w:szCs w:val="22"/>
              </w:rPr>
              <w:t>0,6</w:t>
            </w:r>
          </w:p>
        </w:tc>
      </w:tr>
      <w:tr w:rsidR="00A90391" w:rsidRPr="001F392C" w:rsidTr="00A90391">
        <w:tc>
          <w:tcPr>
            <w:tcW w:w="2958" w:type="dxa"/>
            <w:hideMark/>
          </w:tcPr>
          <w:p w:rsidR="00A90391" w:rsidRPr="001F392C" w:rsidRDefault="00A90391">
            <w:pPr>
              <w:rPr>
                <w:sz w:val="22"/>
                <w:szCs w:val="22"/>
              </w:rPr>
            </w:pPr>
            <w:r w:rsidRPr="001F392C">
              <w:rPr>
                <w:sz w:val="22"/>
                <w:szCs w:val="22"/>
              </w:rPr>
              <w:t xml:space="preserve">Miera zamestnanosti </w:t>
            </w:r>
          </w:p>
          <w:p w:rsidR="00A90391" w:rsidRPr="001F392C" w:rsidRDefault="00A90391">
            <w:pPr>
              <w:rPr>
                <w:sz w:val="22"/>
                <w:szCs w:val="22"/>
              </w:rPr>
            </w:pPr>
            <w:r w:rsidRPr="001F392C">
              <w:rPr>
                <w:sz w:val="22"/>
                <w:szCs w:val="22"/>
              </w:rPr>
              <w:t>(15-64 rokov) v %</w:t>
            </w:r>
          </w:p>
        </w:tc>
        <w:tc>
          <w:tcPr>
            <w:tcW w:w="1011" w:type="dxa"/>
            <w:vAlign w:val="bottom"/>
            <w:hideMark/>
          </w:tcPr>
          <w:p w:rsidR="00A90391" w:rsidRPr="001F392C" w:rsidRDefault="00A90391">
            <w:pPr>
              <w:jc w:val="right"/>
              <w:rPr>
                <w:sz w:val="22"/>
                <w:szCs w:val="22"/>
              </w:rPr>
            </w:pPr>
            <w:r w:rsidRPr="001F392C">
              <w:rPr>
                <w:sz w:val="22"/>
                <w:szCs w:val="22"/>
              </w:rPr>
              <w:t>58,8</w:t>
            </w:r>
          </w:p>
        </w:tc>
        <w:tc>
          <w:tcPr>
            <w:tcW w:w="1016" w:type="dxa"/>
            <w:vAlign w:val="bottom"/>
            <w:hideMark/>
          </w:tcPr>
          <w:p w:rsidR="00A90391" w:rsidRPr="001F392C" w:rsidRDefault="00A90391">
            <w:pPr>
              <w:jc w:val="right"/>
              <w:rPr>
                <w:sz w:val="22"/>
                <w:szCs w:val="22"/>
              </w:rPr>
            </w:pPr>
            <w:r w:rsidRPr="001F392C">
              <w:rPr>
                <w:sz w:val="22"/>
                <w:szCs w:val="22"/>
              </w:rPr>
              <w:t>59,5</w:t>
            </w:r>
          </w:p>
        </w:tc>
        <w:tc>
          <w:tcPr>
            <w:tcW w:w="901" w:type="dxa"/>
            <w:vAlign w:val="bottom"/>
            <w:hideMark/>
          </w:tcPr>
          <w:p w:rsidR="00A90391" w:rsidRPr="001F392C" w:rsidRDefault="00A90391">
            <w:pPr>
              <w:jc w:val="right"/>
              <w:rPr>
                <w:sz w:val="22"/>
                <w:szCs w:val="22"/>
              </w:rPr>
            </w:pPr>
            <w:r w:rsidRPr="001F392C">
              <w:rPr>
                <w:color w:val="000000"/>
                <w:sz w:val="22"/>
                <w:szCs w:val="22"/>
              </w:rPr>
              <w:t>59,6</w:t>
            </w:r>
          </w:p>
        </w:tc>
        <w:tc>
          <w:tcPr>
            <w:tcW w:w="901" w:type="dxa"/>
            <w:vAlign w:val="bottom"/>
            <w:hideMark/>
          </w:tcPr>
          <w:p w:rsidR="00A90391" w:rsidRPr="001F392C" w:rsidRDefault="00A90391">
            <w:pPr>
              <w:jc w:val="right"/>
              <w:rPr>
                <w:sz w:val="22"/>
                <w:szCs w:val="22"/>
              </w:rPr>
            </w:pPr>
            <w:r w:rsidRPr="001F392C">
              <w:rPr>
                <w:color w:val="000000"/>
                <w:sz w:val="22"/>
                <w:szCs w:val="22"/>
              </w:rPr>
              <w:t>59,8</w:t>
            </w:r>
          </w:p>
        </w:tc>
        <w:tc>
          <w:tcPr>
            <w:tcW w:w="901" w:type="dxa"/>
            <w:vAlign w:val="bottom"/>
            <w:hideMark/>
          </w:tcPr>
          <w:p w:rsidR="00A90391" w:rsidRPr="001F392C" w:rsidRDefault="00A90391">
            <w:pPr>
              <w:jc w:val="right"/>
              <w:rPr>
                <w:sz w:val="22"/>
                <w:szCs w:val="22"/>
              </w:rPr>
            </w:pPr>
            <w:r w:rsidRPr="001F392C">
              <w:rPr>
                <w:color w:val="000000"/>
                <w:sz w:val="22"/>
                <w:szCs w:val="22"/>
              </w:rPr>
              <w:t>60,1</w:t>
            </w:r>
          </w:p>
        </w:tc>
        <w:tc>
          <w:tcPr>
            <w:tcW w:w="935" w:type="dxa"/>
            <w:vAlign w:val="bottom"/>
            <w:hideMark/>
          </w:tcPr>
          <w:p w:rsidR="00A90391" w:rsidRPr="001F392C" w:rsidRDefault="00A90391">
            <w:pPr>
              <w:jc w:val="right"/>
              <w:rPr>
                <w:sz w:val="22"/>
                <w:szCs w:val="22"/>
              </w:rPr>
            </w:pPr>
            <w:r w:rsidRPr="001F392C">
              <w:rPr>
                <w:sz w:val="22"/>
                <w:szCs w:val="22"/>
              </w:rPr>
              <w:t>59,4</w:t>
            </w:r>
          </w:p>
        </w:tc>
        <w:tc>
          <w:tcPr>
            <w:tcW w:w="1016" w:type="dxa"/>
            <w:vAlign w:val="bottom"/>
            <w:hideMark/>
          </w:tcPr>
          <w:p w:rsidR="00A90391" w:rsidRPr="001F392C" w:rsidRDefault="00A90391">
            <w:pPr>
              <w:jc w:val="right"/>
              <w:rPr>
                <w:sz w:val="22"/>
                <w:szCs w:val="22"/>
              </w:rPr>
            </w:pPr>
            <w:r w:rsidRPr="001F392C">
              <w:rPr>
                <w:sz w:val="22"/>
                <w:szCs w:val="22"/>
              </w:rPr>
              <w:t>59,7</w:t>
            </w:r>
          </w:p>
        </w:tc>
      </w:tr>
      <w:tr w:rsidR="00A90391" w:rsidRPr="001F392C" w:rsidTr="00A90391">
        <w:tc>
          <w:tcPr>
            <w:tcW w:w="2958" w:type="dxa"/>
            <w:hideMark/>
          </w:tcPr>
          <w:p w:rsidR="00A90391" w:rsidRPr="001F392C" w:rsidRDefault="00A90391">
            <w:pPr>
              <w:rPr>
                <w:sz w:val="22"/>
                <w:szCs w:val="22"/>
              </w:rPr>
            </w:pPr>
            <w:r w:rsidRPr="001F392C">
              <w:rPr>
                <w:sz w:val="22"/>
                <w:szCs w:val="22"/>
              </w:rPr>
              <w:t xml:space="preserve">Miera zamestnanosti </w:t>
            </w:r>
          </w:p>
          <w:p w:rsidR="00A90391" w:rsidRPr="001F392C" w:rsidRDefault="00A90391">
            <w:pPr>
              <w:rPr>
                <w:sz w:val="22"/>
                <w:szCs w:val="22"/>
              </w:rPr>
            </w:pPr>
            <w:r w:rsidRPr="001F392C">
              <w:rPr>
                <w:sz w:val="22"/>
                <w:szCs w:val="22"/>
              </w:rPr>
              <w:t>(20-64 rokov) v %</w:t>
            </w:r>
          </w:p>
        </w:tc>
        <w:tc>
          <w:tcPr>
            <w:tcW w:w="1011" w:type="dxa"/>
            <w:vAlign w:val="bottom"/>
            <w:hideMark/>
          </w:tcPr>
          <w:p w:rsidR="00A90391" w:rsidRPr="001F392C" w:rsidRDefault="00A90391">
            <w:pPr>
              <w:jc w:val="right"/>
              <w:rPr>
                <w:sz w:val="22"/>
                <w:szCs w:val="22"/>
              </w:rPr>
            </w:pPr>
            <w:r w:rsidRPr="001F392C">
              <w:rPr>
                <w:sz w:val="22"/>
                <w:szCs w:val="22"/>
              </w:rPr>
              <w:t>64,7</w:t>
            </w:r>
          </w:p>
        </w:tc>
        <w:tc>
          <w:tcPr>
            <w:tcW w:w="1016" w:type="dxa"/>
            <w:vAlign w:val="bottom"/>
            <w:hideMark/>
          </w:tcPr>
          <w:p w:rsidR="00A90391" w:rsidRPr="001F392C" w:rsidRDefault="00A90391">
            <w:pPr>
              <w:jc w:val="right"/>
              <w:rPr>
                <w:sz w:val="22"/>
                <w:szCs w:val="22"/>
              </w:rPr>
            </w:pPr>
            <w:r w:rsidRPr="001F392C">
              <w:rPr>
                <w:sz w:val="22"/>
                <w:szCs w:val="22"/>
              </w:rPr>
              <w:t>65,1</w:t>
            </w:r>
          </w:p>
        </w:tc>
        <w:tc>
          <w:tcPr>
            <w:tcW w:w="901" w:type="dxa"/>
            <w:vAlign w:val="bottom"/>
            <w:hideMark/>
          </w:tcPr>
          <w:p w:rsidR="00A90391" w:rsidRPr="001F392C" w:rsidRDefault="00A90391">
            <w:pPr>
              <w:jc w:val="right"/>
              <w:rPr>
                <w:sz w:val="22"/>
                <w:szCs w:val="22"/>
              </w:rPr>
            </w:pPr>
            <w:r w:rsidRPr="001F392C">
              <w:rPr>
                <w:color w:val="000000"/>
                <w:sz w:val="22"/>
                <w:szCs w:val="22"/>
              </w:rPr>
              <w:t>64,9</w:t>
            </w:r>
          </w:p>
        </w:tc>
        <w:tc>
          <w:tcPr>
            <w:tcW w:w="901" w:type="dxa"/>
            <w:vAlign w:val="bottom"/>
            <w:hideMark/>
          </w:tcPr>
          <w:p w:rsidR="00A90391" w:rsidRPr="001F392C" w:rsidRDefault="00A90391">
            <w:pPr>
              <w:jc w:val="right"/>
              <w:rPr>
                <w:sz w:val="22"/>
                <w:szCs w:val="22"/>
              </w:rPr>
            </w:pPr>
            <w:r w:rsidRPr="001F392C">
              <w:rPr>
                <w:color w:val="000000"/>
                <w:sz w:val="22"/>
                <w:szCs w:val="22"/>
              </w:rPr>
              <w:t>65,2</w:t>
            </w:r>
          </w:p>
        </w:tc>
        <w:tc>
          <w:tcPr>
            <w:tcW w:w="901" w:type="dxa"/>
            <w:vAlign w:val="bottom"/>
            <w:hideMark/>
          </w:tcPr>
          <w:p w:rsidR="00A90391" w:rsidRPr="001F392C" w:rsidRDefault="00A90391">
            <w:pPr>
              <w:jc w:val="right"/>
              <w:rPr>
                <w:sz w:val="22"/>
                <w:szCs w:val="22"/>
              </w:rPr>
            </w:pPr>
            <w:r w:rsidRPr="001F392C">
              <w:rPr>
                <w:color w:val="000000"/>
                <w:sz w:val="22"/>
                <w:szCs w:val="22"/>
              </w:rPr>
              <w:t>65,4</w:t>
            </w:r>
          </w:p>
        </w:tc>
        <w:tc>
          <w:tcPr>
            <w:tcW w:w="935" w:type="dxa"/>
            <w:vAlign w:val="bottom"/>
            <w:hideMark/>
          </w:tcPr>
          <w:p w:rsidR="00A90391" w:rsidRPr="001F392C" w:rsidRDefault="00A90391">
            <w:pPr>
              <w:jc w:val="right"/>
              <w:rPr>
                <w:sz w:val="22"/>
                <w:szCs w:val="22"/>
              </w:rPr>
            </w:pPr>
            <w:r w:rsidRPr="001F392C">
              <w:rPr>
                <w:sz w:val="22"/>
                <w:szCs w:val="22"/>
              </w:rPr>
              <w:t>64,6</w:t>
            </w:r>
          </w:p>
        </w:tc>
        <w:tc>
          <w:tcPr>
            <w:tcW w:w="1016" w:type="dxa"/>
            <w:vAlign w:val="bottom"/>
            <w:hideMark/>
          </w:tcPr>
          <w:p w:rsidR="00A90391" w:rsidRPr="001F392C" w:rsidRDefault="00A90391">
            <w:pPr>
              <w:jc w:val="right"/>
              <w:rPr>
                <w:sz w:val="22"/>
                <w:szCs w:val="22"/>
              </w:rPr>
            </w:pPr>
            <w:r w:rsidRPr="001F392C">
              <w:rPr>
                <w:sz w:val="22"/>
                <w:szCs w:val="22"/>
              </w:rPr>
              <w:t>65,0</w:t>
            </w:r>
          </w:p>
        </w:tc>
      </w:tr>
      <w:tr w:rsidR="00A90391" w:rsidRPr="001F392C" w:rsidTr="00A90391">
        <w:tc>
          <w:tcPr>
            <w:tcW w:w="2958" w:type="dxa"/>
            <w:hideMark/>
          </w:tcPr>
          <w:p w:rsidR="00A90391" w:rsidRPr="001F392C" w:rsidRDefault="00A90391">
            <w:pPr>
              <w:rPr>
                <w:sz w:val="22"/>
                <w:szCs w:val="22"/>
              </w:rPr>
            </w:pPr>
            <w:r w:rsidRPr="001F392C">
              <w:rPr>
                <w:sz w:val="22"/>
                <w:szCs w:val="22"/>
              </w:rPr>
              <w:t>Miera zamestnanosti mladých (15-24 rokov) v %</w:t>
            </w:r>
          </w:p>
        </w:tc>
        <w:tc>
          <w:tcPr>
            <w:tcW w:w="1011" w:type="dxa"/>
            <w:vAlign w:val="bottom"/>
            <w:hideMark/>
          </w:tcPr>
          <w:p w:rsidR="00A90391" w:rsidRPr="001F392C" w:rsidRDefault="00A90391">
            <w:pPr>
              <w:jc w:val="right"/>
              <w:rPr>
                <w:sz w:val="22"/>
                <w:szCs w:val="22"/>
              </w:rPr>
            </w:pPr>
            <w:r w:rsidRPr="001F392C">
              <w:rPr>
                <w:sz w:val="22"/>
                <w:szCs w:val="22"/>
              </w:rPr>
              <w:t>20,6</w:t>
            </w:r>
          </w:p>
        </w:tc>
        <w:tc>
          <w:tcPr>
            <w:tcW w:w="1016" w:type="dxa"/>
            <w:vAlign w:val="bottom"/>
            <w:hideMark/>
          </w:tcPr>
          <w:p w:rsidR="00A90391" w:rsidRPr="001F392C" w:rsidRDefault="00A90391">
            <w:pPr>
              <w:jc w:val="right"/>
              <w:rPr>
                <w:sz w:val="22"/>
                <w:szCs w:val="22"/>
              </w:rPr>
            </w:pPr>
            <w:r w:rsidRPr="001F392C">
              <w:rPr>
                <w:sz w:val="22"/>
                <w:szCs w:val="22"/>
              </w:rPr>
              <w:t>20,2</w:t>
            </w:r>
          </w:p>
        </w:tc>
        <w:tc>
          <w:tcPr>
            <w:tcW w:w="901" w:type="dxa"/>
            <w:vAlign w:val="bottom"/>
            <w:hideMark/>
          </w:tcPr>
          <w:p w:rsidR="00A90391" w:rsidRPr="001F392C" w:rsidRDefault="00A90391">
            <w:pPr>
              <w:jc w:val="right"/>
              <w:rPr>
                <w:sz w:val="22"/>
                <w:szCs w:val="22"/>
              </w:rPr>
            </w:pPr>
            <w:r w:rsidRPr="001F392C">
              <w:rPr>
                <w:color w:val="000000"/>
                <w:sz w:val="22"/>
                <w:szCs w:val="22"/>
              </w:rPr>
              <w:t>20,0</w:t>
            </w:r>
          </w:p>
        </w:tc>
        <w:tc>
          <w:tcPr>
            <w:tcW w:w="901" w:type="dxa"/>
            <w:vAlign w:val="bottom"/>
            <w:hideMark/>
          </w:tcPr>
          <w:p w:rsidR="00A90391" w:rsidRPr="001F392C" w:rsidRDefault="00A90391">
            <w:pPr>
              <w:jc w:val="right"/>
              <w:rPr>
                <w:sz w:val="22"/>
                <w:szCs w:val="22"/>
              </w:rPr>
            </w:pPr>
            <w:r w:rsidRPr="001F392C">
              <w:rPr>
                <w:color w:val="000000"/>
                <w:sz w:val="22"/>
                <w:szCs w:val="22"/>
              </w:rPr>
              <w:t>20,0</w:t>
            </w:r>
          </w:p>
        </w:tc>
        <w:tc>
          <w:tcPr>
            <w:tcW w:w="901" w:type="dxa"/>
            <w:vAlign w:val="bottom"/>
            <w:hideMark/>
          </w:tcPr>
          <w:p w:rsidR="00A90391" w:rsidRPr="001F392C" w:rsidRDefault="00A90391">
            <w:pPr>
              <w:jc w:val="right"/>
              <w:rPr>
                <w:sz w:val="22"/>
                <w:szCs w:val="22"/>
              </w:rPr>
            </w:pPr>
            <w:r w:rsidRPr="001F392C">
              <w:rPr>
                <w:color w:val="000000"/>
                <w:sz w:val="22"/>
                <w:szCs w:val="22"/>
              </w:rPr>
              <w:t>20,5</w:t>
            </w:r>
          </w:p>
        </w:tc>
        <w:tc>
          <w:tcPr>
            <w:tcW w:w="935" w:type="dxa"/>
            <w:vAlign w:val="bottom"/>
            <w:hideMark/>
          </w:tcPr>
          <w:p w:rsidR="00A90391" w:rsidRPr="001F392C" w:rsidRDefault="00A90391">
            <w:pPr>
              <w:jc w:val="right"/>
              <w:rPr>
                <w:sz w:val="22"/>
                <w:szCs w:val="22"/>
              </w:rPr>
            </w:pPr>
            <w:r w:rsidRPr="001F392C">
              <w:rPr>
                <w:sz w:val="22"/>
                <w:szCs w:val="22"/>
              </w:rPr>
              <w:t>19,9</w:t>
            </w:r>
          </w:p>
        </w:tc>
        <w:tc>
          <w:tcPr>
            <w:tcW w:w="1016" w:type="dxa"/>
            <w:vAlign w:val="bottom"/>
            <w:hideMark/>
          </w:tcPr>
          <w:p w:rsidR="00A90391" w:rsidRPr="001F392C" w:rsidRDefault="00A90391">
            <w:pPr>
              <w:jc w:val="right"/>
              <w:rPr>
                <w:sz w:val="22"/>
                <w:szCs w:val="22"/>
              </w:rPr>
            </w:pPr>
            <w:r w:rsidRPr="001F392C">
              <w:rPr>
                <w:sz w:val="22"/>
                <w:szCs w:val="22"/>
              </w:rPr>
              <w:t>20,1</w:t>
            </w:r>
          </w:p>
        </w:tc>
      </w:tr>
      <w:tr w:rsidR="00A90391" w:rsidRPr="001F392C" w:rsidTr="00A90391">
        <w:tc>
          <w:tcPr>
            <w:tcW w:w="2958" w:type="dxa"/>
            <w:hideMark/>
          </w:tcPr>
          <w:p w:rsidR="00A90391" w:rsidRPr="001F392C" w:rsidRDefault="00A90391">
            <w:pPr>
              <w:rPr>
                <w:sz w:val="22"/>
                <w:szCs w:val="22"/>
              </w:rPr>
            </w:pPr>
            <w:r w:rsidRPr="001F392C">
              <w:rPr>
                <w:sz w:val="22"/>
                <w:szCs w:val="22"/>
              </w:rPr>
              <w:t>Miera zamestnanosti starších (50-64 rokov) v %</w:t>
            </w:r>
          </w:p>
        </w:tc>
        <w:tc>
          <w:tcPr>
            <w:tcW w:w="1011" w:type="dxa"/>
            <w:vAlign w:val="bottom"/>
            <w:hideMark/>
          </w:tcPr>
          <w:p w:rsidR="00A90391" w:rsidRPr="001F392C" w:rsidRDefault="00A90391">
            <w:pPr>
              <w:jc w:val="right"/>
              <w:rPr>
                <w:sz w:val="22"/>
                <w:szCs w:val="22"/>
              </w:rPr>
            </w:pPr>
            <w:r w:rsidRPr="001F392C">
              <w:rPr>
                <w:sz w:val="22"/>
                <w:szCs w:val="22"/>
              </w:rPr>
              <w:t>53,5</w:t>
            </w:r>
          </w:p>
        </w:tc>
        <w:tc>
          <w:tcPr>
            <w:tcW w:w="1016" w:type="dxa"/>
            <w:vAlign w:val="bottom"/>
            <w:hideMark/>
          </w:tcPr>
          <w:p w:rsidR="00A90391" w:rsidRPr="001F392C" w:rsidRDefault="00A90391">
            <w:pPr>
              <w:jc w:val="right"/>
              <w:rPr>
                <w:sz w:val="22"/>
                <w:szCs w:val="22"/>
              </w:rPr>
            </w:pPr>
            <w:r w:rsidRPr="001F392C">
              <w:rPr>
                <w:sz w:val="22"/>
                <w:szCs w:val="22"/>
              </w:rPr>
              <w:t>54,7</w:t>
            </w:r>
          </w:p>
        </w:tc>
        <w:tc>
          <w:tcPr>
            <w:tcW w:w="901" w:type="dxa"/>
            <w:vAlign w:val="bottom"/>
            <w:hideMark/>
          </w:tcPr>
          <w:p w:rsidR="00A90391" w:rsidRPr="001F392C" w:rsidRDefault="00A90391">
            <w:pPr>
              <w:jc w:val="right"/>
              <w:rPr>
                <w:sz w:val="22"/>
                <w:szCs w:val="22"/>
              </w:rPr>
            </w:pPr>
            <w:r w:rsidRPr="001F392C">
              <w:rPr>
                <w:sz w:val="22"/>
                <w:szCs w:val="22"/>
              </w:rPr>
              <w:t>54,4</w:t>
            </w:r>
          </w:p>
        </w:tc>
        <w:tc>
          <w:tcPr>
            <w:tcW w:w="901" w:type="dxa"/>
            <w:vAlign w:val="bottom"/>
            <w:hideMark/>
          </w:tcPr>
          <w:p w:rsidR="00A90391" w:rsidRPr="001F392C" w:rsidRDefault="00A90391">
            <w:pPr>
              <w:jc w:val="right"/>
              <w:rPr>
                <w:sz w:val="22"/>
                <w:szCs w:val="22"/>
              </w:rPr>
            </w:pPr>
            <w:r w:rsidRPr="001F392C">
              <w:rPr>
                <w:sz w:val="22"/>
                <w:szCs w:val="22"/>
              </w:rPr>
              <w:t>55,3</w:t>
            </w:r>
          </w:p>
        </w:tc>
        <w:tc>
          <w:tcPr>
            <w:tcW w:w="901" w:type="dxa"/>
            <w:vAlign w:val="bottom"/>
            <w:hideMark/>
          </w:tcPr>
          <w:p w:rsidR="00A90391" w:rsidRPr="001F392C" w:rsidRDefault="00A90391">
            <w:pPr>
              <w:jc w:val="right"/>
              <w:rPr>
                <w:sz w:val="22"/>
                <w:szCs w:val="22"/>
              </w:rPr>
            </w:pPr>
            <w:r w:rsidRPr="001F392C">
              <w:rPr>
                <w:sz w:val="22"/>
                <w:szCs w:val="22"/>
              </w:rPr>
              <w:t>55,0</w:t>
            </w:r>
          </w:p>
        </w:tc>
        <w:tc>
          <w:tcPr>
            <w:tcW w:w="935" w:type="dxa"/>
            <w:vAlign w:val="bottom"/>
            <w:hideMark/>
          </w:tcPr>
          <w:p w:rsidR="00A90391" w:rsidRPr="001F392C" w:rsidRDefault="00A90391">
            <w:pPr>
              <w:jc w:val="right"/>
              <w:rPr>
                <w:sz w:val="22"/>
                <w:szCs w:val="22"/>
              </w:rPr>
            </w:pPr>
            <w:r w:rsidRPr="001F392C">
              <w:rPr>
                <w:sz w:val="22"/>
                <w:szCs w:val="22"/>
              </w:rPr>
              <w:t>55,4</w:t>
            </w:r>
          </w:p>
        </w:tc>
        <w:tc>
          <w:tcPr>
            <w:tcW w:w="1016" w:type="dxa"/>
            <w:vAlign w:val="bottom"/>
            <w:hideMark/>
          </w:tcPr>
          <w:p w:rsidR="00A90391" w:rsidRPr="001F392C" w:rsidRDefault="00A90391">
            <w:pPr>
              <w:jc w:val="right"/>
              <w:rPr>
                <w:sz w:val="22"/>
                <w:szCs w:val="22"/>
              </w:rPr>
            </w:pPr>
            <w:r w:rsidRPr="001F392C">
              <w:rPr>
                <w:sz w:val="22"/>
                <w:szCs w:val="22"/>
              </w:rPr>
              <w:t>55,0</w:t>
            </w:r>
          </w:p>
        </w:tc>
      </w:tr>
    </w:tbl>
    <w:p w:rsidR="00A90391" w:rsidRPr="001F392C" w:rsidRDefault="00A90391" w:rsidP="00A90391">
      <w:pPr>
        <w:jc w:val="both"/>
        <w:rPr>
          <w:sz w:val="20"/>
          <w:szCs w:val="20"/>
        </w:rPr>
      </w:pPr>
      <w:r w:rsidRPr="001F392C">
        <w:rPr>
          <w:sz w:val="20"/>
          <w:szCs w:val="20"/>
        </w:rPr>
        <w:t xml:space="preserve">Zdroj: Štatistický úrad SR, </w:t>
      </w:r>
      <w:r w:rsidR="00BE3FCF" w:rsidRPr="001F392C">
        <w:rPr>
          <w:sz w:val="20"/>
          <w:szCs w:val="20"/>
        </w:rPr>
        <w:t>VZPS</w:t>
      </w:r>
      <w:r w:rsidRPr="001F392C">
        <w:rPr>
          <w:sz w:val="20"/>
          <w:szCs w:val="20"/>
        </w:rPr>
        <w:t xml:space="preserve"> </w:t>
      </w:r>
    </w:p>
    <w:p w:rsidR="00A90391" w:rsidRPr="001F392C" w:rsidRDefault="00A90391" w:rsidP="00CE5FC3">
      <w:pPr>
        <w:jc w:val="both"/>
        <w:rPr>
          <w:sz w:val="20"/>
          <w:szCs w:val="20"/>
        </w:rPr>
      </w:pPr>
      <w:r w:rsidRPr="001F392C">
        <w:rPr>
          <w:sz w:val="20"/>
          <w:szCs w:val="20"/>
        </w:rPr>
        <w:lastRenderedPageBreak/>
        <w:t xml:space="preserve">Poznámka: Indexy za rok 2012 sú vypočítané z porovnateľných údajov, prepočítaných na obyvateľstvo k 1. 1. 2012 podľa Sčítania obyvateľov, domov a bytov 2011.    </w:t>
      </w:r>
    </w:p>
    <w:p w:rsidR="00A90391" w:rsidRPr="001F392C" w:rsidRDefault="00A90391" w:rsidP="00122455">
      <w:pPr>
        <w:jc w:val="both"/>
        <w:textAlignment w:val="top"/>
        <w:rPr>
          <w:b/>
          <w:bCs/>
          <w:iCs/>
        </w:rPr>
      </w:pPr>
    </w:p>
    <w:p w:rsidR="00025C5E" w:rsidRPr="001F392C" w:rsidRDefault="00025C5E" w:rsidP="00122455">
      <w:pPr>
        <w:ind w:firstLine="709"/>
        <w:jc w:val="both"/>
        <w:textAlignment w:val="top"/>
      </w:pPr>
      <w:r w:rsidRPr="001F392C">
        <w:t xml:space="preserve">Z hľadiska štruktúry pracovných síl </w:t>
      </w:r>
      <w:r w:rsidR="00A40933" w:rsidRPr="001F392C">
        <w:rPr>
          <w:b/>
        </w:rPr>
        <w:t>sa medziročne znížil p</w:t>
      </w:r>
      <w:r w:rsidRPr="001F392C">
        <w:rPr>
          <w:b/>
        </w:rPr>
        <w:t>očet živnostníkov, ktorých práca mala formu závislej práce zamestnanca</w:t>
      </w:r>
      <w:r w:rsidRPr="001F392C">
        <w:t>, o 6,7</w:t>
      </w:r>
      <w:r w:rsidR="00122455" w:rsidRPr="001F392C">
        <w:t xml:space="preserve"> </w:t>
      </w:r>
      <w:r w:rsidRPr="001F392C">
        <w:t>% na 97 tis. osôb. Na druhej strane počet zamestnancov vzrástol o 0,8</w:t>
      </w:r>
      <w:r w:rsidR="00122455" w:rsidRPr="001F392C">
        <w:t xml:space="preserve"> </w:t>
      </w:r>
      <w:r w:rsidRPr="001F392C">
        <w:t xml:space="preserve">% na 1 961,6 tis. osôb. </w:t>
      </w:r>
    </w:p>
    <w:p w:rsidR="00122455" w:rsidRPr="001F392C" w:rsidRDefault="00122455" w:rsidP="00122455">
      <w:pPr>
        <w:ind w:firstLine="709"/>
        <w:jc w:val="both"/>
        <w:textAlignment w:val="top"/>
      </w:pPr>
    </w:p>
    <w:p w:rsidR="00025C5E" w:rsidRPr="001F392C" w:rsidRDefault="00025C5E" w:rsidP="00122455">
      <w:pPr>
        <w:ind w:firstLine="709"/>
        <w:jc w:val="both"/>
        <w:textAlignment w:val="top"/>
      </w:pPr>
      <w:r w:rsidRPr="001F392C">
        <w:rPr>
          <w:b/>
        </w:rPr>
        <w:t xml:space="preserve">V priemere za </w:t>
      </w:r>
      <w:r w:rsidRPr="001F392C">
        <w:rPr>
          <w:b/>
          <w:iCs/>
        </w:rPr>
        <w:t>rok 2012</w:t>
      </w:r>
      <w:r w:rsidRPr="001F392C">
        <w:rPr>
          <w:i/>
          <w:iCs/>
        </w:rPr>
        <w:t> </w:t>
      </w:r>
      <w:r w:rsidRPr="001F392C">
        <w:t xml:space="preserve">sa celkový počet pracujúcich osôb </w:t>
      </w:r>
      <w:r w:rsidR="00D36056" w:rsidRPr="001F392C">
        <w:t xml:space="preserve">podľa VZPS </w:t>
      </w:r>
      <w:r w:rsidRPr="001F392C">
        <w:t xml:space="preserve">v porovnaní s rokom 2011 zvýšil o 0,6 % na 2 329 tis. osôb. </w:t>
      </w:r>
    </w:p>
    <w:p w:rsidR="00122455" w:rsidRPr="001F392C" w:rsidRDefault="00122455" w:rsidP="00122455">
      <w:pPr>
        <w:ind w:firstLine="709"/>
        <w:jc w:val="both"/>
        <w:textAlignment w:val="top"/>
        <w:rPr>
          <w:b/>
        </w:rPr>
      </w:pPr>
    </w:p>
    <w:p w:rsidR="00025C5E" w:rsidRPr="001F392C" w:rsidRDefault="00025C5E" w:rsidP="00122455">
      <w:pPr>
        <w:ind w:firstLine="709"/>
        <w:jc w:val="both"/>
        <w:textAlignment w:val="top"/>
      </w:pPr>
      <w:r w:rsidRPr="001F392C">
        <w:t xml:space="preserve">V 4. štvrťroku 2012 bolo v hospodárstve SR k dispozícii v priemere 13 289 </w:t>
      </w:r>
      <w:r w:rsidRPr="001F392C">
        <w:rPr>
          <w:b/>
          <w:bCs/>
          <w:iCs/>
        </w:rPr>
        <w:t>voľných pracovných miest</w:t>
      </w:r>
      <w:r w:rsidRPr="001F392C">
        <w:t>. V porovnaní so 4. štvrťrokom 2011 ich počet klesol o 1,3</w:t>
      </w:r>
      <w:r w:rsidR="00C31F6E" w:rsidRPr="001F392C">
        <w:t xml:space="preserve"> </w:t>
      </w:r>
      <w:r w:rsidRPr="001F392C">
        <w:t>% (o 170 miest). V absolútnom vyjadrení najviac voľných pracovných miest ubudlo v</w:t>
      </w:r>
      <w:r w:rsidR="00A40933" w:rsidRPr="001F392C">
        <w:t> </w:t>
      </w:r>
      <w:r w:rsidRPr="001F392C">
        <w:t>obchode</w:t>
      </w:r>
      <w:r w:rsidR="00A40933" w:rsidRPr="001F392C">
        <w:t xml:space="preserve">, </w:t>
      </w:r>
      <w:r w:rsidRPr="001F392C">
        <w:t xml:space="preserve">v priemyselnej výrobe, zdravotníctve a sociálnej pomoci, činnostiach v oblasti nehnuteľností, ubytovacích a stravovacích službách. </w:t>
      </w:r>
    </w:p>
    <w:p w:rsidR="00A7088C" w:rsidRPr="001F392C" w:rsidRDefault="00A7088C" w:rsidP="00122455">
      <w:pPr>
        <w:ind w:firstLine="709"/>
        <w:jc w:val="both"/>
        <w:textAlignment w:val="top"/>
      </w:pPr>
    </w:p>
    <w:p w:rsidR="00634E74" w:rsidRPr="001F392C" w:rsidRDefault="00A7088C" w:rsidP="001355C9">
      <w:pPr>
        <w:pStyle w:val="3Title"/>
        <w:numPr>
          <w:ilvl w:val="2"/>
          <w:numId w:val="26"/>
        </w:numPr>
        <w:tabs>
          <w:tab w:val="left" w:pos="709"/>
        </w:tabs>
        <w:jc w:val="both"/>
        <w:rPr>
          <w:rFonts w:ascii="Times New Roman" w:hAnsi="Times New Roman" w:cs="Times New Roman"/>
          <w:b/>
          <w:sz w:val="24"/>
          <w:szCs w:val="24"/>
          <w:lang w:val="sk-SK"/>
        </w:rPr>
      </w:pPr>
      <w:bookmarkStart w:id="0" w:name="_Toc351023130"/>
      <w:bookmarkStart w:id="1" w:name="_Toc351038479"/>
      <w:r w:rsidRPr="001F392C">
        <w:rPr>
          <w:rFonts w:ascii="Times New Roman" w:hAnsi="Times New Roman" w:cs="Times New Roman"/>
          <w:b/>
          <w:sz w:val="24"/>
          <w:szCs w:val="24"/>
          <w:lang w:val="sk-SK"/>
        </w:rPr>
        <w:t>Nezamestnanosť v SR v rokoch 2010-2012</w:t>
      </w:r>
      <w:bookmarkEnd w:id="0"/>
      <w:bookmarkEnd w:id="1"/>
      <w:r w:rsidRPr="001F392C">
        <w:rPr>
          <w:rFonts w:ascii="Times New Roman" w:hAnsi="Times New Roman" w:cs="Times New Roman"/>
          <w:b/>
          <w:sz w:val="24"/>
          <w:szCs w:val="24"/>
          <w:lang w:val="sk-SK"/>
        </w:rPr>
        <w:t xml:space="preserve">  </w:t>
      </w:r>
    </w:p>
    <w:p w:rsidR="00A7088C" w:rsidRPr="001F392C" w:rsidRDefault="00A7088C" w:rsidP="00A7088C">
      <w:pPr>
        <w:ind w:firstLine="708"/>
        <w:jc w:val="both"/>
        <w:rPr>
          <w:u w:val="single"/>
        </w:rPr>
      </w:pPr>
    </w:p>
    <w:p w:rsidR="00A7088C" w:rsidRPr="001F392C" w:rsidRDefault="00A7088C" w:rsidP="00A7088C">
      <w:pPr>
        <w:ind w:firstLine="709"/>
        <w:jc w:val="both"/>
      </w:pPr>
      <w:r w:rsidRPr="001F392C">
        <w:t xml:space="preserve">Pre vývoj počtu nezamestnaných osôb v sledovanom období je charakteristický ich systematický pokles počas celého roku 2010. Tendencia poklesu bola  zaznamenaná v rámci evidencie </w:t>
      </w:r>
      <w:r w:rsidR="002D52CA" w:rsidRPr="001F392C">
        <w:t>Ústredia práce, sociálnych vecí a rodiny (</w:t>
      </w:r>
      <w:r w:rsidRPr="001F392C">
        <w:t>ÚPSVR</w:t>
      </w:r>
      <w:r w:rsidR="002D52CA" w:rsidRPr="001F392C">
        <w:t>)</w:t>
      </w:r>
      <w:r w:rsidR="00EC1F23">
        <w:t xml:space="preserve"> a podľa VZPS od 1. štvrťroku 2011</w:t>
      </w:r>
      <w:r w:rsidRPr="001F392C">
        <w:t xml:space="preserve">. </w:t>
      </w:r>
      <w:r w:rsidR="00A40933" w:rsidRPr="001F392C">
        <w:t xml:space="preserve">Obrat dokazuje </w:t>
      </w:r>
      <w:r w:rsidRPr="001F392C">
        <w:t>evidenci</w:t>
      </w:r>
      <w:r w:rsidR="00A40933" w:rsidRPr="001F392C">
        <w:t>a</w:t>
      </w:r>
      <w:r w:rsidRPr="001F392C">
        <w:t xml:space="preserve"> ÚPSVR už v 1. štvrťroku 2011</w:t>
      </w:r>
      <w:r w:rsidR="00A40933" w:rsidRPr="001F392C">
        <w:t>,</w:t>
      </w:r>
      <w:r w:rsidR="002D52CA" w:rsidRPr="001F392C">
        <w:t xml:space="preserve"> </w:t>
      </w:r>
      <w:r w:rsidR="00A40933" w:rsidRPr="001F392C">
        <w:t xml:space="preserve">s </w:t>
      </w:r>
      <w:r w:rsidRPr="001F392C">
        <w:t xml:space="preserve">oneskorením </w:t>
      </w:r>
      <w:r w:rsidR="00EC1F23">
        <w:t xml:space="preserve">dvoch štvrťrokov </w:t>
      </w:r>
      <w:r w:rsidR="00A40933" w:rsidRPr="001F392C">
        <w:t xml:space="preserve">aj </w:t>
      </w:r>
      <w:r w:rsidRPr="001F392C">
        <w:t xml:space="preserve">VZPS. Počet nezamestnaných v roku 2012 v porovnaní s rokom 2011 </w:t>
      </w:r>
      <w:r w:rsidR="00C31F6E" w:rsidRPr="001F392C">
        <w:t xml:space="preserve">podľa údajov ÚPSVR </w:t>
      </w:r>
      <w:r w:rsidRPr="001F392C">
        <w:t>vzrástol o 4,3</w:t>
      </w:r>
      <w:r w:rsidR="00C31F6E" w:rsidRPr="001F392C">
        <w:t xml:space="preserve"> </w:t>
      </w:r>
      <w:r w:rsidRPr="001F392C">
        <w:t>%.</w:t>
      </w:r>
    </w:p>
    <w:p w:rsidR="00A7088C" w:rsidRPr="001F392C" w:rsidRDefault="00A7088C" w:rsidP="00A7088C">
      <w:pPr>
        <w:jc w:val="both"/>
      </w:pPr>
    </w:p>
    <w:p w:rsidR="009408D3" w:rsidRPr="001F392C" w:rsidRDefault="009408D3" w:rsidP="009408D3">
      <w:pPr>
        <w:ind w:firstLine="709"/>
        <w:jc w:val="both"/>
      </w:pPr>
      <w:r w:rsidRPr="001F392C">
        <w:t xml:space="preserve">Počet nezamestnaných osôb v 4. štvrťroku 2012 podľa VZPS </w:t>
      </w:r>
      <w:r w:rsidR="00FA015D">
        <w:t>dosiahol</w:t>
      </w:r>
      <w:r w:rsidRPr="001F392C">
        <w:t xml:space="preserve"> 390,4 tis. osôb, čo predstavovalo nárast oproti rovnakému obdobiu predchádzajúceho roka o 11,9 tis. osôb. Počet </w:t>
      </w:r>
      <w:r w:rsidR="00C31F6E" w:rsidRPr="001F392C">
        <w:t xml:space="preserve">uchádzačov o zamestnanie (UoZ) </w:t>
      </w:r>
      <w:r w:rsidRPr="001F392C">
        <w:t>v</w:t>
      </w:r>
      <w:r w:rsidR="00C31F6E" w:rsidRPr="001F392C">
        <w:t> </w:t>
      </w:r>
      <w:r w:rsidRPr="001F392C">
        <w:t>evidencii</w:t>
      </w:r>
      <w:r w:rsidR="00C31F6E" w:rsidRPr="001F392C">
        <w:t xml:space="preserve"> </w:t>
      </w:r>
      <w:r w:rsidR="00FE1BF8" w:rsidRPr="001F392C">
        <w:t>UoZ</w:t>
      </w:r>
      <w:r w:rsidR="00C31F6E" w:rsidRPr="001F392C">
        <w:t xml:space="preserve"> úradov práce, sociálnych vecí a rodiny (ďalej len „úrad </w:t>
      </w:r>
      <w:r w:rsidRPr="001F392C">
        <w:t>PSVR</w:t>
      </w:r>
      <w:r w:rsidR="00C31F6E" w:rsidRPr="001F392C">
        <w:t>“)</w:t>
      </w:r>
      <w:r w:rsidRPr="001F392C">
        <w:t xml:space="preserve"> sa oproti porovnateľnému obdobiu roku 2011 zvýšil o 24,2 tis. osôb a o 41,9 tis. osôb oproti 4. štvrťroku 2010. Rozdiely v kvantitatívnych ukazovateľoch vývoja počtu nezamestnaných podľa VZPS a ÚPSVR spočívajú v uplatňovaní odlišného konceptu nezamestnanosti a metodiky jej merania. </w:t>
      </w:r>
    </w:p>
    <w:p w:rsidR="00C31F6E" w:rsidRPr="001F392C" w:rsidRDefault="00C31F6E" w:rsidP="00122455">
      <w:pPr>
        <w:jc w:val="both"/>
        <w:textAlignment w:val="top"/>
        <w:rPr>
          <w:b/>
          <w:bCs/>
          <w:iCs/>
        </w:rPr>
      </w:pPr>
    </w:p>
    <w:p w:rsidR="00634E74" w:rsidRPr="001F392C" w:rsidRDefault="0095646C"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Nezamestnanosť</w:t>
      </w:r>
      <w:r w:rsidR="00574B32" w:rsidRPr="001F392C">
        <w:rPr>
          <w:rFonts w:ascii="Times New Roman" w:hAnsi="Times New Roman" w:cs="Times New Roman"/>
          <w:b/>
          <w:sz w:val="24"/>
          <w:szCs w:val="24"/>
          <w:lang w:val="sk-SK"/>
        </w:rPr>
        <w:t xml:space="preserve"> </w:t>
      </w:r>
      <w:r w:rsidRPr="001F392C">
        <w:rPr>
          <w:rFonts w:ascii="Times New Roman" w:hAnsi="Times New Roman" w:cs="Times New Roman"/>
          <w:b/>
          <w:sz w:val="24"/>
          <w:szCs w:val="24"/>
          <w:lang w:val="sk-SK"/>
        </w:rPr>
        <w:t>v SR v 4. štvrťroku 2012</w:t>
      </w:r>
      <w:r w:rsidR="00A7088C" w:rsidRPr="001F392C">
        <w:rPr>
          <w:rFonts w:ascii="Times New Roman" w:hAnsi="Times New Roman" w:cs="Times New Roman"/>
          <w:b/>
          <w:sz w:val="24"/>
          <w:szCs w:val="24"/>
          <w:lang w:val="sk-SK"/>
        </w:rPr>
        <w:t xml:space="preserve"> </w:t>
      </w:r>
    </w:p>
    <w:p w:rsidR="00122455" w:rsidRPr="001F392C" w:rsidRDefault="00122455" w:rsidP="00122455">
      <w:pPr>
        <w:jc w:val="both"/>
        <w:textAlignment w:val="top"/>
        <w:rPr>
          <w:bCs/>
          <w:iCs/>
        </w:rPr>
      </w:pPr>
    </w:p>
    <w:p w:rsidR="00E61961" w:rsidRPr="00D039EC" w:rsidRDefault="00E61961" w:rsidP="000E4314">
      <w:pPr>
        <w:jc w:val="both"/>
        <w:textAlignment w:val="top"/>
        <w:rPr>
          <w:rFonts w:cs="Calibri"/>
        </w:rPr>
      </w:pPr>
      <w:r w:rsidRPr="001F392C">
        <w:rPr>
          <w:bCs/>
          <w:iCs/>
        </w:rPr>
        <w:tab/>
      </w:r>
      <w:r w:rsidR="002E02D9" w:rsidRPr="00D039EC">
        <w:rPr>
          <w:bCs/>
          <w:iCs/>
        </w:rPr>
        <w:t xml:space="preserve">Miera nezamestnanosti rástla podľa údajov ÚPSVR aj v posledných mesiacoch minulého roka. Medziročné porovnanie prítoku, čiže počtu nových evidovaných UoZ však ukazuje pokles oproti rovnakému obdobiu roka 2011 vo všetkých štyroch záverečných mesiacoch roka. Napr. zatiaľ čo v septembri 2011 pribudlo </w:t>
      </w:r>
      <w:r w:rsidR="002E02D9" w:rsidRPr="00D039EC">
        <w:rPr>
          <w:rFonts w:cs="Calibri"/>
        </w:rPr>
        <w:t xml:space="preserve">41 867 nových UoZ o rok neskôr ich bolo 32 975. V októbri bol rozdiel 30 066 (rok 2011) a 23 226 (rok 2012). V novembri presiahol rozdiel 7 tis. ľudí (29 913 v roku 2011 a 22 829 v roku 2012) a v decembri dosiahol až 9 tis. ľudí „v prospech“ minulého roka (26 756 v roku 2011 a 17 739 v roku 2012). </w:t>
      </w:r>
    </w:p>
    <w:p w:rsidR="00E61961" w:rsidRPr="00D039EC" w:rsidRDefault="00E61961" w:rsidP="000E4314">
      <w:pPr>
        <w:jc w:val="both"/>
        <w:textAlignment w:val="top"/>
        <w:rPr>
          <w:rFonts w:cs="Calibri"/>
        </w:rPr>
      </w:pPr>
    </w:p>
    <w:p w:rsidR="00E36FD9" w:rsidRPr="00D039EC" w:rsidRDefault="002E02D9" w:rsidP="00C20916">
      <w:pPr>
        <w:jc w:val="both"/>
      </w:pPr>
      <w:r w:rsidRPr="00D039EC">
        <w:rPr>
          <w:rFonts w:cs="Calibri"/>
        </w:rPr>
        <w:tab/>
        <w:t xml:space="preserve">Situácia sa opakovala i v januári 2013 kedy do evidencie úradov PSVR pribudlo dokonca najmenej nových UoZ za posledné 4 roky (35 716 UoZ v roku 2010, </w:t>
      </w:r>
      <w:r w:rsidRPr="00D039EC">
        <w:t>35 589 UoZ v roku 2011, 35 821 v roku 2012 a 30 126 v roku 2013). Spomedzi nových UoZ ich 47 prišlo o prácu v dôsledku zrušenia práce na dohodu, vo februári 216 – celkovo však bolo ku koncu roka 2012 zrušených vyše 300 tis. dohôd. Aj pokiaľ ide o tzv. odtok, čiže o vyradenie UoZ z evidencie UoZ, január 2013 vykázal pozitívny trend oproti predchádzajúcemu roku, keďže v januári 2013 úrady PSVR našli prácu 16 383 UoZ, ale tento rok 18 743 UoZ, čo predstavuje nárast o takmer 2 500 UoZ.</w:t>
      </w:r>
    </w:p>
    <w:p w:rsidR="001F434F" w:rsidRPr="00D039EC" w:rsidRDefault="001F434F" w:rsidP="00C20916">
      <w:pPr>
        <w:jc w:val="both"/>
      </w:pPr>
    </w:p>
    <w:p w:rsidR="001F434F" w:rsidRPr="00D039EC" w:rsidRDefault="002E02D9" w:rsidP="001F434F">
      <w:pPr>
        <w:ind w:firstLine="709"/>
        <w:jc w:val="both"/>
      </w:pPr>
      <w:r w:rsidRPr="00D039EC">
        <w:t>Ako vyplýva z </w:t>
      </w:r>
      <w:r w:rsidRPr="00D039EC">
        <w:rPr>
          <w:b/>
        </w:rPr>
        <w:t>priemerných ročných čistých prítokov</w:t>
      </w:r>
      <w:r w:rsidRPr="00D039EC">
        <w:t xml:space="preserve"> do evidencie UoZ v rokoch 2011 a 2012, priemerný </w:t>
      </w:r>
      <w:r w:rsidRPr="00D039EC">
        <w:rPr>
          <w:b/>
        </w:rPr>
        <w:t>rast nezamestnanosti sa v roku 2012 spomalil</w:t>
      </w:r>
      <w:r w:rsidRPr="00D039EC">
        <w:t xml:space="preserve"> (v roku 2011 priemerne mesačne zostalo v evidencii UoZ o 1 549 UoZ viac ako v predchádzajúcom mesiaci, kým v roku 2012 o 121 UoZ ako v predchádzajúcom mesiaci).</w:t>
      </w:r>
      <w:r w:rsidR="000D6756" w:rsidRPr="00D039EC">
        <w:t xml:space="preserve"> </w:t>
      </w:r>
      <w:r w:rsidR="001F434F" w:rsidRPr="00D039EC">
        <w:t>V roku 2012 bolo v SR priemerne evidovaných 405 889 UoZ, pričom v porovnaní s rokom 2011 ich počet vzrástol o 16 625 osôb, t. j. o 4,27 %. Ku koncu januára 2013 bolo v evidencii úradov</w:t>
      </w:r>
      <w:r w:rsidR="000F57F0" w:rsidRPr="00D039EC">
        <w:t xml:space="preserve"> </w:t>
      </w:r>
      <w:r w:rsidR="001F434F" w:rsidRPr="00D039EC">
        <w:t xml:space="preserve">PSVR 435 438 UoZ. </w:t>
      </w:r>
    </w:p>
    <w:p w:rsidR="001F434F" w:rsidRPr="00D039EC" w:rsidRDefault="001F434F" w:rsidP="00E36FD9"/>
    <w:p w:rsidR="00E36FD9" w:rsidRPr="00D039EC" w:rsidRDefault="00E36FD9" w:rsidP="00C20916">
      <w:pPr>
        <w:jc w:val="both"/>
      </w:pPr>
      <w:r w:rsidRPr="00D039EC">
        <w:tab/>
      </w:r>
      <w:r w:rsidR="002E02D9" w:rsidRPr="00D039EC">
        <w:t xml:space="preserve">Uvedené porovnania </w:t>
      </w:r>
      <w:r w:rsidR="00F83B38">
        <w:t xml:space="preserve">ukazujú, že </w:t>
      </w:r>
      <w:r w:rsidR="00F83B38" w:rsidRPr="00D039EC">
        <w:t>vývoj na prelome rokov 2012/2013</w:t>
      </w:r>
      <w:r w:rsidR="00F83B38">
        <w:t xml:space="preserve"> – kedy už účinkujú vlaňajšie vládne opatrenia na trh práce - </w:t>
      </w:r>
      <w:r w:rsidR="00F83B38" w:rsidRPr="00D039EC">
        <w:t>je pozitívnejší, než v predchádzajúcom období</w:t>
      </w:r>
      <w:r w:rsidR="002E02D9" w:rsidRPr="00D039EC">
        <w:t>. Toto konštatovanie je dôležité pre ďalšie rozhodnutia o opatreniach na podporu zamestnanosti, nakoľko súčasn</w:t>
      </w:r>
      <w:r w:rsidR="00F83B38">
        <w:t>ý vývoj ukazuje</w:t>
      </w:r>
      <w:r w:rsidR="002E02D9" w:rsidRPr="00D039EC">
        <w:t>, že legislatívne zmeny posilňujúce postavenie zamestnancov na pracovisku, ich spoluúčasť  na rozhodovaní na podnikovej úrovni, širšiu účasť pracujúcich vo všetkých formách  na sociálnom i zdravotnom poistení, či spravodlivejší a aktívnejší daňový systém nie sú prekážkou ďalšieho pozitívneho vývoja trhu práce. Potrebné opatrenia teda treba orientovať do iných oblastí.</w:t>
      </w:r>
      <w:r w:rsidR="004965A1" w:rsidRPr="00D039EC">
        <w:t xml:space="preserve"> </w:t>
      </w:r>
    </w:p>
    <w:p w:rsidR="00E61961" w:rsidRPr="00D039EC" w:rsidRDefault="00E61961" w:rsidP="00E61961"/>
    <w:p w:rsidR="001F434F" w:rsidRPr="001F392C" w:rsidRDefault="001F434F" w:rsidP="001F434F">
      <w:pPr>
        <w:ind w:firstLine="709"/>
        <w:jc w:val="both"/>
      </w:pPr>
      <w:r w:rsidRPr="00D039EC">
        <w:rPr>
          <w:b/>
        </w:rPr>
        <w:t>Miera evidovanej nezamestnanosti</w:t>
      </w:r>
      <w:r w:rsidRPr="00D039EC">
        <w:t xml:space="preserve"> dosiahla v priemere za rok 2012 úroveň 13,59 %, čo v porovnaní s rokom 2011 predstavuje medziročný nárast o 0,43 p. b. (v roku 2011 miera evidovanej nezamestnanosti dosiahla priemernú úroveň 13,16 %). </w:t>
      </w:r>
      <w:r w:rsidR="000D6756" w:rsidRPr="00D039EC">
        <w:rPr>
          <w:b/>
        </w:rPr>
        <w:t>Z regionálneho hľadiska</w:t>
      </w:r>
      <w:r w:rsidR="000D6756" w:rsidRPr="00D039EC">
        <w:t xml:space="preserve"> za rok</w:t>
      </w:r>
      <w:r w:rsidR="000D6756" w:rsidRPr="001F392C">
        <w:t xml:space="preserve"> 2012 najvyššia úroveň priemernej miery evidovanej nezamestnanosti bola zaznamenaná v Banskobystrickom kraji (19,6 %) a najnižšia v Bratislavskom kraji (5,37 %). </w:t>
      </w:r>
      <w:r w:rsidRPr="001F392C">
        <w:t>Ku koncu januára 2013 bola miera evidovanej nezamestnanosti na úrovni 14,</w:t>
      </w:r>
      <w:r w:rsidR="00180904">
        <w:t>71</w:t>
      </w:r>
      <w:r w:rsidRPr="001F392C">
        <w:t xml:space="preserve"> %.</w:t>
      </w:r>
    </w:p>
    <w:p w:rsidR="00A86097" w:rsidRPr="001F392C" w:rsidRDefault="00A86097" w:rsidP="000E03AD">
      <w:pPr>
        <w:jc w:val="both"/>
        <w:rPr>
          <w:iCs/>
        </w:rPr>
      </w:pPr>
    </w:p>
    <w:p w:rsidR="00634E74" w:rsidRPr="001F392C" w:rsidRDefault="0095646C"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Mzda</w:t>
      </w:r>
    </w:p>
    <w:p w:rsidR="000F57F0" w:rsidRPr="001F392C" w:rsidRDefault="000F57F0" w:rsidP="000E03AD">
      <w:pPr>
        <w:jc w:val="both"/>
        <w:rPr>
          <w:b/>
          <w:iCs/>
        </w:rPr>
      </w:pPr>
    </w:p>
    <w:p w:rsidR="00C178EC" w:rsidRPr="001F392C" w:rsidRDefault="00025C5E" w:rsidP="00122455">
      <w:pPr>
        <w:ind w:firstLine="709"/>
        <w:jc w:val="both"/>
      </w:pPr>
      <w:r w:rsidRPr="001F392C">
        <w:rPr>
          <w:iCs/>
        </w:rPr>
        <w:t xml:space="preserve">Podľa </w:t>
      </w:r>
      <w:r w:rsidR="004965A1" w:rsidRPr="001F392C">
        <w:rPr>
          <w:iCs/>
        </w:rPr>
        <w:t xml:space="preserve">údajov </w:t>
      </w:r>
      <w:r w:rsidRPr="001F392C">
        <w:rPr>
          <w:iCs/>
        </w:rPr>
        <w:t>Š</w:t>
      </w:r>
      <w:r w:rsidR="00122455" w:rsidRPr="001F392C">
        <w:rPr>
          <w:iCs/>
        </w:rPr>
        <w:t>tatistického úradu</w:t>
      </w:r>
      <w:r w:rsidRPr="001F392C">
        <w:rPr>
          <w:iCs/>
        </w:rPr>
        <w:t xml:space="preserve"> SR</w:t>
      </w:r>
      <w:r w:rsidRPr="001F392C">
        <w:rPr>
          <w:i/>
          <w:iCs/>
        </w:rPr>
        <w:t xml:space="preserve"> </w:t>
      </w:r>
      <w:r w:rsidRPr="001F392C">
        <w:rPr>
          <w:b/>
        </w:rPr>
        <w:t>priemerná nominálna mesačná mzda</w:t>
      </w:r>
      <w:r w:rsidRPr="001F392C">
        <w:t xml:space="preserve"> zamestnanca hospodárstva SR (vrátane odhadu za zamestnancov u živnostníkov)  v </w:t>
      </w:r>
      <w:r w:rsidRPr="001F392C">
        <w:rPr>
          <w:rStyle w:val="Zvraznenie"/>
          <w:i w:val="0"/>
          <w:iCs/>
        </w:rPr>
        <w:t>4. štvrťroku</w:t>
      </w:r>
      <w:r w:rsidRPr="001F392C">
        <w:rPr>
          <w:rStyle w:val="Zvraznenie"/>
          <w:iCs/>
        </w:rPr>
        <w:t xml:space="preserve"> </w:t>
      </w:r>
      <w:r w:rsidR="004965A1" w:rsidRPr="001F392C">
        <w:rPr>
          <w:rStyle w:val="Zvraznenie"/>
          <w:i w:val="0"/>
          <w:iCs/>
        </w:rPr>
        <w:t xml:space="preserve">2012 </w:t>
      </w:r>
      <w:r w:rsidR="00B84332">
        <w:rPr>
          <w:rStyle w:val="Zvraznenie"/>
          <w:i w:val="0"/>
          <w:iCs/>
        </w:rPr>
        <w:t xml:space="preserve">dosiahla </w:t>
      </w:r>
      <w:r w:rsidRPr="001F392C">
        <w:t>875 </w:t>
      </w:r>
      <w:r w:rsidR="00523C30" w:rsidRPr="001F392C">
        <w:t>Eur</w:t>
      </w:r>
      <w:r w:rsidRPr="001F392C">
        <w:t>. Jej dynamika rastu sa oproti 4. štvrťroku 2011 zrýchlila o 2,7 p.b. na 3,2</w:t>
      </w:r>
      <w:r w:rsidR="00122455" w:rsidRPr="001F392C">
        <w:t xml:space="preserve"> </w:t>
      </w:r>
      <w:r w:rsidRPr="001F392C">
        <w:t xml:space="preserve">%. Vplyvom rastu spotrebiteľských cien pokračoval medziročný pokles </w:t>
      </w:r>
      <w:r w:rsidRPr="001F392C">
        <w:rPr>
          <w:b/>
        </w:rPr>
        <w:t>reálnej mzdy,</w:t>
      </w:r>
      <w:r w:rsidRPr="001F392C">
        <w:t xml:space="preserve"> v porovnaní so 4. štvrťrokom 2011 sa však zmiernil o 3,5 p.b. na 0,3</w:t>
      </w:r>
      <w:r w:rsidR="00122455" w:rsidRPr="001F392C">
        <w:t> </w:t>
      </w:r>
      <w:r w:rsidRPr="001F392C">
        <w:t>%.</w:t>
      </w:r>
    </w:p>
    <w:p w:rsidR="00122455" w:rsidRPr="001F392C" w:rsidRDefault="00122455" w:rsidP="00122455">
      <w:pPr>
        <w:ind w:firstLine="709"/>
        <w:jc w:val="both"/>
      </w:pPr>
    </w:p>
    <w:p w:rsidR="00025C5E" w:rsidRPr="001F392C" w:rsidRDefault="00025C5E" w:rsidP="00122455">
      <w:pPr>
        <w:ind w:firstLine="709"/>
        <w:jc w:val="both"/>
        <w:rPr>
          <w:sz w:val="20"/>
          <w:szCs w:val="20"/>
        </w:rPr>
      </w:pPr>
      <w:r w:rsidRPr="001F392C">
        <w:rPr>
          <w:b/>
        </w:rPr>
        <w:t>V</w:t>
      </w:r>
      <w:r w:rsidRPr="001F392C">
        <w:rPr>
          <w:b/>
          <w:i/>
        </w:rPr>
        <w:t xml:space="preserve"> </w:t>
      </w:r>
      <w:r w:rsidRPr="001F392C">
        <w:rPr>
          <w:rStyle w:val="Zvraznenie"/>
          <w:b/>
          <w:i w:val="0"/>
          <w:iCs/>
        </w:rPr>
        <w:t>roku 2012</w:t>
      </w:r>
      <w:r w:rsidRPr="001F392C">
        <w:t xml:space="preserve"> dosiahla priemerná nominálna mesačná mzda zamestnanca v</w:t>
      </w:r>
      <w:r w:rsidR="00122455" w:rsidRPr="001F392C">
        <w:t> </w:t>
      </w:r>
      <w:r w:rsidRPr="001F392C">
        <w:t>hospodárstve</w:t>
      </w:r>
      <w:r w:rsidR="00122455" w:rsidRPr="001F392C">
        <w:t xml:space="preserve"> SR </w:t>
      </w:r>
      <w:r w:rsidRPr="001F392C">
        <w:t>805 </w:t>
      </w:r>
      <w:r w:rsidR="00523C30" w:rsidRPr="001F392C">
        <w:t>Eur</w:t>
      </w:r>
      <w:r w:rsidRPr="001F392C">
        <w:t xml:space="preserve">. Medziročne sa zvýšila o 2,4 %, pričom jej rast bol o 0,2 p. b. rýchlejší ako v roku 2011. Reálna mzda klesla o 1,2 %. </w:t>
      </w:r>
    </w:p>
    <w:p w:rsidR="000F57F0" w:rsidRPr="001F392C" w:rsidRDefault="000F57F0" w:rsidP="00122455">
      <w:pPr>
        <w:rPr>
          <w:b/>
        </w:rPr>
      </w:pPr>
    </w:p>
    <w:p w:rsidR="00634E74" w:rsidRPr="001F392C" w:rsidRDefault="0095646C"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Zdroje pracovných síl v roku 2012</w:t>
      </w:r>
    </w:p>
    <w:p w:rsidR="00025C5E" w:rsidRPr="001F392C" w:rsidRDefault="00025C5E" w:rsidP="00122455">
      <w:pPr>
        <w:jc w:val="both"/>
      </w:pPr>
    </w:p>
    <w:p w:rsidR="00025C5E" w:rsidRPr="001F392C" w:rsidRDefault="00025C5E" w:rsidP="00122455">
      <w:pPr>
        <w:pStyle w:val="Textpoznmkypodiarou"/>
        <w:ind w:firstLine="709"/>
        <w:jc w:val="both"/>
        <w:rPr>
          <w:rFonts w:ascii="Times New Roman" w:hAnsi="Times New Roman"/>
          <w:sz w:val="24"/>
          <w:szCs w:val="24"/>
        </w:rPr>
      </w:pPr>
      <w:r w:rsidRPr="001F392C">
        <w:rPr>
          <w:rFonts w:ascii="Times New Roman" w:hAnsi="Times New Roman"/>
          <w:sz w:val="24"/>
          <w:szCs w:val="24"/>
        </w:rPr>
        <w:t xml:space="preserve">V roku 2012 </w:t>
      </w:r>
      <w:r w:rsidRPr="001F392C">
        <w:rPr>
          <w:rFonts w:ascii="Times New Roman" w:hAnsi="Times New Roman"/>
          <w:b/>
          <w:sz w:val="24"/>
          <w:szCs w:val="24"/>
        </w:rPr>
        <w:t>celkové zdroje pracovných síl</w:t>
      </w:r>
      <w:r w:rsidRPr="001F392C">
        <w:rPr>
          <w:rFonts w:ascii="Times New Roman" w:hAnsi="Times New Roman"/>
          <w:sz w:val="24"/>
          <w:szCs w:val="24"/>
        </w:rPr>
        <w:t xml:space="preserve"> </w:t>
      </w:r>
      <w:r w:rsidRPr="001F392C">
        <w:rPr>
          <w:rFonts w:ascii="Times New Roman" w:hAnsi="Times New Roman"/>
          <w:b/>
          <w:sz w:val="24"/>
          <w:szCs w:val="24"/>
        </w:rPr>
        <w:t>podľa VZPS</w:t>
      </w:r>
      <w:r w:rsidRPr="001F392C">
        <w:rPr>
          <w:rFonts w:ascii="Times New Roman" w:hAnsi="Times New Roman"/>
          <w:sz w:val="24"/>
          <w:szCs w:val="24"/>
        </w:rPr>
        <w:t xml:space="preserve"> (pracujúci plus nezamestnaní plus študujúci vo veku 15+) v SR v  porovnaní s rokom 2011 vzrástli o 3,0 tis</w:t>
      </w:r>
      <w:r w:rsidR="00FE1BF8" w:rsidRPr="001F392C">
        <w:rPr>
          <w:rFonts w:ascii="Times New Roman" w:hAnsi="Times New Roman"/>
          <w:sz w:val="24"/>
          <w:szCs w:val="24"/>
        </w:rPr>
        <w:t>.</w:t>
      </w:r>
      <w:r w:rsidRPr="001F392C">
        <w:rPr>
          <w:rFonts w:ascii="Times New Roman" w:hAnsi="Times New Roman"/>
          <w:sz w:val="24"/>
          <w:szCs w:val="24"/>
        </w:rPr>
        <w:t xml:space="preserve"> osôb na 3 201,9 tis. osôb. Na celkovom rozsahu zdrojov pracovných síl v roku 2012 sa 72,7 % podieľali pracujúci, 11,8</w:t>
      </w:r>
      <w:r w:rsidR="00122455" w:rsidRPr="001F392C">
        <w:rPr>
          <w:rFonts w:ascii="Times New Roman" w:hAnsi="Times New Roman"/>
          <w:sz w:val="24"/>
          <w:szCs w:val="24"/>
        </w:rPr>
        <w:t xml:space="preserve"> </w:t>
      </w:r>
      <w:r w:rsidRPr="001F392C">
        <w:rPr>
          <w:rFonts w:ascii="Times New Roman" w:hAnsi="Times New Roman"/>
          <w:sz w:val="24"/>
          <w:szCs w:val="24"/>
        </w:rPr>
        <w:t>% nezamestnané osoby a 15,5</w:t>
      </w:r>
      <w:r w:rsidR="00122455" w:rsidRPr="001F392C">
        <w:rPr>
          <w:rFonts w:ascii="Times New Roman" w:hAnsi="Times New Roman"/>
          <w:sz w:val="24"/>
          <w:szCs w:val="24"/>
        </w:rPr>
        <w:t xml:space="preserve"> </w:t>
      </w:r>
      <w:r w:rsidRPr="001F392C">
        <w:rPr>
          <w:rFonts w:ascii="Times New Roman" w:hAnsi="Times New Roman"/>
          <w:sz w:val="24"/>
          <w:szCs w:val="24"/>
        </w:rPr>
        <w:t>% študujúce osoby vo veku 15 a viac rokov</w:t>
      </w:r>
      <w:r w:rsidR="000C1DC2" w:rsidRPr="001F392C">
        <w:rPr>
          <w:rFonts w:ascii="Times New Roman" w:hAnsi="Times New Roman"/>
          <w:sz w:val="24"/>
          <w:szCs w:val="24"/>
        </w:rPr>
        <w:t>.</w:t>
      </w:r>
      <w:r w:rsidRPr="001F392C">
        <w:rPr>
          <w:rFonts w:ascii="Times New Roman" w:hAnsi="Times New Roman"/>
          <w:sz w:val="24"/>
          <w:szCs w:val="24"/>
        </w:rPr>
        <w:t xml:space="preserve"> Medziročný rast zdrojov pracovných síl v  SR v roku 2012 bol ovplyvnený výlučne rastom eko</w:t>
      </w:r>
      <w:r w:rsidR="004965A1" w:rsidRPr="001F392C">
        <w:rPr>
          <w:rFonts w:ascii="Times New Roman" w:hAnsi="Times New Roman"/>
          <w:sz w:val="24"/>
          <w:szCs w:val="24"/>
        </w:rPr>
        <w:t xml:space="preserve">nomicky aktívneho obyvateľstva </w:t>
      </w:r>
      <w:r w:rsidRPr="001F392C">
        <w:rPr>
          <w:rFonts w:ascii="Times New Roman" w:hAnsi="Times New Roman"/>
          <w:sz w:val="24"/>
          <w:szCs w:val="24"/>
        </w:rPr>
        <w:t xml:space="preserve">o 26,5 </w:t>
      </w:r>
      <w:r w:rsidR="004965A1" w:rsidRPr="001F392C">
        <w:rPr>
          <w:rFonts w:ascii="Times New Roman" w:hAnsi="Times New Roman"/>
          <w:sz w:val="24"/>
          <w:szCs w:val="24"/>
        </w:rPr>
        <w:t xml:space="preserve">tis. </w:t>
      </w:r>
      <w:r w:rsidRPr="001F392C">
        <w:rPr>
          <w:rFonts w:ascii="Times New Roman" w:hAnsi="Times New Roman"/>
          <w:sz w:val="24"/>
          <w:szCs w:val="24"/>
        </w:rPr>
        <w:t>osôb.</w:t>
      </w:r>
    </w:p>
    <w:p w:rsidR="00025C5E" w:rsidRPr="001F392C" w:rsidRDefault="00025C5E" w:rsidP="00122455">
      <w:pPr>
        <w:jc w:val="both"/>
      </w:pPr>
    </w:p>
    <w:p w:rsidR="00025C5E" w:rsidRPr="001F392C" w:rsidRDefault="00025C5E" w:rsidP="00122455">
      <w:pPr>
        <w:ind w:firstLine="709"/>
        <w:jc w:val="both"/>
      </w:pPr>
      <w:r w:rsidRPr="001F392C">
        <w:rPr>
          <w:b/>
        </w:rPr>
        <w:t>Celková miera ekonomickej aktivity obyvateľov vo veku 15 a viac rokov</w:t>
      </w:r>
      <w:r w:rsidRPr="001F392C">
        <w:t xml:space="preserve"> sa v roku 2</w:t>
      </w:r>
      <w:r w:rsidR="00122455" w:rsidRPr="001F392C">
        <w:t>012 medziročne zvýšila o 0,4 p.</w:t>
      </w:r>
      <w:r w:rsidRPr="001F392C">
        <w:t>b., z 58,8</w:t>
      </w:r>
      <w:r w:rsidR="00122455" w:rsidRPr="001F392C">
        <w:t xml:space="preserve"> </w:t>
      </w:r>
      <w:r w:rsidRPr="001F392C">
        <w:t>% na 59,2</w:t>
      </w:r>
      <w:r w:rsidR="00122455" w:rsidRPr="001F392C">
        <w:t xml:space="preserve"> </w:t>
      </w:r>
      <w:r w:rsidRPr="001F392C">
        <w:t xml:space="preserve">%. </w:t>
      </w:r>
    </w:p>
    <w:p w:rsidR="001F434F" w:rsidRDefault="001F434F" w:rsidP="00122455">
      <w:pPr>
        <w:jc w:val="both"/>
        <w:rPr>
          <w:b/>
        </w:rPr>
      </w:pPr>
    </w:p>
    <w:p w:rsidR="00CE5FC3" w:rsidRPr="001F392C" w:rsidRDefault="00CE5FC3" w:rsidP="00122455">
      <w:pPr>
        <w:jc w:val="both"/>
        <w:rPr>
          <w:b/>
        </w:rPr>
      </w:pPr>
    </w:p>
    <w:p w:rsidR="00634E74" w:rsidRPr="001F392C" w:rsidRDefault="0095646C"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lastRenderedPageBreak/>
        <w:t>Postavenie mladých na trhu práce SR</w:t>
      </w:r>
    </w:p>
    <w:p w:rsidR="00025C5E" w:rsidRPr="001F392C" w:rsidRDefault="00025C5E" w:rsidP="00122455">
      <w:pPr>
        <w:jc w:val="both"/>
        <w:rPr>
          <w:b/>
        </w:rPr>
      </w:pPr>
    </w:p>
    <w:p w:rsidR="00025C5E" w:rsidRPr="001F392C" w:rsidRDefault="00025C5E" w:rsidP="00122455">
      <w:pPr>
        <w:ind w:firstLine="709"/>
        <w:jc w:val="both"/>
      </w:pPr>
      <w:r w:rsidRPr="001F392C">
        <w:t>Podiel pracujúcich mladých ľudí vo veku 15-24 rokov na celkovom počte pracujúcich v SR sa v ostatných rokoch znižoval z 7,0</w:t>
      </w:r>
      <w:r w:rsidR="00122455" w:rsidRPr="001F392C">
        <w:t xml:space="preserve"> </w:t>
      </w:r>
      <w:r w:rsidRPr="001F392C">
        <w:t>% v roku 2010 na 6,3</w:t>
      </w:r>
      <w:r w:rsidR="00122455" w:rsidRPr="001F392C">
        <w:t xml:space="preserve"> </w:t>
      </w:r>
      <w:r w:rsidRPr="001F392C">
        <w:t>% v roku 2012. To sa premietlo aj vo vývoji ich miery zamestnanosti, ktorá, na rozdiel od celkovej miery zamestnanosti (15-64 rokov) v SR, klesala.</w:t>
      </w:r>
    </w:p>
    <w:p w:rsidR="00025C5E" w:rsidRPr="001F392C" w:rsidRDefault="00025C5E" w:rsidP="00122455">
      <w:pPr>
        <w:jc w:val="both"/>
      </w:pPr>
      <w:r w:rsidRPr="001F392C">
        <w:tab/>
      </w:r>
    </w:p>
    <w:p w:rsidR="00025C5E" w:rsidRPr="001F392C" w:rsidRDefault="00025C5E" w:rsidP="00122455">
      <w:pPr>
        <w:ind w:firstLine="709"/>
        <w:jc w:val="both"/>
      </w:pPr>
      <w:r w:rsidRPr="001F392C">
        <w:t>Aj keď podiel nezamestnaných mladých ľudí vo veku 15-24 rokov na celkovom počte nezamestnaných v SR za ostatné roky sa postupne znižoval (zatiaľ čo v roku 2010 ich podiel dosiahol 21,3</w:t>
      </w:r>
      <w:r w:rsidR="00122455" w:rsidRPr="001F392C">
        <w:t xml:space="preserve"> </w:t>
      </w:r>
      <w:r w:rsidRPr="001F392C">
        <w:t>%, v roku 2012 to bolo 20,0</w:t>
      </w:r>
      <w:r w:rsidR="00122455" w:rsidRPr="001F392C">
        <w:t xml:space="preserve"> </w:t>
      </w:r>
      <w:r w:rsidRPr="001F392C">
        <w:t xml:space="preserve">%), úroveň miery nezamestnanosti </w:t>
      </w:r>
      <w:r w:rsidR="001F434F" w:rsidRPr="001F392C">
        <w:t xml:space="preserve">mladých </w:t>
      </w:r>
      <w:r w:rsidRPr="001F392C">
        <w:t xml:space="preserve">dosahuje dlhodobo nadpriemerné hodnoty. </w:t>
      </w:r>
      <w:r w:rsidR="001F434F" w:rsidRPr="001F392C">
        <w:t xml:space="preserve">V </w:t>
      </w:r>
      <w:r w:rsidRPr="001F392C">
        <w:t xml:space="preserve">roku 2010 bola v porovnaní s celkovou mierou nezamestnanosti v SR vyššia o 19,2 p.b., v roku 2012 </w:t>
      </w:r>
      <w:r w:rsidR="001F434F" w:rsidRPr="001F392C">
        <w:t xml:space="preserve">o </w:t>
      </w:r>
      <w:r w:rsidRPr="001F392C">
        <w:t>20,0 p.b.</w:t>
      </w:r>
    </w:p>
    <w:p w:rsidR="00025C5E" w:rsidRPr="001F392C" w:rsidRDefault="00025C5E" w:rsidP="00025C5E"/>
    <w:p w:rsidR="00025C5E" w:rsidRPr="001F392C" w:rsidRDefault="00025C5E" w:rsidP="00122455">
      <w:pPr>
        <w:ind w:firstLine="709"/>
        <w:jc w:val="both"/>
      </w:pPr>
      <w:r w:rsidRPr="001F392C">
        <w:t>Viac ako polovica mladých vo veku 15-24 rokov bola nezamestnaná dlhšie ako 1 rok. Prejavil sa tu aj vplyv hospodárskej krízy, keď podiel dlhodobo nezamestnaných mladých sa zvýšil z</w:t>
      </w:r>
      <w:r w:rsidR="001F434F" w:rsidRPr="001F392C">
        <w:t xml:space="preserve"> vyše </w:t>
      </w:r>
      <w:r w:rsidRPr="001F392C">
        <w:t>50</w:t>
      </w:r>
      <w:r w:rsidR="00122455" w:rsidRPr="001F392C">
        <w:t xml:space="preserve"> </w:t>
      </w:r>
      <w:r w:rsidRPr="001F392C">
        <w:t>% v roku 2010 na 52,4</w:t>
      </w:r>
      <w:r w:rsidR="00122455" w:rsidRPr="001F392C">
        <w:t xml:space="preserve"> </w:t>
      </w:r>
      <w:r w:rsidRPr="001F392C">
        <w:t>% v roku 2012. Na porovnanie podiel dlhodobej nezamestnanosti na celkovej nezamestnanosti v SR v priemere za rok 2010 dosiahol 59,3</w:t>
      </w:r>
      <w:r w:rsidR="00122455" w:rsidRPr="001F392C">
        <w:t xml:space="preserve"> </w:t>
      </w:r>
      <w:r w:rsidRPr="001F392C">
        <w:t xml:space="preserve">% </w:t>
      </w:r>
      <w:r w:rsidR="000F57F0" w:rsidRPr="001F392C">
        <w:t xml:space="preserve">   </w:t>
      </w:r>
      <w:r w:rsidRPr="001F392C">
        <w:t>a v roku 2012 sa zvýšil na 63,</w:t>
      </w:r>
      <w:r w:rsidR="00E07209">
        <w:t>8</w:t>
      </w:r>
      <w:r w:rsidR="00122455" w:rsidRPr="001F392C">
        <w:t xml:space="preserve"> </w:t>
      </w:r>
      <w:r w:rsidRPr="001F392C">
        <w:t xml:space="preserve">%. </w:t>
      </w:r>
    </w:p>
    <w:p w:rsidR="00A86097" w:rsidRPr="001F392C" w:rsidRDefault="00A86097" w:rsidP="00025C5E"/>
    <w:p w:rsidR="00025C5E" w:rsidRPr="001F392C" w:rsidRDefault="00122455" w:rsidP="00025C5E">
      <w:pPr>
        <w:jc w:val="both"/>
        <w:rPr>
          <w:i/>
        </w:rPr>
      </w:pPr>
      <w:r w:rsidRPr="001F392C">
        <w:rPr>
          <w:i/>
        </w:rPr>
        <w:t xml:space="preserve">Tabuľka č. </w:t>
      </w:r>
      <w:r w:rsidR="00FE1BF8" w:rsidRPr="001F392C">
        <w:rPr>
          <w:i/>
        </w:rPr>
        <w:t>7</w:t>
      </w:r>
      <w:r w:rsidRPr="001F392C">
        <w:rPr>
          <w:i/>
        </w:rPr>
        <w:t xml:space="preserve">: </w:t>
      </w:r>
      <w:r w:rsidR="00025C5E" w:rsidRPr="001F392C">
        <w:rPr>
          <w:i/>
        </w:rPr>
        <w:t>Štruktúra nezamestnanosti mladých vo veku 15-24 rokov (v %)</w:t>
      </w:r>
    </w:p>
    <w:tbl>
      <w:tblPr>
        <w:tblW w:w="9639" w:type="dxa"/>
        <w:tblInd w:w="55" w:type="dxa"/>
        <w:tblCellMar>
          <w:left w:w="70" w:type="dxa"/>
          <w:right w:w="70" w:type="dxa"/>
        </w:tblCellMar>
        <w:tblLook w:val="00A0"/>
      </w:tblPr>
      <w:tblGrid>
        <w:gridCol w:w="5151"/>
        <w:gridCol w:w="1496"/>
        <w:gridCol w:w="1496"/>
        <w:gridCol w:w="1496"/>
      </w:tblGrid>
      <w:tr w:rsidR="00025C5E" w:rsidRPr="001F392C" w:rsidTr="00C178EC">
        <w:trPr>
          <w:trHeight w:val="454"/>
          <w:tblHeader/>
        </w:trPr>
        <w:tc>
          <w:tcPr>
            <w:tcW w:w="5481" w:type="dxa"/>
            <w:tcBorders>
              <w:top w:val="single" w:sz="4" w:space="0" w:color="auto"/>
              <w:left w:val="single" w:sz="4" w:space="0" w:color="auto"/>
              <w:bottom w:val="single" w:sz="4" w:space="0" w:color="auto"/>
              <w:right w:val="single" w:sz="4" w:space="0" w:color="auto"/>
            </w:tcBorders>
            <w:vAlign w:val="center"/>
          </w:tcPr>
          <w:p w:rsidR="00025C5E" w:rsidRPr="001F392C" w:rsidRDefault="00025C5E">
            <w:pPr>
              <w:rPr>
                <w:b/>
                <w:bCs/>
                <w:sz w:val="22"/>
                <w:szCs w:val="22"/>
              </w:rPr>
            </w:pPr>
          </w:p>
        </w:tc>
        <w:tc>
          <w:tcPr>
            <w:tcW w:w="1583" w:type="dxa"/>
            <w:tcBorders>
              <w:top w:val="single" w:sz="4" w:space="0" w:color="auto"/>
              <w:left w:val="single" w:sz="4" w:space="0" w:color="auto"/>
              <w:bottom w:val="single" w:sz="4" w:space="0" w:color="000000"/>
              <w:right w:val="single" w:sz="4" w:space="0" w:color="auto"/>
            </w:tcBorders>
            <w:vAlign w:val="bottom"/>
            <w:hideMark/>
          </w:tcPr>
          <w:p w:rsidR="00025C5E" w:rsidRPr="001F392C" w:rsidRDefault="00025C5E">
            <w:pPr>
              <w:jc w:val="center"/>
              <w:rPr>
                <w:b/>
                <w:bCs/>
                <w:sz w:val="22"/>
                <w:szCs w:val="22"/>
              </w:rPr>
            </w:pPr>
            <w:r w:rsidRPr="001F392C">
              <w:rPr>
                <w:b/>
                <w:bCs/>
                <w:sz w:val="22"/>
                <w:szCs w:val="22"/>
              </w:rPr>
              <w:t>2010</w:t>
            </w:r>
          </w:p>
        </w:tc>
        <w:tc>
          <w:tcPr>
            <w:tcW w:w="1583" w:type="dxa"/>
            <w:tcBorders>
              <w:top w:val="single" w:sz="4" w:space="0" w:color="auto"/>
              <w:left w:val="single" w:sz="4" w:space="0" w:color="auto"/>
              <w:bottom w:val="single" w:sz="4" w:space="0" w:color="000000"/>
              <w:right w:val="single" w:sz="4" w:space="0" w:color="auto"/>
            </w:tcBorders>
            <w:vAlign w:val="bottom"/>
            <w:hideMark/>
          </w:tcPr>
          <w:p w:rsidR="00025C5E" w:rsidRPr="001F392C" w:rsidRDefault="00025C5E">
            <w:pPr>
              <w:jc w:val="center"/>
              <w:rPr>
                <w:b/>
                <w:bCs/>
                <w:sz w:val="22"/>
                <w:szCs w:val="22"/>
              </w:rPr>
            </w:pPr>
            <w:r w:rsidRPr="001F392C">
              <w:rPr>
                <w:b/>
                <w:bCs/>
                <w:sz w:val="22"/>
                <w:szCs w:val="22"/>
              </w:rPr>
              <w:t>2011</w:t>
            </w:r>
          </w:p>
        </w:tc>
        <w:tc>
          <w:tcPr>
            <w:tcW w:w="1583" w:type="dxa"/>
            <w:tcBorders>
              <w:top w:val="single" w:sz="4" w:space="0" w:color="auto"/>
              <w:left w:val="single" w:sz="4" w:space="0" w:color="auto"/>
              <w:bottom w:val="single" w:sz="4" w:space="0" w:color="000000"/>
              <w:right w:val="single" w:sz="4" w:space="0" w:color="auto"/>
            </w:tcBorders>
          </w:tcPr>
          <w:p w:rsidR="00025C5E" w:rsidRPr="001F392C" w:rsidRDefault="00025C5E">
            <w:pPr>
              <w:jc w:val="center"/>
              <w:rPr>
                <w:b/>
                <w:bCs/>
                <w:sz w:val="22"/>
                <w:szCs w:val="22"/>
              </w:rPr>
            </w:pPr>
          </w:p>
          <w:p w:rsidR="00025C5E" w:rsidRPr="001F392C" w:rsidRDefault="00025C5E">
            <w:pPr>
              <w:jc w:val="center"/>
              <w:rPr>
                <w:b/>
                <w:bCs/>
                <w:sz w:val="22"/>
                <w:szCs w:val="22"/>
              </w:rPr>
            </w:pPr>
            <w:r w:rsidRPr="001F392C">
              <w:rPr>
                <w:b/>
                <w:bCs/>
                <w:sz w:val="22"/>
                <w:szCs w:val="22"/>
              </w:rPr>
              <w:t>2012</w:t>
            </w:r>
          </w:p>
        </w:tc>
      </w:tr>
      <w:tr w:rsidR="00025C5E" w:rsidRPr="001F392C" w:rsidTr="00025C5E">
        <w:trPr>
          <w:trHeight w:val="255"/>
        </w:trPr>
        <w:tc>
          <w:tcPr>
            <w:tcW w:w="5481" w:type="dxa"/>
            <w:tcBorders>
              <w:top w:val="nil"/>
              <w:left w:val="single" w:sz="4" w:space="0" w:color="auto"/>
              <w:bottom w:val="single" w:sz="4" w:space="0" w:color="auto"/>
              <w:right w:val="nil"/>
            </w:tcBorders>
            <w:shd w:val="clear" w:color="auto" w:fill="C0C0C0"/>
            <w:vAlign w:val="bottom"/>
            <w:hideMark/>
          </w:tcPr>
          <w:p w:rsidR="00025C5E" w:rsidRPr="001F392C" w:rsidRDefault="00025C5E">
            <w:pPr>
              <w:rPr>
                <w:b/>
                <w:bCs/>
                <w:sz w:val="22"/>
                <w:szCs w:val="22"/>
              </w:rPr>
            </w:pPr>
            <w:r w:rsidRPr="001F392C">
              <w:rPr>
                <w:b/>
                <w:bCs/>
                <w:sz w:val="22"/>
                <w:szCs w:val="22"/>
              </w:rPr>
              <w:t>podľa dĺžky trvania nezamestnanosti</w:t>
            </w:r>
          </w:p>
        </w:tc>
        <w:tc>
          <w:tcPr>
            <w:tcW w:w="1583" w:type="dxa"/>
            <w:tcBorders>
              <w:top w:val="single" w:sz="4" w:space="0" w:color="000000"/>
              <w:left w:val="nil"/>
              <w:bottom w:val="single" w:sz="4" w:space="0" w:color="auto"/>
              <w:right w:val="nil"/>
            </w:tcBorders>
            <w:shd w:val="clear" w:color="auto" w:fill="C0C0C0"/>
          </w:tcPr>
          <w:p w:rsidR="00025C5E" w:rsidRPr="001F392C" w:rsidRDefault="00025C5E">
            <w:pPr>
              <w:rPr>
                <w:b/>
                <w:bCs/>
                <w:sz w:val="22"/>
                <w:szCs w:val="22"/>
              </w:rPr>
            </w:pPr>
          </w:p>
        </w:tc>
        <w:tc>
          <w:tcPr>
            <w:tcW w:w="1583" w:type="dxa"/>
            <w:tcBorders>
              <w:top w:val="single" w:sz="4" w:space="0" w:color="000000"/>
              <w:left w:val="nil"/>
              <w:bottom w:val="single" w:sz="4" w:space="0" w:color="auto"/>
              <w:right w:val="nil"/>
            </w:tcBorders>
            <w:shd w:val="clear" w:color="auto" w:fill="C0C0C0"/>
            <w:vAlign w:val="bottom"/>
          </w:tcPr>
          <w:p w:rsidR="00025C5E" w:rsidRPr="001F392C" w:rsidRDefault="00025C5E">
            <w:pPr>
              <w:rPr>
                <w:b/>
                <w:bCs/>
                <w:sz w:val="22"/>
                <w:szCs w:val="22"/>
              </w:rPr>
            </w:pPr>
          </w:p>
        </w:tc>
        <w:tc>
          <w:tcPr>
            <w:tcW w:w="1583" w:type="dxa"/>
            <w:tcBorders>
              <w:top w:val="single" w:sz="4" w:space="0" w:color="000000"/>
              <w:left w:val="nil"/>
              <w:bottom w:val="single" w:sz="4" w:space="0" w:color="auto"/>
              <w:right w:val="single" w:sz="4" w:space="0" w:color="auto"/>
            </w:tcBorders>
            <w:shd w:val="clear" w:color="auto" w:fill="C0C0C0"/>
          </w:tcPr>
          <w:p w:rsidR="00025C5E" w:rsidRPr="001F392C" w:rsidRDefault="00025C5E">
            <w:pPr>
              <w:rPr>
                <w:b/>
                <w:bCs/>
                <w:sz w:val="22"/>
                <w:szCs w:val="22"/>
              </w:rPr>
            </w:pP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sz w:val="22"/>
                <w:szCs w:val="22"/>
              </w:rPr>
            </w:pPr>
            <w:r w:rsidRPr="001F392C">
              <w:rPr>
                <w:sz w:val="22"/>
                <w:szCs w:val="22"/>
              </w:rPr>
              <w:t xml:space="preserve"> do 1 roka (vrátane)</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49,7</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sz w:val="22"/>
                <w:szCs w:val="22"/>
              </w:rPr>
            </w:pPr>
            <w:r w:rsidRPr="001F392C">
              <w:rPr>
                <w:sz w:val="22"/>
                <w:szCs w:val="22"/>
              </w:rPr>
              <w:t>49,9</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47,6</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sz w:val="22"/>
                <w:szCs w:val="22"/>
              </w:rPr>
            </w:pPr>
            <w:r w:rsidRPr="001F392C">
              <w:rPr>
                <w:sz w:val="22"/>
                <w:szCs w:val="22"/>
              </w:rPr>
              <w:t xml:space="preserve"> v tom do 1 mesiaca</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8,6</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sz w:val="22"/>
                <w:szCs w:val="22"/>
              </w:rPr>
            </w:pPr>
            <w:r w:rsidRPr="001F392C">
              <w:rPr>
                <w:sz w:val="22"/>
                <w:szCs w:val="22"/>
              </w:rPr>
              <w:t>7,7</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8,7</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viac ako 1 mesiac až 3 mesiace</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9,6</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9,6</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8,9</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viac ako 3 mesiace až 6 mesiacov </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11,8</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12,0</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11,1</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viac ako 6 mesiacov až 1 rok</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19,8</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20,6</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18,9</w:t>
            </w:r>
          </w:p>
        </w:tc>
      </w:tr>
      <w:tr w:rsidR="00025C5E" w:rsidRPr="001F392C" w:rsidTr="00025C5E">
        <w:trPr>
          <w:trHeight w:val="255"/>
        </w:trPr>
        <w:tc>
          <w:tcPr>
            <w:tcW w:w="5481"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viac ako 1 rok</w:t>
            </w:r>
          </w:p>
        </w:tc>
        <w:tc>
          <w:tcPr>
            <w:tcW w:w="1583" w:type="dxa"/>
            <w:tcBorders>
              <w:top w:val="single" w:sz="4" w:space="0" w:color="auto"/>
              <w:left w:val="single" w:sz="4" w:space="0" w:color="auto"/>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50,3</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50,1</w:t>
            </w:r>
          </w:p>
        </w:tc>
        <w:tc>
          <w:tcPr>
            <w:tcW w:w="1583" w:type="dxa"/>
            <w:tcBorders>
              <w:top w:val="single" w:sz="4" w:space="0" w:color="auto"/>
              <w:left w:val="single" w:sz="4" w:space="0" w:color="auto"/>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52,4</w:t>
            </w:r>
          </w:p>
        </w:tc>
      </w:tr>
      <w:tr w:rsidR="00025C5E" w:rsidRPr="001F392C" w:rsidTr="00025C5E">
        <w:trPr>
          <w:trHeight w:val="255"/>
        </w:trPr>
        <w:tc>
          <w:tcPr>
            <w:tcW w:w="5481"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z toho viac ako 2 roky</w:t>
            </w:r>
          </w:p>
        </w:tc>
        <w:tc>
          <w:tcPr>
            <w:tcW w:w="1583" w:type="dxa"/>
            <w:tcBorders>
              <w:top w:val="single" w:sz="4" w:space="0" w:color="auto"/>
              <w:left w:val="single" w:sz="4" w:space="0" w:color="auto"/>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26,4</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28,9</w:t>
            </w:r>
          </w:p>
        </w:tc>
        <w:tc>
          <w:tcPr>
            <w:tcW w:w="1583" w:type="dxa"/>
            <w:tcBorders>
              <w:top w:val="single" w:sz="4" w:space="0" w:color="auto"/>
              <w:left w:val="single" w:sz="4" w:space="0" w:color="auto"/>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30,1</w:t>
            </w:r>
          </w:p>
        </w:tc>
      </w:tr>
      <w:tr w:rsidR="00025C5E" w:rsidRPr="001F392C" w:rsidTr="00025C5E">
        <w:trPr>
          <w:trHeight w:val="255"/>
        </w:trPr>
        <w:tc>
          <w:tcPr>
            <w:tcW w:w="5481" w:type="dxa"/>
            <w:tcBorders>
              <w:top w:val="single" w:sz="4" w:space="0" w:color="auto"/>
              <w:left w:val="single" w:sz="4" w:space="0" w:color="auto"/>
              <w:bottom w:val="single" w:sz="4" w:space="0" w:color="auto"/>
              <w:right w:val="nil"/>
            </w:tcBorders>
            <w:shd w:val="clear" w:color="auto" w:fill="C0C0C0"/>
            <w:vAlign w:val="bottom"/>
            <w:hideMark/>
          </w:tcPr>
          <w:p w:rsidR="00025C5E" w:rsidRPr="001F392C" w:rsidRDefault="00025C5E">
            <w:pPr>
              <w:rPr>
                <w:b/>
                <w:bCs/>
                <w:sz w:val="22"/>
                <w:szCs w:val="22"/>
              </w:rPr>
            </w:pPr>
            <w:r w:rsidRPr="001F392C">
              <w:rPr>
                <w:b/>
                <w:bCs/>
                <w:sz w:val="22"/>
                <w:szCs w:val="22"/>
              </w:rPr>
              <w:t>podľa vzdelania</w:t>
            </w:r>
          </w:p>
        </w:tc>
        <w:tc>
          <w:tcPr>
            <w:tcW w:w="1583" w:type="dxa"/>
            <w:tcBorders>
              <w:top w:val="single" w:sz="4" w:space="0" w:color="auto"/>
              <w:left w:val="nil"/>
              <w:bottom w:val="single" w:sz="4" w:space="0" w:color="auto"/>
              <w:right w:val="nil"/>
            </w:tcBorders>
            <w:shd w:val="clear" w:color="auto" w:fill="C0C0C0"/>
          </w:tcPr>
          <w:p w:rsidR="00025C5E" w:rsidRPr="001F392C" w:rsidRDefault="00025C5E">
            <w:pPr>
              <w:jc w:val="right"/>
              <w:rPr>
                <w:b/>
                <w:bCs/>
                <w:sz w:val="22"/>
                <w:szCs w:val="22"/>
              </w:rPr>
            </w:pPr>
          </w:p>
        </w:tc>
        <w:tc>
          <w:tcPr>
            <w:tcW w:w="1583" w:type="dxa"/>
            <w:tcBorders>
              <w:top w:val="single" w:sz="4" w:space="0" w:color="auto"/>
              <w:left w:val="nil"/>
              <w:bottom w:val="single" w:sz="4" w:space="0" w:color="auto"/>
              <w:right w:val="nil"/>
            </w:tcBorders>
            <w:shd w:val="clear" w:color="auto" w:fill="C0C0C0"/>
            <w:vAlign w:val="bottom"/>
          </w:tcPr>
          <w:p w:rsidR="00025C5E" w:rsidRPr="001F392C" w:rsidRDefault="00025C5E">
            <w:pPr>
              <w:jc w:val="right"/>
              <w:rPr>
                <w:b/>
                <w:bCs/>
                <w:sz w:val="22"/>
                <w:szCs w:val="22"/>
              </w:rPr>
            </w:pPr>
          </w:p>
        </w:tc>
        <w:tc>
          <w:tcPr>
            <w:tcW w:w="1583" w:type="dxa"/>
            <w:tcBorders>
              <w:top w:val="single" w:sz="4" w:space="0" w:color="auto"/>
              <w:left w:val="nil"/>
              <w:bottom w:val="single" w:sz="4" w:space="0" w:color="auto"/>
              <w:right w:val="single" w:sz="4" w:space="0" w:color="auto"/>
            </w:tcBorders>
            <w:shd w:val="clear" w:color="auto" w:fill="C0C0C0"/>
          </w:tcPr>
          <w:p w:rsidR="00025C5E" w:rsidRPr="001F392C" w:rsidRDefault="00025C5E">
            <w:pPr>
              <w:jc w:val="right"/>
              <w:rPr>
                <w:b/>
                <w:bCs/>
                <w:sz w:val="22"/>
                <w:szCs w:val="22"/>
              </w:rPr>
            </w:pP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w:t>
            </w:r>
            <w:r w:rsidR="001F434F" w:rsidRPr="001F392C">
              <w:rPr>
                <w:bCs/>
                <w:sz w:val="22"/>
                <w:szCs w:val="22"/>
              </w:rPr>
              <w:t>Z</w:t>
            </w:r>
            <w:r w:rsidRPr="001F392C">
              <w:rPr>
                <w:bCs/>
                <w:sz w:val="22"/>
                <w:szCs w:val="22"/>
              </w:rPr>
              <w:t>ákladné</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17,6</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17,2</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17,8</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sz w:val="22"/>
                <w:szCs w:val="22"/>
              </w:rPr>
            </w:pPr>
            <w:r w:rsidRPr="001F392C">
              <w:rPr>
                <w:sz w:val="22"/>
                <w:szCs w:val="22"/>
              </w:rPr>
              <w:t xml:space="preserve"> učňovské bez maturity</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26,7</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sz w:val="22"/>
                <w:szCs w:val="22"/>
              </w:rPr>
            </w:pPr>
            <w:r w:rsidRPr="001F392C">
              <w:rPr>
                <w:sz w:val="22"/>
                <w:szCs w:val="22"/>
              </w:rPr>
              <w:t>27,9</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24,9</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stredné bez maturity</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1,0</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sz w:val="22"/>
                <w:szCs w:val="22"/>
              </w:rPr>
            </w:pPr>
            <w:r w:rsidRPr="001F392C">
              <w:rPr>
                <w:sz w:val="22"/>
                <w:szCs w:val="22"/>
              </w:rPr>
              <w:t>1,3</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sz w:val="22"/>
                <w:szCs w:val="22"/>
              </w:rPr>
            </w:pPr>
            <w:r w:rsidRPr="001F392C">
              <w:rPr>
                <w:sz w:val="22"/>
                <w:szCs w:val="22"/>
              </w:rPr>
              <w:t>3,2</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učňovské s</w:t>
            </w:r>
            <w:r w:rsidR="00F83B38">
              <w:rPr>
                <w:bCs/>
                <w:sz w:val="22"/>
                <w:szCs w:val="22"/>
              </w:rPr>
              <w:t> </w:t>
            </w:r>
            <w:r w:rsidRPr="001F392C">
              <w:rPr>
                <w:bCs/>
                <w:sz w:val="22"/>
                <w:szCs w:val="22"/>
              </w:rPr>
              <w:t>maturitou</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5,8</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5,5</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5,7</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úplné stredné všeobecné</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6,0</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6,7</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5,7</w:t>
            </w:r>
          </w:p>
        </w:tc>
      </w:tr>
      <w:tr w:rsidR="00025C5E" w:rsidRPr="001F392C" w:rsidTr="00025C5E">
        <w:trPr>
          <w:trHeight w:val="255"/>
        </w:trPr>
        <w:tc>
          <w:tcPr>
            <w:tcW w:w="5481"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úplné stredné odborné</w:t>
            </w:r>
          </w:p>
        </w:tc>
        <w:tc>
          <w:tcPr>
            <w:tcW w:w="1583" w:type="dxa"/>
            <w:tcBorders>
              <w:top w:val="single" w:sz="4" w:space="0" w:color="auto"/>
              <w:left w:val="single" w:sz="4" w:space="0" w:color="auto"/>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36,1</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35,8</w:t>
            </w:r>
          </w:p>
        </w:tc>
        <w:tc>
          <w:tcPr>
            <w:tcW w:w="1583" w:type="dxa"/>
            <w:tcBorders>
              <w:top w:val="single" w:sz="4" w:space="0" w:color="auto"/>
              <w:left w:val="single" w:sz="4" w:space="0" w:color="auto"/>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35,1</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vyššie odborné</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0,4</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0,1</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0,5</w:t>
            </w:r>
          </w:p>
        </w:tc>
      </w:tr>
      <w:tr w:rsidR="00025C5E" w:rsidRPr="001F392C" w:rsidTr="00025C5E">
        <w:trPr>
          <w:trHeight w:val="255"/>
        </w:trPr>
        <w:tc>
          <w:tcPr>
            <w:tcW w:w="5481" w:type="dxa"/>
            <w:tcBorders>
              <w:top w:val="nil"/>
              <w:left w:val="single" w:sz="4" w:space="0" w:color="auto"/>
              <w:bottom w:val="single" w:sz="4" w:space="0" w:color="auto"/>
              <w:right w:val="single" w:sz="4" w:space="0" w:color="auto"/>
            </w:tcBorders>
            <w:vAlign w:val="bottom"/>
            <w:hideMark/>
          </w:tcPr>
          <w:p w:rsidR="00025C5E" w:rsidRPr="001F392C" w:rsidRDefault="00025C5E">
            <w:pPr>
              <w:rPr>
                <w:bCs/>
                <w:sz w:val="22"/>
                <w:szCs w:val="22"/>
              </w:rPr>
            </w:pPr>
            <w:r w:rsidRPr="001F392C">
              <w:rPr>
                <w:bCs/>
                <w:sz w:val="22"/>
                <w:szCs w:val="22"/>
              </w:rPr>
              <w:t xml:space="preserve"> vysokoškolské </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6,5</w:t>
            </w:r>
          </w:p>
        </w:tc>
        <w:tc>
          <w:tcPr>
            <w:tcW w:w="1583" w:type="dxa"/>
            <w:tcBorders>
              <w:top w:val="single" w:sz="4" w:space="0" w:color="auto"/>
              <w:left w:val="single" w:sz="4" w:space="0" w:color="auto"/>
              <w:bottom w:val="single" w:sz="4" w:space="0" w:color="auto"/>
              <w:right w:val="single" w:sz="4" w:space="0" w:color="auto"/>
            </w:tcBorders>
            <w:vAlign w:val="bottom"/>
            <w:hideMark/>
          </w:tcPr>
          <w:p w:rsidR="00025C5E" w:rsidRPr="001F392C" w:rsidRDefault="00025C5E">
            <w:pPr>
              <w:jc w:val="right"/>
              <w:rPr>
                <w:bCs/>
                <w:sz w:val="22"/>
                <w:szCs w:val="22"/>
              </w:rPr>
            </w:pPr>
            <w:r w:rsidRPr="001F392C">
              <w:rPr>
                <w:bCs/>
                <w:sz w:val="22"/>
                <w:szCs w:val="22"/>
              </w:rPr>
              <w:t>5,2</w:t>
            </w:r>
          </w:p>
        </w:tc>
        <w:tc>
          <w:tcPr>
            <w:tcW w:w="1583" w:type="dxa"/>
            <w:tcBorders>
              <w:top w:val="single" w:sz="4" w:space="0" w:color="auto"/>
              <w:left w:val="nil"/>
              <w:bottom w:val="single" w:sz="4" w:space="0" w:color="auto"/>
              <w:right w:val="single" w:sz="4" w:space="0" w:color="auto"/>
            </w:tcBorders>
            <w:hideMark/>
          </w:tcPr>
          <w:p w:rsidR="00025C5E" w:rsidRPr="001F392C" w:rsidRDefault="00025C5E">
            <w:pPr>
              <w:jc w:val="right"/>
              <w:rPr>
                <w:bCs/>
                <w:sz w:val="22"/>
                <w:szCs w:val="22"/>
              </w:rPr>
            </w:pPr>
            <w:r w:rsidRPr="001F392C">
              <w:rPr>
                <w:bCs/>
                <w:sz w:val="22"/>
                <w:szCs w:val="22"/>
              </w:rPr>
              <w:t>7,1</w:t>
            </w:r>
          </w:p>
        </w:tc>
      </w:tr>
    </w:tbl>
    <w:p w:rsidR="00025C5E" w:rsidRPr="001F392C" w:rsidRDefault="00025C5E" w:rsidP="00025C5E">
      <w:pPr>
        <w:rPr>
          <w:sz w:val="20"/>
          <w:szCs w:val="20"/>
        </w:rPr>
      </w:pPr>
      <w:r w:rsidRPr="001F392C">
        <w:rPr>
          <w:sz w:val="20"/>
          <w:szCs w:val="20"/>
        </w:rPr>
        <w:t>Zdroj: Š</w:t>
      </w:r>
      <w:r w:rsidR="00D25404" w:rsidRPr="001F392C">
        <w:rPr>
          <w:sz w:val="20"/>
          <w:szCs w:val="20"/>
        </w:rPr>
        <w:t xml:space="preserve">tatistický úrad </w:t>
      </w:r>
      <w:r w:rsidRPr="001F392C">
        <w:rPr>
          <w:sz w:val="20"/>
          <w:szCs w:val="20"/>
        </w:rPr>
        <w:t xml:space="preserve">SR, </w:t>
      </w:r>
      <w:r w:rsidR="007A29EF" w:rsidRPr="001F392C">
        <w:rPr>
          <w:sz w:val="20"/>
          <w:szCs w:val="20"/>
        </w:rPr>
        <w:t>VZPS</w:t>
      </w:r>
      <w:r w:rsidRPr="001F392C">
        <w:rPr>
          <w:sz w:val="20"/>
          <w:szCs w:val="20"/>
        </w:rPr>
        <w:t xml:space="preserve">, prepočty MPSVR SR </w:t>
      </w:r>
    </w:p>
    <w:p w:rsidR="00384EF1" w:rsidRPr="001F392C" w:rsidRDefault="00384EF1" w:rsidP="00384EF1">
      <w:pPr>
        <w:autoSpaceDE w:val="0"/>
        <w:autoSpaceDN w:val="0"/>
        <w:adjustRightInd w:val="0"/>
        <w:rPr>
          <w:b/>
          <w:color w:val="000000"/>
          <w:u w:val="single"/>
          <w:lang w:eastAsia="sk-SK"/>
        </w:rPr>
      </w:pPr>
    </w:p>
    <w:p w:rsidR="00634E74" w:rsidRPr="001F392C" w:rsidRDefault="0095646C" w:rsidP="001355C9">
      <w:pPr>
        <w:pStyle w:val="3Title"/>
        <w:numPr>
          <w:ilvl w:val="2"/>
          <w:numId w:val="26"/>
        </w:numPr>
        <w:tabs>
          <w:tab w:val="left" w:pos="709"/>
        </w:tabs>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Znevýhodnení uchádzači o zamestnanie</w:t>
      </w:r>
    </w:p>
    <w:p w:rsidR="00A23015" w:rsidRPr="001F392C" w:rsidRDefault="00A23015" w:rsidP="00A23015">
      <w:pPr>
        <w:jc w:val="both"/>
      </w:pPr>
    </w:p>
    <w:p w:rsidR="007D0B38" w:rsidRPr="001F392C" w:rsidRDefault="00BD3DD7" w:rsidP="00E052DD">
      <w:pPr>
        <w:ind w:firstLine="709"/>
        <w:jc w:val="both"/>
      </w:pPr>
      <w:r w:rsidRPr="001F392C">
        <w:t xml:space="preserve">V roku 2012 bolo v evidencii UoZ v priemere 216 978 dlhodobo nezamestnaných osôb. </w:t>
      </w:r>
      <w:r w:rsidRPr="001F392C">
        <w:rPr>
          <w:b/>
        </w:rPr>
        <w:t>Podiel dlhodobo nezamestnaných osôb na celkovom počte UoZ v roku 2012 predstavoval v priemere 53,46 %.</w:t>
      </w:r>
      <w:r w:rsidR="000D6756" w:rsidRPr="001F392C">
        <w:rPr>
          <w:b/>
        </w:rPr>
        <w:t xml:space="preserve"> </w:t>
      </w:r>
      <w:r w:rsidR="007D0B38" w:rsidRPr="001F392C">
        <w:t xml:space="preserve">Z celkového počtu UoZ nad 12 mesiacov bolo v roku 2012 v priemere na Slovensku </w:t>
      </w:r>
      <w:r w:rsidR="007D0B38" w:rsidRPr="001F392C">
        <w:rPr>
          <w:b/>
        </w:rPr>
        <w:t xml:space="preserve">najviac </w:t>
      </w:r>
      <w:r w:rsidR="00FE1BF8" w:rsidRPr="001F392C">
        <w:rPr>
          <w:b/>
        </w:rPr>
        <w:t xml:space="preserve">UoZ </w:t>
      </w:r>
      <w:r w:rsidR="007D0B38" w:rsidRPr="001F392C">
        <w:rPr>
          <w:b/>
        </w:rPr>
        <w:t>vo vekovej kategórii od 50 - 54 rokov</w:t>
      </w:r>
      <w:r w:rsidR="000D6756" w:rsidRPr="001F392C">
        <w:t xml:space="preserve"> – 27 797 osôb (14,03 %). </w:t>
      </w:r>
      <w:r w:rsidR="007D0B38" w:rsidRPr="001F392C">
        <w:t>Druhou najpočetnejš</w:t>
      </w:r>
      <w:r w:rsidR="00180904">
        <w:t>o</w:t>
      </w:r>
      <w:r w:rsidR="007D0B38" w:rsidRPr="001F392C">
        <w:t>u skupinou boli UoZ vo vekovej skupine od 45 do 49 rokov</w:t>
      </w:r>
      <w:r w:rsidR="00180904">
        <w:t xml:space="preserve"> a táto skupina</w:t>
      </w:r>
      <w:r w:rsidR="007D0B38" w:rsidRPr="001F392C">
        <w:t xml:space="preserve"> tvorila podiel 12,98 % zo všetkých UoZ nad 12 mesiacov (25 705 osôb). Z hľadiska vzdelania sa najviac na dlhodobej nezamestnanosti podieľali UoZ</w:t>
      </w:r>
      <w:r w:rsidR="000F57F0" w:rsidRPr="001F392C">
        <w:t xml:space="preserve"> </w:t>
      </w:r>
      <w:r w:rsidR="007D0B38" w:rsidRPr="001F392C">
        <w:t>so základným vzdelaním a bez vzdelania</w:t>
      </w:r>
      <w:r w:rsidR="000D6756" w:rsidRPr="001F392C">
        <w:t xml:space="preserve">. </w:t>
      </w:r>
    </w:p>
    <w:p w:rsidR="00B475BF" w:rsidRPr="001F392C" w:rsidRDefault="00B475BF" w:rsidP="00E052DD">
      <w:pPr>
        <w:jc w:val="both"/>
      </w:pPr>
    </w:p>
    <w:p w:rsidR="00BD3DD7" w:rsidRPr="001F392C" w:rsidRDefault="00BD3DD7" w:rsidP="00E052DD">
      <w:pPr>
        <w:pStyle w:val="Normlnysozarkami1"/>
        <w:ind w:firstLine="709"/>
        <w:rPr>
          <w:lang w:val="sk-SK"/>
        </w:rPr>
      </w:pPr>
      <w:r w:rsidRPr="001F392C">
        <w:rPr>
          <w:lang w:val="sk-SK"/>
        </w:rPr>
        <w:t xml:space="preserve">V roku 2012 bolo v evidencii v priemere 11 621 </w:t>
      </w:r>
      <w:r w:rsidRPr="001F392C">
        <w:rPr>
          <w:b/>
          <w:lang w:val="sk-SK"/>
        </w:rPr>
        <w:t xml:space="preserve">občanov so zdravotným postihnutím </w:t>
      </w:r>
      <w:r w:rsidRPr="001F392C">
        <w:rPr>
          <w:lang w:val="sk-SK"/>
        </w:rPr>
        <w:t>a ich počet medziročne poklesol o 776. Podiel UoZ so zdravotným postihnutím na celkovom počte UoZ v roku 2012 predstavoval 2,86 %.</w:t>
      </w:r>
    </w:p>
    <w:p w:rsidR="00281AA8" w:rsidRPr="001F392C" w:rsidRDefault="00281AA8" w:rsidP="00E052DD">
      <w:pPr>
        <w:ind w:firstLine="709"/>
        <w:jc w:val="both"/>
      </w:pPr>
    </w:p>
    <w:p w:rsidR="00730E81" w:rsidRPr="001F392C" w:rsidRDefault="00730E81"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Eliminácia nelegálneho zamestnávania a nelegálnej práce</w:t>
      </w:r>
    </w:p>
    <w:p w:rsidR="00730E81" w:rsidRPr="001F392C" w:rsidRDefault="00730E81" w:rsidP="00E052DD">
      <w:pPr>
        <w:pStyle w:val="Odsekzoznamu"/>
        <w:autoSpaceDN w:val="0"/>
        <w:ind w:left="0"/>
        <w:jc w:val="both"/>
        <w:rPr>
          <w:b/>
          <w:color w:val="000000"/>
        </w:rPr>
      </w:pPr>
    </w:p>
    <w:p w:rsidR="00634E74" w:rsidRPr="001F392C" w:rsidRDefault="00730E81" w:rsidP="001355C9">
      <w:pPr>
        <w:pStyle w:val="3Title"/>
        <w:numPr>
          <w:ilvl w:val="2"/>
          <w:numId w:val="26"/>
        </w:numPr>
        <w:tabs>
          <w:tab w:val="clear" w:pos="9360"/>
          <w:tab w:val="left" w:pos="709"/>
        </w:tabs>
        <w:ind w:left="709" w:hanging="709"/>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Zvýšená kontrola dodržiavania zákazu</w:t>
      </w:r>
      <w:r w:rsidR="002C4F7E">
        <w:rPr>
          <w:rFonts w:ascii="Times New Roman" w:hAnsi="Times New Roman" w:cs="Times New Roman"/>
          <w:b/>
          <w:sz w:val="24"/>
          <w:szCs w:val="24"/>
          <w:lang w:val="sk-SK"/>
        </w:rPr>
        <w:t xml:space="preserve"> </w:t>
      </w:r>
      <w:r w:rsidRPr="001F392C">
        <w:rPr>
          <w:rFonts w:ascii="Times New Roman" w:hAnsi="Times New Roman" w:cs="Times New Roman"/>
          <w:b/>
          <w:sz w:val="24"/>
          <w:szCs w:val="24"/>
          <w:lang w:val="sk-SK"/>
        </w:rPr>
        <w:t>nelegálnej práce a</w:t>
      </w:r>
      <w:r w:rsidR="001355C9" w:rsidRPr="001F392C">
        <w:rPr>
          <w:rFonts w:ascii="Times New Roman" w:hAnsi="Times New Roman" w:cs="Times New Roman"/>
          <w:b/>
          <w:sz w:val="24"/>
          <w:szCs w:val="24"/>
          <w:lang w:val="sk-SK"/>
        </w:rPr>
        <w:t> </w:t>
      </w:r>
      <w:r w:rsidRPr="001F392C">
        <w:rPr>
          <w:rFonts w:ascii="Times New Roman" w:hAnsi="Times New Roman" w:cs="Times New Roman"/>
          <w:b/>
          <w:sz w:val="24"/>
          <w:szCs w:val="24"/>
          <w:lang w:val="sk-SK"/>
        </w:rPr>
        <w:t>nelegálneho zamestnávania</w:t>
      </w:r>
    </w:p>
    <w:p w:rsidR="00730E81" w:rsidRPr="001F392C" w:rsidRDefault="00730E81" w:rsidP="00E052DD">
      <w:pPr>
        <w:jc w:val="both"/>
        <w:rPr>
          <w:color w:val="000000"/>
        </w:rPr>
      </w:pPr>
    </w:p>
    <w:p w:rsidR="00730E81" w:rsidRPr="001F392C" w:rsidRDefault="00281AA8" w:rsidP="00E052DD">
      <w:pPr>
        <w:ind w:firstLine="709"/>
        <w:jc w:val="both"/>
      </w:pPr>
      <w:r w:rsidRPr="001F392C">
        <w:rPr>
          <w:color w:val="000000"/>
        </w:rPr>
        <w:t xml:space="preserve">Negatívny vplyv na trh práce má v čase rastúcej nezamestnanosti aj nelegálne zamestnávanie a rastúci rozsah nelegálnej práce. Národný inšpektorát práce (NIP) sa preto </w:t>
      </w:r>
      <w:r w:rsidR="005F27CF" w:rsidRPr="001F392C">
        <w:rPr>
          <w:color w:val="000000"/>
        </w:rPr>
        <w:t xml:space="preserve">    </w:t>
      </w:r>
      <w:r w:rsidRPr="001F392C">
        <w:rPr>
          <w:color w:val="000000"/>
        </w:rPr>
        <w:t xml:space="preserve">už v tomto období vo zvýšenej miere zameriava na odhaľovanie nelegálnej práce </w:t>
      </w:r>
      <w:r w:rsidR="000E03AD" w:rsidRPr="001F392C">
        <w:rPr>
          <w:color w:val="000000"/>
        </w:rPr>
        <w:t xml:space="preserve">                    </w:t>
      </w:r>
      <w:r w:rsidRPr="001F392C">
        <w:rPr>
          <w:color w:val="000000"/>
        </w:rPr>
        <w:t>a</w:t>
      </w:r>
      <w:r w:rsidR="001355C9" w:rsidRPr="001F392C">
        <w:rPr>
          <w:color w:val="000000"/>
        </w:rPr>
        <w:t> </w:t>
      </w:r>
      <w:r w:rsidRPr="001F392C">
        <w:rPr>
          <w:color w:val="000000"/>
        </w:rPr>
        <w:t>nelegálneho</w:t>
      </w:r>
      <w:r w:rsidR="001355C9" w:rsidRPr="001F392C">
        <w:rPr>
          <w:color w:val="000000"/>
        </w:rPr>
        <w:t xml:space="preserve"> </w:t>
      </w:r>
      <w:r w:rsidRPr="001F392C">
        <w:rPr>
          <w:color w:val="000000"/>
        </w:rPr>
        <w:t>zamestnávania (NPNZ). Z</w:t>
      </w:r>
      <w:r w:rsidR="00730E81" w:rsidRPr="001F392C">
        <w:rPr>
          <w:color w:val="000000"/>
        </w:rPr>
        <w:t xml:space="preserve">výšený počet kontrol vrátane </w:t>
      </w:r>
      <w:r w:rsidR="00730E81" w:rsidRPr="001F392C">
        <w:t>mimoriadnych celoslovenských previerok zamer</w:t>
      </w:r>
      <w:r w:rsidRPr="001F392C">
        <w:t>i</w:t>
      </w:r>
      <w:r w:rsidR="00730E81" w:rsidRPr="001F392C">
        <w:t>a</w:t>
      </w:r>
      <w:r w:rsidRPr="001F392C">
        <w:t xml:space="preserve">va </w:t>
      </w:r>
      <w:r w:rsidR="00730E81" w:rsidRPr="001F392C">
        <w:t>na</w:t>
      </w:r>
      <w:r w:rsidRPr="001F392C">
        <w:t>:</w:t>
      </w:r>
      <w:r w:rsidR="00730E81" w:rsidRPr="001F392C">
        <w:t xml:space="preserve"> </w:t>
      </w:r>
    </w:p>
    <w:p w:rsidR="00730E81" w:rsidRPr="001F392C" w:rsidRDefault="00730E81" w:rsidP="00E052DD">
      <w:pPr>
        <w:numPr>
          <w:ilvl w:val="0"/>
          <w:numId w:val="4"/>
        </w:numPr>
        <w:autoSpaceDE w:val="0"/>
        <w:autoSpaceDN w:val="0"/>
        <w:adjustRightInd w:val="0"/>
        <w:jc w:val="both"/>
      </w:pPr>
      <w:r w:rsidRPr="001F392C">
        <w:t>agentúry dočasného zamestnávania,</w:t>
      </w:r>
    </w:p>
    <w:p w:rsidR="00730E81" w:rsidRPr="001F392C" w:rsidRDefault="00730E81" w:rsidP="00E052DD">
      <w:pPr>
        <w:numPr>
          <w:ilvl w:val="0"/>
          <w:numId w:val="4"/>
        </w:numPr>
        <w:autoSpaceDE w:val="0"/>
        <w:autoSpaceDN w:val="0"/>
        <w:adjustRightInd w:val="0"/>
        <w:jc w:val="both"/>
      </w:pPr>
      <w:r w:rsidRPr="001F392C">
        <w:t>zamestnávateľov, kde bolo za posledné tri roky odhalené NPNZ,</w:t>
      </w:r>
    </w:p>
    <w:p w:rsidR="00730E81" w:rsidRPr="001F392C" w:rsidRDefault="00730E81" w:rsidP="00E052DD">
      <w:pPr>
        <w:numPr>
          <w:ilvl w:val="0"/>
          <w:numId w:val="4"/>
        </w:numPr>
        <w:autoSpaceDE w:val="0"/>
        <w:autoSpaceDN w:val="0"/>
        <w:adjustRightInd w:val="0"/>
        <w:jc w:val="both"/>
      </w:pPr>
      <w:r w:rsidRPr="001F392C">
        <w:t>služby a obchod,</w:t>
      </w:r>
    </w:p>
    <w:p w:rsidR="00730E81" w:rsidRPr="001F392C" w:rsidRDefault="00730E81" w:rsidP="00E052DD">
      <w:pPr>
        <w:numPr>
          <w:ilvl w:val="0"/>
          <w:numId w:val="4"/>
        </w:numPr>
        <w:autoSpaceDE w:val="0"/>
        <w:autoSpaceDN w:val="0"/>
        <w:adjustRightInd w:val="0"/>
        <w:jc w:val="both"/>
      </w:pPr>
      <w:r w:rsidRPr="001F392C">
        <w:t>základe požiadaviek Sociálnej poisťovne v prihraničných oblastiach.</w:t>
      </w:r>
    </w:p>
    <w:p w:rsidR="000E03AD" w:rsidRPr="001F392C" w:rsidRDefault="000E03AD" w:rsidP="00E052DD">
      <w:pPr>
        <w:jc w:val="both"/>
      </w:pPr>
    </w:p>
    <w:p w:rsidR="00730E81" w:rsidRPr="001F392C" w:rsidRDefault="00730E81" w:rsidP="00E052DD">
      <w:pPr>
        <w:ind w:firstLine="709"/>
        <w:jc w:val="both"/>
      </w:pPr>
      <w:r w:rsidRPr="001F392C">
        <w:t>Krajské a celoslovenské kontroly NPNZ sú spoluorganizované so zložkami Policajného zboru</w:t>
      </w:r>
      <w:r w:rsidR="007B1C45" w:rsidRPr="001F392C">
        <w:t xml:space="preserve"> (PZ)</w:t>
      </w:r>
      <w:r w:rsidRPr="001F392C">
        <w:t xml:space="preserve">. </w:t>
      </w:r>
      <w:r w:rsidR="00281AA8" w:rsidRPr="001F392C">
        <w:t xml:space="preserve">Z hľadiska odvetví ide </w:t>
      </w:r>
      <w:r w:rsidRPr="001F392C">
        <w:t xml:space="preserve">najmä </w:t>
      </w:r>
      <w:r w:rsidR="00281AA8" w:rsidRPr="001F392C">
        <w:t xml:space="preserve">o </w:t>
      </w:r>
      <w:r w:rsidRPr="001F392C">
        <w:t xml:space="preserve">stavebníctvo, veľkoobchod a maloobchod, ubytovacie a stravovacie služby, doprava a administratívne služby, pri sezónnych prácach, v oblasti umenia, športu, zábavy a rekreácie. K najčastejším porušeniam zákona č. 82/2005 Z. z. o nelegálnej práci a nelegálnom zamestnávaní patrí neprihlásenie do registra Sociálnej poisťovne pred začatím výkonu práce u zamestnávateľa. V mesiacoch február  a marec 2013 </w:t>
      </w:r>
      <w:r w:rsidR="00281AA8" w:rsidRPr="001F392C">
        <w:t xml:space="preserve">sa uskutočnila </w:t>
      </w:r>
      <w:r w:rsidRPr="001F392C">
        <w:t>akcia „TORYSA“, a to v odvetviach zvýšeného výskytu NPNZ v Prešovskom kraji a akcia v reštauračných zariadeniach v Nitrianskom kraji.</w:t>
      </w:r>
    </w:p>
    <w:p w:rsidR="00FE1BF8" w:rsidRPr="001F392C" w:rsidRDefault="00FE1BF8" w:rsidP="0004532E">
      <w:pPr>
        <w:jc w:val="both"/>
      </w:pPr>
    </w:p>
    <w:p w:rsidR="00634E74" w:rsidRPr="001F392C" w:rsidRDefault="0095646C" w:rsidP="001355C9">
      <w:pPr>
        <w:pStyle w:val="3Title"/>
        <w:numPr>
          <w:ilvl w:val="2"/>
          <w:numId w:val="26"/>
        </w:numPr>
        <w:tabs>
          <w:tab w:val="clear" w:pos="9360"/>
          <w:tab w:val="left" w:pos="709"/>
        </w:tabs>
        <w:ind w:left="709" w:hanging="709"/>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Výsledky kontrol v oblasti NPNZ v mesiacoch január a február 2013</w:t>
      </w:r>
    </w:p>
    <w:p w:rsidR="00730E81" w:rsidRPr="001F392C" w:rsidRDefault="00730E81" w:rsidP="0004532E">
      <w:pPr>
        <w:jc w:val="both"/>
      </w:pPr>
    </w:p>
    <w:p w:rsidR="00730E81" w:rsidRPr="001F392C" w:rsidRDefault="00730E81" w:rsidP="0004532E">
      <w:pPr>
        <w:pStyle w:val="Odsekzoznamu"/>
        <w:numPr>
          <w:ilvl w:val="0"/>
          <w:numId w:val="11"/>
        </w:numPr>
        <w:spacing w:line="276" w:lineRule="auto"/>
        <w:contextualSpacing/>
        <w:jc w:val="both"/>
        <w:rPr>
          <w:color w:val="000000"/>
        </w:rPr>
      </w:pPr>
      <w:r w:rsidRPr="001F392C">
        <w:rPr>
          <w:b/>
          <w:color w:val="000000"/>
        </w:rPr>
        <w:t>Inšpekciou práce:</w:t>
      </w:r>
    </w:p>
    <w:p w:rsidR="007A29EF" w:rsidRPr="001F392C" w:rsidRDefault="007A29EF" w:rsidP="0004532E">
      <w:pPr>
        <w:jc w:val="both"/>
      </w:pPr>
    </w:p>
    <w:p w:rsidR="00730E81" w:rsidRPr="001F392C" w:rsidRDefault="007A29EF" w:rsidP="0004532E">
      <w:pPr>
        <w:jc w:val="both"/>
      </w:pPr>
      <w:r w:rsidRPr="001F392C">
        <w:rPr>
          <w:i/>
        </w:rPr>
        <w:t xml:space="preserve">Tabuľka č. </w:t>
      </w:r>
      <w:r w:rsidR="00FE1BF8" w:rsidRPr="001F392C">
        <w:rPr>
          <w:i/>
        </w:rPr>
        <w:t>8</w:t>
      </w:r>
      <w:r w:rsidRPr="001F392C">
        <w:rPr>
          <w:i/>
        </w:rPr>
        <w:t xml:space="preserve">: </w:t>
      </w:r>
      <w:r w:rsidR="00730E81" w:rsidRPr="001F392C">
        <w:rPr>
          <w:i/>
        </w:rPr>
        <w:t>Prehľad výkonov  kontrol zákazu NPNZ a uložených pokút za obdobie január - februá</w:t>
      </w:r>
      <w:r w:rsidRPr="001F392C">
        <w:rPr>
          <w:i/>
        </w:rPr>
        <w:t>r 2013</w:t>
      </w:r>
    </w:p>
    <w:tbl>
      <w:tblPr>
        <w:tblW w:w="9258" w:type="dxa"/>
        <w:tblInd w:w="55" w:type="dxa"/>
        <w:tblCellMar>
          <w:left w:w="70" w:type="dxa"/>
          <w:right w:w="70" w:type="dxa"/>
        </w:tblCellMar>
        <w:tblLook w:val="04A0"/>
      </w:tblPr>
      <w:tblGrid>
        <w:gridCol w:w="2512"/>
        <w:gridCol w:w="1018"/>
        <w:gridCol w:w="774"/>
        <w:gridCol w:w="818"/>
        <w:gridCol w:w="609"/>
        <w:gridCol w:w="652"/>
        <w:gridCol w:w="883"/>
        <w:gridCol w:w="718"/>
        <w:gridCol w:w="737"/>
        <w:gridCol w:w="874"/>
      </w:tblGrid>
      <w:tr w:rsidR="00730E81" w:rsidRPr="001F392C" w:rsidTr="00025C5E">
        <w:trPr>
          <w:trHeight w:val="290"/>
        </w:trPr>
        <w:tc>
          <w:tcPr>
            <w:tcW w:w="2512" w:type="dxa"/>
            <w:vMerge w:val="restart"/>
            <w:tcBorders>
              <w:top w:val="single" w:sz="4" w:space="0" w:color="auto"/>
              <w:left w:val="single" w:sz="4" w:space="0" w:color="auto"/>
              <w:bottom w:val="single" w:sz="4" w:space="0" w:color="auto"/>
              <w:right w:val="single" w:sz="4" w:space="0" w:color="auto"/>
            </w:tcBorders>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 </w:t>
            </w:r>
          </w:p>
        </w:tc>
        <w:tc>
          <w:tcPr>
            <w:tcW w:w="5872" w:type="dxa"/>
            <w:gridSpan w:val="8"/>
            <w:tcBorders>
              <w:top w:val="single" w:sz="4" w:space="0" w:color="auto"/>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Výkon ukončený v januári a februári 2013</w:t>
            </w:r>
          </w:p>
        </w:tc>
        <w:tc>
          <w:tcPr>
            <w:tcW w:w="874" w:type="dxa"/>
            <w:tcBorders>
              <w:top w:val="single" w:sz="4" w:space="0" w:color="auto"/>
              <w:left w:val="nil"/>
              <w:bottom w:val="single" w:sz="4" w:space="0" w:color="auto"/>
              <w:right w:val="single" w:sz="4" w:space="0" w:color="auto"/>
            </w:tcBorders>
            <w:noWrap/>
            <w:vAlign w:val="bottom"/>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 </w:t>
            </w:r>
          </w:p>
        </w:tc>
      </w:tr>
      <w:tr w:rsidR="00730E81" w:rsidRPr="001F392C" w:rsidTr="00025C5E">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E81" w:rsidRPr="001F392C" w:rsidRDefault="00730E81" w:rsidP="00025C5E">
            <w:pPr>
              <w:rPr>
                <w:b/>
                <w:bCs/>
                <w:color w:val="000000"/>
                <w:sz w:val="20"/>
                <w:szCs w:val="20"/>
                <w:lang w:eastAsia="sk-SK"/>
              </w:rPr>
            </w:pPr>
          </w:p>
        </w:tc>
        <w:tc>
          <w:tcPr>
            <w:tcW w:w="936"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Bratislava</w:t>
            </w:r>
          </w:p>
        </w:tc>
        <w:tc>
          <w:tcPr>
            <w:tcW w:w="678"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Trnava</w:t>
            </w:r>
          </w:p>
        </w:tc>
        <w:tc>
          <w:tcPr>
            <w:tcW w:w="733"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Trenčín</w:t>
            </w:r>
          </w:p>
        </w:tc>
        <w:tc>
          <w:tcPr>
            <w:tcW w:w="609"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Nitra</w:t>
            </w:r>
          </w:p>
        </w:tc>
        <w:tc>
          <w:tcPr>
            <w:tcW w:w="609"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Žilina</w:t>
            </w:r>
          </w:p>
        </w:tc>
        <w:tc>
          <w:tcPr>
            <w:tcW w:w="883" w:type="dxa"/>
            <w:tcBorders>
              <w:top w:val="nil"/>
              <w:left w:val="nil"/>
              <w:bottom w:val="single" w:sz="4" w:space="0" w:color="auto"/>
              <w:right w:val="single" w:sz="4" w:space="0" w:color="auto"/>
            </w:tcBorders>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Banská Bystrica</w:t>
            </w:r>
          </w:p>
        </w:tc>
        <w:tc>
          <w:tcPr>
            <w:tcW w:w="687"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Prešov</w:t>
            </w:r>
          </w:p>
        </w:tc>
        <w:tc>
          <w:tcPr>
            <w:tcW w:w="737"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Košice</w:t>
            </w:r>
          </w:p>
        </w:tc>
        <w:tc>
          <w:tcPr>
            <w:tcW w:w="874" w:type="dxa"/>
            <w:tcBorders>
              <w:top w:val="nil"/>
              <w:left w:val="nil"/>
              <w:bottom w:val="single" w:sz="4" w:space="0" w:color="auto"/>
              <w:right w:val="single" w:sz="4" w:space="0" w:color="auto"/>
            </w:tcBorders>
            <w:noWrap/>
            <w:vAlign w:val="center"/>
            <w:hideMark/>
          </w:tcPr>
          <w:p w:rsidR="00730E81" w:rsidRPr="001F392C" w:rsidRDefault="00730E81" w:rsidP="00025C5E">
            <w:pPr>
              <w:jc w:val="center"/>
              <w:rPr>
                <w:b/>
                <w:bCs/>
                <w:color w:val="000000"/>
                <w:sz w:val="20"/>
                <w:szCs w:val="20"/>
                <w:lang w:eastAsia="sk-SK"/>
              </w:rPr>
            </w:pPr>
            <w:r w:rsidRPr="001F392C">
              <w:rPr>
                <w:b/>
                <w:bCs/>
                <w:color w:val="000000"/>
                <w:sz w:val="20"/>
                <w:szCs w:val="20"/>
                <w:lang w:eastAsia="sk-SK"/>
              </w:rPr>
              <w:t>Spolu</w:t>
            </w:r>
          </w:p>
        </w:tc>
      </w:tr>
      <w:tr w:rsidR="00730E81" w:rsidRPr="001F392C" w:rsidTr="00025C5E">
        <w:trPr>
          <w:trHeight w:val="290"/>
        </w:trPr>
        <w:tc>
          <w:tcPr>
            <w:tcW w:w="2512" w:type="dxa"/>
            <w:tcBorders>
              <w:top w:val="nil"/>
              <w:left w:val="single" w:sz="4" w:space="0" w:color="auto"/>
              <w:bottom w:val="single" w:sz="4" w:space="0" w:color="auto"/>
              <w:right w:val="single" w:sz="4" w:space="0" w:color="auto"/>
            </w:tcBorders>
            <w:noWrap/>
            <w:vAlign w:val="bottom"/>
            <w:hideMark/>
          </w:tcPr>
          <w:p w:rsidR="00730E81" w:rsidRPr="001F392C" w:rsidRDefault="00730E81" w:rsidP="00025C5E">
            <w:pPr>
              <w:rPr>
                <w:color w:val="000000"/>
                <w:sz w:val="20"/>
                <w:szCs w:val="20"/>
                <w:lang w:eastAsia="sk-SK"/>
              </w:rPr>
            </w:pPr>
            <w:r w:rsidRPr="001F392C">
              <w:rPr>
                <w:color w:val="000000"/>
                <w:sz w:val="20"/>
                <w:szCs w:val="20"/>
                <w:lang w:eastAsia="sk-SK"/>
              </w:rPr>
              <w:t>Výkony spolu</w:t>
            </w:r>
          </w:p>
        </w:tc>
        <w:tc>
          <w:tcPr>
            <w:tcW w:w="936"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1 570</w:t>
            </w:r>
          </w:p>
        </w:tc>
        <w:tc>
          <w:tcPr>
            <w:tcW w:w="678"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308</w:t>
            </w:r>
          </w:p>
        </w:tc>
        <w:tc>
          <w:tcPr>
            <w:tcW w:w="73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948</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1 498</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1 270</w:t>
            </w:r>
          </w:p>
        </w:tc>
        <w:tc>
          <w:tcPr>
            <w:tcW w:w="88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778</w:t>
            </w:r>
          </w:p>
        </w:tc>
        <w:tc>
          <w:tcPr>
            <w:tcW w:w="68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1 150</w:t>
            </w:r>
          </w:p>
        </w:tc>
        <w:tc>
          <w:tcPr>
            <w:tcW w:w="73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1 123</w:t>
            </w:r>
          </w:p>
        </w:tc>
        <w:tc>
          <w:tcPr>
            <w:tcW w:w="874"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bCs/>
                <w:color w:val="000000"/>
                <w:sz w:val="20"/>
                <w:szCs w:val="20"/>
                <w:lang w:eastAsia="sk-SK"/>
              </w:rPr>
            </w:pPr>
            <w:r w:rsidRPr="001F392C">
              <w:rPr>
                <w:bCs/>
                <w:color w:val="000000"/>
                <w:sz w:val="20"/>
                <w:szCs w:val="20"/>
                <w:lang w:eastAsia="sk-SK"/>
              </w:rPr>
              <w:t>8 645</w:t>
            </w:r>
          </w:p>
        </w:tc>
      </w:tr>
      <w:tr w:rsidR="00730E81" w:rsidRPr="001F392C" w:rsidTr="00025C5E">
        <w:trPr>
          <w:trHeight w:val="290"/>
        </w:trPr>
        <w:tc>
          <w:tcPr>
            <w:tcW w:w="2512" w:type="dxa"/>
            <w:tcBorders>
              <w:top w:val="nil"/>
              <w:left w:val="single" w:sz="4" w:space="0" w:color="auto"/>
              <w:bottom w:val="single" w:sz="4" w:space="0" w:color="auto"/>
              <w:right w:val="single" w:sz="4" w:space="0" w:color="auto"/>
            </w:tcBorders>
            <w:noWrap/>
            <w:vAlign w:val="bottom"/>
            <w:hideMark/>
          </w:tcPr>
          <w:p w:rsidR="00730E81" w:rsidRPr="001F392C" w:rsidRDefault="00730E81" w:rsidP="00025C5E">
            <w:pPr>
              <w:rPr>
                <w:bCs/>
                <w:i/>
                <w:iCs/>
                <w:color w:val="000000"/>
                <w:sz w:val="20"/>
                <w:szCs w:val="20"/>
                <w:lang w:eastAsia="sk-SK"/>
              </w:rPr>
            </w:pPr>
            <w:r w:rsidRPr="001F392C">
              <w:rPr>
                <w:bCs/>
                <w:i/>
                <w:iCs/>
                <w:color w:val="000000"/>
                <w:sz w:val="20"/>
                <w:szCs w:val="20"/>
                <w:lang w:eastAsia="sk-SK"/>
              </w:rPr>
              <w:t xml:space="preserve">z toho iba výkony </w:t>
            </w:r>
          </w:p>
          <w:p w:rsidR="00730E81" w:rsidRPr="001F392C" w:rsidRDefault="00730E81" w:rsidP="00025C5E">
            <w:pPr>
              <w:rPr>
                <w:bCs/>
                <w:i/>
                <w:iCs/>
                <w:color w:val="000000"/>
                <w:sz w:val="20"/>
                <w:szCs w:val="20"/>
                <w:lang w:eastAsia="sk-SK"/>
              </w:rPr>
            </w:pPr>
            <w:r w:rsidRPr="001F392C">
              <w:rPr>
                <w:bCs/>
                <w:i/>
                <w:iCs/>
                <w:color w:val="000000"/>
                <w:sz w:val="20"/>
                <w:szCs w:val="20"/>
                <w:lang w:eastAsia="sk-SK"/>
              </w:rPr>
              <w:t>v</w:t>
            </w:r>
            <w:r w:rsidR="00281AA8" w:rsidRPr="001F392C">
              <w:rPr>
                <w:bCs/>
                <w:i/>
                <w:iCs/>
                <w:color w:val="000000"/>
                <w:sz w:val="20"/>
                <w:szCs w:val="20"/>
                <w:lang w:eastAsia="sk-SK"/>
              </w:rPr>
              <w:t> </w:t>
            </w:r>
            <w:r w:rsidRPr="001F392C">
              <w:rPr>
                <w:bCs/>
                <w:i/>
                <w:iCs/>
                <w:color w:val="000000"/>
                <w:sz w:val="20"/>
                <w:szCs w:val="20"/>
                <w:lang w:eastAsia="sk-SK"/>
              </w:rPr>
              <w:t>NPNZ</w:t>
            </w:r>
          </w:p>
        </w:tc>
        <w:tc>
          <w:tcPr>
            <w:tcW w:w="936"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70</w:t>
            </w:r>
          </w:p>
        </w:tc>
        <w:tc>
          <w:tcPr>
            <w:tcW w:w="678"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74</w:t>
            </w:r>
          </w:p>
        </w:tc>
        <w:tc>
          <w:tcPr>
            <w:tcW w:w="73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134</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390</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346</w:t>
            </w:r>
          </w:p>
        </w:tc>
        <w:tc>
          <w:tcPr>
            <w:tcW w:w="88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114</w:t>
            </w:r>
          </w:p>
        </w:tc>
        <w:tc>
          <w:tcPr>
            <w:tcW w:w="68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418</w:t>
            </w:r>
          </w:p>
        </w:tc>
        <w:tc>
          <w:tcPr>
            <w:tcW w:w="73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302</w:t>
            </w:r>
          </w:p>
        </w:tc>
        <w:tc>
          <w:tcPr>
            <w:tcW w:w="874"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bCs/>
                <w:color w:val="000000"/>
                <w:sz w:val="20"/>
                <w:szCs w:val="20"/>
                <w:lang w:eastAsia="sk-SK"/>
              </w:rPr>
            </w:pPr>
            <w:r w:rsidRPr="001F392C">
              <w:rPr>
                <w:bCs/>
                <w:color w:val="000000"/>
                <w:sz w:val="20"/>
                <w:szCs w:val="20"/>
                <w:lang w:eastAsia="sk-SK"/>
              </w:rPr>
              <w:t>1 848</w:t>
            </w:r>
          </w:p>
        </w:tc>
      </w:tr>
      <w:tr w:rsidR="00730E81" w:rsidRPr="001F392C" w:rsidTr="00025C5E">
        <w:trPr>
          <w:trHeight w:val="290"/>
        </w:trPr>
        <w:tc>
          <w:tcPr>
            <w:tcW w:w="2512" w:type="dxa"/>
            <w:tcBorders>
              <w:top w:val="nil"/>
              <w:left w:val="single" w:sz="4" w:space="0" w:color="auto"/>
              <w:bottom w:val="single" w:sz="4" w:space="0" w:color="auto"/>
              <w:right w:val="single" w:sz="4" w:space="0" w:color="auto"/>
            </w:tcBorders>
            <w:noWrap/>
            <w:vAlign w:val="bottom"/>
            <w:hideMark/>
          </w:tcPr>
          <w:p w:rsidR="00730E81" w:rsidRPr="001F392C" w:rsidRDefault="00730E81" w:rsidP="00025C5E">
            <w:pPr>
              <w:rPr>
                <w:color w:val="000000"/>
                <w:sz w:val="20"/>
                <w:szCs w:val="20"/>
                <w:lang w:eastAsia="sk-SK"/>
              </w:rPr>
            </w:pPr>
            <w:r w:rsidRPr="001F392C">
              <w:rPr>
                <w:color w:val="000000"/>
                <w:sz w:val="20"/>
                <w:szCs w:val="20"/>
                <w:lang w:eastAsia="sk-SK"/>
              </w:rPr>
              <w:t>Zistené NZ</w:t>
            </w:r>
          </w:p>
        </w:tc>
        <w:tc>
          <w:tcPr>
            <w:tcW w:w="936"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w:t>
            </w:r>
          </w:p>
        </w:tc>
        <w:tc>
          <w:tcPr>
            <w:tcW w:w="678"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2</w:t>
            </w:r>
          </w:p>
        </w:tc>
        <w:tc>
          <w:tcPr>
            <w:tcW w:w="73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2</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8</w:t>
            </w:r>
          </w:p>
        </w:tc>
        <w:tc>
          <w:tcPr>
            <w:tcW w:w="88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w:t>
            </w:r>
          </w:p>
        </w:tc>
        <w:tc>
          <w:tcPr>
            <w:tcW w:w="68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10</w:t>
            </w:r>
          </w:p>
        </w:tc>
        <w:tc>
          <w:tcPr>
            <w:tcW w:w="73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10</w:t>
            </w:r>
          </w:p>
        </w:tc>
        <w:tc>
          <w:tcPr>
            <w:tcW w:w="874"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bCs/>
                <w:color w:val="000000"/>
                <w:sz w:val="20"/>
                <w:szCs w:val="20"/>
                <w:lang w:eastAsia="sk-SK"/>
              </w:rPr>
            </w:pPr>
            <w:r w:rsidRPr="001F392C">
              <w:rPr>
                <w:bCs/>
                <w:color w:val="000000"/>
                <w:sz w:val="20"/>
                <w:szCs w:val="20"/>
                <w:lang w:eastAsia="sk-SK"/>
              </w:rPr>
              <w:t>38</w:t>
            </w:r>
          </w:p>
        </w:tc>
      </w:tr>
      <w:tr w:rsidR="00730E81" w:rsidRPr="001F392C" w:rsidTr="00025C5E">
        <w:trPr>
          <w:trHeight w:val="290"/>
        </w:trPr>
        <w:tc>
          <w:tcPr>
            <w:tcW w:w="2512" w:type="dxa"/>
            <w:tcBorders>
              <w:top w:val="nil"/>
              <w:left w:val="single" w:sz="4" w:space="0" w:color="auto"/>
              <w:bottom w:val="single" w:sz="4" w:space="0" w:color="auto"/>
              <w:right w:val="single" w:sz="4" w:space="0" w:color="auto"/>
            </w:tcBorders>
            <w:noWrap/>
            <w:vAlign w:val="bottom"/>
            <w:hideMark/>
          </w:tcPr>
          <w:p w:rsidR="00730E81" w:rsidRPr="001F392C" w:rsidRDefault="00730E81" w:rsidP="00025C5E">
            <w:pPr>
              <w:rPr>
                <w:color w:val="000000"/>
                <w:sz w:val="20"/>
                <w:szCs w:val="20"/>
                <w:lang w:eastAsia="sk-SK"/>
              </w:rPr>
            </w:pPr>
            <w:r w:rsidRPr="001F392C">
              <w:rPr>
                <w:color w:val="000000"/>
                <w:sz w:val="20"/>
                <w:szCs w:val="20"/>
                <w:lang w:eastAsia="sk-SK"/>
              </w:rPr>
              <w:t>Uložené postihy</w:t>
            </w:r>
          </w:p>
        </w:tc>
        <w:tc>
          <w:tcPr>
            <w:tcW w:w="936"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678"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73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8</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88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7</w:t>
            </w:r>
          </w:p>
        </w:tc>
        <w:tc>
          <w:tcPr>
            <w:tcW w:w="68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73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1</w:t>
            </w:r>
          </w:p>
        </w:tc>
        <w:tc>
          <w:tcPr>
            <w:tcW w:w="874"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bCs/>
                <w:color w:val="000000"/>
                <w:sz w:val="20"/>
                <w:szCs w:val="20"/>
                <w:lang w:eastAsia="sk-SK"/>
              </w:rPr>
            </w:pPr>
            <w:r w:rsidRPr="001F392C">
              <w:rPr>
                <w:bCs/>
                <w:color w:val="000000"/>
                <w:sz w:val="20"/>
                <w:szCs w:val="20"/>
                <w:lang w:eastAsia="sk-SK"/>
              </w:rPr>
              <w:t>16</w:t>
            </w:r>
          </w:p>
        </w:tc>
      </w:tr>
      <w:tr w:rsidR="00730E81" w:rsidRPr="001F392C" w:rsidTr="00025C5E">
        <w:trPr>
          <w:trHeight w:val="290"/>
        </w:trPr>
        <w:tc>
          <w:tcPr>
            <w:tcW w:w="2512" w:type="dxa"/>
            <w:tcBorders>
              <w:top w:val="nil"/>
              <w:left w:val="single" w:sz="4" w:space="0" w:color="auto"/>
              <w:bottom w:val="single" w:sz="4" w:space="0" w:color="auto"/>
              <w:right w:val="single" w:sz="4" w:space="0" w:color="auto"/>
            </w:tcBorders>
            <w:noWrap/>
            <w:vAlign w:val="bottom"/>
            <w:hideMark/>
          </w:tcPr>
          <w:p w:rsidR="00730E81" w:rsidRPr="001F392C" w:rsidRDefault="00730E81" w:rsidP="00025C5E">
            <w:pPr>
              <w:rPr>
                <w:color w:val="000000"/>
                <w:sz w:val="20"/>
                <w:szCs w:val="20"/>
                <w:lang w:eastAsia="sk-SK"/>
              </w:rPr>
            </w:pPr>
            <w:r w:rsidRPr="001F392C">
              <w:rPr>
                <w:color w:val="000000"/>
                <w:sz w:val="20"/>
                <w:szCs w:val="20"/>
                <w:lang w:eastAsia="sk-SK"/>
              </w:rPr>
              <w:t xml:space="preserve">Uložené postihy v </w:t>
            </w:r>
            <w:r w:rsidR="00D73771" w:rsidRPr="001F392C">
              <w:rPr>
                <w:color w:val="000000"/>
                <w:sz w:val="20"/>
                <w:szCs w:val="20"/>
                <w:lang w:eastAsia="sk-SK"/>
              </w:rPr>
              <w:t>Eur</w:t>
            </w:r>
          </w:p>
        </w:tc>
        <w:tc>
          <w:tcPr>
            <w:tcW w:w="936"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678"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73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4 960</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609"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883"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20 265</w:t>
            </w:r>
          </w:p>
        </w:tc>
        <w:tc>
          <w:tcPr>
            <w:tcW w:w="68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0</w:t>
            </w:r>
          </w:p>
        </w:tc>
        <w:tc>
          <w:tcPr>
            <w:tcW w:w="737"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color w:val="000000"/>
                <w:sz w:val="20"/>
                <w:szCs w:val="20"/>
                <w:lang w:eastAsia="sk-SK"/>
              </w:rPr>
            </w:pPr>
            <w:r w:rsidRPr="001F392C">
              <w:rPr>
                <w:color w:val="000000"/>
                <w:sz w:val="20"/>
                <w:szCs w:val="20"/>
                <w:lang w:eastAsia="sk-SK"/>
              </w:rPr>
              <w:t>33 000</w:t>
            </w:r>
          </w:p>
        </w:tc>
        <w:tc>
          <w:tcPr>
            <w:tcW w:w="874" w:type="dxa"/>
            <w:tcBorders>
              <w:top w:val="nil"/>
              <w:left w:val="nil"/>
              <w:bottom w:val="single" w:sz="4" w:space="0" w:color="auto"/>
              <w:right w:val="single" w:sz="4" w:space="0" w:color="auto"/>
            </w:tcBorders>
            <w:noWrap/>
            <w:vAlign w:val="bottom"/>
            <w:hideMark/>
          </w:tcPr>
          <w:p w:rsidR="00730E81" w:rsidRPr="001F392C" w:rsidRDefault="00730E81" w:rsidP="00025C5E">
            <w:pPr>
              <w:jc w:val="right"/>
              <w:rPr>
                <w:bCs/>
                <w:color w:val="000000"/>
                <w:sz w:val="20"/>
                <w:szCs w:val="20"/>
                <w:lang w:eastAsia="sk-SK"/>
              </w:rPr>
            </w:pPr>
            <w:r w:rsidRPr="001F392C">
              <w:rPr>
                <w:bCs/>
                <w:color w:val="000000"/>
                <w:sz w:val="20"/>
                <w:szCs w:val="20"/>
                <w:lang w:eastAsia="sk-SK"/>
              </w:rPr>
              <w:t>58 225</w:t>
            </w:r>
          </w:p>
        </w:tc>
      </w:tr>
    </w:tbl>
    <w:p w:rsidR="00730E81" w:rsidRPr="001F392C" w:rsidRDefault="007A29EF" w:rsidP="007A29EF">
      <w:pPr>
        <w:jc w:val="both"/>
        <w:rPr>
          <w:color w:val="000000"/>
          <w:sz w:val="20"/>
          <w:szCs w:val="20"/>
        </w:rPr>
      </w:pPr>
      <w:r w:rsidRPr="001F392C">
        <w:rPr>
          <w:color w:val="000000"/>
          <w:sz w:val="20"/>
          <w:szCs w:val="20"/>
        </w:rPr>
        <w:t>Zdroj:</w:t>
      </w:r>
      <w:r w:rsidR="004C2F61" w:rsidRPr="001F392C">
        <w:rPr>
          <w:color w:val="000000"/>
          <w:sz w:val="20"/>
          <w:szCs w:val="20"/>
        </w:rPr>
        <w:t xml:space="preserve"> Národný inšpektorát práce</w:t>
      </w:r>
    </w:p>
    <w:p w:rsidR="007A29EF" w:rsidRPr="001F392C" w:rsidRDefault="007A29EF" w:rsidP="00730E81">
      <w:pPr>
        <w:jc w:val="both"/>
        <w:rPr>
          <w:color w:val="000000"/>
        </w:rPr>
      </w:pPr>
    </w:p>
    <w:p w:rsidR="00730E81" w:rsidRPr="001F392C" w:rsidRDefault="00730E81" w:rsidP="007A29EF">
      <w:pPr>
        <w:ind w:firstLine="709"/>
        <w:jc w:val="both"/>
      </w:pPr>
      <w:r w:rsidRPr="001F392C">
        <w:rPr>
          <w:color w:val="000000"/>
        </w:rPr>
        <w:t>Uvedené údaje o výkonoch inšpekcie práce v oblasti NPNZ nie sú konečné, nakoľko nie všetky previerky sú už ukončené a</w:t>
      </w:r>
      <w:r w:rsidRPr="001F392C">
        <w:t xml:space="preserve"> v súčasnosti prebiehajú správne konania vo veci uloženia pokuty. </w:t>
      </w:r>
    </w:p>
    <w:p w:rsidR="00730E81" w:rsidRPr="001F392C" w:rsidRDefault="00730E81" w:rsidP="00730E81">
      <w:pPr>
        <w:jc w:val="both"/>
        <w:rPr>
          <w:color w:val="000000"/>
        </w:rPr>
      </w:pPr>
    </w:p>
    <w:p w:rsidR="00730E81" w:rsidRPr="001F392C" w:rsidRDefault="00730E81" w:rsidP="007A29EF">
      <w:pPr>
        <w:ind w:firstLine="709"/>
        <w:jc w:val="both"/>
        <w:rPr>
          <w:color w:val="000000"/>
        </w:rPr>
      </w:pPr>
      <w:r w:rsidRPr="001F392C">
        <w:rPr>
          <w:color w:val="000000"/>
        </w:rPr>
        <w:lastRenderedPageBreak/>
        <w:t xml:space="preserve">V januári a februári 2013 bolo odhalené porušenie zákazu NPNZ v 22 subjektoch.  </w:t>
      </w:r>
    </w:p>
    <w:p w:rsidR="00730E81" w:rsidRPr="001F392C" w:rsidRDefault="00730E81" w:rsidP="007A29EF">
      <w:pPr>
        <w:jc w:val="both"/>
      </w:pPr>
    </w:p>
    <w:p w:rsidR="00730E81" w:rsidRPr="001F392C" w:rsidRDefault="00730E81" w:rsidP="007A29EF">
      <w:pPr>
        <w:pStyle w:val="Odsekzoznamu"/>
        <w:numPr>
          <w:ilvl w:val="0"/>
          <w:numId w:val="11"/>
        </w:numPr>
        <w:autoSpaceDE w:val="0"/>
        <w:autoSpaceDN w:val="0"/>
        <w:adjustRightInd w:val="0"/>
        <w:contextualSpacing/>
        <w:jc w:val="both"/>
        <w:rPr>
          <w:color w:val="000000"/>
        </w:rPr>
      </w:pPr>
      <w:r w:rsidRPr="001F392C">
        <w:rPr>
          <w:b/>
          <w:color w:val="000000"/>
        </w:rPr>
        <w:t xml:space="preserve">Inšpekciou práce v spolupráci so zložkami Policajného zboru: </w:t>
      </w:r>
    </w:p>
    <w:p w:rsidR="007A29EF" w:rsidRPr="001F392C" w:rsidRDefault="007A29EF" w:rsidP="007A29EF">
      <w:pPr>
        <w:autoSpaceDE w:val="0"/>
        <w:autoSpaceDN w:val="0"/>
        <w:adjustRightInd w:val="0"/>
        <w:jc w:val="both"/>
        <w:rPr>
          <w:color w:val="000000"/>
        </w:rPr>
      </w:pPr>
    </w:p>
    <w:p w:rsidR="00730E81" w:rsidRPr="001F392C" w:rsidRDefault="00730E81" w:rsidP="00281AA8">
      <w:pPr>
        <w:autoSpaceDE w:val="0"/>
        <w:autoSpaceDN w:val="0"/>
        <w:adjustRightInd w:val="0"/>
        <w:ind w:firstLine="709"/>
        <w:jc w:val="both"/>
        <w:rPr>
          <w:color w:val="000000"/>
        </w:rPr>
      </w:pPr>
      <w:r w:rsidRPr="001F392C">
        <w:rPr>
          <w:color w:val="000000"/>
        </w:rPr>
        <w:t>Celkovo bolo v uvedenom období uskutočnených 13 spoločných kontrol</w:t>
      </w:r>
      <w:r w:rsidR="00281AA8" w:rsidRPr="001F392C">
        <w:rPr>
          <w:color w:val="000000"/>
        </w:rPr>
        <w:t xml:space="preserve">, </w:t>
      </w:r>
      <w:r w:rsidRPr="001F392C">
        <w:rPr>
          <w:color w:val="000000"/>
        </w:rPr>
        <w:t xml:space="preserve">skontrolovaných </w:t>
      </w:r>
      <w:r w:rsidR="00281AA8" w:rsidRPr="001F392C">
        <w:rPr>
          <w:color w:val="000000"/>
        </w:rPr>
        <w:t xml:space="preserve">bolo </w:t>
      </w:r>
      <w:r w:rsidRPr="001F392C">
        <w:rPr>
          <w:color w:val="000000"/>
        </w:rPr>
        <w:t>1</w:t>
      </w:r>
      <w:r w:rsidR="007A29EF" w:rsidRPr="001F392C">
        <w:rPr>
          <w:color w:val="000000"/>
        </w:rPr>
        <w:t> </w:t>
      </w:r>
      <w:r w:rsidRPr="001F392C">
        <w:rPr>
          <w:color w:val="000000"/>
        </w:rPr>
        <w:t>491</w:t>
      </w:r>
      <w:r w:rsidR="007A29EF" w:rsidRPr="001F392C">
        <w:rPr>
          <w:color w:val="000000"/>
        </w:rPr>
        <w:t xml:space="preserve"> </w:t>
      </w:r>
      <w:r w:rsidRPr="001F392C">
        <w:rPr>
          <w:color w:val="000000"/>
        </w:rPr>
        <w:t xml:space="preserve">cudzincov. Nelegálne zamestnávanie bolo zistené v 3 subjektoch a nelegálne zamestnaných cudzincov bez povolenia na prácu bolo 6. Za uvedené obdobie boli udelené pokuty vo výške 2 502 </w:t>
      </w:r>
      <w:r w:rsidR="00D73771" w:rsidRPr="001F392C">
        <w:rPr>
          <w:color w:val="000000"/>
        </w:rPr>
        <w:t>Eur</w:t>
      </w:r>
      <w:r w:rsidRPr="001F392C">
        <w:rPr>
          <w:color w:val="000000"/>
        </w:rPr>
        <w:t xml:space="preserve">. </w:t>
      </w:r>
    </w:p>
    <w:p w:rsidR="00730E81" w:rsidRPr="001F392C" w:rsidRDefault="00730E81" w:rsidP="007A29EF">
      <w:pPr>
        <w:pStyle w:val="Nadpis1"/>
        <w:shd w:val="clear" w:color="auto" w:fill="FFFFFF"/>
        <w:spacing w:before="0"/>
        <w:jc w:val="both"/>
        <w:rPr>
          <w:rFonts w:ascii="Times New Roman" w:hAnsi="Times New Roman" w:cs="Times New Roman"/>
          <w:b w:val="0"/>
          <w:bCs w:val="0"/>
          <w:color w:val="000000"/>
          <w:sz w:val="24"/>
          <w:szCs w:val="24"/>
          <w:lang w:eastAsia="en-US"/>
        </w:rPr>
      </w:pPr>
    </w:p>
    <w:p w:rsidR="00730E81" w:rsidRPr="001F392C" w:rsidRDefault="00730E81" w:rsidP="007A29EF">
      <w:pPr>
        <w:pStyle w:val="Odsekzoznamu"/>
        <w:numPr>
          <w:ilvl w:val="0"/>
          <w:numId w:val="11"/>
        </w:numPr>
        <w:shd w:val="clear" w:color="auto" w:fill="FFFFFF"/>
        <w:contextualSpacing/>
        <w:jc w:val="both"/>
        <w:rPr>
          <w:color w:val="000000"/>
        </w:rPr>
      </w:pPr>
      <w:r w:rsidRPr="001F392C">
        <w:rPr>
          <w:b/>
          <w:color w:val="000000"/>
        </w:rPr>
        <w:t xml:space="preserve">Ústredím </w:t>
      </w:r>
      <w:r w:rsidR="00782C34" w:rsidRPr="001F392C">
        <w:rPr>
          <w:b/>
          <w:color w:val="000000"/>
        </w:rPr>
        <w:t xml:space="preserve">PSVR </w:t>
      </w:r>
      <w:r w:rsidRPr="001F392C">
        <w:rPr>
          <w:b/>
          <w:color w:val="000000"/>
        </w:rPr>
        <w:t xml:space="preserve">a úradmi </w:t>
      </w:r>
      <w:r w:rsidR="00782C34" w:rsidRPr="001F392C">
        <w:rPr>
          <w:b/>
          <w:color w:val="000000"/>
        </w:rPr>
        <w:t>PSVR</w:t>
      </w:r>
      <w:r w:rsidRPr="001F392C">
        <w:rPr>
          <w:b/>
          <w:color w:val="000000"/>
        </w:rPr>
        <w:t xml:space="preserve">: </w:t>
      </w:r>
    </w:p>
    <w:p w:rsidR="007A29EF" w:rsidRPr="001F392C" w:rsidRDefault="007A29EF" w:rsidP="007A29EF">
      <w:pPr>
        <w:jc w:val="both"/>
      </w:pPr>
    </w:p>
    <w:p w:rsidR="00730E81" w:rsidRPr="001F392C" w:rsidRDefault="00281AA8" w:rsidP="007A29EF">
      <w:pPr>
        <w:ind w:firstLine="709"/>
        <w:jc w:val="both"/>
      </w:pPr>
      <w:r w:rsidRPr="001F392C">
        <w:t xml:space="preserve">V </w:t>
      </w:r>
      <w:r w:rsidR="00730E81" w:rsidRPr="001F392C">
        <w:t xml:space="preserve">uvedenom období bolo vykonaných 363 kontrol zameraných na odhaľovanie NPNZ a skontrolovaných bolo 895 fyzických osôb. Bolo odhalených celkovo 37 nelegálne zamestnaných osôb a udelilo sa 5 pokút v sume 14 600 </w:t>
      </w:r>
      <w:r w:rsidR="007A29EF" w:rsidRPr="001F392C">
        <w:t>Eur</w:t>
      </w:r>
      <w:r w:rsidR="00730E81" w:rsidRPr="001F392C">
        <w:t>.</w:t>
      </w:r>
    </w:p>
    <w:p w:rsidR="00A86097" w:rsidRPr="001F392C" w:rsidRDefault="00A86097" w:rsidP="007A29EF">
      <w:pPr>
        <w:autoSpaceDE w:val="0"/>
        <w:autoSpaceDN w:val="0"/>
        <w:adjustRightInd w:val="0"/>
        <w:rPr>
          <w:b/>
          <w:u w:val="single"/>
        </w:rPr>
      </w:pPr>
    </w:p>
    <w:p w:rsidR="00384EF1" w:rsidRPr="001F392C" w:rsidRDefault="00384EF1"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 xml:space="preserve">Vplyvy aktívnej politiky trhu práce       </w:t>
      </w:r>
    </w:p>
    <w:p w:rsidR="007A29EF" w:rsidRPr="001F392C" w:rsidRDefault="007A29EF" w:rsidP="007A29EF">
      <w:pPr>
        <w:pStyle w:val="Nadpis7"/>
        <w:spacing w:before="0" w:after="0"/>
        <w:rPr>
          <w:rFonts w:ascii="Times New Roman" w:hAnsi="Times New Roman"/>
          <w:b/>
        </w:rPr>
      </w:pPr>
    </w:p>
    <w:p w:rsidR="002B083B" w:rsidRPr="001F392C" w:rsidRDefault="002B083B" w:rsidP="001355C9">
      <w:pPr>
        <w:pStyle w:val="3Title"/>
        <w:numPr>
          <w:ilvl w:val="2"/>
          <w:numId w:val="26"/>
        </w:numPr>
        <w:tabs>
          <w:tab w:val="clear" w:pos="9360"/>
          <w:tab w:val="left" w:pos="709"/>
        </w:tabs>
        <w:ind w:left="709" w:hanging="709"/>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 xml:space="preserve">Zásadné vplyvy </w:t>
      </w:r>
      <w:r w:rsidR="005D1C43" w:rsidRPr="001F392C">
        <w:rPr>
          <w:rFonts w:ascii="Times New Roman" w:hAnsi="Times New Roman" w:cs="Times New Roman"/>
          <w:b/>
          <w:sz w:val="24"/>
          <w:szCs w:val="24"/>
          <w:lang w:val="sk-SK"/>
        </w:rPr>
        <w:t>aktívnej politiky trhu práce</w:t>
      </w:r>
    </w:p>
    <w:p w:rsidR="00B11FCE" w:rsidRPr="001F392C" w:rsidRDefault="00B11FCE" w:rsidP="007A29EF">
      <w:pPr>
        <w:autoSpaceDE w:val="0"/>
        <w:autoSpaceDN w:val="0"/>
        <w:adjustRightInd w:val="0"/>
        <w:jc w:val="both"/>
        <w:rPr>
          <w:lang w:eastAsia="sk-SK"/>
        </w:rPr>
      </w:pPr>
    </w:p>
    <w:p w:rsidR="00BB0941" w:rsidRPr="001F392C" w:rsidRDefault="0075219B" w:rsidP="007A29EF">
      <w:pPr>
        <w:autoSpaceDE w:val="0"/>
        <w:autoSpaceDN w:val="0"/>
        <w:adjustRightInd w:val="0"/>
        <w:ind w:firstLine="709"/>
        <w:jc w:val="both"/>
        <w:rPr>
          <w:lang w:eastAsia="sk-SK"/>
        </w:rPr>
      </w:pPr>
      <w:r w:rsidRPr="001F392C">
        <w:rPr>
          <w:lang w:eastAsia="sk-SK"/>
        </w:rPr>
        <w:t xml:space="preserve">Vplyvy aktívnej politiky trhu práce </w:t>
      </w:r>
      <w:r w:rsidR="00095F73" w:rsidRPr="001F392C">
        <w:rPr>
          <w:lang w:eastAsia="sk-SK"/>
        </w:rPr>
        <w:t xml:space="preserve">(APTP) </w:t>
      </w:r>
      <w:r w:rsidRPr="001F392C">
        <w:rPr>
          <w:lang w:eastAsia="sk-SK"/>
        </w:rPr>
        <w:t xml:space="preserve">na zamestnanosť sa </w:t>
      </w:r>
      <w:r w:rsidR="00C07070" w:rsidRPr="001F392C">
        <w:rPr>
          <w:lang w:eastAsia="sk-SK"/>
        </w:rPr>
        <w:t>zásadným</w:t>
      </w:r>
      <w:r w:rsidRPr="001F392C">
        <w:rPr>
          <w:lang w:eastAsia="sk-SK"/>
        </w:rPr>
        <w:t xml:space="preserve"> spôsobom prejavili najmä </w:t>
      </w:r>
      <w:r w:rsidRPr="001F392C">
        <w:rPr>
          <w:b/>
          <w:lang w:eastAsia="sk-SK"/>
        </w:rPr>
        <w:t>v období globálnej finančnej a hospodárskej krízy</w:t>
      </w:r>
      <w:r w:rsidRPr="001F392C">
        <w:rPr>
          <w:lang w:eastAsia="sk-SK"/>
        </w:rPr>
        <w:t xml:space="preserve">. </w:t>
      </w:r>
      <w:r w:rsidR="00987B01" w:rsidRPr="001F392C">
        <w:rPr>
          <w:lang w:eastAsia="sk-SK"/>
        </w:rPr>
        <w:t xml:space="preserve">So zámerom zmierniť </w:t>
      </w:r>
      <w:r w:rsidRPr="001F392C">
        <w:rPr>
          <w:lang w:eastAsia="sk-SK"/>
        </w:rPr>
        <w:t xml:space="preserve">jej </w:t>
      </w:r>
      <w:r w:rsidR="00987B01" w:rsidRPr="001F392C">
        <w:rPr>
          <w:lang w:eastAsia="sk-SK"/>
        </w:rPr>
        <w:t xml:space="preserve">negatívne dôsledky na ekonomiku  a sociálnu situáciu obyvateľstva  Slovenskej republiky bol prijatý súbor proti krízových opatrení v troch po sebe nasledujúcich „balíkoch opatrení“.  Opatrenia explicitne vzťahujúce sa k trhu práce v podobe nových aktívnych opatrení na trhu práce </w:t>
      </w:r>
      <w:r w:rsidR="00095F73" w:rsidRPr="001F392C">
        <w:rPr>
          <w:lang w:eastAsia="sk-SK"/>
        </w:rPr>
        <w:t xml:space="preserve">(AOTP) </w:t>
      </w:r>
      <w:r w:rsidR="00987B01" w:rsidRPr="001F392C">
        <w:rPr>
          <w:lang w:eastAsia="sk-SK"/>
        </w:rPr>
        <w:t>boli súčasťou druhého proti krízového „balíka opatrení“ známe ako O</w:t>
      </w:r>
      <w:r w:rsidR="00987B01" w:rsidRPr="001F392C">
        <w:t>patrenia na zmiernenie dopadov globálnej finanč</w:t>
      </w:r>
      <w:r w:rsidR="007A29EF" w:rsidRPr="001F392C">
        <w:t xml:space="preserve">nej krízy a hospodárskej krízy </w:t>
      </w:r>
      <w:r w:rsidR="00987B01" w:rsidRPr="001F392C">
        <w:t>na zamestnanosť</w:t>
      </w:r>
      <w:r w:rsidR="00987B01" w:rsidRPr="001F392C">
        <w:rPr>
          <w:lang w:eastAsia="sk-SK"/>
        </w:rPr>
        <w:t xml:space="preserve">. </w:t>
      </w:r>
    </w:p>
    <w:p w:rsidR="00BB0941" w:rsidRPr="001F392C" w:rsidRDefault="00BB0941" w:rsidP="007A29EF">
      <w:pPr>
        <w:autoSpaceDE w:val="0"/>
        <w:autoSpaceDN w:val="0"/>
        <w:adjustRightInd w:val="0"/>
        <w:jc w:val="both"/>
        <w:rPr>
          <w:lang w:eastAsia="sk-SK"/>
        </w:rPr>
      </w:pPr>
    </w:p>
    <w:p w:rsidR="00FF1DFE" w:rsidRPr="001F392C" w:rsidRDefault="009F43F1" w:rsidP="007A29EF">
      <w:pPr>
        <w:autoSpaceDE w:val="0"/>
        <w:autoSpaceDN w:val="0"/>
        <w:adjustRightInd w:val="0"/>
        <w:ind w:firstLine="709"/>
        <w:jc w:val="both"/>
      </w:pPr>
      <w:r w:rsidRPr="001F392C">
        <w:rPr>
          <w:lang w:eastAsia="sk-SK"/>
        </w:rPr>
        <w:t xml:space="preserve">Tieto opatrenia </w:t>
      </w:r>
      <w:r w:rsidR="00987B01" w:rsidRPr="001F392C">
        <w:rPr>
          <w:lang w:eastAsia="sk-SK"/>
        </w:rPr>
        <w:t xml:space="preserve">mali povahu krátkodobých </w:t>
      </w:r>
      <w:r w:rsidR="00D20E51" w:rsidRPr="001F392C">
        <w:rPr>
          <w:lang w:eastAsia="sk-SK"/>
        </w:rPr>
        <w:t>intervenčných o</w:t>
      </w:r>
      <w:r w:rsidR="00987B01" w:rsidRPr="001F392C">
        <w:rPr>
          <w:lang w:eastAsia="sk-SK"/>
        </w:rPr>
        <w:t xml:space="preserve">patrení so striktne vymedzeným proti krízovým cieľom. Preto boli zavedené ako </w:t>
      </w:r>
      <w:r w:rsidR="00987B01" w:rsidRPr="001F392C">
        <w:rPr>
          <w:b/>
          <w:iCs/>
          <w:lang w:eastAsia="sk-SK"/>
        </w:rPr>
        <w:t xml:space="preserve">dočasne </w:t>
      </w:r>
      <w:r w:rsidR="00D20E51" w:rsidRPr="001F392C">
        <w:rPr>
          <w:b/>
          <w:iCs/>
          <w:lang w:eastAsia="sk-SK"/>
        </w:rPr>
        <w:t>nástroje</w:t>
      </w:r>
      <w:r w:rsidR="00987B01" w:rsidRPr="001F392C">
        <w:rPr>
          <w:b/>
          <w:iCs/>
          <w:lang w:eastAsia="sk-SK"/>
        </w:rPr>
        <w:t xml:space="preserve"> </w:t>
      </w:r>
      <w:r w:rsidR="00987B01" w:rsidRPr="001F392C">
        <w:rPr>
          <w:lang w:eastAsia="sk-SK"/>
        </w:rPr>
        <w:t>s</w:t>
      </w:r>
      <w:r w:rsidRPr="001F392C">
        <w:rPr>
          <w:lang w:eastAsia="sk-SK"/>
        </w:rPr>
        <w:t xml:space="preserve"> účinnosťou </w:t>
      </w:r>
      <w:r w:rsidR="00987B01" w:rsidRPr="001F392C">
        <w:rPr>
          <w:lang w:eastAsia="sk-SK"/>
        </w:rPr>
        <w:t>do 31.</w:t>
      </w:r>
      <w:r w:rsidR="005F27CF" w:rsidRPr="001F392C">
        <w:rPr>
          <w:lang w:eastAsia="sk-SK"/>
        </w:rPr>
        <w:t xml:space="preserve"> decembra</w:t>
      </w:r>
      <w:r w:rsidR="00FE1BF8" w:rsidRPr="001F392C">
        <w:rPr>
          <w:lang w:eastAsia="sk-SK"/>
        </w:rPr>
        <w:t xml:space="preserve"> </w:t>
      </w:r>
      <w:r w:rsidR="00987B01" w:rsidRPr="001F392C">
        <w:rPr>
          <w:lang w:eastAsia="sk-SK"/>
        </w:rPr>
        <w:t xml:space="preserve">2010. </w:t>
      </w:r>
      <w:r w:rsidR="00D20E51" w:rsidRPr="001F392C">
        <w:rPr>
          <w:lang w:eastAsia="sk-SK"/>
        </w:rPr>
        <w:t>Na základe pretrváv</w:t>
      </w:r>
      <w:r w:rsidR="000E03AD" w:rsidRPr="001F392C">
        <w:rPr>
          <w:lang w:eastAsia="sk-SK"/>
        </w:rPr>
        <w:t>ajúcich dôsledkov dopadov kríz</w:t>
      </w:r>
      <w:r w:rsidR="005F27CF" w:rsidRPr="001F392C">
        <w:rPr>
          <w:lang w:eastAsia="sk-SK"/>
        </w:rPr>
        <w:t xml:space="preserve">  </w:t>
      </w:r>
      <w:r w:rsidR="00D20E51" w:rsidRPr="001F392C">
        <w:rPr>
          <w:lang w:eastAsia="sk-SK"/>
        </w:rPr>
        <w:t xml:space="preserve">na zamestnanosť bola </w:t>
      </w:r>
      <w:r w:rsidRPr="001F392C">
        <w:rPr>
          <w:lang w:eastAsia="sk-SK"/>
        </w:rPr>
        <w:t>do 31.</w:t>
      </w:r>
      <w:r w:rsidR="005F27CF" w:rsidRPr="001F392C">
        <w:rPr>
          <w:lang w:eastAsia="sk-SK"/>
        </w:rPr>
        <w:t xml:space="preserve"> decembra</w:t>
      </w:r>
      <w:r w:rsidR="00FE1BF8" w:rsidRPr="001F392C">
        <w:rPr>
          <w:lang w:eastAsia="sk-SK"/>
        </w:rPr>
        <w:t xml:space="preserve"> </w:t>
      </w:r>
      <w:r w:rsidRPr="001F392C">
        <w:rPr>
          <w:lang w:eastAsia="sk-SK"/>
        </w:rPr>
        <w:t>201</w:t>
      </w:r>
      <w:r w:rsidR="005F27CF" w:rsidRPr="001F392C">
        <w:rPr>
          <w:lang w:eastAsia="sk-SK"/>
        </w:rPr>
        <w:t>1</w:t>
      </w:r>
      <w:r w:rsidRPr="001F392C">
        <w:rPr>
          <w:lang w:eastAsia="sk-SK"/>
        </w:rPr>
        <w:t xml:space="preserve"> </w:t>
      </w:r>
      <w:r w:rsidR="00D20E51" w:rsidRPr="001F392C">
        <w:rPr>
          <w:lang w:eastAsia="sk-SK"/>
        </w:rPr>
        <w:t xml:space="preserve">predĺžená účinnosť </w:t>
      </w:r>
      <w:r w:rsidR="005F27CF" w:rsidRPr="001F392C">
        <w:rPr>
          <w:lang w:eastAsia="sk-SK"/>
        </w:rPr>
        <w:t xml:space="preserve">jedného z nich - </w:t>
      </w:r>
      <w:r w:rsidR="00D20E51" w:rsidRPr="001F392C">
        <w:rPr>
          <w:lang w:eastAsia="sk-SK"/>
        </w:rPr>
        <w:t xml:space="preserve">príspevku na </w:t>
      </w:r>
      <w:r w:rsidR="00D20E51" w:rsidRPr="001F392C">
        <w:rPr>
          <w:iCs/>
          <w:lang w:eastAsia="sk-SK"/>
        </w:rPr>
        <w:t xml:space="preserve">podporu udržania zamestnanosti </w:t>
      </w:r>
      <w:r w:rsidR="00D20E51" w:rsidRPr="001F392C">
        <w:rPr>
          <w:lang w:eastAsia="sk-SK"/>
        </w:rPr>
        <w:t>(§</w:t>
      </w:r>
      <w:r w:rsidR="007A29EF" w:rsidRPr="001F392C">
        <w:rPr>
          <w:lang w:eastAsia="sk-SK"/>
        </w:rPr>
        <w:t xml:space="preserve"> </w:t>
      </w:r>
      <w:r w:rsidR="00D20E51" w:rsidRPr="001F392C">
        <w:rPr>
          <w:lang w:eastAsia="sk-SK"/>
        </w:rPr>
        <w:t>50d</w:t>
      </w:r>
      <w:r w:rsidR="00F7559F" w:rsidRPr="001F392C">
        <w:rPr>
          <w:lang w:eastAsia="sk-SK"/>
        </w:rPr>
        <w:t xml:space="preserve"> zákona o službách zamestnanosti</w:t>
      </w:r>
      <w:r w:rsidR="00D20E51" w:rsidRPr="001F392C">
        <w:rPr>
          <w:lang w:eastAsia="sk-SK"/>
        </w:rPr>
        <w:t xml:space="preserve">). </w:t>
      </w:r>
      <w:r w:rsidR="00506EB8" w:rsidRPr="001F392C">
        <w:rPr>
          <w:lang w:eastAsia="sk-SK"/>
        </w:rPr>
        <w:t xml:space="preserve">Na obdobie </w:t>
      </w:r>
      <w:r w:rsidR="000E03AD" w:rsidRPr="001F392C">
        <w:rPr>
          <w:lang w:eastAsia="sk-SK"/>
        </w:rPr>
        <w:t xml:space="preserve">                       </w:t>
      </w:r>
      <w:r w:rsidR="00506EB8" w:rsidRPr="001F392C">
        <w:rPr>
          <w:lang w:eastAsia="sk-SK"/>
        </w:rPr>
        <w:t>do 31.</w:t>
      </w:r>
      <w:r w:rsidR="005F27CF" w:rsidRPr="001F392C">
        <w:rPr>
          <w:lang w:eastAsia="sk-SK"/>
        </w:rPr>
        <w:t xml:space="preserve"> decembra </w:t>
      </w:r>
      <w:r w:rsidR="00506EB8" w:rsidRPr="001F392C">
        <w:rPr>
          <w:lang w:eastAsia="sk-SK"/>
        </w:rPr>
        <w:t>201</w:t>
      </w:r>
      <w:r w:rsidRPr="001F392C">
        <w:rPr>
          <w:lang w:eastAsia="sk-SK"/>
        </w:rPr>
        <w:t>1</w:t>
      </w:r>
      <w:r w:rsidR="00506EB8" w:rsidRPr="001F392C">
        <w:rPr>
          <w:lang w:eastAsia="sk-SK"/>
        </w:rPr>
        <w:t xml:space="preserve"> bol zavedený aj </w:t>
      </w:r>
      <w:r w:rsidR="003E7A1D" w:rsidRPr="001F392C">
        <w:rPr>
          <w:lang w:eastAsia="sk-SK"/>
        </w:rPr>
        <w:t>p</w:t>
      </w:r>
      <w:r w:rsidR="00506EB8" w:rsidRPr="001F392C">
        <w:t xml:space="preserve">ríspevok na podporu regionálnej a miestnej zamestnanosti (§ 50i). </w:t>
      </w:r>
    </w:p>
    <w:p w:rsidR="00FF1DFE" w:rsidRPr="001F392C" w:rsidRDefault="00FF1DFE" w:rsidP="007A29EF">
      <w:pPr>
        <w:autoSpaceDE w:val="0"/>
        <w:autoSpaceDN w:val="0"/>
        <w:adjustRightInd w:val="0"/>
        <w:jc w:val="both"/>
      </w:pPr>
    </w:p>
    <w:p w:rsidR="00F72C50" w:rsidRPr="001F392C" w:rsidRDefault="00CF3C77" w:rsidP="007A29EF">
      <w:pPr>
        <w:autoSpaceDE w:val="0"/>
        <w:autoSpaceDN w:val="0"/>
        <w:adjustRightInd w:val="0"/>
        <w:ind w:firstLine="709"/>
        <w:jc w:val="both"/>
        <w:rPr>
          <w:color w:val="000000"/>
          <w:lang w:eastAsia="sk-SK"/>
        </w:rPr>
      </w:pPr>
      <w:r w:rsidRPr="001F392C">
        <w:rPr>
          <w:color w:val="000000"/>
          <w:lang w:eastAsia="sk-SK"/>
        </w:rPr>
        <w:t xml:space="preserve">Najviac využívaným bol </w:t>
      </w:r>
      <w:r w:rsidR="003E7A1D" w:rsidRPr="001F392C">
        <w:rPr>
          <w:iCs/>
          <w:color w:val="000000"/>
          <w:lang w:eastAsia="sk-SK"/>
        </w:rPr>
        <w:t>príspevok na podporu</w:t>
      </w:r>
      <w:r w:rsidR="003E7A1D" w:rsidRPr="001F392C">
        <w:t xml:space="preserve"> </w:t>
      </w:r>
      <w:r w:rsidR="000E03AD" w:rsidRPr="001F392C">
        <w:rPr>
          <w:iCs/>
          <w:color w:val="000000"/>
          <w:lang w:eastAsia="sk-SK"/>
        </w:rPr>
        <w:t>udržania zamestnanosti</w:t>
      </w:r>
      <w:r w:rsidR="003E7A1D" w:rsidRPr="001F392C">
        <w:rPr>
          <w:iCs/>
          <w:color w:val="000000"/>
          <w:lang w:eastAsia="sk-SK"/>
        </w:rPr>
        <w:t xml:space="preserve">, </w:t>
      </w:r>
      <w:r w:rsidR="003E7A1D" w:rsidRPr="001F392C">
        <w:rPr>
          <w:color w:val="000000"/>
          <w:lang w:eastAsia="sk-SK"/>
        </w:rPr>
        <w:t xml:space="preserve">ktorý </w:t>
      </w:r>
      <w:r w:rsidR="000E03AD" w:rsidRPr="001F392C">
        <w:rPr>
          <w:color w:val="000000"/>
          <w:lang w:eastAsia="sk-SK"/>
        </w:rPr>
        <w:t xml:space="preserve">            </w:t>
      </w:r>
      <w:r w:rsidR="003E7A1D" w:rsidRPr="001F392C">
        <w:rPr>
          <w:color w:val="000000"/>
          <w:lang w:eastAsia="sk-SK"/>
        </w:rPr>
        <w:t>na prechodné obdobie umožnil zamestnávateľom</w:t>
      </w:r>
      <w:r w:rsidR="003E7A1D" w:rsidRPr="001F392C">
        <w:t xml:space="preserve"> </w:t>
      </w:r>
      <w:r w:rsidR="003E7A1D" w:rsidRPr="001F392C">
        <w:rPr>
          <w:color w:val="000000"/>
          <w:lang w:eastAsia="sk-SK"/>
        </w:rPr>
        <w:t>pružne zareagovať na výkyvy externých trhov cestou zníženia objemu práce namiesto alternatívy jej</w:t>
      </w:r>
      <w:r w:rsidR="003E7A1D" w:rsidRPr="001F392C">
        <w:t xml:space="preserve"> </w:t>
      </w:r>
      <w:r w:rsidR="003E7A1D" w:rsidRPr="001F392C">
        <w:rPr>
          <w:color w:val="000000"/>
          <w:lang w:eastAsia="sk-SK"/>
        </w:rPr>
        <w:t>redukcie prostredníctvom prepúšťania zamestnancov.</w:t>
      </w:r>
      <w:r w:rsidR="003E7A1D" w:rsidRPr="001F392C">
        <w:t xml:space="preserve"> </w:t>
      </w:r>
      <w:r w:rsidRPr="001F392C">
        <w:t xml:space="preserve">Často využívaný </w:t>
      </w:r>
      <w:r w:rsidRPr="001F392C">
        <w:rPr>
          <w:color w:val="000000"/>
          <w:lang w:eastAsia="sk-SK"/>
        </w:rPr>
        <w:t xml:space="preserve">bol aj </w:t>
      </w:r>
      <w:r w:rsidR="003E7A1D" w:rsidRPr="001F392C">
        <w:rPr>
          <w:iCs/>
          <w:color w:val="000000"/>
          <w:lang w:eastAsia="sk-SK"/>
        </w:rPr>
        <w:t>príspev</w:t>
      </w:r>
      <w:r w:rsidRPr="001F392C">
        <w:rPr>
          <w:iCs/>
          <w:color w:val="000000"/>
          <w:lang w:eastAsia="sk-SK"/>
        </w:rPr>
        <w:t>o</w:t>
      </w:r>
      <w:r w:rsidR="003E7A1D" w:rsidRPr="001F392C">
        <w:rPr>
          <w:iCs/>
          <w:color w:val="000000"/>
          <w:lang w:eastAsia="sk-SK"/>
        </w:rPr>
        <w:t>k na podporu vytvorenia nového</w:t>
      </w:r>
      <w:r w:rsidR="003E7A1D" w:rsidRPr="001F392C">
        <w:t xml:space="preserve"> </w:t>
      </w:r>
      <w:r w:rsidR="003E7A1D" w:rsidRPr="001F392C">
        <w:rPr>
          <w:iCs/>
          <w:color w:val="000000"/>
          <w:lang w:eastAsia="sk-SK"/>
        </w:rPr>
        <w:t>pracovného miesta (§</w:t>
      </w:r>
      <w:r w:rsidR="007A29EF" w:rsidRPr="001F392C">
        <w:rPr>
          <w:iCs/>
          <w:color w:val="000000"/>
          <w:lang w:eastAsia="sk-SK"/>
        </w:rPr>
        <w:t xml:space="preserve"> </w:t>
      </w:r>
      <w:r w:rsidR="003E7A1D" w:rsidRPr="001F392C">
        <w:rPr>
          <w:iCs/>
          <w:color w:val="000000"/>
          <w:lang w:eastAsia="sk-SK"/>
        </w:rPr>
        <w:t xml:space="preserve">50e) </w:t>
      </w:r>
      <w:r w:rsidR="003E7A1D" w:rsidRPr="001F392C">
        <w:rPr>
          <w:color w:val="000000"/>
          <w:lang w:eastAsia="sk-SK"/>
        </w:rPr>
        <w:t>zacielen</w:t>
      </w:r>
      <w:r w:rsidRPr="001F392C">
        <w:rPr>
          <w:color w:val="000000"/>
          <w:lang w:eastAsia="sk-SK"/>
        </w:rPr>
        <w:t xml:space="preserve">ý </w:t>
      </w:r>
      <w:r w:rsidR="003E7A1D" w:rsidRPr="001F392C">
        <w:rPr>
          <w:color w:val="000000"/>
          <w:lang w:eastAsia="sk-SK"/>
        </w:rPr>
        <w:t>na stimuláciu zamestnávateľov k</w:t>
      </w:r>
      <w:r w:rsidR="007A29EF" w:rsidRPr="001F392C">
        <w:rPr>
          <w:color w:val="000000"/>
          <w:lang w:eastAsia="sk-SK"/>
        </w:rPr>
        <w:t> </w:t>
      </w:r>
      <w:r w:rsidR="003E7A1D" w:rsidRPr="001F392C">
        <w:rPr>
          <w:color w:val="000000"/>
          <w:lang w:eastAsia="sk-SK"/>
        </w:rPr>
        <w:t>tvorbe</w:t>
      </w:r>
      <w:r w:rsidR="007A29EF" w:rsidRPr="001F392C">
        <w:rPr>
          <w:color w:val="000000"/>
          <w:lang w:eastAsia="sk-SK"/>
        </w:rPr>
        <w:t xml:space="preserve"> </w:t>
      </w:r>
      <w:r w:rsidR="003E7A1D" w:rsidRPr="001F392C">
        <w:rPr>
          <w:color w:val="000000"/>
          <w:lang w:eastAsia="sk-SK"/>
        </w:rPr>
        <w:t>pracovných</w:t>
      </w:r>
      <w:r w:rsidR="003E7A1D" w:rsidRPr="001F392C">
        <w:t xml:space="preserve"> </w:t>
      </w:r>
      <w:r w:rsidR="003E7A1D" w:rsidRPr="001F392C">
        <w:rPr>
          <w:color w:val="000000"/>
          <w:lang w:eastAsia="sk-SK"/>
        </w:rPr>
        <w:t xml:space="preserve">miest pre </w:t>
      </w:r>
      <w:r w:rsidR="00782C34" w:rsidRPr="001F392C">
        <w:rPr>
          <w:color w:val="000000"/>
          <w:lang w:eastAsia="sk-SK"/>
        </w:rPr>
        <w:t>UoZ</w:t>
      </w:r>
      <w:r w:rsidR="000E03AD" w:rsidRPr="001F392C">
        <w:rPr>
          <w:color w:val="000000"/>
          <w:lang w:eastAsia="sk-SK"/>
        </w:rPr>
        <w:t xml:space="preserve"> </w:t>
      </w:r>
      <w:r w:rsidR="003E7A1D" w:rsidRPr="001F392C">
        <w:rPr>
          <w:color w:val="000000"/>
          <w:lang w:eastAsia="sk-SK"/>
        </w:rPr>
        <w:t>a najmä pre absolventov škôl a</w:t>
      </w:r>
      <w:r w:rsidR="00E658C3" w:rsidRPr="001F392C">
        <w:rPr>
          <w:color w:val="000000"/>
          <w:lang w:eastAsia="sk-SK"/>
        </w:rPr>
        <w:t xml:space="preserve"> zamestnancov </w:t>
      </w:r>
      <w:r w:rsidR="007A29EF" w:rsidRPr="001F392C">
        <w:rPr>
          <w:color w:val="000000"/>
          <w:lang w:eastAsia="sk-SK"/>
        </w:rPr>
        <w:t xml:space="preserve"> </w:t>
      </w:r>
      <w:r w:rsidR="003E7A1D" w:rsidRPr="001F392C">
        <w:rPr>
          <w:color w:val="000000"/>
          <w:lang w:eastAsia="sk-SK"/>
        </w:rPr>
        <w:t>prepustených</w:t>
      </w:r>
      <w:r w:rsidR="00F7559F" w:rsidRPr="001F392C">
        <w:t xml:space="preserve"> </w:t>
      </w:r>
      <w:r w:rsidR="003E7A1D" w:rsidRPr="001F392C">
        <w:rPr>
          <w:color w:val="000000"/>
          <w:lang w:eastAsia="sk-SK"/>
        </w:rPr>
        <w:t>v dôsledku krízy.</w:t>
      </w:r>
      <w:r w:rsidRPr="001F392C">
        <w:rPr>
          <w:color w:val="000000"/>
          <w:lang w:eastAsia="sk-SK"/>
        </w:rPr>
        <w:t xml:space="preserve"> </w:t>
      </w:r>
      <w:r w:rsidR="009F43F1" w:rsidRPr="001F392C">
        <w:rPr>
          <w:lang w:eastAsia="sk-SK"/>
        </w:rPr>
        <w:t>Dôležitým prvkom boli aj opatrenia zamerané na stimuláciu medziregionálnej mobility za prácou (</w:t>
      </w:r>
      <w:r w:rsidR="009F43F1" w:rsidRPr="001F392C">
        <w:rPr>
          <w:iCs/>
          <w:lang w:eastAsia="sk-SK"/>
        </w:rPr>
        <w:t>zvýšenie výšky príspevku na dochádzku za prácou</w:t>
      </w:r>
      <w:r w:rsidRPr="001F392C">
        <w:rPr>
          <w:iCs/>
          <w:lang w:eastAsia="sk-SK"/>
        </w:rPr>
        <w:t xml:space="preserve">, </w:t>
      </w:r>
      <w:r w:rsidR="009F43F1" w:rsidRPr="001F392C">
        <w:rPr>
          <w:lang w:eastAsia="sk-SK"/>
        </w:rPr>
        <w:t>§</w:t>
      </w:r>
      <w:r w:rsidR="007A29EF" w:rsidRPr="001F392C">
        <w:rPr>
          <w:lang w:eastAsia="sk-SK"/>
        </w:rPr>
        <w:t xml:space="preserve"> </w:t>
      </w:r>
      <w:r w:rsidR="009F43F1" w:rsidRPr="001F392C">
        <w:rPr>
          <w:lang w:eastAsia="sk-SK"/>
        </w:rPr>
        <w:t>53)</w:t>
      </w:r>
      <w:r w:rsidR="00F72C50" w:rsidRPr="001F392C">
        <w:rPr>
          <w:color w:val="000000"/>
          <w:lang w:eastAsia="sk-SK"/>
        </w:rPr>
        <w:t xml:space="preserve">. </w:t>
      </w:r>
    </w:p>
    <w:p w:rsidR="009C41EC" w:rsidRPr="001F392C" w:rsidRDefault="009C41EC" w:rsidP="007A29EF">
      <w:pPr>
        <w:autoSpaceDE w:val="0"/>
        <w:autoSpaceDN w:val="0"/>
        <w:adjustRightInd w:val="0"/>
        <w:jc w:val="both"/>
        <w:rPr>
          <w:color w:val="000000"/>
          <w:lang w:eastAsia="sk-SK"/>
        </w:rPr>
      </w:pPr>
    </w:p>
    <w:p w:rsidR="00BD3DD7" w:rsidRPr="001F392C" w:rsidRDefault="00781572" w:rsidP="00BD3DD7">
      <w:pPr>
        <w:autoSpaceDE w:val="0"/>
        <w:autoSpaceDN w:val="0"/>
        <w:adjustRightInd w:val="0"/>
        <w:ind w:firstLine="709"/>
        <w:jc w:val="both"/>
        <w:rPr>
          <w:lang w:eastAsia="sk-SK"/>
        </w:rPr>
      </w:pPr>
      <w:r w:rsidRPr="001F392C">
        <w:rPr>
          <w:lang w:eastAsia="sk-SK"/>
        </w:rPr>
        <w:t>Vyhodnotenie celého súboru proti krízových op</w:t>
      </w:r>
      <w:r w:rsidR="009C41EC" w:rsidRPr="001F392C">
        <w:rPr>
          <w:lang w:eastAsia="sk-SK"/>
        </w:rPr>
        <w:t xml:space="preserve">atrení vrátane opatrení na trhu </w:t>
      </w:r>
      <w:r w:rsidRPr="001F392C">
        <w:rPr>
          <w:lang w:eastAsia="sk-SK"/>
        </w:rPr>
        <w:t xml:space="preserve">práce konštatuje, že prostredníctvom proti krízových </w:t>
      </w:r>
      <w:r w:rsidR="00E658C3" w:rsidRPr="001F392C">
        <w:rPr>
          <w:lang w:eastAsia="sk-SK"/>
        </w:rPr>
        <w:t>AOTP</w:t>
      </w:r>
      <w:r w:rsidRPr="001F392C">
        <w:rPr>
          <w:lang w:eastAsia="sk-SK"/>
        </w:rPr>
        <w:t xml:space="preserve"> od marca 2009 do konca decembra 2010 </w:t>
      </w:r>
      <w:r w:rsidR="00E658C3" w:rsidRPr="001F392C">
        <w:rPr>
          <w:lang w:eastAsia="sk-SK"/>
        </w:rPr>
        <w:t xml:space="preserve">sa </w:t>
      </w:r>
      <w:r w:rsidRPr="001F392C">
        <w:rPr>
          <w:lang w:eastAsia="sk-SK"/>
        </w:rPr>
        <w:t xml:space="preserve">podporilo vytvorenie alebo udržanie pracovných miest v počte </w:t>
      </w:r>
      <w:r w:rsidR="00BD3DD7" w:rsidRPr="001F392C">
        <w:rPr>
          <w:lang w:eastAsia="sk-SK"/>
        </w:rPr>
        <w:t>93</w:t>
      </w:r>
      <w:r w:rsidR="000E4314" w:rsidRPr="001F392C">
        <w:rPr>
          <w:lang w:eastAsia="sk-SK"/>
        </w:rPr>
        <w:t> </w:t>
      </w:r>
      <w:r w:rsidR="00BD3DD7" w:rsidRPr="001F392C">
        <w:rPr>
          <w:lang w:eastAsia="sk-SK"/>
        </w:rPr>
        <w:t>662</w:t>
      </w:r>
      <w:r w:rsidR="000E4314" w:rsidRPr="001F392C">
        <w:rPr>
          <w:lang w:eastAsia="sk-SK"/>
        </w:rPr>
        <w:t>.</w:t>
      </w:r>
      <w:r w:rsidR="00BD3DD7" w:rsidRPr="001F392C">
        <w:rPr>
          <w:lang w:eastAsia="sk-SK"/>
        </w:rPr>
        <w:t xml:space="preserve"> </w:t>
      </w:r>
    </w:p>
    <w:p w:rsidR="00B11FCE" w:rsidRPr="001F392C" w:rsidRDefault="00B11FCE" w:rsidP="007A29EF">
      <w:pPr>
        <w:autoSpaceDE w:val="0"/>
        <w:autoSpaceDN w:val="0"/>
        <w:adjustRightInd w:val="0"/>
        <w:jc w:val="both"/>
        <w:rPr>
          <w:lang w:eastAsia="sk-SK"/>
        </w:rPr>
      </w:pPr>
    </w:p>
    <w:p w:rsidR="00095F73" w:rsidRPr="001F392C" w:rsidRDefault="00095F73" w:rsidP="007A29EF">
      <w:pPr>
        <w:autoSpaceDE w:val="0"/>
        <w:autoSpaceDN w:val="0"/>
        <w:adjustRightInd w:val="0"/>
        <w:ind w:firstLine="709"/>
        <w:jc w:val="both"/>
        <w:rPr>
          <w:lang w:eastAsia="sk-SK"/>
        </w:rPr>
      </w:pPr>
      <w:r w:rsidRPr="001F392C">
        <w:rPr>
          <w:lang w:eastAsia="sk-SK"/>
        </w:rPr>
        <w:t>K oslabeniu pôsobenia negatívnych dôsledkov krízy na zamestnanosť v roku 2009 a</w:t>
      </w:r>
      <w:r w:rsidR="007A29EF" w:rsidRPr="001F392C">
        <w:rPr>
          <w:lang w:eastAsia="sk-SK"/>
        </w:rPr>
        <w:t> </w:t>
      </w:r>
      <w:r w:rsidRPr="001F392C">
        <w:rPr>
          <w:lang w:eastAsia="sk-SK"/>
        </w:rPr>
        <w:t>v</w:t>
      </w:r>
      <w:r w:rsidR="007A29EF" w:rsidRPr="001F392C">
        <w:rPr>
          <w:lang w:eastAsia="sk-SK"/>
        </w:rPr>
        <w:t> </w:t>
      </w:r>
      <w:r w:rsidR="000E03AD" w:rsidRPr="001F392C">
        <w:rPr>
          <w:lang w:eastAsia="sk-SK"/>
        </w:rPr>
        <w:t xml:space="preserve">1. </w:t>
      </w:r>
      <w:r w:rsidRPr="001F392C">
        <w:rPr>
          <w:lang w:eastAsia="sk-SK"/>
        </w:rPr>
        <w:t xml:space="preserve">polroku 2010 zreteľne prispeli aj </w:t>
      </w:r>
      <w:r w:rsidRPr="001F392C">
        <w:rPr>
          <w:b/>
          <w:lang w:eastAsia="sk-SK"/>
        </w:rPr>
        <w:t>štandardné nástroje APTP</w:t>
      </w:r>
      <w:r w:rsidRPr="001F392C">
        <w:rPr>
          <w:lang w:eastAsia="sk-SK"/>
        </w:rPr>
        <w:t xml:space="preserve">, a to najmä  </w:t>
      </w:r>
      <w:r w:rsidRPr="001F392C">
        <w:rPr>
          <w:lang w:eastAsia="sk-SK"/>
        </w:rPr>
        <w:lastRenderedPageBreak/>
        <w:t xml:space="preserve">prostredníctvom programov vzdelávania a prípravy pre trh práce pre </w:t>
      </w:r>
      <w:r w:rsidR="00782C34" w:rsidRPr="001F392C">
        <w:rPr>
          <w:lang w:eastAsia="sk-SK"/>
        </w:rPr>
        <w:t xml:space="preserve">UoZ </w:t>
      </w:r>
      <w:r w:rsidRPr="001F392C">
        <w:rPr>
          <w:lang w:eastAsia="sk-SK"/>
        </w:rPr>
        <w:t>(§</w:t>
      </w:r>
      <w:r w:rsidR="007A29EF" w:rsidRPr="001F392C">
        <w:rPr>
          <w:lang w:eastAsia="sk-SK"/>
        </w:rPr>
        <w:t xml:space="preserve"> </w:t>
      </w:r>
      <w:r w:rsidRPr="001F392C">
        <w:rPr>
          <w:lang w:eastAsia="sk-SK"/>
        </w:rPr>
        <w:t xml:space="preserve">46), prostredníctvom podpory udržania nízko kvalifikovaného skupiny zamestnancov </w:t>
      </w:r>
      <w:r w:rsidR="00E658C3" w:rsidRPr="001F392C">
        <w:rPr>
          <w:lang w:eastAsia="sk-SK"/>
        </w:rPr>
        <w:t xml:space="preserve">                    </w:t>
      </w:r>
      <w:r w:rsidRPr="001F392C">
        <w:rPr>
          <w:lang w:eastAsia="sk-SK"/>
        </w:rPr>
        <w:t>v zamestnaní (§</w:t>
      </w:r>
      <w:r w:rsidR="007A29EF" w:rsidRPr="001F392C">
        <w:rPr>
          <w:lang w:eastAsia="sk-SK"/>
        </w:rPr>
        <w:t xml:space="preserve"> </w:t>
      </w:r>
      <w:r w:rsidRPr="001F392C">
        <w:rPr>
          <w:lang w:eastAsia="sk-SK"/>
        </w:rPr>
        <w:t>50a) a prostredníctvom podpory samostatnej zárobkovej činnosti (§ 49)</w:t>
      </w:r>
      <w:r w:rsidR="003E7A1D" w:rsidRPr="001F392C">
        <w:rPr>
          <w:lang w:eastAsia="sk-SK"/>
        </w:rPr>
        <w:t>.</w:t>
      </w:r>
    </w:p>
    <w:p w:rsidR="00F72C50" w:rsidRPr="001F392C" w:rsidRDefault="00F72C50" w:rsidP="007A29EF">
      <w:pPr>
        <w:autoSpaceDE w:val="0"/>
        <w:autoSpaceDN w:val="0"/>
        <w:adjustRightInd w:val="0"/>
        <w:jc w:val="both"/>
      </w:pPr>
    </w:p>
    <w:p w:rsidR="00634E74" w:rsidRPr="001F392C" w:rsidRDefault="009F43F1" w:rsidP="001355C9">
      <w:pPr>
        <w:pStyle w:val="3Title"/>
        <w:numPr>
          <w:ilvl w:val="2"/>
          <w:numId w:val="26"/>
        </w:numPr>
        <w:tabs>
          <w:tab w:val="clear" w:pos="9360"/>
          <w:tab w:val="left" w:pos="709"/>
        </w:tabs>
        <w:ind w:left="709" w:hanging="709"/>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t>P</w:t>
      </w:r>
      <w:r w:rsidR="00FB0AC9" w:rsidRPr="001F392C">
        <w:rPr>
          <w:rFonts w:ascii="Times New Roman" w:hAnsi="Times New Roman" w:cs="Times New Roman"/>
          <w:b/>
          <w:sz w:val="24"/>
          <w:szCs w:val="24"/>
          <w:lang w:val="sk-SK"/>
        </w:rPr>
        <w:t>rehľad realizácie aktívnych opatrení na trhu práce z</w:t>
      </w:r>
      <w:r w:rsidR="009C41EC" w:rsidRPr="001F392C">
        <w:rPr>
          <w:rFonts w:ascii="Times New Roman" w:hAnsi="Times New Roman" w:cs="Times New Roman"/>
          <w:b/>
          <w:sz w:val="24"/>
          <w:szCs w:val="24"/>
          <w:lang w:val="sk-SK"/>
        </w:rPr>
        <w:t xml:space="preserve">a rok 2012 v porovnaní </w:t>
      </w:r>
      <w:r w:rsidR="000E03AD" w:rsidRPr="001F392C">
        <w:rPr>
          <w:rFonts w:ascii="Times New Roman" w:hAnsi="Times New Roman" w:cs="Times New Roman"/>
          <w:b/>
          <w:sz w:val="24"/>
          <w:szCs w:val="24"/>
          <w:lang w:val="sk-SK"/>
        </w:rPr>
        <w:t xml:space="preserve"> </w:t>
      </w:r>
      <w:r w:rsidR="009C41EC" w:rsidRPr="001F392C">
        <w:rPr>
          <w:rFonts w:ascii="Times New Roman" w:hAnsi="Times New Roman" w:cs="Times New Roman"/>
          <w:b/>
          <w:sz w:val="24"/>
          <w:szCs w:val="24"/>
          <w:lang w:val="sk-SK"/>
        </w:rPr>
        <w:t xml:space="preserve">s rokom </w:t>
      </w:r>
      <w:r w:rsidR="00FB0AC9" w:rsidRPr="001F392C">
        <w:rPr>
          <w:rFonts w:ascii="Times New Roman" w:hAnsi="Times New Roman" w:cs="Times New Roman"/>
          <w:b/>
          <w:sz w:val="24"/>
          <w:szCs w:val="24"/>
          <w:lang w:val="sk-SK"/>
        </w:rPr>
        <w:t>2011</w:t>
      </w:r>
      <w:r w:rsidR="005D1C43" w:rsidRPr="001F392C">
        <w:rPr>
          <w:rFonts w:ascii="Times New Roman" w:hAnsi="Times New Roman" w:cs="Times New Roman"/>
          <w:b/>
          <w:sz w:val="24"/>
          <w:szCs w:val="24"/>
          <w:lang w:val="sk-SK"/>
        </w:rPr>
        <w:t xml:space="preserve"> </w:t>
      </w:r>
    </w:p>
    <w:p w:rsidR="007A29EF" w:rsidRPr="001F392C" w:rsidRDefault="007A29EF" w:rsidP="007A29EF">
      <w:pPr>
        <w:pStyle w:val="123"/>
        <w:spacing w:before="0" w:after="0"/>
        <w:rPr>
          <w:b w:val="0"/>
          <w:lang w:val="sk-SK"/>
        </w:rPr>
      </w:pPr>
    </w:p>
    <w:p w:rsidR="0058704D" w:rsidRPr="001F392C" w:rsidRDefault="0058704D" w:rsidP="007A29EF">
      <w:pPr>
        <w:pStyle w:val="123"/>
        <w:spacing w:before="0" w:after="0"/>
        <w:ind w:firstLine="709"/>
        <w:rPr>
          <w:b w:val="0"/>
          <w:lang w:val="sk-SK"/>
        </w:rPr>
      </w:pPr>
      <w:r w:rsidRPr="001F392C">
        <w:rPr>
          <w:b w:val="0"/>
          <w:lang w:val="sk-SK"/>
        </w:rPr>
        <w:t xml:space="preserve">APTP realizovaná v roku 2012 predstavovala </w:t>
      </w:r>
      <w:r w:rsidR="00604D11" w:rsidRPr="001F392C">
        <w:rPr>
          <w:b w:val="0"/>
          <w:lang w:val="sk-SK"/>
        </w:rPr>
        <w:t>poskytovanie nástrojov podpory a pomoci účastníkom trhu práce</w:t>
      </w:r>
      <w:r w:rsidRPr="001F392C">
        <w:rPr>
          <w:b w:val="0"/>
          <w:lang w:val="sk-SK"/>
        </w:rPr>
        <w:t xml:space="preserve"> so zacielením na </w:t>
      </w:r>
      <w:r w:rsidR="00E658C3" w:rsidRPr="001F392C">
        <w:rPr>
          <w:b w:val="0"/>
          <w:lang w:val="sk-SK"/>
        </w:rPr>
        <w:t xml:space="preserve">znevýhodnených </w:t>
      </w:r>
      <w:r w:rsidRPr="001F392C">
        <w:rPr>
          <w:b w:val="0"/>
          <w:lang w:val="sk-SK"/>
        </w:rPr>
        <w:t>UoZ</w:t>
      </w:r>
      <w:r w:rsidR="00E658C3" w:rsidRPr="001F392C">
        <w:rPr>
          <w:b w:val="0"/>
          <w:lang w:val="sk-SK"/>
        </w:rPr>
        <w:t xml:space="preserve"> (ZUoZ)</w:t>
      </w:r>
      <w:r w:rsidRPr="001F392C">
        <w:rPr>
          <w:b w:val="0"/>
          <w:lang w:val="sk-SK"/>
        </w:rPr>
        <w:t xml:space="preserve">. </w:t>
      </w:r>
      <w:r w:rsidRPr="001F392C">
        <w:rPr>
          <w:b w:val="0"/>
          <w:lang w:val="sk-SK" w:eastAsia="en-US"/>
        </w:rPr>
        <w:t xml:space="preserve">Uplatňovaný bol najmä systém štandardných </w:t>
      </w:r>
      <w:r w:rsidRPr="001F392C">
        <w:rPr>
          <w:b w:val="0"/>
          <w:lang w:val="sk-SK"/>
        </w:rPr>
        <w:t xml:space="preserve">nástrojov podpory a pomoci účastníkom trhu </w:t>
      </w:r>
      <w:r w:rsidR="00F7559F" w:rsidRPr="001F392C">
        <w:rPr>
          <w:b w:val="0"/>
          <w:lang w:val="sk-SK"/>
        </w:rPr>
        <w:t xml:space="preserve">   </w:t>
      </w:r>
      <w:r w:rsidRPr="001F392C">
        <w:rPr>
          <w:b w:val="0"/>
          <w:lang w:val="sk-SK"/>
        </w:rPr>
        <w:t xml:space="preserve">pri hľadaní zamestnania, zmene zamestnania, obsadzovaní voľných pracovných miest </w:t>
      </w:r>
      <w:r w:rsidR="00F7559F" w:rsidRPr="001F392C">
        <w:rPr>
          <w:b w:val="0"/>
          <w:lang w:val="sk-SK"/>
        </w:rPr>
        <w:t xml:space="preserve">            </w:t>
      </w:r>
      <w:r w:rsidRPr="001F392C">
        <w:rPr>
          <w:b w:val="0"/>
          <w:lang w:val="sk-SK"/>
        </w:rPr>
        <w:t xml:space="preserve">a uplatňovaní </w:t>
      </w:r>
      <w:r w:rsidR="00E658C3" w:rsidRPr="001F392C">
        <w:rPr>
          <w:b w:val="0"/>
          <w:lang w:val="sk-SK"/>
        </w:rPr>
        <w:t xml:space="preserve">AOTP </w:t>
      </w:r>
      <w:r w:rsidRPr="001F392C">
        <w:rPr>
          <w:b w:val="0"/>
          <w:lang w:val="sk-SK"/>
        </w:rPr>
        <w:t xml:space="preserve"> s osobitným zreteľom na pracovné uplatnenie ZUoZ. </w:t>
      </w:r>
    </w:p>
    <w:p w:rsidR="007A29EF" w:rsidRPr="001F392C" w:rsidRDefault="007A29EF" w:rsidP="007A29EF">
      <w:pPr>
        <w:pStyle w:val="123"/>
        <w:spacing w:before="0" w:after="0"/>
        <w:rPr>
          <w:b w:val="0"/>
          <w:lang w:val="sk-SK" w:eastAsia="en-US"/>
        </w:rPr>
      </w:pPr>
    </w:p>
    <w:p w:rsidR="0058704D" w:rsidRPr="001F392C" w:rsidRDefault="00887CA7" w:rsidP="007A29EF">
      <w:pPr>
        <w:pStyle w:val="123"/>
        <w:spacing w:before="0" w:after="0"/>
        <w:ind w:firstLine="709"/>
        <w:rPr>
          <w:b w:val="0"/>
          <w:bCs/>
          <w:lang w:val="sk-SK"/>
        </w:rPr>
      </w:pPr>
      <w:r w:rsidRPr="001F392C">
        <w:rPr>
          <w:b w:val="0"/>
          <w:lang w:val="sk-SK" w:eastAsia="en-US"/>
        </w:rPr>
        <w:t xml:space="preserve">Aj vzhľadom na prijatú konsolidáciu verejných financií </w:t>
      </w:r>
      <w:r w:rsidR="0058704D" w:rsidRPr="001F392C">
        <w:rPr>
          <w:b w:val="0"/>
          <w:lang w:val="sk-SK" w:eastAsia="en-US"/>
        </w:rPr>
        <w:t>bola preferovaná  podpora</w:t>
      </w:r>
      <w:r w:rsidRPr="001F392C">
        <w:rPr>
          <w:b w:val="0"/>
          <w:lang w:val="sk-SK" w:eastAsia="en-US"/>
        </w:rPr>
        <w:t xml:space="preserve"> zames</w:t>
      </w:r>
      <w:r w:rsidR="0058704D" w:rsidRPr="001F392C">
        <w:rPr>
          <w:b w:val="0"/>
          <w:lang w:val="sk-SK" w:eastAsia="en-US"/>
        </w:rPr>
        <w:t>tnanosti ľudí s nízkym vzdelaním</w:t>
      </w:r>
      <w:r w:rsidR="00D5704F" w:rsidRPr="001F392C">
        <w:rPr>
          <w:b w:val="0"/>
          <w:lang w:val="sk-SK" w:eastAsia="en-US"/>
        </w:rPr>
        <w:t xml:space="preserve"> </w:t>
      </w:r>
      <w:r w:rsidR="0058704D" w:rsidRPr="001F392C">
        <w:rPr>
          <w:b w:val="0"/>
          <w:lang w:val="sk-SK" w:eastAsia="en-US"/>
        </w:rPr>
        <w:t xml:space="preserve">pred znižovaním daňového klinu. </w:t>
      </w:r>
      <w:r w:rsidR="00B32429" w:rsidRPr="001F392C">
        <w:rPr>
          <w:b w:val="0"/>
          <w:lang w:val="sk-SK"/>
        </w:rPr>
        <w:t>Vykonaná bola</w:t>
      </w:r>
      <w:r w:rsidRPr="001F392C">
        <w:rPr>
          <w:b w:val="0"/>
          <w:bCs/>
          <w:lang w:val="sk-SK"/>
        </w:rPr>
        <w:t xml:space="preserve"> revízi</w:t>
      </w:r>
      <w:r w:rsidR="00CF3C77" w:rsidRPr="001F392C">
        <w:rPr>
          <w:b w:val="0"/>
          <w:bCs/>
          <w:lang w:val="sk-SK"/>
        </w:rPr>
        <w:t>a</w:t>
      </w:r>
      <w:r w:rsidRPr="001F392C">
        <w:rPr>
          <w:b w:val="0"/>
          <w:bCs/>
          <w:lang w:val="sk-SK"/>
        </w:rPr>
        <w:t xml:space="preserve"> APTP</w:t>
      </w:r>
      <w:r w:rsidR="0058704D" w:rsidRPr="001F392C">
        <w:rPr>
          <w:b w:val="0"/>
          <w:bCs/>
          <w:lang w:val="sk-SK"/>
        </w:rPr>
        <w:t>, založená</w:t>
      </w:r>
      <w:r w:rsidRPr="001F392C">
        <w:rPr>
          <w:b w:val="0"/>
          <w:bCs/>
          <w:lang w:val="sk-SK"/>
        </w:rPr>
        <w:t xml:space="preserve"> na reálnom využívaní jednotlivých nástroj</w:t>
      </w:r>
      <w:r w:rsidR="006F4473" w:rsidRPr="001F392C">
        <w:rPr>
          <w:b w:val="0"/>
          <w:bCs/>
          <w:lang w:val="sk-SK"/>
        </w:rPr>
        <w:t>ov a ich skutočnej efektivite</w:t>
      </w:r>
      <w:r w:rsidR="00B32429" w:rsidRPr="001F392C">
        <w:rPr>
          <w:b w:val="0"/>
          <w:bCs/>
          <w:lang w:val="sk-SK"/>
        </w:rPr>
        <w:t xml:space="preserve">. </w:t>
      </w:r>
    </w:p>
    <w:p w:rsidR="007A29EF" w:rsidRPr="001F392C" w:rsidRDefault="007A29EF" w:rsidP="007A29EF">
      <w:pPr>
        <w:pStyle w:val="123"/>
        <w:spacing w:before="0" w:after="0"/>
        <w:rPr>
          <w:b w:val="0"/>
          <w:bCs/>
          <w:lang w:val="sk-SK"/>
        </w:rPr>
      </w:pPr>
    </w:p>
    <w:p w:rsidR="00F813FF" w:rsidRPr="001F392C" w:rsidRDefault="00CF3C77" w:rsidP="007A29EF">
      <w:pPr>
        <w:pStyle w:val="123"/>
        <w:spacing w:before="0" w:after="0"/>
        <w:ind w:firstLine="709"/>
        <w:rPr>
          <w:b w:val="0"/>
          <w:bCs/>
          <w:lang w:val="sk-SK"/>
        </w:rPr>
      </w:pPr>
      <w:r w:rsidRPr="001F392C">
        <w:rPr>
          <w:bCs/>
          <w:lang w:val="sk-SK"/>
        </w:rPr>
        <w:t>Z revízie vedúcej k vyššej efektívnosti APTP s cieľom znížiť administratívnu náročnosť a celkovo APTP priblížiť potrebám jednotlivých regiónov vychádzala tiež novela zákona o službách zamestnanosti, ktorú vlani pripravilo MPSVR SR a</w:t>
      </w:r>
      <w:r w:rsidR="00E514BC" w:rsidRPr="001F392C">
        <w:rPr>
          <w:bCs/>
          <w:lang w:val="sk-SK"/>
        </w:rPr>
        <w:t xml:space="preserve"> 20. </w:t>
      </w:r>
      <w:r w:rsidRPr="001F392C">
        <w:rPr>
          <w:bCs/>
          <w:lang w:val="sk-SK"/>
        </w:rPr>
        <w:t> marc</w:t>
      </w:r>
      <w:r w:rsidR="00E514BC" w:rsidRPr="001F392C">
        <w:rPr>
          <w:bCs/>
          <w:lang w:val="sk-SK"/>
        </w:rPr>
        <w:t>a</w:t>
      </w:r>
      <w:r w:rsidRPr="001F392C">
        <w:rPr>
          <w:bCs/>
          <w:lang w:val="sk-SK"/>
        </w:rPr>
        <w:t xml:space="preserve"> 2013 </w:t>
      </w:r>
      <w:r w:rsidR="00E514BC" w:rsidRPr="001F392C">
        <w:rPr>
          <w:bCs/>
          <w:lang w:val="sk-SK"/>
        </w:rPr>
        <w:t xml:space="preserve">schválila </w:t>
      </w:r>
      <w:r w:rsidRPr="001F392C">
        <w:rPr>
          <w:bCs/>
          <w:lang w:val="sk-SK"/>
        </w:rPr>
        <w:t>N</w:t>
      </w:r>
      <w:r w:rsidR="00E514BC" w:rsidRPr="001F392C">
        <w:rPr>
          <w:bCs/>
          <w:lang w:val="sk-SK"/>
        </w:rPr>
        <w:t>árodná rada</w:t>
      </w:r>
      <w:r w:rsidRPr="001F392C">
        <w:rPr>
          <w:bCs/>
          <w:lang w:val="sk-SK"/>
        </w:rPr>
        <w:t xml:space="preserve"> SR. </w:t>
      </w:r>
    </w:p>
    <w:p w:rsidR="00F813FF" w:rsidRPr="001F392C" w:rsidRDefault="00F813FF" w:rsidP="00F813FF">
      <w:pPr>
        <w:ind w:firstLine="708"/>
      </w:pPr>
    </w:p>
    <w:p w:rsidR="00F813FF" w:rsidRPr="001F392C" w:rsidRDefault="00F813FF" w:rsidP="00E052DD">
      <w:pPr>
        <w:pStyle w:val="Normlnysozarkami1"/>
        <w:ind w:firstLine="708"/>
        <w:rPr>
          <w:lang w:val="sk-SK"/>
        </w:rPr>
      </w:pPr>
      <w:r w:rsidRPr="001F392C">
        <w:rPr>
          <w:lang w:val="sk-SK"/>
        </w:rPr>
        <w:t xml:space="preserve">Väčšina z AOTP sa v roku 2012 realizovala prostredníctvom národných projektov, ktoré sú financované zo zdrojov Európskeho sociálneho fondu a spolufinancované zo zdrojov štátneho rozpočtu. V roku 2012 bolo podporených celkovo viac ako 94 tis. UoZ, </w:t>
      </w:r>
      <w:r w:rsidR="0073257F" w:rsidRPr="001F392C">
        <w:rPr>
          <w:lang w:val="sk-SK"/>
        </w:rPr>
        <w:t>záujemcov o zamestnanie (</w:t>
      </w:r>
      <w:r w:rsidRPr="001F392C">
        <w:rPr>
          <w:lang w:val="sk-SK"/>
        </w:rPr>
        <w:t>ZoZ</w:t>
      </w:r>
      <w:r w:rsidR="0073257F" w:rsidRPr="001F392C">
        <w:rPr>
          <w:lang w:val="sk-SK"/>
        </w:rPr>
        <w:t>)</w:t>
      </w:r>
      <w:r w:rsidRPr="001F392C">
        <w:rPr>
          <w:lang w:val="sk-SK"/>
        </w:rPr>
        <w:t>, resp. zamestnancov/pracovných miest v celkovej sume dohodnutých finančných prostriedkov vo výške viac ako 136 mil. Eur.</w:t>
      </w:r>
    </w:p>
    <w:p w:rsidR="00E052DD" w:rsidRPr="001F392C" w:rsidRDefault="00E052DD" w:rsidP="00E052DD">
      <w:pPr>
        <w:pStyle w:val="123"/>
        <w:spacing w:before="0" w:after="0"/>
        <w:ind w:firstLine="708"/>
        <w:rPr>
          <w:b w:val="0"/>
          <w:lang w:val="sk-SK"/>
        </w:rPr>
      </w:pPr>
    </w:p>
    <w:p w:rsidR="00E052DD" w:rsidRPr="001F392C" w:rsidRDefault="00F813FF" w:rsidP="00E052DD">
      <w:pPr>
        <w:pStyle w:val="123"/>
        <w:spacing w:before="0" w:after="0"/>
        <w:ind w:firstLine="708"/>
        <w:rPr>
          <w:b w:val="0"/>
          <w:lang w:val="sk-SK"/>
        </w:rPr>
      </w:pPr>
      <w:r w:rsidRPr="001F392C">
        <w:rPr>
          <w:b w:val="0"/>
          <w:lang w:val="sk-SK"/>
        </w:rPr>
        <w:t xml:space="preserve">Najviac využívaným opatrením v roku 2012 bol príspevok na aktivačnú činnosť formou menších obecných služieb pre obec </w:t>
      </w:r>
      <w:r w:rsidRPr="001F392C">
        <w:rPr>
          <w:b w:val="0"/>
          <w:iCs/>
          <w:lang w:val="sk-SK"/>
        </w:rPr>
        <w:t xml:space="preserve">alebo formou menších obecných služieb </w:t>
      </w:r>
      <w:r w:rsidR="00F7559F" w:rsidRPr="001F392C">
        <w:rPr>
          <w:b w:val="0"/>
          <w:iCs/>
          <w:lang w:val="sk-SK"/>
        </w:rPr>
        <w:t xml:space="preserve">            </w:t>
      </w:r>
      <w:r w:rsidRPr="001F392C">
        <w:rPr>
          <w:b w:val="0"/>
          <w:iCs/>
          <w:lang w:val="sk-SK"/>
        </w:rPr>
        <w:t xml:space="preserve">pre samosprávny kraj (§ 52), ktorý je určený na  </w:t>
      </w:r>
      <w:r w:rsidRPr="001F392C">
        <w:rPr>
          <w:b w:val="0"/>
          <w:lang w:val="sk-SK"/>
        </w:rPr>
        <w:t xml:space="preserve">podporu udržiavania pracovných návykov dlhodobo nezamestnaného občana, ktorý je poberateľom dávky v hmotnej núdzi a príspevkov k dávke v hmotnej núdzi. V roku 2012 bolo </w:t>
      </w:r>
      <w:r w:rsidR="005660EC" w:rsidRPr="001F392C">
        <w:rPr>
          <w:b w:val="0"/>
          <w:lang w:val="sk-SK"/>
        </w:rPr>
        <w:t xml:space="preserve">touto formou </w:t>
      </w:r>
      <w:r w:rsidRPr="001F392C">
        <w:rPr>
          <w:b w:val="0"/>
          <w:lang w:val="sk-SK"/>
        </w:rPr>
        <w:t xml:space="preserve">umiestnených 18 844 UoZ. Dohodnutá výška finančných prostriedkov bola vo výške 3 530 060,67 </w:t>
      </w:r>
      <w:r w:rsidR="00FE1BF8" w:rsidRPr="001F392C">
        <w:rPr>
          <w:b w:val="0"/>
          <w:lang w:val="sk-SK"/>
        </w:rPr>
        <w:t>Eur</w:t>
      </w:r>
      <w:r w:rsidR="005660EC" w:rsidRPr="001F392C">
        <w:rPr>
          <w:b w:val="0"/>
          <w:lang w:val="sk-SK"/>
        </w:rPr>
        <w:t xml:space="preserve">. </w:t>
      </w:r>
    </w:p>
    <w:p w:rsidR="005660EC" w:rsidRPr="001F392C" w:rsidRDefault="005660EC" w:rsidP="00E052DD">
      <w:pPr>
        <w:pStyle w:val="123"/>
        <w:spacing w:before="0" w:after="0"/>
        <w:ind w:firstLine="708"/>
        <w:rPr>
          <w:b w:val="0"/>
          <w:lang w:val="sk-SK"/>
        </w:rPr>
      </w:pPr>
    </w:p>
    <w:p w:rsidR="00F813FF" w:rsidRPr="001F392C" w:rsidRDefault="00F813FF" w:rsidP="00E052DD">
      <w:pPr>
        <w:pStyle w:val="123"/>
        <w:spacing w:before="0" w:after="0"/>
        <w:ind w:firstLine="708"/>
        <w:rPr>
          <w:b w:val="0"/>
          <w:lang w:val="sk-SK"/>
        </w:rPr>
      </w:pPr>
      <w:r w:rsidRPr="001F392C">
        <w:rPr>
          <w:b w:val="0"/>
          <w:lang w:val="sk-SK"/>
        </w:rPr>
        <w:t xml:space="preserve">Druhým najvyužívanejším bol príspevok na vykonávanie absolventskej praxe (§ 51), ktorého cieľom je podpora získavania odborných zručností a praktických </w:t>
      </w:r>
      <w:r w:rsidR="005660EC" w:rsidRPr="001F392C">
        <w:rPr>
          <w:b w:val="0"/>
          <w:lang w:val="sk-SK"/>
        </w:rPr>
        <w:t xml:space="preserve">pracovných </w:t>
      </w:r>
      <w:r w:rsidRPr="001F392C">
        <w:rPr>
          <w:b w:val="0"/>
          <w:lang w:val="sk-SK"/>
        </w:rPr>
        <w:t xml:space="preserve">skúseností absolventa školy. V roku 2012 bolo na absolventskú prax zaradených 16 442 UoZ, </w:t>
      </w:r>
      <w:r w:rsidR="005660EC" w:rsidRPr="001F392C">
        <w:rPr>
          <w:b w:val="0"/>
          <w:lang w:val="sk-SK"/>
        </w:rPr>
        <w:t xml:space="preserve">na ktorých bolo vyčlenených </w:t>
      </w:r>
      <w:r w:rsidRPr="001F392C">
        <w:rPr>
          <w:b w:val="0"/>
          <w:lang w:val="sk-SK"/>
        </w:rPr>
        <w:t xml:space="preserve">16 952 732,76 </w:t>
      </w:r>
      <w:r w:rsidR="00234160" w:rsidRPr="001F392C">
        <w:rPr>
          <w:b w:val="0"/>
          <w:lang w:val="sk-SK"/>
        </w:rPr>
        <w:t>Eur</w:t>
      </w:r>
      <w:r w:rsidRPr="001F392C">
        <w:rPr>
          <w:b w:val="0"/>
          <w:lang w:val="sk-SK"/>
        </w:rPr>
        <w:t xml:space="preserve"> Z hľadiska hodnotenia účinnosti tohto opatrenia je dôležitý ukazovateľ umiestnenia UoZ do zamestnania po ukončení absolventskej praxe. V roku 2012 ukončilo absolventskú prax 14 358 UoZ, z toho sa do 1 mesiaca po jej ukončení zamestnalo 1 846 absolventov (t. j. 13 % UoZ), do 3 mesiacov 2 242 UoZ, </w:t>
      </w:r>
      <w:r w:rsidR="00F7559F" w:rsidRPr="001F392C">
        <w:rPr>
          <w:b w:val="0"/>
          <w:lang w:val="sk-SK"/>
        </w:rPr>
        <w:t xml:space="preserve">            </w:t>
      </w:r>
      <w:r w:rsidRPr="001F392C">
        <w:rPr>
          <w:b w:val="0"/>
          <w:lang w:val="sk-SK"/>
        </w:rPr>
        <w:t>do 6 mesiacov 1 011 UoZ a po 6 mesiacoch 1 220 UoZ.</w:t>
      </w:r>
    </w:p>
    <w:p w:rsidR="00E052DD" w:rsidRPr="001F392C" w:rsidRDefault="00E052DD" w:rsidP="00E052DD">
      <w:pPr>
        <w:pStyle w:val="123"/>
        <w:spacing w:before="0" w:after="0"/>
        <w:ind w:firstLine="708"/>
        <w:rPr>
          <w:b w:val="0"/>
          <w:lang w:val="sk-SK"/>
        </w:rPr>
      </w:pPr>
    </w:p>
    <w:p w:rsidR="00F813FF" w:rsidRPr="001F392C" w:rsidRDefault="00F813FF" w:rsidP="00E052DD">
      <w:pPr>
        <w:pStyle w:val="123"/>
        <w:spacing w:before="0" w:after="0"/>
        <w:ind w:firstLine="708"/>
        <w:rPr>
          <w:b w:val="0"/>
          <w:lang w:val="sk-SK"/>
        </w:rPr>
      </w:pPr>
      <w:r w:rsidRPr="001F392C">
        <w:rPr>
          <w:b w:val="0"/>
          <w:lang w:val="sk-SK"/>
        </w:rPr>
        <w:t xml:space="preserve">Príspevok na dochádzku za prácou (§ 53) bol v roku 2012 tretím najvyužívanejším. </w:t>
      </w:r>
      <w:r w:rsidR="005660EC" w:rsidRPr="001F392C">
        <w:rPr>
          <w:b w:val="0"/>
          <w:lang w:val="sk-SK"/>
        </w:rPr>
        <w:t>P</w:t>
      </w:r>
      <w:r w:rsidRPr="001F392C">
        <w:rPr>
          <w:b w:val="0"/>
          <w:lang w:val="sk-SK"/>
        </w:rPr>
        <w:t xml:space="preserve">oberalo </w:t>
      </w:r>
      <w:r w:rsidR="005660EC" w:rsidRPr="001F392C">
        <w:rPr>
          <w:b w:val="0"/>
          <w:lang w:val="sk-SK"/>
        </w:rPr>
        <w:t xml:space="preserve">ho </w:t>
      </w:r>
      <w:r w:rsidRPr="001F392C">
        <w:rPr>
          <w:b w:val="0"/>
          <w:lang w:val="sk-SK"/>
        </w:rPr>
        <w:t>16</w:t>
      </w:r>
      <w:r w:rsidR="00523C30" w:rsidRPr="001F392C">
        <w:rPr>
          <w:b w:val="0"/>
          <w:lang w:val="sk-SK"/>
        </w:rPr>
        <w:t> </w:t>
      </w:r>
      <w:r w:rsidRPr="001F392C">
        <w:rPr>
          <w:b w:val="0"/>
          <w:lang w:val="sk-SK"/>
        </w:rPr>
        <w:t>136</w:t>
      </w:r>
      <w:r w:rsidR="00523C30" w:rsidRPr="001F392C">
        <w:rPr>
          <w:b w:val="0"/>
          <w:lang w:val="sk-SK"/>
        </w:rPr>
        <w:t xml:space="preserve"> </w:t>
      </w:r>
      <w:r w:rsidR="005660EC" w:rsidRPr="001F392C">
        <w:rPr>
          <w:b w:val="0"/>
          <w:lang w:val="sk-SK"/>
        </w:rPr>
        <w:t>ľudí a c</w:t>
      </w:r>
      <w:r w:rsidRPr="001F392C">
        <w:rPr>
          <w:b w:val="0"/>
          <w:lang w:val="sk-SK"/>
        </w:rPr>
        <w:t xml:space="preserve">elková dohodnutá suma na poskytnutie príspevkov bola 4 918 369,69 </w:t>
      </w:r>
      <w:r w:rsidR="00FE1BF8" w:rsidRPr="001F392C">
        <w:rPr>
          <w:b w:val="0"/>
          <w:lang w:val="sk-SK"/>
        </w:rPr>
        <w:t>Eur</w:t>
      </w:r>
      <w:r w:rsidRPr="001F392C">
        <w:rPr>
          <w:b w:val="0"/>
          <w:lang w:val="sk-SK"/>
        </w:rPr>
        <w:t>.</w:t>
      </w:r>
    </w:p>
    <w:p w:rsidR="00E052DD" w:rsidRPr="001F392C" w:rsidRDefault="00E052DD" w:rsidP="00E052DD">
      <w:pPr>
        <w:pStyle w:val="123"/>
        <w:spacing w:before="0" w:after="0"/>
        <w:ind w:firstLine="708"/>
        <w:rPr>
          <w:b w:val="0"/>
          <w:lang w:val="sk-SK"/>
        </w:rPr>
      </w:pPr>
    </w:p>
    <w:p w:rsidR="00634E74" w:rsidRPr="001F392C" w:rsidRDefault="005660EC" w:rsidP="001355C9">
      <w:pPr>
        <w:pStyle w:val="3Title"/>
        <w:numPr>
          <w:ilvl w:val="2"/>
          <w:numId w:val="26"/>
        </w:numPr>
        <w:tabs>
          <w:tab w:val="clear" w:pos="9360"/>
          <w:tab w:val="left" w:pos="709"/>
        </w:tabs>
        <w:ind w:left="709" w:hanging="709"/>
        <w:jc w:val="both"/>
        <w:rPr>
          <w:rFonts w:ascii="Times New Roman" w:hAnsi="Times New Roman" w:cs="Times New Roman"/>
          <w:b/>
          <w:sz w:val="24"/>
          <w:szCs w:val="24"/>
          <w:lang w:val="sk-SK"/>
        </w:rPr>
      </w:pPr>
      <w:r w:rsidRPr="001F392C">
        <w:rPr>
          <w:rFonts w:ascii="Times New Roman" w:hAnsi="Times New Roman" w:cs="Times New Roman"/>
          <w:b/>
          <w:sz w:val="24"/>
          <w:szCs w:val="24"/>
          <w:lang w:val="sk-SK"/>
        </w:rPr>
        <w:lastRenderedPageBreak/>
        <w:t>O</w:t>
      </w:r>
      <w:r w:rsidR="00B32429" w:rsidRPr="001F392C">
        <w:rPr>
          <w:rFonts w:ascii="Times New Roman" w:hAnsi="Times New Roman" w:cs="Times New Roman"/>
          <w:b/>
          <w:sz w:val="24"/>
          <w:szCs w:val="24"/>
          <w:lang w:val="sk-SK"/>
        </w:rPr>
        <w:t xml:space="preserve">čakávané </w:t>
      </w:r>
      <w:r w:rsidR="00E739B0" w:rsidRPr="001F392C">
        <w:rPr>
          <w:rFonts w:ascii="Times New Roman" w:hAnsi="Times New Roman" w:cs="Times New Roman"/>
          <w:b/>
          <w:sz w:val="24"/>
          <w:szCs w:val="24"/>
          <w:lang w:val="sk-SK"/>
        </w:rPr>
        <w:t xml:space="preserve">zmeny </w:t>
      </w:r>
      <w:r w:rsidR="009D3A39" w:rsidRPr="001F392C">
        <w:rPr>
          <w:rFonts w:ascii="Times New Roman" w:hAnsi="Times New Roman" w:cs="Times New Roman"/>
          <w:b/>
          <w:sz w:val="24"/>
          <w:szCs w:val="24"/>
          <w:lang w:val="sk-SK"/>
        </w:rPr>
        <w:t xml:space="preserve">v </w:t>
      </w:r>
      <w:r w:rsidR="00E739B0" w:rsidRPr="001F392C">
        <w:rPr>
          <w:rFonts w:ascii="Times New Roman" w:hAnsi="Times New Roman" w:cs="Times New Roman"/>
          <w:b/>
          <w:sz w:val="24"/>
          <w:szCs w:val="24"/>
          <w:lang w:val="sk-SK"/>
        </w:rPr>
        <w:t>aktívnej politik</w:t>
      </w:r>
      <w:r w:rsidR="009D3A39" w:rsidRPr="001F392C">
        <w:rPr>
          <w:rFonts w:ascii="Times New Roman" w:hAnsi="Times New Roman" w:cs="Times New Roman"/>
          <w:b/>
          <w:sz w:val="24"/>
          <w:szCs w:val="24"/>
          <w:lang w:val="sk-SK"/>
        </w:rPr>
        <w:t>e</w:t>
      </w:r>
      <w:r w:rsidR="00E739B0" w:rsidRPr="001F392C">
        <w:rPr>
          <w:rFonts w:ascii="Times New Roman" w:hAnsi="Times New Roman" w:cs="Times New Roman"/>
          <w:b/>
          <w:sz w:val="24"/>
          <w:szCs w:val="24"/>
          <w:lang w:val="sk-SK"/>
        </w:rPr>
        <w:t xml:space="preserve"> trhu práce vyplývajúce z novelizácie zákona</w:t>
      </w:r>
      <w:r w:rsidR="00DC48AE" w:rsidRPr="001F392C">
        <w:rPr>
          <w:rFonts w:ascii="Times New Roman" w:hAnsi="Times New Roman" w:cs="Times New Roman"/>
          <w:b/>
          <w:sz w:val="24"/>
          <w:szCs w:val="24"/>
          <w:lang w:val="sk-SK"/>
        </w:rPr>
        <w:t xml:space="preserve"> o službách zamestnanosti</w:t>
      </w:r>
      <w:r w:rsidR="00E739B0" w:rsidRPr="001F392C">
        <w:rPr>
          <w:rFonts w:ascii="Times New Roman" w:hAnsi="Times New Roman" w:cs="Times New Roman"/>
          <w:b/>
          <w:sz w:val="24"/>
          <w:szCs w:val="24"/>
          <w:lang w:val="sk-SK"/>
        </w:rPr>
        <w:t xml:space="preserve"> </w:t>
      </w:r>
      <w:r w:rsidR="00CD10D1" w:rsidRPr="001F392C">
        <w:rPr>
          <w:rFonts w:ascii="Times New Roman" w:hAnsi="Times New Roman" w:cs="Times New Roman"/>
          <w:b/>
          <w:sz w:val="24"/>
          <w:szCs w:val="24"/>
          <w:lang w:val="sk-SK"/>
        </w:rPr>
        <w:t>s účinnosťou od 1. mája 2013</w:t>
      </w:r>
    </w:p>
    <w:p w:rsidR="00DC48AE" w:rsidRPr="001F392C" w:rsidRDefault="00DC48AE" w:rsidP="009601B7">
      <w:pPr>
        <w:autoSpaceDE w:val="0"/>
        <w:autoSpaceDN w:val="0"/>
        <w:adjustRightInd w:val="0"/>
        <w:jc w:val="both"/>
        <w:rPr>
          <w:lang w:eastAsia="sk-SK"/>
        </w:rPr>
      </w:pPr>
    </w:p>
    <w:p w:rsidR="009C043C" w:rsidRPr="001F392C" w:rsidRDefault="005660EC" w:rsidP="00B977AB">
      <w:pPr>
        <w:ind w:firstLine="709"/>
        <w:jc w:val="both"/>
        <w:rPr>
          <w:lang w:eastAsia="sk-SK"/>
        </w:rPr>
      </w:pPr>
      <w:r w:rsidRPr="001F392C">
        <w:t xml:space="preserve">Zmeny v APTP zabezpečia začleňovanie UoZ na trh práce </w:t>
      </w:r>
      <w:r w:rsidRPr="001F392C">
        <w:rPr>
          <w:b/>
        </w:rPr>
        <w:t>s efektívnejším využitím existujúcich prostriedkov</w:t>
      </w:r>
      <w:r w:rsidRPr="001F392C">
        <w:t xml:space="preserve">. </w:t>
      </w:r>
      <w:r w:rsidR="00B977AB" w:rsidRPr="001F392C">
        <w:t xml:space="preserve">Pri využívaní jednotlivých nástrojov umožní novela zákona výraznejšie zacielenie </w:t>
      </w:r>
      <w:r w:rsidR="00BB70C3" w:rsidRPr="001F392C">
        <w:rPr>
          <w:b/>
          <w:lang w:eastAsia="sk-SK"/>
        </w:rPr>
        <w:t>najmä na znevýhodnen</w:t>
      </w:r>
      <w:r w:rsidR="00B977AB" w:rsidRPr="001F392C">
        <w:rPr>
          <w:b/>
          <w:lang w:eastAsia="sk-SK"/>
        </w:rPr>
        <w:t>é</w:t>
      </w:r>
      <w:r w:rsidR="00BB70C3" w:rsidRPr="001F392C">
        <w:rPr>
          <w:b/>
          <w:lang w:eastAsia="sk-SK"/>
        </w:rPr>
        <w:t xml:space="preserve"> </w:t>
      </w:r>
      <w:r w:rsidR="00B977AB" w:rsidRPr="001F392C">
        <w:rPr>
          <w:b/>
          <w:lang w:eastAsia="sk-SK"/>
        </w:rPr>
        <w:t>skupiny</w:t>
      </w:r>
      <w:r w:rsidR="00BB70C3" w:rsidRPr="001F392C">
        <w:rPr>
          <w:lang w:eastAsia="sk-SK"/>
        </w:rPr>
        <w:t xml:space="preserve"> UoZ a</w:t>
      </w:r>
      <w:r w:rsidR="00B977AB" w:rsidRPr="001F392C">
        <w:rPr>
          <w:lang w:eastAsia="sk-SK"/>
        </w:rPr>
        <w:t> </w:t>
      </w:r>
      <w:r w:rsidR="00B977AB" w:rsidRPr="001F392C">
        <w:rPr>
          <w:b/>
        </w:rPr>
        <w:t>lepšie zohľadňovanie situácie na regionálnom trhu práce</w:t>
      </w:r>
      <w:r w:rsidR="00B977AB" w:rsidRPr="001F392C">
        <w:t>.</w:t>
      </w:r>
      <w:r w:rsidR="00BB70C3" w:rsidRPr="001F392C">
        <w:rPr>
          <w:lang w:eastAsia="sk-SK"/>
        </w:rPr>
        <w:t xml:space="preserve"> </w:t>
      </w:r>
    </w:p>
    <w:p w:rsidR="009C043C" w:rsidRPr="001F392C" w:rsidRDefault="009C043C" w:rsidP="009601B7">
      <w:pPr>
        <w:autoSpaceDE w:val="0"/>
        <w:autoSpaceDN w:val="0"/>
        <w:adjustRightInd w:val="0"/>
        <w:jc w:val="both"/>
        <w:rPr>
          <w:lang w:eastAsia="sk-SK"/>
        </w:rPr>
      </w:pPr>
    </w:p>
    <w:p w:rsidR="009C043C" w:rsidRPr="001F392C" w:rsidRDefault="00B977AB" w:rsidP="009601B7">
      <w:pPr>
        <w:ind w:firstLine="709"/>
        <w:jc w:val="both"/>
        <w:rPr>
          <w:rStyle w:val="Siln"/>
          <w:b w:val="0"/>
        </w:rPr>
      </w:pPr>
      <w:r w:rsidRPr="001F392C">
        <w:t>Novela</w:t>
      </w:r>
      <w:r w:rsidR="00523C30" w:rsidRPr="001F392C">
        <w:t xml:space="preserve"> zákona o službách zamestnanosti </w:t>
      </w:r>
      <w:r w:rsidRPr="001F392C">
        <w:t xml:space="preserve">plne zodpovedá </w:t>
      </w:r>
      <w:r w:rsidR="009C043C" w:rsidRPr="001F392C">
        <w:t xml:space="preserve">Národného programu reforiem Slovenskej republiky 2012, </w:t>
      </w:r>
      <w:r w:rsidRPr="001F392C">
        <w:t>podľa ktorého „v</w:t>
      </w:r>
      <w:r w:rsidR="009C043C" w:rsidRPr="001F392C">
        <w:rPr>
          <w:rStyle w:val="Siln"/>
          <w:b w:val="0"/>
        </w:rPr>
        <w:t xml:space="preserve">láda položí dôraz na znevýhodnených uchádzačov o zamestnanie. </w:t>
      </w:r>
      <w:r w:rsidR="009C043C" w:rsidRPr="001F392C">
        <w:rPr>
          <w:rStyle w:val="Siln"/>
        </w:rPr>
        <w:t>Systém bude zjednodušený najmä obmedzením počtu nástrojov a znížením administratívnej náročnosti pri implementácii APTP</w:t>
      </w:r>
      <w:r w:rsidR="009C043C" w:rsidRPr="001F392C">
        <w:rPr>
          <w:rStyle w:val="Siln"/>
          <w:b w:val="0"/>
        </w:rPr>
        <w:t>.</w:t>
      </w:r>
      <w:r w:rsidRPr="001F392C">
        <w:rPr>
          <w:rStyle w:val="Siln"/>
          <w:b w:val="0"/>
        </w:rPr>
        <w:t>“</w:t>
      </w:r>
      <w:r w:rsidR="009C043C" w:rsidRPr="001F392C">
        <w:rPr>
          <w:rStyle w:val="Siln"/>
          <w:b w:val="0"/>
        </w:rPr>
        <w:t xml:space="preserve"> </w:t>
      </w:r>
    </w:p>
    <w:p w:rsidR="009C043C" w:rsidRPr="001F392C" w:rsidRDefault="009C043C" w:rsidP="009601B7">
      <w:pPr>
        <w:rPr>
          <w:rStyle w:val="Siln"/>
          <w:b w:val="0"/>
        </w:rPr>
      </w:pPr>
    </w:p>
    <w:p w:rsidR="000026C4" w:rsidRPr="001F392C" w:rsidRDefault="00B977AB" w:rsidP="00E758D6">
      <w:pPr>
        <w:pStyle w:val="Default"/>
        <w:ind w:firstLine="709"/>
        <w:jc w:val="both"/>
        <w:rPr>
          <w:rFonts w:ascii="Times New Roman" w:hAnsi="Times New Roman" w:cs="Times New Roman"/>
          <w:lang w:val="sk-SK"/>
        </w:rPr>
      </w:pPr>
      <w:r w:rsidRPr="001F392C">
        <w:rPr>
          <w:rFonts w:ascii="Times New Roman" w:hAnsi="Times New Roman" w:cs="Times New Roman"/>
          <w:b/>
          <w:lang w:val="sk-SK"/>
        </w:rPr>
        <w:t>P</w:t>
      </w:r>
      <w:r w:rsidR="009C043C" w:rsidRPr="001F392C">
        <w:rPr>
          <w:rFonts w:ascii="Times New Roman" w:hAnsi="Times New Roman" w:cs="Times New Roman"/>
          <w:b/>
          <w:lang w:val="sk-SK"/>
        </w:rPr>
        <w:t>osilnenie a rozšírenie pôsobnosti Výborov pre otázky zamestnanosti</w:t>
      </w:r>
      <w:r w:rsidR="009C043C" w:rsidRPr="001F392C">
        <w:rPr>
          <w:rFonts w:ascii="Times New Roman" w:hAnsi="Times New Roman" w:cs="Times New Roman"/>
          <w:lang w:val="sk-SK"/>
        </w:rPr>
        <w:t xml:space="preserve"> </w:t>
      </w:r>
      <w:r w:rsidRPr="001F392C">
        <w:rPr>
          <w:rFonts w:ascii="Times New Roman" w:hAnsi="Times New Roman" w:cs="Times New Roman"/>
          <w:lang w:val="sk-SK"/>
        </w:rPr>
        <w:t xml:space="preserve">zvýši účasť kľúčových neštátnych partnerov (najmä podnikateľských subjektov a samospráv) na tvorbe a realizácii APTP, čo politiku zamestnanosti v danom regióne viac priblíži reálnym praktickým podmienkam. </w:t>
      </w:r>
    </w:p>
    <w:p w:rsidR="009C043C" w:rsidRPr="001F392C" w:rsidRDefault="009C043C" w:rsidP="009601B7">
      <w:pPr>
        <w:pStyle w:val="Default"/>
        <w:jc w:val="both"/>
        <w:rPr>
          <w:rFonts w:ascii="Times New Roman" w:hAnsi="Times New Roman" w:cs="Times New Roman"/>
          <w:lang w:val="sk-SK"/>
        </w:rPr>
      </w:pPr>
    </w:p>
    <w:p w:rsidR="00916FA7" w:rsidRPr="001F392C" w:rsidRDefault="00916FA7" w:rsidP="001355C9">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Analýza výstupov zisťovania u</w:t>
      </w:r>
      <w:r w:rsidR="007A73A0" w:rsidRPr="001F392C">
        <w:rPr>
          <w:rFonts w:ascii="Times New Roman" w:hAnsi="Times New Roman" w:cs="Times New Roman"/>
          <w:b/>
          <w:sz w:val="24"/>
          <w:szCs w:val="24"/>
          <w:u w:val="single"/>
          <w:lang w:val="sk-SK"/>
        </w:rPr>
        <w:t> </w:t>
      </w:r>
      <w:r w:rsidRPr="001F392C">
        <w:rPr>
          <w:rFonts w:ascii="Times New Roman" w:hAnsi="Times New Roman" w:cs="Times New Roman"/>
          <w:b/>
          <w:sz w:val="24"/>
          <w:szCs w:val="24"/>
          <w:u w:val="single"/>
          <w:lang w:val="sk-SK"/>
        </w:rPr>
        <w:t>podnikateľov</w:t>
      </w:r>
      <w:r w:rsidR="007A73A0" w:rsidRPr="001F392C">
        <w:rPr>
          <w:rFonts w:ascii="Times New Roman" w:hAnsi="Times New Roman" w:cs="Times New Roman"/>
          <w:b/>
          <w:sz w:val="24"/>
          <w:szCs w:val="24"/>
          <w:u w:val="single"/>
          <w:lang w:val="sk-SK"/>
        </w:rPr>
        <w:t xml:space="preserve"> (SZČ)</w:t>
      </w:r>
    </w:p>
    <w:p w:rsidR="00F6524B" w:rsidRPr="001F392C" w:rsidRDefault="00F6524B" w:rsidP="00F6524B">
      <w:pPr>
        <w:pStyle w:val="Default"/>
        <w:ind w:left="360"/>
        <w:jc w:val="both"/>
        <w:rPr>
          <w:rFonts w:ascii="Times New Roman" w:hAnsi="Times New Roman" w:cs="Times New Roman"/>
          <w:b/>
          <w:lang w:val="sk-SK"/>
        </w:rPr>
      </w:pPr>
    </w:p>
    <w:p w:rsidR="00F6524B" w:rsidRPr="001F392C" w:rsidRDefault="00F6524B" w:rsidP="00F6524B">
      <w:pPr>
        <w:ind w:firstLine="709"/>
        <w:jc w:val="both"/>
      </w:pPr>
      <w:r w:rsidRPr="001F392C">
        <w:t xml:space="preserve">Vývoj pracovných miest u živnostníkov vykazuje silne sezónny charakter s rastúcim dopytom po zamestnancoch v letných mesiacoch. Od roku 2010 podľa údajov </w:t>
      </w:r>
      <w:r w:rsidR="00F7559F" w:rsidRPr="001F392C">
        <w:t xml:space="preserve">                       </w:t>
      </w:r>
      <w:r w:rsidRPr="001F392C">
        <w:t xml:space="preserve">zo štvrťročného výberového zisťovania u SZČO (PM MPSVR SR 1 - 04) však postupne klesá počet aj podiel zamestnancov u živnostníkov. Ako najčastejší dôvod zanikania pracovných miest </w:t>
      </w:r>
      <w:r w:rsidR="00B977AB" w:rsidRPr="001F392C">
        <w:t xml:space="preserve">uvádzajú </w:t>
      </w:r>
      <w:r w:rsidRPr="001F392C">
        <w:t>živnostníci znižovani</w:t>
      </w:r>
      <w:r w:rsidR="00B977AB" w:rsidRPr="001F392C">
        <w:t>e</w:t>
      </w:r>
      <w:r w:rsidRPr="001F392C">
        <w:t xml:space="preserve"> stavu súvisiaceho s nepriaznivou ekonomickou situáciou.  </w:t>
      </w:r>
    </w:p>
    <w:p w:rsidR="00C178EC" w:rsidRPr="001F392C" w:rsidRDefault="00C178EC" w:rsidP="00F6524B">
      <w:pPr>
        <w:jc w:val="both"/>
      </w:pPr>
    </w:p>
    <w:p w:rsidR="00B02A6D" w:rsidRPr="001F392C" w:rsidRDefault="00B02A6D" w:rsidP="00F6524B">
      <w:pPr>
        <w:jc w:val="both"/>
        <w:rPr>
          <w:i/>
        </w:rPr>
      </w:pPr>
      <w:r w:rsidRPr="001F392C">
        <w:rPr>
          <w:i/>
        </w:rPr>
        <w:t>Graf č. 1</w:t>
      </w:r>
    </w:p>
    <w:p w:rsidR="00F6524B" w:rsidRPr="001F392C" w:rsidRDefault="00F6524B" w:rsidP="00F6524B">
      <w:pPr>
        <w:jc w:val="both"/>
      </w:pPr>
    </w:p>
    <w:p w:rsidR="00F6524B" w:rsidRPr="001F392C" w:rsidRDefault="00854351" w:rsidP="00F6524B">
      <w:pPr>
        <w:rPr>
          <w:b/>
        </w:rPr>
      </w:pPr>
      <w:r w:rsidRPr="001F392C">
        <w:rPr>
          <w:b/>
          <w:noProof/>
          <w:lang w:val="en-US"/>
        </w:rPr>
        <w:drawing>
          <wp:inline distT="0" distB="0" distL="0" distR="0">
            <wp:extent cx="6257925" cy="3590925"/>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57" t="-2689" r="-2852" b="-3995"/>
                    <a:stretch>
                      <a:fillRect/>
                    </a:stretch>
                  </pic:blipFill>
                  <pic:spPr bwMode="auto">
                    <a:xfrm>
                      <a:off x="0" y="0"/>
                      <a:ext cx="6257925" cy="3590925"/>
                    </a:xfrm>
                    <a:prstGeom prst="rect">
                      <a:avLst/>
                    </a:prstGeom>
                    <a:noFill/>
                    <a:ln>
                      <a:noFill/>
                    </a:ln>
                  </pic:spPr>
                </pic:pic>
              </a:graphicData>
            </a:graphic>
          </wp:inline>
        </w:drawing>
      </w:r>
    </w:p>
    <w:p w:rsidR="005C25B6" w:rsidRDefault="005C25B6" w:rsidP="005C25B6">
      <w:pPr>
        <w:rPr>
          <w:i/>
          <w:sz w:val="20"/>
        </w:rPr>
      </w:pPr>
      <w:r>
        <w:rPr>
          <w:i/>
          <w:sz w:val="20"/>
        </w:rPr>
        <w:t>Zdroj: PM MPSVR SR 1 - 04</w:t>
      </w:r>
    </w:p>
    <w:p w:rsidR="00F6524B" w:rsidRPr="001F392C" w:rsidRDefault="00F6524B" w:rsidP="00F6524B">
      <w:pPr>
        <w:rPr>
          <w:b/>
        </w:rPr>
      </w:pPr>
    </w:p>
    <w:p w:rsidR="00F6524B" w:rsidRPr="001F392C" w:rsidRDefault="00F6524B" w:rsidP="00F6524B">
      <w:pPr>
        <w:ind w:firstLine="709"/>
        <w:jc w:val="both"/>
        <w:rPr>
          <w:sz w:val="22"/>
          <w:szCs w:val="22"/>
        </w:rPr>
      </w:pPr>
      <w:r w:rsidRPr="001F392C">
        <w:t>V súvislosti s priemernou dĺžkou neobsadenosti voľných pracovných miest sa podnikatelia sťažovali na problémy s nájdením vhodného kandidáta, ktorý by vyhovoval ich požiadavkám a boli by ho schopní zaplatiť. Uviedli, že hneď, ako sa zamestnancovi naskytla lepšia príležitosť, odišiel buď k inému zamestnávateľovi, alebo do zahraničia.</w:t>
      </w:r>
    </w:p>
    <w:p w:rsidR="00F6524B" w:rsidRPr="001F392C" w:rsidRDefault="00F6524B" w:rsidP="00F6524B">
      <w:pPr>
        <w:pStyle w:val="Default"/>
        <w:ind w:left="360"/>
        <w:jc w:val="both"/>
        <w:rPr>
          <w:rFonts w:ascii="Times New Roman" w:hAnsi="Times New Roman" w:cs="Times New Roman"/>
          <w:lang w:val="sk-SK"/>
        </w:rPr>
      </w:pPr>
    </w:p>
    <w:p w:rsidR="00634E74" w:rsidRPr="001F392C" w:rsidRDefault="0095646C" w:rsidP="00FE1BF8">
      <w:pPr>
        <w:pStyle w:val="3Title"/>
        <w:numPr>
          <w:ilvl w:val="1"/>
          <w:numId w:val="26"/>
        </w:numPr>
        <w:tabs>
          <w:tab w:val="left" w:pos="567"/>
        </w:tabs>
        <w:ind w:left="567" w:hanging="567"/>
        <w:jc w:val="both"/>
        <w:rPr>
          <w:rFonts w:ascii="Times New Roman" w:hAnsi="Times New Roman" w:cs="Times New Roman"/>
          <w:b/>
          <w:sz w:val="24"/>
          <w:szCs w:val="24"/>
          <w:u w:val="single"/>
          <w:lang w:val="sk-SK"/>
        </w:rPr>
      </w:pPr>
      <w:r w:rsidRPr="001F392C">
        <w:rPr>
          <w:rFonts w:ascii="Times New Roman" w:hAnsi="Times New Roman" w:cs="Times New Roman"/>
          <w:b/>
          <w:sz w:val="24"/>
          <w:szCs w:val="24"/>
          <w:u w:val="single"/>
          <w:lang w:val="sk-SK"/>
        </w:rPr>
        <w:t xml:space="preserve">Zhrnutie analytickej časti: </w:t>
      </w:r>
    </w:p>
    <w:p w:rsidR="00C178EC" w:rsidRPr="001F392C" w:rsidRDefault="00C178EC" w:rsidP="00557520">
      <w:pPr>
        <w:jc w:val="both"/>
      </w:pPr>
    </w:p>
    <w:p w:rsidR="00503A62" w:rsidRPr="001F392C" w:rsidRDefault="00F01155" w:rsidP="00C178EC">
      <w:pPr>
        <w:ind w:firstLine="567"/>
        <w:jc w:val="both"/>
      </w:pPr>
      <w:r w:rsidRPr="001F392C">
        <w:t>Z analytickej časti vyplýva, že z</w:t>
      </w:r>
      <w:r w:rsidR="005F7351" w:rsidRPr="001F392C">
        <w:t>a celý rok 2012 kles</w:t>
      </w:r>
      <w:r w:rsidR="00D8693D">
        <w:t>a</w:t>
      </w:r>
      <w:r w:rsidR="005F7351" w:rsidRPr="001F392C">
        <w:t xml:space="preserve">la zamestnanosť medziročne v EÚ 27 a </w:t>
      </w:r>
      <w:r w:rsidRPr="001F392C">
        <w:t xml:space="preserve">v eurozóne, a že </w:t>
      </w:r>
      <w:r w:rsidR="005F7351" w:rsidRPr="001F392C">
        <w:t>Slovensko sa zaradilo medzi štáty s miern</w:t>
      </w:r>
      <w:r w:rsidR="00D8693D">
        <w:t>ejší</w:t>
      </w:r>
      <w:r w:rsidR="005F7351" w:rsidRPr="001F392C">
        <w:t>m pok</w:t>
      </w:r>
      <w:r w:rsidRPr="001F392C">
        <w:t>lesom zamestnanosti</w:t>
      </w:r>
      <w:r w:rsidR="006B5285" w:rsidRPr="001F392C">
        <w:t>.</w:t>
      </w:r>
      <w:r w:rsidRPr="001F392C">
        <w:t xml:space="preserve"> Počet voľných pracovných miest v hospodárstve SR</w:t>
      </w:r>
      <w:r w:rsidR="003D6067" w:rsidRPr="001F392C">
        <w:t xml:space="preserve"> klesol.</w:t>
      </w:r>
      <w:r w:rsidR="00EE2869" w:rsidRPr="001F392C">
        <w:t xml:space="preserve"> C</w:t>
      </w:r>
      <w:r w:rsidR="006B5285" w:rsidRPr="001F392C">
        <w:t>elkové zdroje pracovných síl vzrástli.</w:t>
      </w:r>
      <w:r w:rsidR="003D6067" w:rsidRPr="001F392C">
        <w:t xml:space="preserve"> </w:t>
      </w:r>
      <w:r w:rsidR="0095646C" w:rsidRPr="001F392C">
        <w:t xml:space="preserve">Podiel dlhodobo nezamestnaných osôb na celkovom počte UoZ predstavoval v priemere </w:t>
      </w:r>
      <w:r w:rsidR="003D6067" w:rsidRPr="001F392C">
        <w:t>viac ako 50 % a viac ako polovica mladých ľudí bola nezamestnaná dlhšie ako jeden rok. Najviac nezamestnaných z celkového počtu UoZ nad 12 mesiacov bolo vo veku nad 50 rokov.</w:t>
      </w:r>
      <w:r w:rsidR="00EE2869" w:rsidRPr="001F392C">
        <w:t xml:space="preserve"> </w:t>
      </w:r>
      <w:r w:rsidR="00D36056" w:rsidRPr="001F392C">
        <w:t xml:space="preserve">Tieto </w:t>
      </w:r>
      <w:r w:rsidR="00503A62" w:rsidRPr="001F392C">
        <w:t xml:space="preserve">analytické zistenia sú dôležité pre </w:t>
      </w:r>
      <w:r w:rsidR="00CB04CA" w:rsidRPr="001F392C">
        <w:t>nastavenie</w:t>
      </w:r>
      <w:r w:rsidR="00186558" w:rsidRPr="001F392C">
        <w:t xml:space="preserve"> takých</w:t>
      </w:r>
      <w:r w:rsidR="00CB04CA" w:rsidRPr="001F392C">
        <w:t xml:space="preserve"> opatrení</w:t>
      </w:r>
      <w:r w:rsidR="00503A62" w:rsidRPr="001F392C">
        <w:t xml:space="preserve"> na </w:t>
      </w:r>
      <w:r w:rsidR="00CB04CA" w:rsidRPr="001F392C">
        <w:t>zlepšenie situácie na trhu</w:t>
      </w:r>
      <w:r w:rsidR="00186558" w:rsidRPr="001F392C">
        <w:t xml:space="preserve">, ktoré významne prispejú k podpore vytvárania udržateľných </w:t>
      </w:r>
      <w:r w:rsidR="00557520" w:rsidRPr="001F392C">
        <w:t>pracovných miest a</w:t>
      </w:r>
      <w:r w:rsidR="00186558" w:rsidRPr="001F392C">
        <w:t> </w:t>
      </w:r>
      <w:r w:rsidR="00557520" w:rsidRPr="001F392C">
        <w:t>ktoré</w:t>
      </w:r>
      <w:r w:rsidR="00186558" w:rsidRPr="001F392C">
        <w:t xml:space="preserve"> budú musieť byť </w:t>
      </w:r>
      <w:r w:rsidR="00CB04CA" w:rsidRPr="001F392C">
        <w:t xml:space="preserve">zamerané najmä na </w:t>
      </w:r>
      <w:r w:rsidR="00186558" w:rsidRPr="001F392C">
        <w:t>zlepšeni</w:t>
      </w:r>
      <w:r w:rsidR="007C5946" w:rsidRPr="001F392C">
        <w:t>e</w:t>
      </w:r>
      <w:r w:rsidR="00186558" w:rsidRPr="001F392C">
        <w:t xml:space="preserve"> prístupu </w:t>
      </w:r>
      <w:r w:rsidR="00D8693D" w:rsidRPr="001F392C">
        <w:t>na trh práce</w:t>
      </w:r>
      <w:r w:rsidR="00D8693D">
        <w:t xml:space="preserve"> u dlhodobo nezamestnaných, mladých ľudí a UoZ nad 50 rokov veku</w:t>
      </w:r>
      <w:r w:rsidR="00CB04CA" w:rsidRPr="001F392C">
        <w:t>.</w:t>
      </w:r>
      <w:r w:rsidR="00557520" w:rsidRPr="001F392C">
        <w:t xml:space="preserve"> Významovo najdôležitejšie budú na</w:t>
      </w:r>
      <w:r w:rsidR="00186558" w:rsidRPr="001F392C">
        <w:t xml:space="preserve"> </w:t>
      </w:r>
      <w:r w:rsidR="00557520" w:rsidRPr="001F392C">
        <w:t xml:space="preserve">trhu práce pôsobiť najmä systémové zmeny v APTP, ktoré boli prijaté s účinnosťou od 1. mája 2013.  </w:t>
      </w:r>
    </w:p>
    <w:p w:rsidR="00274B8C" w:rsidRPr="001F392C" w:rsidRDefault="00274B8C" w:rsidP="009601B7">
      <w:pPr>
        <w:autoSpaceDE w:val="0"/>
        <w:autoSpaceDN w:val="0"/>
        <w:adjustRightInd w:val="0"/>
      </w:pPr>
    </w:p>
    <w:p w:rsidR="00CD10D1" w:rsidRPr="001F392C" w:rsidRDefault="00CD10D1" w:rsidP="009601B7">
      <w:pPr>
        <w:autoSpaceDE w:val="0"/>
        <w:autoSpaceDN w:val="0"/>
        <w:adjustRightInd w:val="0"/>
      </w:pPr>
    </w:p>
    <w:p w:rsidR="00E02082" w:rsidRPr="001F392C" w:rsidRDefault="00E02082" w:rsidP="00E758D6">
      <w:pPr>
        <w:pStyle w:val="Odsekzoznamu"/>
        <w:numPr>
          <w:ilvl w:val="0"/>
          <w:numId w:val="26"/>
        </w:numPr>
        <w:tabs>
          <w:tab w:val="left" w:pos="567"/>
        </w:tabs>
        <w:ind w:left="567" w:hanging="567"/>
        <w:jc w:val="both"/>
        <w:rPr>
          <w:b/>
          <w:bCs/>
          <w:sz w:val="28"/>
          <w:szCs w:val="28"/>
        </w:rPr>
      </w:pPr>
      <w:r w:rsidRPr="001F392C">
        <w:rPr>
          <w:b/>
          <w:bCs/>
          <w:sz w:val="28"/>
          <w:szCs w:val="28"/>
        </w:rPr>
        <w:t xml:space="preserve">OPATRENIA NA ZLEPŠENIE SITUÁCIE NA TRHU PRÁCE V ČASE </w:t>
      </w:r>
      <w:r w:rsidR="000026C4" w:rsidRPr="001F392C">
        <w:rPr>
          <w:b/>
          <w:bCs/>
          <w:sz w:val="28"/>
          <w:szCs w:val="28"/>
        </w:rPr>
        <w:t>SPOMAĽOVANIA EKONOMICKÉHO RASTU</w:t>
      </w:r>
    </w:p>
    <w:p w:rsidR="0053708B" w:rsidRPr="001F392C" w:rsidRDefault="0053708B" w:rsidP="009601B7">
      <w:pPr>
        <w:pStyle w:val="Odsekzoznamu"/>
        <w:ind w:left="0"/>
        <w:jc w:val="both"/>
        <w:rPr>
          <w:b/>
          <w:bCs/>
        </w:rPr>
      </w:pPr>
    </w:p>
    <w:p w:rsidR="000A3310" w:rsidRPr="001F392C" w:rsidRDefault="00E513B2" w:rsidP="00C20916">
      <w:pPr>
        <w:ind w:firstLine="567"/>
        <w:jc w:val="both"/>
      </w:pPr>
      <w:r w:rsidRPr="001F392C">
        <w:t xml:space="preserve">Z informatívnej a analytickej časti tejto správy jednoznačne vyplýva, že </w:t>
      </w:r>
      <w:r w:rsidRPr="001F392C">
        <w:rPr>
          <w:b/>
        </w:rPr>
        <w:t>kľúčovým faktorom ovplyvňujúcim vývoj na trhu práce je hospodárska situácia</w:t>
      </w:r>
      <w:r w:rsidRPr="001F392C">
        <w:t xml:space="preserve">. </w:t>
      </w:r>
    </w:p>
    <w:p w:rsidR="000A3310" w:rsidRPr="001F392C" w:rsidRDefault="000A3310" w:rsidP="00C20916">
      <w:pPr>
        <w:ind w:firstLine="567"/>
        <w:jc w:val="both"/>
      </w:pPr>
    </w:p>
    <w:p w:rsidR="00E513B2" w:rsidRPr="001F392C" w:rsidRDefault="00E513B2" w:rsidP="00C178EC">
      <w:pPr>
        <w:ind w:firstLine="567"/>
        <w:jc w:val="both"/>
      </w:pPr>
      <w:r w:rsidRPr="001F392C">
        <w:t>Podmienky trhového hospodárstva a podmienky nadpriemerne otvorenej ekonomiky, ktorej výkonnosť až z vyše 90% závisí od exportu, výrazne ovplyvňujú možnosti vlády</w:t>
      </w:r>
      <w:r w:rsidR="000A3310" w:rsidRPr="001F392C">
        <w:t xml:space="preserve"> SR</w:t>
      </w:r>
      <w:r w:rsidRPr="001F392C">
        <w:t xml:space="preserve"> regulovať okamžitý vývoj pracovného trhu. </w:t>
      </w:r>
      <w:r w:rsidRPr="001F392C">
        <w:rPr>
          <w:b/>
        </w:rPr>
        <w:t>Opatreniami posilňujúcimi sociálny dialóg a postavenie zástupcov zamestnancov, ako aj zmenami v daňovom a odvodovom systéme vláda SR sleduje zámer</w:t>
      </w:r>
      <w:r w:rsidRPr="001F392C">
        <w:t xml:space="preserve"> posilňovať domáci dopyt zvyšovaním kúpyschopnosti domácností s cieľom </w:t>
      </w:r>
      <w:r w:rsidRPr="001F392C">
        <w:rPr>
          <w:b/>
        </w:rPr>
        <w:t>podporiť zvýšenie zamestnanosti v službách, ale aj produkcii výrobkov určených primárne pre domáci trh.</w:t>
      </w:r>
      <w:r w:rsidRPr="001F392C">
        <w:t xml:space="preserve"> S rovnakým zámerom vláda SR realizuje opatrenia priamo podporujúce vytváranie pracovných miest, nakoľko príjmy z práce vo všeobecnosti zabezpečujú vyššiu kúpyschopnosť, než sociálne transfery. </w:t>
      </w:r>
    </w:p>
    <w:p w:rsidR="00E513B2" w:rsidRPr="001F392C" w:rsidRDefault="00E513B2" w:rsidP="00C178EC">
      <w:pPr>
        <w:jc w:val="both"/>
      </w:pPr>
    </w:p>
    <w:p w:rsidR="00E513B2" w:rsidRPr="001F392C" w:rsidRDefault="00E513B2" w:rsidP="00C178EC">
      <w:pPr>
        <w:ind w:firstLine="567"/>
        <w:jc w:val="both"/>
        <w:rPr>
          <w:b/>
        </w:rPr>
      </w:pPr>
      <w:r w:rsidRPr="001F392C">
        <w:rPr>
          <w:b/>
        </w:rPr>
        <w:t xml:space="preserve">Berúc do úvahy kľúčový vplyv ekonomického vývoja na vývoj trhu práce sa vláda SR zameriava pri podpore okamžitého rastu pracovného trhu na dva typy aktívnych opatrení: </w:t>
      </w:r>
    </w:p>
    <w:p w:rsidR="00E513B2" w:rsidRPr="001F392C" w:rsidRDefault="00117856" w:rsidP="00C178EC">
      <w:pPr>
        <w:pStyle w:val="Odsekzoznamu"/>
        <w:numPr>
          <w:ilvl w:val="0"/>
          <w:numId w:val="44"/>
        </w:numPr>
        <w:contextualSpacing/>
        <w:jc w:val="both"/>
      </w:pPr>
      <w:r w:rsidRPr="001F392C">
        <w:t>O</w:t>
      </w:r>
      <w:r w:rsidR="00E513B2" w:rsidRPr="001F392C">
        <w:t>patrenia</w:t>
      </w:r>
      <w:r w:rsidRPr="001F392C">
        <w:t>/projekty</w:t>
      </w:r>
      <w:r w:rsidR="00E513B2" w:rsidRPr="001F392C">
        <w:t xml:space="preserve"> rezortu práce, sociálnych vecí a rodiny, ktoré priamo finančne podporujú vytváranie pracovných miest</w:t>
      </w:r>
      <w:r w:rsidR="00FC14E0" w:rsidRPr="001F392C">
        <w:t xml:space="preserve"> v</w:t>
      </w:r>
      <w:r w:rsidR="00604935" w:rsidRPr="001F392C">
        <w:t> </w:t>
      </w:r>
      <w:r w:rsidR="00FC14E0" w:rsidRPr="001F392C">
        <w:t>období</w:t>
      </w:r>
      <w:r w:rsidR="00604935" w:rsidRPr="001F392C">
        <w:t xml:space="preserve"> </w:t>
      </w:r>
      <w:r w:rsidR="00FC14E0" w:rsidRPr="001F392C">
        <w:t xml:space="preserve"> rokov 2013 až 2015</w:t>
      </w:r>
      <w:r w:rsidR="00E513B2" w:rsidRPr="001F392C">
        <w:t xml:space="preserve">, </w:t>
      </w:r>
    </w:p>
    <w:p w:rsidR="00E513B2" w:rsidRPr="001F392C" w:rsidRDefault="00E513B2" w:rsidP="00C178EC">
      <w:pPr>
        <w:pStyle w:val="Odsekzoznamu"/>
        <w:numPr>
          <w:ilvl w:val="0"/>
          <w:numId w:val="44"/>
        </w:numPr>
        <w:contextualSpacing/>
        <w:jc w:val="both"/>
      </w:pPr>
      <w:r w:rsidRPr="001F392C">
        <w:t>opatrenia/projekty hospodárskych rezortov vo forme verejných investícií alebo vo forme dotačných či obdobných programov a opatrení, ktoré vedú k zvýšeniu dopytu po určitých tovaroch a službách a teda aj k zvýšeniu počtu prac</w:t>
      </w:r>
      <w:r w:rsidR="000A3310" w:rsidRPr="001F392C">
        <w:t>ovných</w:t>
      </w:r>
      <w:r w:rsidRPr="001F392C">
        <w:t xml:space="preserve"> príležitostí</w:t>
      </w:r>
      <w:r w:rsidR="00FC14E0" w:rsidRPr="001F392C">
        <w:t>,  od ktorých sa očakáva „bezprostredný“ efekt v krátkodobom časovom horizonte rokov 2013 a</w:t>
      </w:r>
      <w:r w:rsidR="007C5946" w:rsidRPr="001F392C">
        <w:t> </w:t>
      </w:r>
      <w:r w:rsidR="00FC14E0" w:rsidRPr="001F392C">
        <w:t>201</w:t>
      </w:r>
      <w:r w:rsidR="00267008" w:rsidRPr="001F392C">
        <w:t>5</w:t>
      </w:r>
      <w:r w:rsidR="007C5946" w:rsidRPr="001F392C">
        <w:t xml:space="preserve"> (Opatrenia v hospodárskej politike na podporu hospodárskeho rastu)</w:t>
      </w:r>
      <w:r w:rsidR="00FC14E0" w:rsidRPr="001F392C">
        <w:t>.</w:t>
      </w:r>
    </w:p>
    <w:p w:rsidR="00E513B2" w:rsidRPr="001F392C" w:rsidRDefault="00E513B2" w:rsidP="00C178EC"/>
    <w:p w:rsidR="007C5946" w:rsidRPr="001F392C" w:rsidRDefault="007C5946" w:rsidP="00C178EC">
      <w:pPr>
        <w:ind w:firstLine="709"/>
        <w:jc w:val="both"/>
        <w:rPr>
          <w:b/>
        </w:rPr>
      </w:pPr>
      <w:r w:rsidRPr="001F392C">
        <w:rPr>
          <w:b/>
        </w:rPr>
        <w:lastRenderedPageBreak/>
        <w:t xml:space="preserve">Pri podpore budúceho rastu pracovného trhu sa bude vláda SR </w:t>
      </w:r>
      <w:r w:rsidR="00523C83" w:rsidRPr="001F392C">
        <w:rPr>
          <w:b/>
        </w:rPr>
        <w:t xml:space="preserve">zameriavať aj na opatrenia, ktoré môžu mať v dlhodobom časovom horizonte </w:t>
      </w:r>
      <w:r w:rsidR="005B1FBB" w:rsidRPr="001F392C">
        <w:rPr>
          <w:b/>
        </w:rPr>
        <w:t xml:space="preserve">nepriamy alebo prenesený </w:t>
      </w:r>
      <w:r w:rsidR="00523C83" w:rsidRPr="001F392C">
        <w:rPr>
          <w:b/>
        </w:rPr>
        <w:t xml:space="preserve">vplyv na zamestnanosť.  </w:t>
      </w:r>
    </w:p>
    <w:p w:rsidR="005B1FBB" w:rsidRPr="001F392C" w:rsidRDefault="005B1FBB" w:rsidP="00C178EC">
      <w:pPr>
        <w:jc w:val="both"/>
      </w:pPr>
    </w:p>
    <w:p w:rsidR="005B1FBB" w:rsidRPr="001F392C" w:rsidRDefault="005B1FBB" w:rsidP="00C178EC">
      <w:pPr>
        <w:ind w:firstLine="567"/>
        <w:jc w:val="both"/>
      </w:pPr>
      <w:r w:rsidRPr="001F392C">
        <w:t xml:space="preserve">V nadväznosti na uvedené sú opatrenia členené </w:t>
      </w:r>
      <w:r w:rsidRPr="001F392C">
        <w:rPr>
          <w:b/>
        </w:rPr>
        <w:t>do nasledujúcich štyroch častí</w:t>
      </w:r>
      <w:r w:rsidRPr="001F392C">
        <w:t>:</w:t>
      </w:r>
    </w:p>
    <w:p w:rsidR="007C5946" w:rsidRPr="001F392C" w:rsidRDefault="00523C83" w:rsidP="00C178EC">
      <w:pPr>
        <w:ind w:left="360"/>
      </w:pPr>
      <w:r w:rsidRPr="001F392C">
        <w:t xml:space="preserve"> </w:t>
      </w:r>
    </w:p>
    <w:p w:rsidR="00E513B2" w:rsidRPr="001F392C" w:rsidRDefault="00E513B2" w:rsidP="001355C9">
      <w:pPr>
        <w:pBdr>
          <w:top w:val="single" w:sz="4" w:space="1" w:color="auto"/>
          <w:left w:val="single" w:sz="4" w:space="4" w:color="auto"/>
          <w:bottom w:val="single" w:sz="4" w:space="1" w:color="auto"/>
          <w:right w:val="single" w:sz="4" w:space="4" w:color="auto"/>
        </w:pBdr>
        <w:tabs>
          <w:tab w:val="left" w:pos="567"/>
        </w:tabs>
        <w:ind w:left="567" w:hanging="567"/>
        <w:jc w:val="both"/>
        <w:rPr>
          <w:b/>
        </w:rPr>
      </w:pPr>
      <w:r w:rsidRPr="001F392C">
        <w:rPr>
          <w:b/>
        </w:rPr>
        <w:t>3.1</w:t>
      </w:r>
      <w:r w:rsidR="00D156BB" w:rsidRPr="001F392C">
        <w:rPr>
          <w:b/>
        </w:rPr>
        <w:t>.</w:t>
      </w:r>
      <w:r w:rsidR="00C20916" w:rsidRPr="001F392C">
        <w:rPr>
          <w:b/>
        </w:rPr>
        <w:t xml:space="preserve"> </w:t>
      </w:r>
      <w:r w:rsidRPr="001F392C">
        <w:rPr>
          <w:b/>
        </w:rPr>
        <w:t xml:space="preserve"> Opatrenia/projekty rezortu práce, sociálnych vecí a rodiny</w:t>
      </w:r>
      <w:r w:rsidR="00117856" w:rsidRPr="001F392C">
        <w:t xml:space="preserve">, </w:t>
      </w:r>
      <w:r w:rsidR="00117856" w:rsidRPr="001F392C">
        <w:rPr>
          <w:b/>
        </w:rPr>
        <w:t>ktoré priamo finančne podporujú vytváranie pracovných miest v období rokov 2013 až 2015</w:t>
      </w:r>
      <w:r w:rsidR="00480550" w:rsidRPr="001F392C">
        <w:rPr>
          <w:b/>
        </w:rPr>
        <w:t xml:space="preserve"> </w:t>
      </w:r>
    </w:p>
    <w:p w:rsidR="00117856" w:rsidRPr="001F392C" w:rsidRDefault="00117856" w:rsidP="00C178EC">
      <w:pPr>
        <w:rPr>
          <w:b/>
        </w:rPr>
      </w:pPr>
    </w:p>
    <w:p w:rsidR="007B1C45" w:rsidRPr="001F392C" w:rsidRDefault="00FC14E0" w:rsidP="001355C9">
      <w:pPr>
        <w:tabs>
          <w:tab w:val="left" w:pos="709"/>
        </w:tabs>
        <w:ind w:left="709" w:hanging="709"/>
        <w:rPr>
          <w:b/>
        </w:rPr>
      </w:pPr>
      <w:r w:rsidRPr="001F392C">
        <w:rPr>
          <w:b/>
        </w:rPr>
        <w:t>3.1.1</w:t>
      </w:r>
      <w:r w:rsidR="001355C9" w:rsidRPr="001F392C">
        <w:rPr>
          <w:b/>
        </w:rPr>
        <w:t>.</w:t>
      </w:r>
      <w:r w:rsidR="001355C9" w:rsidRPr="001F392C">
        <w:rPr>
          <w:b/>
        </w:rPr>
        <w:tab/>
      </w:r>
      <w:r w:rsidR="00E513B2" w:rsidRPr="001F392C">
        <w:rPr>
          <w:b/>
        </w:rPr>
        <w:t>Národný projekt XX</w:t>
      </w:r>
    </w:p>
    <w:p w:rsidR="000E03AD" w:rsidRPr="001F392C" w:rsidRDefault="000E03AD" w:rsidP="00C178EC">
      <w:pPr>
        <w:rPr>
          <w:b/>
        </w:rPr>
      </w:pPr>
    </w:p>
    <w:p w:rsidR="00E513B2" w:rsidRPr="001F392C" w:rsidRDefault="00E513B2" w:rsidP="00C178EC">
      <w:pPr>
        <w:overflowPunct w:val="0"/>
        <w:autoSpaceDE w:val="0"/>
        <w:autoSpaceDN w:val="0"/>
        <w:ind w:firstLine="709"/>
        <w:jc w:val="both"/>
        <w:rPr>
          <w:lang w:eastAsia="sk-SK"/>
        </w:rPr>
      </w:pPr>
      <w:r w:rsidRPr="001F392C">
        <w:rPr>
          <w:lang w:eastAsia="sk-SK"/>
        </w:rPr>
        <w:t>Cieľom projektu je formou finančnej dotácie pre zamestnávateľa podporiť vznik nových prac</w:t>
      </w:r>
      <w:r w:rsidR="000A3310" w:rsidRPr="001F392C">
        <w:rPr>
          <w:lang w:eastAsia="sk-SK"/>
        </w:rPr>
        <w:t xml:space="preserve">ovných </w:t>
      </w:r>
      <w:r w:rsidRPr="001F392C">
        <w:rPr>
          <w:lang w:eastAsia="sk-SK"/>
        </w:rPr>
        <w:t xml:space="preserve"> miest prioritne pre mladých UoZ vo veku do 29 rokov veku so zámerom zvýšiť ich šance na trhu práce tým, že získajú alebo si obnovia pracovné návyky a kvalifikačné zručnosti. Druhou cieľovou skupinou projektu budú po prvých 6 mesiacoch realizácie aj </w:t>
      </w:r>
      <w:r w:rsidR="000A3310" w:rsidRPr="001F392C">
        <w:rPr>
          <w:lang w:eastAsia="sk-SK"/>
        </w:rPr>
        <w:t>Z</w:t>
      </w:r>
      <w:r w:rsidRPr="001F392C">
        <w:rPr>
          <w:lang w:eastAsia="sk-SK"/>
        </w:rPr>
        <w:t xml:space="preserve">UoZ vo veku nad 50 rokov veku. </w:t>
      </w:r>
    </w:p>
    <w:p w:rsidR="00C178EC" w:rsidRPr="001F392C" w:rsidRDefault="00C178EC" w:rsidP="00C178EC">
      <w:pPr>
        <w:pStyle w:val="Normlnywebov"/>
        <w:spacing w:before="0" w:beforeAutospacing="0" w:after="0" w:afterAutospacing="0"/>
        <w:ind w:firstLine="709"/>
        <w:jc w:val="both"/>
      </w:pPr>
    </w:p>
    <w:p w:rsidR="00E513B2" w:rsidRPr="001F392C" w:rsidRDefault="00E513B2" w:rsidP="00C178EC">
      <w:pPr>
        <w:pStyle w:val="Normlnywebov"/>
        <w:spacing w:before="0" w:beforeAutospacing="0" w:after="0" w:afterAutospacing="0"/>
        <w:ind w:firstLine="709"/>
        <w:jc w:val="both"/>
        <w:rPr>
          <w:rFonts w:eastAsia="Calibri"/>
        </w:rPr>
      </w:pPr>
      <w:r w:rsidRPr="001F392C">
        <w:t xml:space="preserve">Podpora má formu príspevku na úhradu časti mzdových nákladov a to maximálne </w:t>
      </w:r>
      <w:r w:rsidR="0045426D" w:rsidRPr="001F392C">
        <w:t xml:space="preserve">      </w:t>
      </w:r>
      <w:r w:rsidRPr="001F392C">
        <w:t>vo výške minimálnej celkovej ceny práce (min</w:t>
      </w:r>
      <w:r w:rsidR="000A3310" w:rsidRPr="001F392C">
        <w:t>imálna</w:t>
      </w:r>
      <w:r w:rsidRPr="001F392C">
        <w:t xml:space="preserve"> mzda + sociálne a zdravotné poistenie) na dobu 6 alebo 9 mesiacov s podmienkou, že zamestnávateľ na vlastné náklady udrží takto podporené prac</w:t>
      </w:r>
      <w:r w:rsidR="000A3310" w:rsidRPr="001F392C">
        <w:t>ovné</w:t>
      </w:r>
      <w:r w:rsidRPr="001F392C">
        <w:t xml:space="preserve"> miest</w:t>
      </w:r>
      <w:r w:rsidR="000A3310" w:rsidRPr="001F392C">
        <w:t>a</w:t>
      </w:r>
      <w:r w:rsidRPr="001F392C">
        <w:t xml:space="preserve"> ďalších 6 alebo 9 mesiacov (po rovnakú dobu, ako bola doba podpory). Z hľadiska formy zamestnávateľov je tento projekt určený pre obce, mestá alebo samosprávne kraje, ako aj pre p</w:t>
      </w:r>
      <w:r w:rsidRPr="001F392C">
        <w:rPr>
          <w:rFonts w:eastAsia="Calibri"/>
        </w:rPr>
        <w:t xml:space="preserve">rávnické osoby, ktorých zakladateľom alebo zriaďovateľom je obec, mesto alebo samosprávny kraj. </w:t>
      </w:r>
    </w:p>
    <w:p w:rsidR="00C178EC" w:rsidRPr="001F392C" w:rsidRDefault="00C178EC" w:rsidP="00C178EC">
      <w:pPr>
        <w:pStyle w:val="Normlnywebov"/>
        <w:spacing w:before="0" w:beforeAutospacing="0" w:after="0" w:afterAutospacing="0"/>
        <w:ind w:firstLine="709"/>
        <w:jc w:val="both"/>
        <w:rPr>
          <w:rFonts w:eastAsia="Calibri"/>
          <w:b/>
        </w:rPr>
      </w:pPr>
    </w:p>
    <w:p w:rsidR="00E513B2" w:rsidRPr="001F392C" w:rsidRDefault="00E513B2" w:rsidP="00C178EC">
      <w:pPr>
        <w:pStyle w:val="Normlnywebov"/>
        <w:spacing w:before="0" w:beforeAutospacing="0" w:after="0" w:afterAutospacing="0"/>
        <w:ind w:firstLine="709"/>
        <w:jc w:val="both"/>
        <w:rPr>
          <w:rFonts w:eastAsia="Calibri"/>
        </w:rPr>
      </w:pPr>
      <w:r w:rsidRPr="001F392C">
        <w:rPr>
          <w:rFonts w:eastAsia="Calibri"/>
          <w:b/>
        </w:rPr>
        <w:t xml:space="preserve">Celková alokácia na tento projekt je 20 mil. </w:t>
      </w:r>
      <w:r w:rsidR="00FE1BF8" w:rsidRPr="001F392C">
        <w:rPr>
          <w:rFonts w:eastAsia="Calibri"/>
          <w:b/>
        </w:rPr>
        <w:t>Eur</w:t>
      </w:r>
      <w:r w:rsidRPr="001F392C">
        <w:rPr>
          <w:rFonts w:eastAsia="Calibri"/>
          <w:b/>
        </w:rPr>
        <w:t>.</w:t>
      </w:r>
      <w:r w:rsidRPr="001F392C">
        <w:rPr>
          <w:rFonts w:eastAsia="Calibri"/>
        </w:rPr>
        <w:t xml:space="preserve"> Projekt je financovaný zo zdrojov ESF v rámci </w:t>
      </w:r>
      <w:r w:rsidR="0045426D" w:rsidRPr="001F392C">
        <w:rPr>
          <w:rFonts w:eastAsia="Calibri"/>
        </w:rPr>
        <w:t>Operačného programu Zamestna</w:t>
      </w:r>
      <w:r w:rsidR="002C4F7E">
        <w:rPr>
          <w:rFonts w:eastAsia="Calibri"/>
        </w:rPr>
        <w:t>n</w:t>
      </w:r>
      <w:r w:rsidR="0045426D" w:rsidRPr="001F392C">
        <w:rPr>
          <w:rFonts w:eastAsia="Calibri"/>
        </w:rPr>
        <w:t>osť a Sociálna inklúzia (</w:t>
      </w:r>
      <w:r w:rsidRPr="001F392C">
        <w:rPr>
          <w:rFonts w:eastAsia="Calibri"/>
        </w:rPr>
        <w:t>OP ZaSI</w:t>
      </w:r>
      <w:r w:rsidR="0045426D" w:rsidRPr="001F392C">
        <w:rPr>
          <w:rFonts w:eastAsia="Calibri"/>
        </w:rPr>
        <w:t>)</w:t>
      </w:r>
      <w:r w:rsidRPr="001F392C">
        <w:rPr>
          <w:rFonts w:eastAsia="Calibri"/>
        </w:rPr>
        <w:t xml:space="preserve">. </w:t>
      </w:r>
    </w:p>
    <w:p w:rsidR="00C178EC" w:rsidRPr="001F392C" w:rsidRDefault="00C178EC" w:rsidP="00C178EC">
      <w:pPr>
        <w:pStyle w:val="Normlnywebov"/>
        <w:spacing w:before="0" w:beforeAutospacing="0" w:after="0" w:afterAutospacing="0"/>
        <w:ind w:firstLine="709"/>
        <w:jc w:val="both"/>
        <w:rPr>
          <w:rFonts w:eastAsia="Calibri"/>
        </w:rPr>
      </w:pPr>
    </w:p>
    <w:p w:rsidR="0045426D" w:rsidRPr="001F392C" w:rsidRDefault="00E513B2" w:rsidP="00C178EC">
      <w:pPr>
        <w:pStyle w:val="Normlnywebov"/>
        <w:spacing w:before="0" w:beforeAutospacing="0" w:after="0" w:afterAutospacing="0"/>
        <w:ind w:firstLine="709"/>
        <w:jc w:val="both"/>
        <w:rPr>
          <w:rFonts w:eastAsia="Calibri"/>
        </w:rPr>
      </w:pPr>
      <w:r w:rsidRPr="001F392C">
        <w:rPr>
          <w:rFonts w:eastAsia="Calibri"/>
        </w:rPr>
        <w:t xml:space="preserve">Realizácia projektu sa začala v novembri 2012 a do 15. </w:t>
      </w:r>
      <w:r w:rsidR="00523C30" w:rsidRPr="001F392C">
        <w:rPr>
          <w:rFonts w:eastAsia="Calibri"/>
        </w:rPr>
        <w:t>marca</w:t>
      </w:r>
      <w:r w:rsidRPr="001F392C">
        <w:rPr>
          <w:rFonts w:eastAsia="Calibri"/>
        </w:rPr>
        <w:t xml:space="preserve"> 2013 spracovali úrady práce žiadosti o podporu </w:t>
      </w:r>
      <w:r w:rsidRPr="001F392C">
        <w:rPr>
          <w:rFonts w:eastAsia="Calibri"/>
          <w:b/>
        </w:rPr>
        <w:t xml:space="preserve">276 pracovných miest s celkovou alokáciou takmer 1,14 mil. </w:t>
      </w:r>
      <w:r w:rsidR="00FE1BF8" w:rsidRPr="001F392C">
        <w:rPr>
          <w:rFonts w:eastAsia="Calibri"/>
          <w:b/>
        </w:rPr>
        <w:t>Eur</w:t>
      </w:r>
      <w:r w:rsidRPr="001F392C">
        <w:rPr>
          <w:rFonts w:eastAsia="Calibri"/>
          <w:b/>
        </w:rPr>
        <w:t>.</w:t>
      </w:r>
      <w:r w:rsidRPr="001F392C">
        <w:rPr>
          <w:rFonts w:eastAsia="Calibri"/>
        </w:rPr>
        <w:t xml:space="preserve"> </w:t>
      </w:r>
    </w:p>
    <w:p w:rsidR="00C178EC" w:rsidRPr="001F392C" w:rsidRDefault="00C178EC" w:rsidP="00C178EC">
      <w:pPr>
        <w:pStyle w:val="Normlnywebov"/>
        <w:spacing w:before="0" w:beforeAutospacing="0" w:after="0" w:afterAutospacing="0"/>
        <w:ind w:firstLine="709"/>
        <w:jc w:val="both"/>
        <w:rPr>
          <w:rFonts w:eastAsia="Calibri"/>
        </w:rPr>
      </w:pPr>
    </w:p>
    <w:p w:rsidR="00CD10D1" w:rsidRPr="001F392C" w:rsidRDefault="00E513B2" w:rsidP="00C178EC">
      <w:pPr>
        <w:pStyle w:val="Normlnywebov"/>
        <w:spacing w:before="0" w:beforeAutospacing="0" w:after="0" w:afterAutospacing="0"/>
        <w:ind w:firstLine="709"/>
        <w:jc w:val="both"/>
        <w:rPr>
          <w:rFonts w:eastAsia="Calibri"/>
        </w:rPr>
      </w:pPr>
      <w:r w:rsidRPr="001F392C">
        <w:rPr>
          <w:rFonts w:eastAsia="Calibri"/>
        </w:rPr>
        <w:t xml:space="preserve">Vyššia akcelerácia projektu sa na základe monitoringu požiadaviek samospráv očakáva po rozšírení cieľovej skupiny. Doterajší vývoj tiež ovplyvnili rozpočtové procesy v rámci jednotlivých obcí, miest, resp. samosprávnych krajov. </w:t>
      </w:r>
    </w:p>
    <w:p w:rsidR="000E03AD" w:rsidRPr="001F392C" w:rsidRDefault="000E03AD" w:rsidP="00C178EC">
      <w:pPr>
        <w:overflowPunct w:val="0"/>
        <w:autoSpaceDE w:val="0"/>
        <w:autoSpaceDN w:val="0"/>
        <w:jc w:val="both"/>
        <w:rPr>
          <w:rFonts w:eastAsia="Calibri"/>
          <w:b/>
        </w:rPr>
      </w:pPr>
    </w:p>
    <w:p w:rsidR="007B1C45" w:rsidRPr="001F392C" w:rsidRDefault="00A66907" w:rsidP="001355C9">
      <w:pPr>
        <w:tabs>
          <w:tab w:val="left" w:pos="709"/>
        </w:tabs>
        <w:ind w:left="709" w:hanging="709"/>
        <w:rPr>
          <w:b/>
        </w:rPr>
      </w:pPr>
      <w:r w:rsidRPr="001F392C">
        <w:rPr>
          <w:b/>
        </w:rPr>
        <w:t>3.1.2.</w:t>
      </w:r>
      <w:r w:rsidR="001355C9" w:rsidRPr="001F392C">
        <w:rPr>
          <w:b/>
        </w:rPr>
        <w:tab/>
      </w:r>
      <w:r w:rsidR="00E513B2" w:rsidRPr="001F392C">
        <w:rPr>
          <w:b/>
        </w:rPr>
        <w:t>Národný projekt XXI</w:t>
      </w:r>
    </w:p>
    <w:p w:rsidR="000E03AD" w:rsidRPr="001F392C" w:rsidRDefault="000E03AD" w:rsidP="00C178EC">
      <w:pPr>
        <w:overflowPunct w:val="0"/>
        <w:autoSpaceDE w:val="0"/>
        <w:autoSpaceDN w:val="0"/>
        <w:jc w:val="both"/>
        <w:rPr>
          <w:lang w:eastAsia="sk-SK"/>
        </w:rPr>
      </w:pPr>
    </w:p>
    <w:p w:rsidR="00E513B2" w:rsidRPr="001F392C" w:rsidRDefault="00E513B2" w:rsidP="00C178EC">
      <w:pPr>
        <w:overflowPunct w:val="0"/>
        <w:autoSpaceDE w:val="0"/>
        <w:autoSpaceDN w:val="0"/>
        <w:ind w:firstLine="709"/>
        <w:jc w:val="both"/>
        <w:rPr>
          <w:lang w:eastAsia="sk-SK"/>
        </w:rPr>
      </w:pPr>
      <w:r w:rsidRPr="001F392C">
        <w:rPr>
          <w:lang w:eastAsia="sk-SK"/>
        </w:rPr>
        <w:t>Aj cieľom tohto projektu je formou finančnej dotácie pre zamestnávateľa podporiť vznik nových prac</w:t>
      </w:r>
      <w:r w:rsidR="0045426D" w:rsidRPr="001F392C">
        <w:rPr>
          <w:lang w:eastAsia="sk-SK"/>
        </w:rPr>
        <w:t>ovných</w:t>
      </w:r>
      <w:r w:rsidRPr="001F392C">
        <w:rPr>
          <w:lang w:eastAsia="sk-SK"/>
        </w:rPr>
        <w:t xml:space="preserve"> miest prioritne pre mladých UoZ vo veku do 29 rokov veku so zámerom zvýšiť ich šance na trhu práce tým, že získajú alebo si obnovia pracovné návyky a kvalifikačné zručnosti. </w:t>
      </w:r>
    </w:p>
    <w:p w:rsidR="00C178EC" w:rsidRPr="001F392C" w:rsidRDefault="00C178EC" w:rsidP="00C178EC">
      <w:pPr>
        <w:pStyle w:val="Normlnywebov"/>
        <w:spacing w:before="0" w:beforeAutospacing="0" w:after="0" w:afterAutospacing="0"/>
        <w:ind w:firstLine="709"/>
        <w:jc w:val="both"/>
      </w:pPr>
    </w:p>
    <w:p w:rsidR="00E513B2" w:rsidRPr="001F392C" w:rsidRDefault="00E513B2" w:rsidP="00C178EC">
      <w:pPr>
        <w:pStyle w:val="Normlnywebov"/>
        <w:spacing w:before="0" w:beforeAutospacing="0" w:after="0" w:afterAutospacing="0"/>
        <w:ind w:firstLine="709"/>
        <w:jc w:val="both"/>
        <w:rPr>
          <w:rFonts w:eastAsia="Calibri"/>
        </w:rPr>
      </w:pPr>
      <w:r w:rsidRPr="001F392C">
        <w:t xml:space="preserve">Podpora má formu príspevku na úhradu časti mzdových nákladov a to maximálne </w:t>
      </w:r>
      <w:r w:rsidR="007B1C45" w:rsidRPr="001F392C">
        <w:t xml:space="preserve">     </w:t>
      </w:r>
      <w:r w:rsidRPr="001F392C">
        <w:t>vo výške minimálnej celkovej ceny práce (min</w:t>
      </w:r>
      <w:r w:rsidR="0045426D" w:rsidRPr="001F392C">
        <w:t>imálna</w:t>
      </w:r>
      <w:r w:rsidRPr="001F392C">
        <w:t xml:space="preserve"> mzda + sociálne a zdravotné poistenie) na dobu 12 mesiacov s podmienkou, že zamestnávateľ na vlastné náklady udrží takto podporené prac</w:t>
      </w:r>
      <w:r w:rsidR="0045426D" w:rsidRPr="001F392C">
        <w:t>ovné</w:t>
      </w:r>
      <w:r w:rsidRPr="001F392C">
        <w:t xml:space="preserve"> miest</w:t>
      </w:r>
      <w:r w:rsidR="0045426D" w:rsidRPr="001F392C">
        <w:t>a</w:t>
      </w:r>
      <w:r w:rsidRPr="001F392C">
        <w:t xml:space="preserve"> po dobu ďalších 6 mesiacov. Z hľadiska formy zamestnávateľov je tento projekt určený  súkromným právnickým osobám</w:t>
      </w:r>
      <w:r w:rsidR="0045426D" w:rsidRPr="001F392C">
        <w:t>,</w:t>
      </w:r>
      <w:r w:rsidRPr="001F392C">
        <w:t xml:space="preserve"> a to tak podnikateľským subjektom, ako aj občianskym združeniam a neziskovým organizáciám</w:t>
      </w:r>
      <w:r w:rsidRPr="001F392C">
        <w:rPr>
          <w:rFonts w:eastAsia="Calibri"/>
        </w:rPr>
        <w:t xml:space="preserve">. </w:t>
      </w:r>
    </w:p>
    <w:p w:rsidR="00C178EC" w:rsidRPr="001F392C" w:rsidRDefault="00C178EC" w:rsidP="00C178EC">
      <w:pPr>
        <w:pStyle w:val="Normlnywebov"/>
        <w:spacing w:before="0" w:beforeAutospacing="0" w:after="0" w:afterAutospacing="0"/>
        <w:ind w:firstLine="709"/>
        <w:jc w:val="both"/>
        <w:rPr>
          <w:rFonts w:eastAsia="Calibri"/>
          <w:b/>
        </w:rPr>
      </w:pPr>
    </w:p>
    <w:p w:rsidR="00E513B2" w:rsidRPr="001F392C" w:rsidRDefault="00E513B2" w:rsidP="00C178EC">
      <w:pPr>
        <w:pStyle w:val="Normlnywebov"/>
        <w:spacing w:before="0" w:beforeAutospacing="0" w:after="0" w:afterAutospacing="0"/>
        <w:ind w:firstLine="709"/>
        <w:jc w:val="both"/>
        <w:rPr>
          <w:rFonts w:eastAsia="Calibri"/>
        </w:rPr>
      </w:pPr>
      <w:r w:rsidRPr="001F392C">
        <w:rPr>
          <w:rFonts w:eastAsia="Calibri"/>
          <w:b/>
        </w:rPr>
        <w:lastRenderedPageBreak/>
        <w:t xml:space="preserve">Celková alokácia na tento projekt je 50 mil. </w:t>
      </w:r>
      <w:r w:rsidR="00FE1BF8" w:rsidRPr="001F392C">
        <w:rPr>
          <w:rFonts w:eastAsia="Calibri"/>
          <w:b/>
        </w:rPr>
        <w:t>Eur</w:t>
      </w:r>
      <w:r w:rsidRPr="001F392C">
        <w:rPr>
          <w:rFonts w:eastAsia="Calibri"/>
          <w:b/>
        </w:rPr>
        <w:t>.</w:t>
      </w:r>
      <w:r w:rsidRPr="001F392C">
        <w:rPr>
          <w:rFonts w:eastAsia="Calibri"/>
        </w:rPr>
        <w:t xml:space="preserve"> Projekt je financovaný zo zdrojov ESF v rámci OP ZaSI. </w:t>
      </w:r>
    </w:p>
    <w:p w:rsidR="00C178EC" w:rsidRPr="001F392C" w:rsidRDefault="00C178EC" w:rsidP="00C178EC">
      <w:pPr>
        <w:pStyle w:val="Normlnywebov"/>
        <w:spacing w:before="0" w:beforeAutospacing="0" w:after="0" w:afterAutospacing="0"/>
        <w:ind w:firstLine="709"/>
        <w:jc w:val="both"/>
        <w:rPr>
          <w:rFonts w:eastAsia="Calibri"/>
        </w:rPr>
      </w:pPr>
    </w:p>
    <w:p w:rsidR="00E513B2" w:rsidRPr="001F392C" w:rsidRDefault="00E513B2" w:rsidP="00C178EC">
      <w:pPr>
        <w:pStyle w:val="Normlnywebov"/>
        <w:spacing w:before="0" w:beforeAutospacing="0" w:after="0" w:afterAutospacing="0"/>
        <w:ind w:firstLine="709"/>
        <w:jc w:val="both"/>
        <w:rPr>
          <w:rFonts w:eastAsia="Calibri"/>
        </w:rPr>
      </w:pPr>
      <w:r w:rsidRPr="001F392C">
        <w:rPr>
          <w:rFonts w:eastAsia="Calibri"/>
        </w:rPr>
        <w:t xml:space="preserve">Realizácia projektu sa začala v novembri 2012 a do 15. </w:t>
      </w:r>
      <w:r w:rsidR="0045426D" w:rsidRPr="001F392C">
        <w:rPr>
          <w:rFonts w:eastAsia="Calibri"/>
        </w:rPr>
        <w:t>marca</w:t>
      </w:r>
      <w:r w:rsidRPr="001F392C">
        <w:rPr>
          <w:rFonts w:eastAsia="Calibri"/>
        </w:rPr>
        <w:t xml:space="preserve"> 2013 spracovali úrady </w:t>
      </w:r>
      <w:r w:rsidR="0045426D" w:rsidRPr="001F392C">
        <w:rPr>
          <w:rFonts w:eastAsia="Calibri"/>
        </w:rPr>
        <w:t>PSVR</w:t>
      </w:r>
      <w:r w:rsidRPr="001F392C">
        <w:rPr>
          <w:rFonts w:eastAsia="Calibri"/>
        </w:rPr>
        <w:t xml:space="preserve"> žiadosti o podporu </w:t>
      </w:r>
      <w:r w:rsidRPr="001F392C">
        <w:rPr>
          <w:rFonts w:eastAsia="Calibri"/>
          <w:b/>
        </w:rPr>
        <w:t>5</w:t>
      </w:r>
      <w:r w:rsidR="00FE1BF8" w:rsidRPr="001F392C">
        <w:rPr>
          <w:rFonts w:eastAsia="Calibri"/>
          <w:b/>
        </w:rPr>
        <w:t> </w:t>
      </w:r>
      <w:r w:rsidRPr="001F392C">
        <w:rPr>
          <w:rFonts w:eastAsia="Calibri"/>
          <w:b/>
        </w:rPr>
        <w:t>320</w:t>
      </w:r>
      <w:r w:rsidR="00FE1BF8" w:rsidRPr="001F392C">
        <w:rPr>
          <w:rFonts w:eastAsia="Calibri"/>
          <w:b/>
        </w:rPr>
        <w:t xml:space="preserve"> </w:t>
      </w:r>
      <w:r w:rsidRPr="001F392C">
        <w:rPr>
          <w:rFonts w:eastAsia="Calibri"/>
          <w:b/>
        </w:rPr>
        <w:t xml:space="preserve">pracovných miest s celkovou alokáciou 31,5 mil. </w:t>
      </w:r>
      <w:r w:rsidR="00FE1BF8" w:rsidRPr="001F392C">
        <w:rPr>
          <w:rFonts w:eastAsia="Calibri"/>
          <w:b/>
        </w:rPr>
        <w:t>Eur</w:t>
      </w:r>
      <w:r w:rsidRPr="001F392C">
        <w:rPr>
          <w:rFonts w:eastAsia="Calibri"/>
          <w:b/>
        </w:rPr>
        <w:t>.</w:t>
      </w:r>
      <w:r w:rsidRPr="001F392C">
        <w:rPr>
          <w:rFonts w:eastAsia="Calibri"/>
        </w:rPr>
        <w:t xml:space="preserve"> Uvedený počet prac</w:t>
      </w:r>
      <w:r w:rsidR="0045426D" w:rsidRPr="001F392C">
        <w:rPr>
          <w:rFonts w:eastAsia="Calibri"/>
        </w:rPr>
        <w:t xml:space="preserve">ovných </w:t>
      </w:r>
      <w:r w:rsidRPr="001F392C">
        <w:rPr>
          <w:rFonts w:eastAsia="Calibri"/>
        </w:rPr>
        <w:t xml:space="preserve">miest pritom predstavuje </w:t>
      </w:r>
      <w:r w:rsidR="0045426D" w:rsidRPr="001F392C">
        <w:rPr>
          <w:rFonts w:eastAsia="Calibri"/>
        </w:rPr>
        <w:t xml:space="preserve">takmer </w:t>
      </w:r>
      <w:r w:rsidRPr="001F392C">
        <w:rPr>
          <w:rFonts w:eastAsia="Calibri"/>
        </w:rPr>
        <w:t>polovicu plánovaných prac</w:t>
      </w:r>
      <w:r w:rsidR="0045426D" w:rsidRPr="001F392C">
        <w:rPr>
          <w:rFonts w:eastAsia="Calibri"/>
        </w:rPr>
        <w:t>ovných</w:t>
      </w:r>
      <w:r w:rsidRPr="001F392C">
        <w:rPr>
          <w:rFonts w:eastAsia="Calibri"/>
        </w:rPr>
        <w:t xml:space="preserve"> miest na celé obdobie trvania projektu (1,5 roka). Vzhľadom na skutočnosť, že </w:t>
      </w:r>
      <w:r w:rsidR="000E03AD" w:rsidRPr="001F392C">
        <w:rPr>
          <w:rFonts w:eastAsia="Calibri"/>
        </w:rPr>
        <w:t xml:space="preserve">    </w:t>
      </w:r>
      <w:r w:rsidRPr="001F392C">
        <w:rPr>
          <w:rFonts w:eastAsia="Calibri"/>
        </w:rPr>
        <w:t xml:space="preserve">do uvedeného obdobia patria aj sviatočné dni na prelome rokov a berúc do úvahy porovnanie vývoja tohto projektu po jednotlivých mesiacoch, dosiahnuté výsledky v plnej miere napĺňajú, </w:t>
      </w:r>
      <w:r w:rsidR="0045426D" w:rsidRPr="001F392C">
        <w:rPr>
          <w:rFonts w:eastAsia="Calibri"/>
        </w:rPr>
        <w:t xml:space="preserve">resp. sú nad rámec </w:t>
      </w:r>
      <w:r w:rsidRPr="001F392C">
        <w:rPr>
          <w:rFonts w:eastAsia="Calibri"/>
        </w:rPr>
        <w:t xml:space="preserve"> očakávan</w:t>
      </w:r>
      <w:r w:rsidR="0045426D" w:rsidRPr="001F392C">
        <w:rPr>
          <w:rFonts w:eastAsia="Calibri"/>
        </w:rPr>
        <w:t>í</w:t>
      </w:r>
      <w:r w:rsidRPr="001F392C">
        <w:rPr>
          <w:rFonts w:eastAsia="Calibri"/>
        </w:rPr>
        <w:t xml:space="preserve"> MPSVR SR. </w:t>
      </w:r>
    </w:p>
    <w:p w:rsidR="00C178EC" w:rsidRPr="001F392C" w:rsidRDefault="00C178EC" w:rsidP="00C178EC">
      <w:pPr>
        <w:pStyle w:val="Normlnywebov"/>
        <w:spacing w:before="0" w:beforeAutospacing="0" w:after="0" w:afterAutospacing="0"/>
        <w:ind w:firstLine="709"/>
        <w:jc w:val="both"/>
        <w:rPr>
          <w:rFonts w:eastAsia="Calibri"/>
          <w:b/>
        </w:rPr>
      </w:pPr>
    </w:p>
    <w:p w:rsidR="00E513B2" w:rsidRPr="001F392C" w:rsidRDefault="00E513B2" w:rsidP="00C178EC">
      <w:pPr>
        <w:pStyle w:val="Normlnywebov"/>
        <w:spacing w:before="0" w:beforeAutospacing="0" w:after="0" w:afterAutospacing="0"/>
        <w:ind w:firstLine="709"/>
        <w:jc w:val="both"/>
        <w:rPr>
          <w:rFonts w:eastAsia="Calibri"/>
          <w:b/>
        </w:rPr>
      </w:pPr>
      <w:r w:rsidRPr="001F392C">
        <w:rPr>
          <w:rFonts w:eastAsia="Calibri"/>
          <w:b/>
        </w:rPr>
        <w:t xml:space="preserve">Celkovo oba </w:t>
      </w:r>
      <w:r w:rsidR="007B1C45" w:rsidRPr="001F392C">
        <w:rPr>
          <w:rFonts w:eastAsia="Calibri"/>
          <w:b/>
        </w:rPr>
        <w:t>národné projekty</w:t>
      </w:r>
      <w:r w:rsidR="00FE1BF8" w:rsidRPr="001F392C">
        <w:rPr>
          <w:rFonts w:eastAsia="Calibri"/>
          <w:b/>
        </w:rPr>
        <w:t xml:space="preserve"> predpokladajú</w:t>
      </w:r>
      <w:r w:rsidR="007B1C45" w:rsidRPr="001F392C">
        <w:rPr>
          <w:rFonts w:eastAsia="Calibri"/>
          <w:b/>
        </w:rPr>
        <w:t xml:space="preserve"> </w:t>
      </w:r>
      <w:r w:rsidR="00FE1BF8" w:rsidRPr="001F392C">
        <w:rPr>
          <w:rFonts w:eastAsia="Calibri"/>
          <w:b/>
        </w:rPr>
        <w:t xml:space="preserve">podporu vytvorenia približne 12,5 </w:t>
      </w:r>
      <w:r w:rsidRPr="001F392C">
        <w:rPr>
          <w:rFonts w:eastAsia="Calibri"/>
          <w:b/>
        </w:rPr>
        <w:t>tis. nových prac</w:t>
      </w:r>
      <w:r w:rsidR="007B1C45" w:rsidRPr="001F392C">
        <w:rPr>
          <w:rFonts w:eastAsia="Calibri"/>
          <w:b/>
        </w:rPr>
        <w:t>ovných</w:t>
      </w:r>
      <w:r w:rsidR="000E03AD" w:rsidRPr="001F392C">
        <w:rPr>
          <w:rFonts w:eastAsia="Calibri"/>
          <w:b/>
        </w:rPr>
        <w:t xml:space="preserve"> miest.</w:t>
      </w:r>
    </w:p>
    <w:p w:rsidR="000E03AD" w:rsidRPr="001F392C" w:rsidRDefault="000E03AD" w:rsidP="00C178EC">
      <w:pPr>
        <w:pStyle w:val="Normlnywebov"/>
        <w:spacing w:before="0" w:beforeAutospacing="0" w:after="0" w:afterAutospacing="0"/>
        <w:jc w:val="both"/>
        <w:rPr>
          <w:rFonts w:eastAsia="Calibri"/>
          <w:b/>
        </w:rPr>
      </w:pPr>
    </w:p>
    <w:p w:rsidR="00E513B2" w:rsidRPr="001F392C" w:rsidRDefault="00A66907" w:rsidP="001355C9">
      <w:pPr>
        <w:tabs>
          <w:tab w:val="left" w:pos="709"/>
        </w:tabs>
        <w:ind w:left="709" w:hanging="709"/>
        <w:rPr>
          <w:b/>
        </w:rPr>
      </w:pPr>
      <w:r w:rsidRPr="001F392C">
        <w:rPr>
          <w:b/>
        </w:rPr>
        <w:t>3.1.3.</w:t>
      </w:r>
      <w:r w:rsidR="001355C9" w:rsidRPr="001F392C">
        <w:rPr>
          <w:b/>
        </w:rPr>
        <w:tab/>
      </w:r>
      <w:r w:rsidR="00E513B2" w:rsidRPr="001F392C">
        <w:rPr>
          <w:b/>
        </w:rPr>
        <w:t xml:space="preserve">Národný projekt na podporu </w:t>
      </w:r>
      <w:r w:rsidR="00DA7117" w:rsidRPr="001F392C">
        <w:rPr>
          <w:b/>
        </w:rPr>
        <w:t>znevýhodnených</w:t>
      </w:r>
      <w:r w:rsidR="00E513B2" w:rsidRPr="001F392C">
        <w:rPr>
          <w:b/>
        </w:rPr>
        <w:t xml:space="preserve"> nezamestnaných</w:t>
      </w:r>
    </w:p>
    <w:p w:rsidR="00C178EC" w:rsidRPr="001F392C" w:rsidRDefault="00DA7117" w:rsidP="00C178EC">
      <w:pPr>
        <w:pStyle w:val="Normlnywebov"/>
        <w:spacing w:before="0" w:beforeAutospacing="0" w:after="0" w:afterAutospacing="0"/>
        <w:jc w:val="both"/>
        <w:rPr>
          <w:rFonts w:eastAsia="Calibri"/>
        </w:rPr>
      </w:pPr>
      <w:r w:rsidRPr="001F392C">
        <w:rPr>
          <w:rFonts w:eastAsia="Calibri"/>
        </w:rPr>
        <w:tab/>
      </w:r>
    </w:p>
    <w:p w:rsidR="00E513B2" w:rsidRPr="001F392C" w:rsidRDefault="00DA7117" w:rsidP="00C178EC">
      <w:pPr>
        <w:pStyle w:val="Normlnywebov"/>
        <w:spacing w:before="0" w:beforeAutospacing="0" w:after="0" w:afterAutospacing="0"/>
        <w:ind w:firstLine="709"/>
        <w:jc w:val="both"/>
        <w:rPr>
          <w:rFonts w:eastAsia="Calibri"/>
        </w:rPr>
      </w:pPr>
      <w:r w:rsidRPr="001F392C">
        <w:rPr>
          <w:rFonts w:eastAsia="Calibri"/>
        </w:rPr>
        <w:t>Cieľovou skupinou tohto projektu sú v prvom rade dlhodobo nezamestnaní</w:t>
      </w:r>
      <w:r w:rsidR="00FE1BF8" w:rsidRPr="001F392C">
        <w:rPr>
          <w:rFonts w:eastAsia="Calibri"/>
        </w:rPr>
        <w:t xml:space="preserve"> občania. ÚPSV</w:t>
      </w:r>
      <w:r w:rsidRPr="001F392C">
        <w:rPr>
          <w:rFonts w:eastAsia="Calibri"/>
        </w:rPr>
        <w:t>R vyberie partnerov, ktorí majú dlhodobé skúsenosti</w:t>
      </w:r>
      <w:r w:rsidR="000E03AD" w:rsidRPr="001F392C">
        <w:rPr>
          <w:rFonts w:eastAsia="Calibri"/>
        </w:rPr>
        <w:t xml:space="preserve"> s umiestňovaním nezamestnaných</w:t>
      </w:r>
      <w:r w:rsidR="00FE1BF8" w:rsidRPr="001F392C">
        <w:rPr>
          <w:rFonts w:eastAsia="Calibri"/>
        </w:rPr>
        <w:t xml:space="preserve"> </w:t>
      </w:r>
      <w:r w:rsidRPr="001F392C">
        <w:rPr>
          <w:rFonts w:eastAsia="Calibri"/>
        </w:rPr>
        <w:t xml:space="preserve">na trhu práce, pričom zohľadní ich nielen slovenské, ale i zahraničné skúsenosti v tejto oblasti. </w:t>
      </w:r>
    </w:p>
    <w:p w:rsidR="00C178EC" w:rsidRPr="001F392C" w:rsidRDefault="00DA7117" w:rsidP="00C178EC">
      <w:pPr>
        <w:pStyle w:val="Normlnywebov"/>
        <w:spacing w:before="0" w:beforeAutospacing="0" w:after="0" w:afterAutospacing="0"/>
        <w:jc w:val="both"/>
        <w:rPr>
          <w:rFonts w:eastAsia="Calibri"/>
        </w:rPr>
      </w:pPr>
      <w:r w:rsidRPr="001F392C">
        <w:rPr>
          <w:rFonts w:eastAsia="Calibri"/>
        </w:rPr>
        <w:tab/>
      </w:r>
    </w:p>
    <w:p w:rsidR="00DA7117" w:rsidRPr="001F392C" w:rsidRDefault="00DA7117" w:rsidP="00C178EC">
      <w:pPr>
        <w:pStyle w:val="Normlnywebov"/>
        <w:spacing w:before="0" w:beforeAutospacing="0" w:after="0" w:afterAutospacing="0"/>
        <w:ind w:firstLine="709"/>
        <w:jc w:val="both"/>
        <w:rPr>
          <w:rFonts w:eastAsia="Calibri"/>
        </w:rPr>
      </w:pPr>
      <w:r w:rsidRPr="001F392C">
        <w:rPr>
          <w:rFonts w:eastAsia="Calibri"/>
        </w:rPr>
        <w:t xml:space="preserve">Povinnosťou partnerov bude zapojiť dlhodobo nezamestnaných do prípravných aktivít na vstup na trh práce (diagnostika, vzdelávanie, zaučenie atď.) a následne ich umiestniť </w:t>
      </w:r>
      <w:r w:rsidR="007B1C45" w:rsidRPr="001F392C">
        <w:rPr>
          <w:rFonts w:eastAsia="Calibri"/>
        </w:rPr>
        <w:t xml:space="preserve">        </w:t>
      </w:r>
      <w:r w:rsidRPr="001F392C">
        <w:rPr>
          <w:rFonts w:eastAsia="Calibri"/>
        </w:rPr>
        <w:t xml:space="preserve">do zamestnania. Minimálna doba udržania takéhoto adepta v zamestnaní bude 4 mesiace. Motiváciou partnerov bude výplata odmeny, ktorá bude odstupňovaná podľa úrovne znevýhodnenia (napr. 12 mesiacov v evidencii UoZ, 24 mesiacov v evidencii UoZ) a podľa dĺžky udržania adepta v zamestnaní až nad 12 mesiacov. </w:t>
      </w:r>
    </w:p>
    <w:p w:rsidR="00C178EC" w:rsidRPr="001F392C" w:rsidRDefault="00C178EC" w:rsidP="00C178EC">
      <w:pPr>
        <w:pStyle w:val="Normlnywebov"/>
        <w:spacing w:before="0" w:beforeAutospacing="0" w:after="0" w:afterAutospacing="0"/>
        <w:ind w:firstLine="709"/>
        <w:jc w:val="both"/>
        <w:rPr>
          <w:rFonts w:eastAsia="Calibri"/>
        </w:rPr>
      </w:pPr>
    </w:p>
    <w:p w:rsidR="00DA7117" w:rsidRPr="001F392C" w:rsidRDefault="00DA7117" w:rsidP="00C178EC">
      <w:pPr>
        <w:pStyle w:val="Normlnywebov"/>
        <w:spacing w:before="0" w:beforeAutospacing="0" w:after="0" w:afterAutospacing="0"/>
        <w:jc w:val="both"/>
        <w:rPr>
          <w:rFonts w:eastAsia="Calibri"/>
        </w:rPr>
      </w:pPr>
      <w:r w:rsidRPr="001F392C">
        <w:rPr>
          <w:rFonts w:eastAsia="Calibri"/>
        </w:rPr>
        <w:tab/>
        <w:t xml:space="preserve">Celková alokácia na projekt je 15 mil. </w:t>
      </w:r>
      <w:r w:rsidR="00C178EC" w:rsidRPr="001F392C">
        <w:rPr>
          <w:rFonts w:eastAsia="Calibri"/>
        </w:rPr>
        <w:t>Eur</w:t>
      </w:r>
      <w:r w:rsidRPr="001F392C">
        <w:rPr>
          <w:rFonts w:eastAsia="Calibri"/>
        </w:rPr>
        <w:t xml:space="preserve">, pričom sa ráta so zamestnaním 4 </w:t>
      </w:r>
      <w:r w:rsidR="00FE1BF8" w:rsidRPr="001F392C">
        <w:rPr>
          <w:rFonts w:eastAsia="Calibri"/>
        </w:rPr>
        <w:t>až</w:t>
      </w:r>
      <w:r w:rsidRPr="001F392C">
        <w:rPr>
          <w:rFonts w:eastAsia="Calibri"/>
        </w:rPr>
        <w:t xml:space="preserve"> 4,5</w:t>
      </w:r>
      <w:r w:rsidR="00FE1BF8" w:rsidRPr="001F392C">
        <w:rPr>
          <w:rFonts w:eastAsia="Calibri"/>
        </w:rPr>
        <w:t xml:space="preserve"> </w:t>
      </w:r>
      <w:r w:rsidRPr="001F392C">
        <w:rPr>
          <w:rFonts w:eastAsia="Calibri"/>
        </w:rPr>
        <w:t xml:space="preserve">tis. znevýhodnených nezamestnaných. Odmena za zamestnanie jedného sa bude v prepočte </w:t>
      </w:r>
      <w:r w:rsidR="007B1C45" w:rsidRPr="001F392C">
        <w:rPr>
          <w:rFonts w:eastAsia="Calibri"/>
        </w:rPr>
        <w:t xml:space="preserve">        </w:t>
      </w:r>
      <w:r w:rsidRPr="001F392C">
        <w:rPr>
          <w:rFonts w:eastAsia="Calibri"/>
        </w:rPr>
        <w:t xml:space="preserve">na mesiac pohybovať </w:t>
      </w:r>
      <w:r w:rsidR="0084690D" w:rsidRPr="001F392C">
        <w:rPr>
          <w:rFonts w:eastAsia="Calibri"/>
        </w:rPr>
        <w:t xml:space="preserve">pod úrovňou min. celkovej ceny práce. </w:t>
      </w:r>
    </w:p>
    <w:p w:rsidR="00117856" w:rsidRPr="001F392C" w:rsidRDefault="00117856" w:rsidP="00C178EC">
      <w:pPr>
        <w:pStyle w:val="Normlnywebov"/>
        <w:spacing w:before="0" w:beforeAutospacing="0" w:after="0" w:afterAutospacing="0"/>
        <w:jc w:val="both"/>
        <w:rPr>
          <w:rFonts w:eastAsia="Calibri"/>
        </w:rPr>
      </w:pPr>
    </w:p>
    <w:p w:rsidR="00197855" w:rsidRPr="001F392C" w:rsidRDefault="00197855" w:rsidP="00C178EC">
      <w:pPr>
        <w:pStyle w:val="Odsekzoznamu"/>
        <w:numPr>
          <w:ilvl w:val="1"/>
          <w:numId w:val="46"/>
        </w:numPr>
        <w:pBdr>
          <w:top w:val="single" w:sz="4" w:space="1" w:color="auto"/>
          <w:left w:val="single" w:sz="4" w:space="4" w:color="auto"/>
          <w:bottom w:val="single" w:sz="4" w:space="1" w:color="auto"/>
          <w:right w:val="single" w:sz="4" w:space="4" w:color="auto"/>
        </w:pBdr>
        <w:tabs>
          <w:tab w:val="left" w:pos="567"/>
        </w:tabs>
        <w:ind w:left="567" w:hanging="567"/>
        <w:jc w:val="both"/>
        <w:rPr>
          <w:b/>
        </w:rPr>
      </w:pPr>
      <w:r w:rsidRPr="001F392C">
        <w:rPr>
          <w:b/>
        </w:rPr>
        <w:t xml:space="preserve">Podpora pracovných miest v rámci pripravovaných Opatrení v hospodárskej politike na podporu hospodárskeho rastu </w:t>
      </w:r>
      <w:r w:rsidR="00267008" w:rsidRPr="001F392C">
        <w:rPr>
          <w:b/>
        </w:rPr>
        <w:t>(prorastové opatrenia)</w:t>
      </w:r>
      <w:r w:rsidR="005B1FBB" w:rsidRPr="001F392C">
        <w:rPr>
          <w:b/>
        </w:rPr>
        <w:t xml:space="preserve"> s bezprostredným efektom </w:t>
      </w:r>
      <w:r w:rsidR="00267008" w:rsidRPr="001F392C">
        <w:rPr>
          <w:b/>
        </w:rPr>
        <w:t xml:space="preserve">na zamestnanosť </w:t>
      </w:r>
      <w:r w:rsidR="005B1FBB" w:rsidRPr="001F392C">
        <w:rPr>
          <w:b/>
        </w:rPr>
        <w:t>v krátkodobom časovom horizonte rokov 2013 a 2015</w:t>
      </w:r>
    </w:p>
    <w:p w:rsidR="00117856" w:rsidRPr="001F392C" w:rsidRDefault="00117856" w:rsidP="00C178EC">
      <w:pPr>
        <w:pStyle w:val="Odsekzoznamu"/>
        <w:ind w:left="360"/>
        <w:jc w:val="both"/>
        <w:rPr>
          <w:b/>
        </w:rPr>
      </w:pPr>
    </w:p>
    <w:p w:rsidR="00197855" w:rsidRPr="001F392C" w:rsidRDefault="00197855" w:rsidP="001355C9">
      <w:pPr>
        <w:pStyle w:val="Odsekzoznamu"/>
        <w:numPr>
          <w:ilvl w:val="2"/>
          <w:numId w:val="46"/>
        </w:numPr>
        <w:tabs>
          <w:tab w:val="left" w:pos="709"/>
        </w:tabs>
        <w:ind w:left="709" w:hanging="709"/>
        <w:jc w:val="both"/>
        <w:rPr>
          <w:b/>
        </w:rPr>
      </w:pPr>
      <w:r w:rsidRPr="001F392C">
        <w:rPr>
          <w:b/>
        </w:rPr>
        <w:t>Zabezpečiť plnenie opatrení súvisiacich s podporou zamestnanosti, ktoré MPSVR SR navrhovalo v rámci pripravovaných prorastov</w:t>
      </w:r>
      <w:r w:rsidR="00117856" w:rsidRPr="001F392C">
        <w:rPr>
          <w:b/>
        </w:rPr>
        <w:t>ých</w:t>
      </w:r>
      <w:r w:rsidRPr="001F392C">
        <w:rPr>
          <w:b/>
        </w:rPr>
        <w:t xml:space="preserve"> opatren</w:t>
      </w:r>
      <w:r w:rsidR="00117856" w:rsidRPr="001F392C">
        <w:rPr>
          <w:b/>
        </w:rPr>
        <w:t xml:space="preserve">í. </w:t>
      </w:r>
      <w:r w:rsidRPr="001F392C">
        <w:rPr>
          <w:b/>
        </w:rPr>
        <w:t>Ide najmä o</w:t>
      </w:r>
      <w:r w:rsidR="00117856" w:rsidRPr="001F392C">
        <w:rPr>
          <w:b/>
        </w:rPr>
        <w:t xml:space="preserve"> nasledujúce </w:t>
      </w:r>
      <w:r w:rsidRPr="001F392C">
        <w:rPr>
          <w:b/>
        </w:rPr>
        <w:t xml:space="preserve">opatrenia v pôsobnosti MPSVR SR, ktoré predpokladajú </w:t>
      </w:r>
      <w:r w:rsidRPr="001F392C">
        <w:rPr>
          <w:b/>
          <w:u w:val="single"/>
        </w:rPr>
        <w:t>vytvorenie alebo udržanie 6</w:t>
      </w:r>
      <w:r w:rsidR="00CE5FC3">
        <w:rPr>
          <w:b/>
          <w:u w:val="single"/>
        </w:rPr>
        <w:t>0</w:t>
      </w:r>
      <w:r w:rsidRPr="001F392C">
        <w:rPr>
          <w:b/>
          <w:u w:val="single"/>
        </w:rPr>
        <w:t> </w:t>
      </w:r>
      <w:r w:rsidR="00CE5FC3">
        <w:rPr>
          <w:b/>
          <w:u w:val="single"/>
        </w:rPr>
        <w:t>2</w:t>
      </w:r>
      <w:r w:rsidRPr="001F392C">
        <w:rPr>
          <w:b/>
          <w:u w:val="single"/>
        </w:rPr>
        <w:t>15 pracovných miest</w:t>
      </w:r>
      <w:r w:rsidRPr="001F392C">
        <w:rPr>
          <w:b/>
        </w:rPr>
        <w:t>:</w:t>
      </w:r>
    </w:p>
    <w:p w:rsidR="00197855" w:rsidRPr="001F392C" w:rsidRDefault="00197855" w:rsidP="00C178EC">
      <w:pPr>
        <w:jc w:val="both"/>
      </w:pPr>
    </w:p>
    <w:p w:rsidR="00197855" w:rsidRPr="001F392C" w:rsidRDefault="00197855" w:rsidP="00C178EC">
      <w:pPr>
        <w:numPr>
          <w:ilvl w:val="3"/>
          <w:numId w:val="48"/>
        </w:numPr>
        <w:tabs>
          <w:tab w:val="left" w:pos="357"/>
        </w:tabs>
        <w:ind w:left="357" w:hanging="357"/>
        <w:jc w:val="both"/>
        <w:rPr>
          <w:b/>
        </w:rPr>
      </w:pPr>
      <w:r w:rsidRPr="001F392C">
        <w:rPr>
          <w:b/>
        </w:rPr>
        <w:t xml:space="preserve">implementovať príspevok na podporu udržania pracovných miest - </w:t>
      </w:r>
      <w:r w:rsidRPr="001F392C">
        <w:t xml:space="preserve">príspevok podporí udržanie pracovných miest u zamestnávateľa, ktorý najmenej tri mesiace udržal pracovné miesta aj v prípade pretrvávajúcich vážnych prevádzkových dôvodov a na základe ktorých po dohode s úradom PSVR na prechodné obdobie obmedzí svoju prevádzkovú činnosť tak, že nebude zamestnancom prideľovať prácu v rozsahu najmenej 6 % a najviac 20 % ustanoveného týždenného pracovného času; opatrenie sa nevzťahuje na podniky v ťažkostiach a do roku 2015 predpokladá podporu </w:t>
      </w:r>
      <w:r w:rsidRPr="001F392C">
        <w:rPr>
          <w:b/>
        </w:rPr>
        <w:t>udržania cca 20 tis. pracovných miest</w:t>
      </w:r>
      <w:r w:rsidRPr="001F392C">
        <w:t>, resp. podporu cca 20 tis. zamestnancov; n</w:t>
      </w:r>
      <w:r w:rsidRPr="001F392C">
        <w:rPr>
          <w:color w:val="000000"/>
          <w:lang w:eastAsia="sk-SK"/>
        </w:rPr>
        <w:t xml:space="preserve">a realizáciu tohto opatrenia je schválený </w:t>
      </w:r>
      <w:r w:rsidRPr="001F392C">
        <w:rPr>
          <w:color w:val="000000"/>
          <w:lang w:eastAsia="sk-SK"/>
        </w:rPr>
        <w:lastRenderedPageBreak/>
        <w:t>legislatívny rámec v novele zákona o službách zamestnanosti s účinnosťou od 1. mája 2013;</w:t>
      </w:r>
    </w:p>
    <w:p w:rsidR="00197855" w:rsidRPr="001F392C" w:rsidRDefault="00197855" w:rsidP="00C178EC">
      <w:pPr>
        <w:numPr>
          <w:ilvl w:val="3"/>
          <w:numId w:val="48"/>
        </w:numPr>
        <w:tabs>
          <w:tab w:val="left" w:pos="357"/>
        </w:tabs>
        <w:ind w:left="357" w:hanging="357"/>
        <w:jc w:val="both"/>
        <w:rPr>
          <w:b/>
        </w:rPr>
      </w:pPr>
      <w:r w:rsidRPr="001F392C">
        <w:rPr>
          <w:b/>
        </w:rPr>
        <w:t xml:space="preserve">implementovať príspevok na podporu zamestnávania ZUoZ – </w:t>
      </w:r>
      <w:r w:rsidRPr="001F392C">
        <w:t>ide o možnosť poskytnutia príspevku zamestnávateľovi na úhradu časti celkovej ceny práce zamestnanca, ak na vytvorené pracovné miesto príjme do pracovného pomeru ZUoZ vedeného v</w:t>
      </w:r>
      <w:r w:rsidR="00FE1BF8" w:rsidRPr="001F392C">
        <w:t> </w:t>
      </w:r>
      <w:r w:rsidRPr="001F392C">
        <w:t>evidencii</w:t>
      </w:r>
      <w:r w:rsidR="00FE1BF8" w:rsidRPr="001F392C">
        <w:t xml:space="preserve"> </w:t>
      </w:r>
      <w:r w:rsidRPr="001F392C">
        <w:t xml:space="preserve">UoZ najmenej tri mesiace a pracovný pomer je dohodnutý najmenej v rozsahu polovice ustanoveného týždenného pracovného času; do roku 2015 sa predpokladá podpora </w:t>
      </w:r>
      <w:r w:rsidRPr="001F392C">
        <w:rPr>
          <w:b/>
        </w:rPr>
        <w:t>vytvorenia cca 20 tis. pracovných miest</w:t>
      </w:r>
      <w:r w:rsidRPr="001F392C">
        <w:t xml:space="preserve">, resp. podpora </w:t>
      </w:r>
      <w:r w:rsidRPr="001F392C">
        <w:rPr>
          <w:b/>
        </w:rPr>
        <w:t>cca 20 tis</w:t>
      </w:r>
      <w:r w:rsidRPr="001F392C">
        <w:t>. Z</w:t>
      </w:r>
      <w:r w:rsidRPr="001F392C">
        <w:rPr>
          <w:b/>
        </w:rPr>
        <w:t>UoZ;</w:t>
      </w:r>
      <w:r w:rsidRPr="001F392C">
        <w:t xml:space="preserve"> n</w:t>
      </w:r>
      <w:r w:rsidRPr="001F392C">
        <w:rPr>
          <w:color w:val="000000"/>
          <w:lang w:eastAsia="sk-SK"/>
        </w:rPr>
        <w:t>a realizáciu tohto opatrenia je schválený  legislatívny rámec v novele zákona o službách zamestnanosti s účinnosťou od 1. mája 2013;</w:t>
      </w:r>
    </w:p>
    <w:p w:rsidR="00197855" w:rsidRPr="001F392C" w:rsidRDefault="00197855" w:rsidP="00C178EC">
      <w:pPr>
        <w:numPr>
          <w:ilvl w:val="3"/>
          <w:numId w:val="48"/>
        </w:numPr>
        <w:tabs>
          <w:tab w:val="left" w:pos="357"/>
        </w:tabs>
        <w:ind w:left="357" w:hanging="357"/>
        <w:jc w:val="both"/>
      </w:pPr>
      <w:r w:rsidRPr="001F392C">
        <w:rPr>
          <w:b/>
        </w:rPr>
        <w:t>pokračovať v realizácii projektov na podporu zamestnanosti mladých (</w:t>
      </w:r>
      <w:r w:rsidRPr="001F392C">
        <w:t>Podpora zamestnávania nezamestnaných v samospráve, Podpora vytvárania pracovných miest)  zameraných na podporu vytvárania pracovných miest u vybraných zamestnávate</w:t>
      </w:r>
      <w:r w:rsidR="00FE1BF8" w:rsidRPr="001F392C">
        <w:t>ľov pre UoZ vo veku do 29 rokov</w:t>
      </w:r>
      <w:r w:rsidRPr="001F392C">
        <w:t xml:space="preserve">, ktorí sú vedení v evidencii UoZ najmenej 3 mesiace; realizáciou projektov sa v období rokov 2012 až 2015 predpokladá vytvorenie takmer </w:t>
      </w:r>
      <w:r w:rsidR="00CE5FC3">
        <w:rPr>
          <w:b/>
        </w:rPr>
        <w:t>12,5</w:t>
      </w:r>
      <w:r w:rsidR="001355C9" w:rsidRPr="001F392C">
        <w:rPr>
          <w:b/>
        </w:rPr>
        <w:t> </w:t>
      </w:r>
      <w:r w:rsidRPr="001F392C">
        <w:rPr>
          <w:b/>
        </w:rPr>
        <w:t>tis. pracovných miest</w:t>
      </w:r>
      <w:r w:rsidRPr="001F392C">
        <w:t>; program bude financovaný prostredníctvom OP ZaSI Schéma pomoci de minimis na podporu zamestnanosti (schéma DM č.1/2007);</w:t>
      </w:r>
    </w:p>
    <w:p w:rsidR="00197855" w:rsidRPr="001F392C" w:rsidRDefault="00197855" w:rsidP="00C178EC">
      <w:pPr>
        <w:numPr>
          <w:ilvl w:val="3"/>
          <w:numId w:val="48"/>
        </w:numPr>
        <w:tabs>
          <w:tab w:val="left" w:pos="357"/>
        </w:tabs>
        <w:ind w:left="357" w:hanging="357"/>
        <w:jc w:val="both"/>
      </w:pPr>
      <w:r w:rsidRPr="001F392C">
        <w:rPr>
          <w:b/>
        </w:rPr>
        <w:t>implementovať národný projekt: Komunitné centrá</w:t>
      </w:r>
      <w:r w:rsidRPr="001F392C">
        <w:t xml:space="preserve"> – systémové nastavenie, podpora a rozvoj činnosti</w:t>
      </w:r>
      <w:r w:rsidRPr="001F392C">
        <w:rPr>
          <w:sz w:val="16"/>
          <w:szCs w:val="16"/>
        </w:rPr>
        <w:t xml:space="preserve"> </w:t>
      </w:r>
      <w:r w:rsidRPr="001F392C">
        <w:t xml:space="preserve">predpokladaný počet novovytvorených pozícií pre komunitných pracovníkov je: </w:t>
      </w:r>
      <w:r w:rsidRPr="001F392C">
        <w:rPr>
          <w:b/>
        </w:rPr>
        <w:t>715 pracovných miest</w:t>
      </w:r>
      <w:r w:rsidRPr="001F392C">
        <w:t>;</w:t>
      </w:r>
      <w:r w:rsidRPr="001F392C">
        <w:rPr>
          <w:sz w:val="16"/>
          <w:szCs w:val="16"/>
        </w:rPr>
        <w:t>       </w:t>
      </w:r>
    </w:p>
    <w:p w:rsidR="00197855" w:rsidRPr="001F392C" w:rsidRDefault="00197855" w:rsidP="00C178EC">
      <w:pPr>
        <w:numPr>
          <w:ilvl w:val="0"/>
          <w:numId w:val="48"/>
        </w:numPr>
        <w:tabs>
          <w:tab w:val="left" w:pos="357"/>
        </w:tabs>
        <w:ind w:left="357" w:hanging="357"/>
        <w:jc w:val="both"/>
        <w:rPr>
          <w:b/>
        </w:rPr>
      </w:pPr>
      <w:r w:rsidRPr="001F392C">
        <w:rPr>
          <w:b/>
        </w:rPr>
        <w:t xml:space="preserve">pripraviť a prijať projekt na podporu umiestnenia znevýhodnených uchádzačov o zamestnanie na trh práce </w:t>
      </w:r>
      <w:r w:rsidRPr="001F392C">
        <w:t xml:space="preserve">zameraný na podporu umiestňovania najmä dlhodobo nezamestnaných UoZ, UoZ starších ako 50 rokov, absolventov škôl a nezamestnaných, ktorí boli prepustení z organizačných dôvodov, na trh práce, s prioritou podpory umiestnenia najmä skupiny dlhodobo nezamestnaných občanov; realizáciou projektu sa v období rokov 2013 až 2015 predpokladá umiestnenie </w:t>
      </w:r>
      <w:r w:rsidRPr="001F392C">
        <w:rPr>
          <w:b/>
        </w:rPr>
        <w:t>5 až 7 tis. ZUoZ</w:t>
      </w:r>
      <w:r w:rsidRPr="001F392C">
        <w:t xml:space="preserve"> na trh práce;     </w:t>
      </w:r>
    </w:p>
    <w:p w:rsidR="00117856" w:rsidRPr="001F392C" w:rsidRDefault="00197855" w:rsidP="00C178EC">
      <w:pPr>
        <w:numPr>
          <w:ilvl w:val="3"/>
          <w:numId w:val="48"/>
        </w:numPr>
        <w:tabs>
          <w:tab w:val="left" w:pos="357"/>
        </w:tabs>
        <w:ind w:left="357" w:hanging="357"/>
        <w:jc w:val="both"/>
        <w:rPr>
          <w:b/>
        </w:rPr>
      </w:pPr>
      <w:r w:rsidRPr="001F392C">
        <w:rPr>
          <w:b/>
        </w:rPr>
        <w:t>prijať projekty a programy realizované podľa novely zákona o službách zamestnanosti (§ 54)</w:t>
      </w:r>
      <w:r w:rsidRPr="001F392C">
        <w:t>,</w:t>
      </w:r>
      <w:r w:rsidRPr="001F392C">
        <w:rPr>
          <w:b/>
        </w:rPr>
        <w:t xml:space="preserve"> </w:t>
      </w:r>
      <w:r w:rsidRPr="001F392C">
        <w:t xml:space="preserve">ktorá umožní lepšie uplatnenie projektových a programových riešení na zlepšenie postavenia UoZ na trhu práce; </w:t>
      </w:r>
      <w:r w:rsidR="00D44442" w:rsidRPr="001F392C">
        <w:t xml:space="preserve">prednostne realizovať </w:t>
      </w:r>
      <w:r w:rsidR="00D44442" w:rsidRPr="001F392C">
        <w:rPr>
          <w:snapToGrid w:val="0"/>
        </w:rPr>
        <w:t xml:space="preserve">pilotné projekty alebo pilotné programy na podporu rozvoja regionálnej alebo miestnej zamestnanosti; </w:t>
      </w:r>
      <w:r w:rsidRPr="001F392C">
        <w:t>n</w:t>
      </w:r>
      <w:r w:rsidRPr="001F392C">
        <w:rPr>
          <w:lang w:eastAsia="sk-SK"/>
        </w:rPr>
        <w:t>a realizáciu tohto opatrenia je  schválený legislatívny rámec v novele zákona o službách</w:t>
      </w:r>
      <w:r w:rsidRPr="001F392C">
        <w:rPr>
          <w:color w:val="000000"/>
          <w:lang w:eastAsia="sk-SK"/>
        </w:rPr>
        <w:t xml:space="preserve"> zamestnanosti s účinnosťou od 1. mája 2013</w:t>
      </w:r>
      <w:r w:rsidR="00117856" w:rsidRPr="001F392C">
        <w:rPr>
          <w:color w:val="000000"/>
          <w:lang w:eastAsia="sk-SK"/>
        </w:rPr>
        <w:t>.</w:t>
      </w:r>
    </w:p>
    <w:p w:rsidR="00117856" w:rsidRPr="001F392C" w:rsidRDefault="00117856" w:rsidP="00C178EC">
      <w:pPr>
        <w:ind w:left="709"/>
        <w:jc w:val="both"/>
        <w:rPr>
          <w:b/>
        </w:rPr>
      </w:pPr>
    </w:p>
    <w:p w:rsidR="00197855" w:rsidRPr="001F392C" w:rsidRDefault="00197855" w:rsidP="001355C9">
      <w:pPr>
        <w:pStyle w:val="Odsekzoznamu"/>
        <w:numPr>
          <w:ilvl w:val="2"/>
          <w:numId w:val="46"/>
        </w:numPr>
        <w:tabs>
          <w:tab w:val="left" w:pos="709"/>
        </w:tabs>
        <w:ind w:left="709" w:hanging="709"/>
        <w:jc w:val="both"/>
        <w:rPr>
          <w:b/>
        </w:rPr>
      </w:pPr>
      <w:r w:rsidRPr="001F392C">
        <w:rPr>
          <w:b/>
        </w:rPr>
        <w:t xml:space="preserve">Opatrenia/projekty hospodárskych rezortov vo forme verejných investícií </w:t>
      </w:r>
      <w:r w:rsidR="00117856" w:rsidRPr="001F392C">
        <w:rPr>
          <w:b/>
        </w:rPr>
        <w:t xml:space="preserve"> </w:t>
      </w:r>
      <w:r w:rsidRPr="001F392C">
        <w:rPr>
          <w:b/>
        </w:rPr>
        <w:t>alebo  vo forme dotačných či obdobných programov a opatrení</w:t>
      </w:r>
    </w:p>
    <w:p w:rsidR="00117856" w:rsidRPr="001F392C" w:rsidRDefault="00117856" w:rsidP="00C178EC">
      <w:pPr>
        <w:ind w:left="426"/>
        <w:jc w:val="both"/>
        <w:rPr>
          <w:b/>
        </w:rPr>
      </w:pPr>
    </w:p>
    <w:p w:rsidR="00197855" w:rsidRPr="001F392C" w:rsidRDefault="00197855" w:rsidP="00C178EC">
      <w:pPr>
        <w:numPr>
          <w:ilvl w:val="0"/>
          <w:numId w:val="48"/>
        </w:numPr>
        <w:tabs>
          <w:tab w:val="left" w:pos="357"/>
        </w:tabs>
        <w:ind w:left="357" w:hanging="357"/>
        <w:jc w:val="both"/>
        <w:rPr>
          <w:b/>
        </w:rPr>
      </w:pPr>
      <w:r w:rsidRPr="001F392C">
        <w:t xml:space="preserve">Tieto </w:t>
      </w:r>
      <w:r w:rsidR="00604935" w:rsidRPr="001F392C">
        <w:t xml:space="preserve">predstavujú samostatný balík opatrení a sú v agregovanej podobe </w:t>
      </w:r>
      <w:r w:rsidRPr="001F392C">
        <w:t xml:space="preserve">smerované na podporu podnikania, tvorbu pracovných miest, zvýšenie objemu financií do veľkých infraštruktúrnych projektov, zabezpečenie efektívnejšieho čerpania fondov EÚ, identifikáciu vnútorných rezerv správy štátnych aktív a fungovania verejnej správy. </w:t>
      </w:r>
    </w:p>
    <w:p w:rsidR="00604935" w:rsidRPr="001F392C" w:rsidRDefault="00604935" w:rsidP="00C178EC">
      <w:pPr>
        <w:pStyle w:val="Odsekzoznamu"/>
        <w:ind w:left="720"/>
        <w:jc w:val="both"/>
        <w:rPr>
          <w:b/>
        </w:rPr>
      </w:pPr>
    </w:p>
    <w:p w:rsidR="00197855" w:rsidRPr="001F392C" w:rsidRDefault="00197855" w:rsidP="00C178EC">
      <w:pPr>
        <w:numPr>
          <w:ilvl w:val="3"/>
          <w:numId w:val="48"/>
        </w:numPr>
        <w:tabs>
          <w:tab w:val="left" w:pos="357"/>
        </w:tabs>
        <w:ind w:left="357" w:hanging="357"/>
        <w:jc w:val="both"/>
        <w:rPr>
          <w:b/>
        </w:rPr>
      </w:pPr>
      <w:r w:rsidRPr="001F392C">
        <w:rPr>
          <w:b/>
        </w:rPr>
        <w:t>Vyhodnotenie tvorby pracovných miest bude zabezpečované v súlade s</w:t>
      </w:r>
      <w:r w:rsidR="00604935" w:rsidRPr="001F392C">
        <w:rPr>
          <w:b/>
        </w:rPr>
        <w:t xml:space="preserve">o samostatným materiálom - </w:t>
      </w:r>
      <w:r w:rsidRPr="001F392C">
        <w:rPr>
          <w:b/>
        </w:rPr>
        <w:t>Opatren</w:t>
      </w:r>
      <w:r w:rsidR="00604935" w:rsidRPr="001F392C">
        <w:rPr>
          <w:b/>
        </w:rPr>
        <w:t>ia</w:t>
      </w:r>
      <w:r w:rsidRPr="001F392C">
        <w:rPr>
          <w:b/>
        </w:rPr>
        <w:t xml:space="preserve"> v hospodárskej politike na podporu hospodárskeho rastu.</w:t>
      </w:r>
    </w:p>
    <w:p w:rsidR="00E513B2" w:rsidRPr="001F392C" w:rsidRDefault="00E513B2" w:rsidP="00C178EC">
      <w:pPr>
        <w:pStyle w:val="Odsekzoznamu"/>
        <w:ind w:left="0"/>
        <w:jc w:val="both"/>
        <w:rPr>
          <w:b/>
          <w:bCs/>
        </w:rPr>
      </w:pPr>
    </w:p>
    <w:p w:rsidR="00BA5870" w:rsidRPr="001F392C" w:rsidRDefault="00197855" w:rsidP="001355C9">
      <w:pPr>
        <w:pStyle w:val="Odsekzoznamu"/>
        <w:numPr>
          <w:ilvl w:val="1"/>
          <w:numId w:val="46"/>
        </w:numPr>
        <w:pBdr>
          <w:top w:val="single" w:sz="4" w:space="1" w:color="auto"/>
          <w:left w:val="single" w:sz="4" w:space="4" w:color="auto"/>
          <w:bottom w:val="single" w:sz="4" w:space="1" w:color="auto"/>
          <w:right w:val="single" w:sz="4" w:space="4" w:color="auto"/>
        </w:pBdr>
        <w:tabs>
          <w:tab w:val="left" w:pos="567"/>
        </w:tabs>
        <w:ind w:left="567" w:hanging="567"/>
        <w:jc w:val="both"/>
        <w:rPr>
          <w:b/>
        </w:rPr>
      </w:pPr>
      <w:r w:rsidRPr="001F392C">
        <w:rPr>
          <w:b/>
        </w:rPr>
        <w:t>O</w:t>
      </w:r>
      <w:r w:rsidR="00BA5870" w:rsidRPr="001F392C">
        <w:rPr>
          <w:b/>
        </w:rPr>
        <w:t>patrenia s </w:t>
      </w:r>
      <w:r w:rsidRPr="001F392C">
        <w:rPr>
          <w:b/>
        </w:rPr>
        <w:t>ne</w:t>
      </w:r>
      <w:r w:rsidR="00BA5870" w:rsidRPr="001F392C">
        <w:rPr>
          <w:b/>
        </w:rPr>
        <w:t xml:space="preserve">priamym </w:t>
      </w:r>
      <w:r w:rsidR="0043146E" w:rsidRPr="001F392C">
        <w:rPr>
          <w:b/>
        </w:rPr>
        <w:t xml:space="preserve">efektom </w:t>
      </w:r>
      <w:r w:rsidR="00BA5870" w:rsidRPr="001F392C">
        <w:rPr>
          <w:b/>
        </w:rPr>
        <w:t>na zamestnanosť</w:t>
      </w:r>
      <w:r w:rsidR="00267008" w:rsidRPr="001F392C">
        <w:rPr>
          <w:b/>
        </w:rPr>
        <w:t xml:space="preserve"> </w:t>
      </w:r>
    </w:p>
    <w:p w:rsidR="00BA5870" w:rsidRPr="001F392C" w:rsidRDefault="00BA5870" w:rsidP="00C178EC">
      <w:pPr>
        <w:jc w:val="both"/>
        <w:rPr>
          <w:b/>
          <w:bCs/>
        </w:rPr>
      </w:pPr>
    </w:p>
    <w:p w:rsidR="008613C1" w:rsidRPr="001F392C" w:rsidRDefault="008613C1" w:rsidP="00C178EC">
      <w:pPr>
        <w:jc w:val="both"/>
        <w:rPr>
          <w:b/>
          <w:bCs/>
          <w:i/>
        </w:rPr>
      </w:pPr>
      <w:r w:rsidRPr="001F392C">
        <w:rPr>
          <w:b/>
          <w:bCs/>
          <w:i/>
        </w:rPr>
        <w:t>V pôsobnosti MPSVR</w:t>
      </w:r>
      <w:r w:rsidR="008C1D97">
        <w:rPr>
          <w:b/>
          <w:bCs/>
          <w:i/>
        </w:rPr>
        <w:t xml:space="preserve"> SR</w:t>
      </w:r>
      <w:r w:rsidRPr="001F392C">
        <w:rPr>
          <w:b/>
          <w:bCs/>
          <w:i/>
        </w:rPr>
        <w:t>:</w:t>
      </w:r>
    </w:p>
    <w:p w:rsidR="008613C1" w:rsidRPr="001F392C" w:rsidRDefault="008613C1" w:rsidP="00C178EC">
      <w:pPr>
        <w:jc w:val="both"/>
        <w:rPr>
          <w:bCs/>
        </w:rPr>
      </w:pPr>
    </w:p>
    <w:p w:rsidR="00A66907" w:rsidRPr="001F392C" w:rsidRDefault="00A66907" w:rsidP="001355C9">
      <w:pPr>
        <w:pStyle w:val="Odsekzoznamu"/>
        <w:numPr>
          <w:ilvl w:val="2"/>
          <w:numId w:val="46"/>
        </w:numPr>
        <w:tabs>
          <w:tab w:val="left" w:pos="709"/>
        </w:tabs>
        <w:ind w:left="709" w:hanging="709"/>
        <w:jc w:val="both"/>
        <w:rPr>
          <w:b/>
        </w:rPr>
      </w:pPr>
      <w:r w:rsidRPr="001F392C">
        <w:rPr>
          <w:b/>
        </w:rPr>
        <w:t>Efektívnejší boj proti nelegálnej práci a nelegálnemu zamestnávaniu</w:t>
      </w:r>
    </w:p>
    <w:p w:rsidR="00A66907" w:rsidRPr="001F392C" w:rsidRDefault="00A66907" w:rsidP="00C178EC">
      <w:pPr>
        <w:jc w:val="both"/>
        <w:rPr>
          <w:color w:val="000000"/>
        </w:rPr>
      </w:pPr>
    </w:p>
    <w:p w:rsidR="00A66907" w:rsidRPr="001F392C" w:rsidRDefault="00A66907" w:rsidP="00C178EC">
      <w:pPr>
        <w:ind w:firstLine="709"/>
        <w:jc w:val="both"/>
      </w:pPr>
      <w:r w:rsidRPr="001F392C">
        <w:rPr>
          <w:color w:val="000000"/>
        </w:rPr>
        <w:t xml:space="preserve">Národný inšpektorát práce (NIP) prijal plán práce na rok 2013, v rámci ktorého vytýčil konkrétne plánované akcie zamerané na intenzívnejšiu kontrolu NPNZ. </w:t>
      </w:r>
      <w:r w:rsidRPr="001F392C">
        <w:rPr>
          <w:b/>
          <w:color w:val="000000"/>
        </w:rPr>
        <w:t>Kontrolné akcie budú koordinované s rozhodujúcimi partnermi</w:t>
      </w:r>
      <w:r w:rsidRPr="001F392C">
        <w:rPr>
          <w:color w:val="000000"/>
        </w:rPr>
        <w:t xml:space="preserve">, ktorými sú PZ SR, Sociálna poisťovňa a ÚPSVR, resp. úrady PSVR. Pravidelné kontroly, ako aj mimoriadne previerky sa budú zameriavať na odvetvia, v ktorých sa tradične najviac vyskytuje NPNZ </w:t>
      </w:r>
      <w:r w:rsidRPr="001F392C">
        <w:t xml:space="preserve">(stavebníctvo, veľkoobchod a maloobchod, ubytovacie a stravovacie služby, doprava a skladovanie               a administratívne služby, ako aj sezónne práce a vo všeobecnosti práce vykonávané na všetky druhy dohôd o prácach vykonávaných mimo pracovného pomeru). Pre dosiahnutie želaného efektu kontrol však nie je možné uviesť bližšie informácie o konkrétnych plánovaných aktivitách. </w:t>
      </w:r>
    </w:p>
    <w:p w:rsidR="00A66907" w:rsidRPr="001F392C" w:rsidRDefault="00A66907" w:rsidP="00C178EC">
      <w:pPr>
        <w:ind w:firstLine="709"/>
      </w:pPr>
    </w:p>
    <w:p w:rsidR="00A66907" w:rsidRPr="001F392C" w:rsidRDefault="00A66907" w:rsidP="00C178EC">
      <w:pPr>
        <w:ind w:firstLine="709"/>
        <w:jc w:val="both"/>
      </w:pPr>
      <w:r w:rsidRPr="001F392C">
        <w:t xml:space="preserve">Súčasťou posilnenia boja proti NPNZ budú aj </w:t>
      </w:r>
      <w:r w:rsidRPr="001F392C">
        <w:rPr>
          <w:b/>
        </w:rPr>
        <w:t>vnútorné organizačné opatrenia NIP a opatrenia MPSVR SR</w:t>
      </w:r>
      <w:r w:rsidRPr="001F392C">
        <w:t xml:space="preserve">, ktoré povedú k vytvoreniu špecializovaných úsekov zameraných    na odhaľovanie NPNZ, pričom MPSVR SR pripravuje možnosti aj na personálne posilnenie výkonu kontrol zo strany NIP. </w:t>
      </w:r>
    </w:p>
    <w:p w:rsidR="00A66907" w:rsidRPr="001F392C" w:rsidRDefault="00A66907" w:rsidP="00C178EC">
      <w:pPr>
        <w:ind w:firstLine="360"/>
        <w:jc w:val="both"/>
      </w:pPr>
    </w:p>
    <w:p w:rsidR="00A66907" w:rsidRPr="001F392C" w:rsidRDefault="00A66907" w:rsidP="00C178EC">
      <w:pPr>
        <w:ind w:firstLine="709"/>
        <w:jc w:val="both"/>
      </w:pPr>
      <w:r w:rsidRPr="001F392C">
        <w:t xml:space="preserve">V legislatívnej oblasti predloží MPSVR SR v 1. polroku 2013 </w:t>
      </w:r>
      <w:r w:rsidRPr="001F392C">
        <w:rPr>
          <w:b/>
        </w:rPr>
        <w:t>návrh novely zákona    o nelegálnej práci a nelegálnom zamestnávaní, ako aj novely zákona o inšpekcii práce</w:t>
      </w:r>
      <w:r w:rsidRPr="001F392C">
        <w:t xml:space="preserve"> s takými zmenami, ktoré zvýšia efektívnosť odhaľovania NPNZ, posilnia kompetencie kontrolných orgánov a v odôvodnených prípadoch zvýšia sankčné postihy. </w:t>
      </w:r>
    </w:p>
    <w:p w:rsidR="00A66907" w:rsidRPr="001F392C" w:rsidRDefault="00A66907" w:rsidP="00C178EC">
      <w:pPr>
        <w:jc w:val="both"/>
        <w:rPr>
          <w:b/>
        </w:rPr>
      </w:pPr>
    </w:p>
    <w:p w:rsidR="00BE3FCF" w:rsidRPr="001F392C" w:rsidRDefault="0053708B" w:rsidP="001355C9">
      <w:pPr>
        <w:pStyle w:val="Odsekzoznamu"/>
        <w:numPr>
          <w:ilvl w:val="2"/>
          <w:numId w:val="46"/>
        </w:numPr>
        <w:tabs>
          <w:tab w:val="left" w:pos="709"/>
        </w:tabs>
        <w:ind w:left="709" w:hanging="709"/>
        <w:jc w:val="both"/>
        <w:rPr>
          <w:b/>
        </w:rPr>
      </w:pPr>
      <w:r w:rsidRPr="001F392C">
        <w:rPr>
          <w:b/>
        </w:rPr>
        <w:t>Optimalizovať činnosť verejných služieb zamestnanosti a zvýšiť ekonomickú efektívnosť a kvalitu poskytovaných služieb</w:t>
      </w:r>
    </w:p>
    <w:p w:rsidR="00C55354" w:rsidRPr="001F392C" w:rsidRDefault="00C55354" w:rsidP="00C178EC">
      <w:pPr>
        <w:jc w:val="both"/>
      </w:pPr>
    </w:p>
    <w:p w:rsidR="0053708B" w:rsidRPr="001F392C" w:rsidRDefault="0053708B" w:rsidP="001355C9">
      <w:pPr>
        <w:ind w:firstLine="709"/>
        <w:jc w:val="both"/>
      </w:pPr>
      <w:r w:rsidRPr="001F392C">
        <w:t>Prehlbujúca sa disparita medzi dopytom po práci a ponukou práce vrátane ich štrukturálnych charakteristík, vysoká miera nezamestnanosti vrátane diverzity jej regionálnej distribúcie a pretrvávajúca dlhodobá nezamestnanosť kladú vysoké požiadavky na činnosť verejných služieb zamestnanosti (VSZ). V týchto zložitých podmienkach musia VSZ optimalizovať svoju činnosť prostredníctvom:</w:t>
      </w:r>
    </w:p>
    <w:p w:rsidR="0053708B" w:rsidRPr="001F392C" w:rsidRDefault="0053708B" w:rsidP="00C178EC">
      <w:pPr>
        <w:numPr>
          <w:ilvl w:val="0"/>
          <w:numId w:val="28"/>
        </w:numPr>
        <w:tabs>
          <w:tab w:val="left" w:pos="357"/>
        </w:tabs>
        <w:ind w:left="357" w:hanging="357"/>
        <w:jc w:val="both"/>
      </w:pPr>
      <w:r w:rsidRPr="001F392C">
        <w:t xml:space="preserve">intenzifikácie spolupráce s neštátnymi poskytovateľmi služieb zamestnanosti </w:t>
      </w:r>
      <w:r w:rsidR="00C55354" w:rsidRPr="001F392C">
        <w:t xml:space="preserve">                  </w:t>
      </w:r>
      <w:r w:rsidRPr="001F392C">
        <w:t xml:space="preserve">pri vyhľadávaní </w:t>
      </w:r>
      <w:r w:rsidR="006D41FA" w:rsidRPr="001F392C">
        <w:t xml:space="preserve">voľných pracovných miest </w:t>
      </w:r>
      <w:r w:rsidRPr="001F392C">
        <w:t xml:space="preserve"> a umiestňovaní </w:t>
      </w:r>
      <w:r w:rsidR="00583E30" w:rsidRPr="001F392C">
        <w:t>UoZ</w:t>
      </w:r>
      <w:r w:rsidRPr="001F392C">
        <w:t>;</w:t>
      </w:r>
    </w:p>
    <w:p w:rsidR="0053708B" w:rsidRPr="001F392C" w:rsidRDefault="0053708B" w:rsidP="00C178EC">
      <w:pPr>
        <w:numPr>
          <w:ilvl w:val="0"/>
          <w:numId w:val="28"/>
        </w:numPr>
        <w:tabs>
          <w:tab w:val="left" w:pos="357"/>
        </w:tabs>
        <w:ind w:left="357" w:hanging="357"/>
        <w:jc w:val="both"/>
      </w:pPr>
      <w:r w:rsidRPr="001F392C">
        <w:t xml:space="preserve">uplatňovania profilácii UoZ pri poskytovaní služieb zamestnanosti. Hlavným kritériom pri poskytovaní služieb zamestnanosti </w:t>
      </w:r>
      <w:r w:rsidR="00583E30" w:rsidRPr="001F392C">
        <w:t>UoZ</w:t>
      </w:r>
      <w:r w:rsidRPr="001F392C">
        <w:t>, ich načasovaní</w:t>
      </w:r>
      <w:r w:rsidR="00583E30" w:rsidRPr="001F392C">
        <w:t xml:space="preserve"> a</w:t>
      </w:r>
      <w:r w:rsidRPr="001F392C">
        <w:t xml:space="preserve"> intenzite by mal byť stupeň rizikovosti prepadnutia </w:t>
      </w:r>
      <w:r w:rsidR="00583E30" w:rsidRPr="001F392C">
        <w:t xml:space="preserve">sa </w:t>
      </w:r>
      <w:r w:rsidRPr="001F392C">
        <w:t xml:space="preserve">UoZ do dlhodobej nezamestnanosti a jeho šance na opätovné zaradenie do pracovného procesu. </w:t>
      </w:r>
      <w:r w:rsidR="00583E30" w:rsidRPr="001F392C">
        <w:t>Takáto profilácia</w:t>
      </w:r>
      <w:r w:rsidRPr="001F392C">
        <w:t xml:space="preserve"> UoZ podľa uvedených kritérií umožní VSZ, v čase vysokého pretlaku zo strany rastu počtu evidovaných </w:t>
      </w:r>
      <w:r w:rsidR="00583E30" w:rsidRPr="001F392C">
        <w:t>UoZ</w:t>
      </w:r>
      <w:r w:rsidRPr="001F392C">
        <w:t>, zacieliť služby na ten segment UoZ, ktorý ich potrebuje najviac a zabezpečí efektívnu alokáciu týchto služieb;</w:t>
      </w:r>
    </w:p>
    <w:p w:rsidR="003952FE" w:rsidRPr="001F392C" w:rsidRDefault="0053708B" w:rsidP="00C178EC">
      <w:pPr>
        <w:numPr>
          <w:ilvl w:val="0"/>
          <w:numId w:val="28"/>
        </w:numPr>
        <w:tabs>
          <w:tab w:val="left" w:pos="357"/>
        </w:tabs>
        <w:ind w:left="357" w:hanging="357"/>
        <w:jc w:val="both"/>
      </w:pPr>
      <w:r w:rsidRPr="001F392C">
        <w:t>zintenzívnenia činnosti agentov pre pracovné miesta</w:t>
      </w:r>
      <w:r w:rsidR="00583E30" w:rsidRPr="001F392C">
        <w:t>.</w:t>
      </w:r>
    </w:p>
    <w:p w:rsidR="006D41FA" w:rsidRPr="001F392C" w:rsidRDefault="006D41FA" w:rsidP="00C178EC">
      <w:pPr>
        <w:jc w:val="both"/>
        <w:rPr>
          <w:b/>
        </w:rPr>
      </w:pPr>
    </w:p>
    <w:p w:rsidR="006D41FA" w:rsidRPr="001F392C" w:rsidRDefault="00064786" w:rsidP="001355C9">
      <w:pPr>
        <w:pStyle w:val="Odsekzoznamu"/>
        <w:numPr>
          <w:ilvl w:val="2"/>
          <w:numId w:val="46"/>
        </w:numPr>
        <w:tabs>
          <w:tab w:val="left" w:pos="709"/>
        </w:tabs>
        <w:ind w:left="709" w:hanging="709"/>
        <w:jc w:val="both"/>
        <w:rPr>
          <w:b/>
        </w:rPr>
      </w:pPr>
      <w:r w:rsidRPr="001F392C">
        <w:rPr>
          <w:b/>
        </w:rPr>
        <w:t>Podporiť aktívnu politiku trhu práce</w:t>
      </w:r>
    </w:p>
    <w:p w:rsidR="00C55354" w:rsidRPr="001F392C" w:rsidRDefault="00C55354" w:rsidP="00C178EC">
      <w:pPr>
        <w:jc w:val="both"/>
        <w:rPr>
          <w:b/>
        </w:rPr>
      </w:pPr>
    </w:p>
    <w:p w:rsidR="003952FE" w:rsidRPr="001F392C" w:rsidRDefault="003952FE" w:rsidP="00C178EC">
      <w:pPr>
        <w:numPr>
          <w:ilvl w:val="0"/>
          <w:numId w:val="28"/>
        </w:numPr>
        <w:tabs>
          <w:tab w:val="left" w:pos="357"/>
        </w:tabs>
        <w:ind w:left="357" w:hanging="357"/>
        <w:jc w:val="both"/>
      </w:pPr>
      <w:r w:rsidRPr="001F392C">
        <w:t xml:space="preserve">zaviesť nový </w:t>
      </w:r>
      <w:r w:rsidRPr="001F392C">
        <w:rPr>
          <w:b/>
        </w:rPr>
        <w:t>systém koordinácie tvorby stratégie zamestnanosti</w:t>
      </w:r>
      <w:r w:rsidRPr="001F392C">
        <w:t xml:space="preserve"> založený </w:t>
      </w:r>
      <w:r w:rsidR="006D41FA" w:rsidRPr="001F392C">
        <w:t xml:space="preserve">                   </w:t>
      </w:r>
      <w:r w:rsidRPr="001F392C">
        <w:t>na nadrezortnom a tripartitnom</w:t>
      </w:r>
      <w:r w:rsidR="00F26B3F" w:rsidRPr="001F392C">
        <w:t xml:space="preserve"> princípe (národný projekt</w:t>
      </w:r>
      <w:r w:rsidR="00583E30" w:rsidRPr="001F392C">
        <w:t xml:space="preserve"> Stratégia zamestnanosti</w:t>
      </w:r>
      <w:r w:rsidR="00F26B3F" w:rsidRPr="001F392C">
        <w:t>);</w:t>
      </w:r>
    </w:p>
    <w:p w:rsidR="003952FE" w:rsidRPr="001F392C" w:rsidRDefault="003952FE" w:rsidP="00C178EC">
      <w:pPr>
        <w:numPr>
          <w:ilvl w:val="0"/>
          <w:numId w:val="28"/>
        </w:numPr>
        <w:tabs>
          <w:tab w:val="left" w:pos="357"/>
        </w:tabs>
        <w:ind w:left="357" w:hanging="357"/>
        <w:jc w:val="both"/>
      </w:pPr>
      <w:r w:rsidRPr="001F392C">
        <w:t xml:space="preserve">pokračovať v realizácii podpory vzniku pracovných miest vo verejnom i súkromnom sektore pre  mladých ľudí do 29 rokov s dôrazom na regióny s najvyššou mierou </w:t>
      </w:r>
      <w:r w:rsidR="00F26B3F" w:rsidRPr="001F392C">
        <w:t>nezamestnanosti;</w:t>
      </w:r>
    </w:p>
    <w:p w:rsidR="003952FE" w:rsidRPr="001F392C" w:rsidRDefault="003952FE" w:rsidP="00C178EC">
      <w:pPr>
        <w:numPr>
          <w:ilvl w:val="0"/>
          <w:numId w:val="28"/>
        </w:numPr>
        <w:tabs>
          <w:tab w:val="left" w:pos="357"/>
        </w:tabs>
        <w:ind w:left="357" w:hanging="357"/>
        <w:jc w:val="both"/>
      </w:pPr>
      <w:r w:rsidRPr="001F392C">
        <w:t xml:space="preserve">pripraviť a prijať </w:t>
      </w:r>
      <w:r w:rsidRPr="001F392C">
        <w:rPr>
          <w:b/>
        </w:rPr>
        <w:t>systému záru</w:t>
      </w:r>
      <w:r w:rsidR="00F26B3F" w:rsidRPr="001F392C">
        <w:rPr>
          <w:b/>
        </w:rPr>
        <w:t>k pre mladých</w:t>
      </w:r>
      <w:r w:rsidR="00F26B3F" w:rsidRPr="001F392C">
        <w:t xml:space="preserve"> ľudí do 25 rokov</w:t>
      </w:r>
      <w:r w:rsidR="006D41FA" w:rsidRPr="001F392C">
        <w:t xml:space="preserve"> v nadväznosti               na odporúčania Rady o zavedení systému záruk pre mladých, ktoré majú zabezpečiť, aby </w:t>
      </w:r>
      <w:r w:rsidR="006D41FA" w:rsidRPr="001F392C">
        <w:lastRenderedPageBreak/>
        <w:t>všetci mladí ľudia vo veku do 25 rokov dostali kvalitnú ponuku zamestnania, ďalšieho vzdelávania, učňovskej prípravy alebo stáže do štyroch mesiacov (od zaradenia                do evidencie UoZ) po strate zamestnania alebo ukončení formálneho vzdelania</w:t>
      </w:r>
      <w:r w:rsidR="00F26B3F" w:rsidRPr="001F392C">
        <w:t>;</w:t>
      </w:r>
      <w:r w:rsidRPr="001F392C">
        <w:t xml:space="preserve"> </w:t>
      </w:r>
    </w:p>
    <w:p w:rsidR="003952FE" w:rsidRPr="001F392C" w:rsidRDefault="003952FE" w:rsidP="00C178EC">
      <w:pPr>
        <w:numPr>
          <w:ilvl w:val="0"/>
          <w:numId w:val="28"/>
        </w:numPr>
        <w:tabs>
          <w:tab w:val="left" w:pos="357"/>
        </w:tabs>
        <w:ind w:left="357" w:hanging="357"/>
        <w:jc w:val="both"/>
      </w:pPr>
      <w:r w:rsidRPr="001F392C">
        <w:t xml:space="preserve">pripraviť nové projekty a programy v rámci </w:t>
      </w:r>
      <w:r w:rsidR="006D41FA" w:rsidRPr="001F392C">
        <w:t>APTP</w:t>
      </w:r>
      <w:r w:rsidRPr="001F392C">
        <w:t>, ktoré budú určené na podporu dlhodobo nezamestnaných osôb, pracovníkov s nízkou kval</w:t>
      </w:r>
      <w:r w:rsidR="00F26B3F" w:rsidRPr="001F392C">
        <w:t xml:space="preserve">ifikáciou </w:t>
      </w:r>
      <w:r w:rsidR="006D41FA" w:rsidRPr="001F392C">
        <w:t xml:space="preserve"> </w:t>
      </w:r>
      <w:r w:rsidR="00F26B3F" w:rsidRPr="001F392C">
        <w:t>a starších ľudí (50+);</w:t>
      </w:r>
    </w:p>
    <w:p w:rsidR="003952FE" w:rsidRPr="001F392C" w:rsidRDefault="003952FE" w:rsidP="00C178EC">
      <w:pPr>
        <w:numPr>
          <w:ilvl w:val="0"/>
          <w:numId w:val="28"/>
        </w:numPr>
        <w:tabs>
          <w:tab w:val="left" w:pos="357"/>
        </w:tabs>
        <w:ind w:left="357" w:hanging="357"/>
        <w:jc w:val="both"/>
      </w:pPr>
      <w:r w:rsidRPr="001F392C">
        <w:t xml:space="preserve">s cieľom implementácie aktuálnej novely zákona o službách zamestnanosti pripraviť rezortný predpis na zabezpečenie jednotného postupu pri implementácii systému </w:t>
      </w:r>
      <w:r w:rsidR="006D41FA" w:rsidRPr="001F392C">
        <w:t>AOTP</w:t>
      </w:r>
      <w:r w:rsidRPr="001F392C">
        <w:t xml:space="preserve"> založeného na fakultatívnosti, transparentnosti a posilnení triparti</w:t>
      </w:r>
      <w:r w:rsidR="00F26B3F" w:rsidRPr="001F392C">
        <w:t>tného princípu ich poskytovania;</w:t>
      </w:r>
    </w:p>
    <w:p w:rsidR="003952FE" w:rsidRPr="001F392C" w:rsidRDefault="003952FE" w:rsidP="00C178EC">
      <w:pPr>
        <w:numPr>
          <w:ilvl w:val="0"/>
          <w:numId w:val="28"/>
        </w:numPr>
        <w:tabs>
          <w:tab w:val="left" w:pos="357"/>
        </w:tabs>
        <w:ind w:left="357" w:hanging="357"/>
        <w:jc w:val="both"/>
      </w:pPr>
      <w:r w:rsidRPr="001F392C">
        <w:t xml:space="preserve">priorizovanie poradenských a individualizovaných </w:t>
      </w:r>
      <w:r w:rsidR="00583E30" w:rsidRPr="001F392C">
        <w:t xml:space="preserve">VSZ </w:t>
      </w:r>
      <w:r w:rsidRPr="001F392C">
        <w:t>vrátane zvýšenia ich administratívnych kapacít s cieľom zlepšenia prístupu k zamestnaniu pre dlhodobo nezamestnané osoby, pracovníkov s nízkou kval</w:t>
      </w:r>
      <w:r w:rsidR="00F26B3F" w:rsidRPr="001F392C">
        <w:t>ifikáciou, starších ľudí a žien;</w:t>
      </w:r>
    </w:p>
    <w:p w:rsidR="004C6D24" w:rsidRPr="001F392C" w:rsidRDefault="003952FE" w:rsidP="004C6D24">
      <w:pPr>
        <w:numPr>
          <w:ilvl w:val="0"/>
          <w:numId w:val="28"/>
        </w:numPr>
        <w:tabs>
          <w:tab w:val="left" w:pos="357"/>
        </w:tabs>
        <w:ind w:left="357" w:hanging="357"/>
        <w:jc w:val="both"/>
      </w:pPr>
      <w:r w:rsidRPr="001F392C">
        <w:t xml:space="preserve">pokračovať v identifikácii sektorovej potreby zručností na trhu práce a dopytu </w:t>
      </w:r>
      <w:r w:rsidR="006D41FA" w:rsidRPr="001F392C">
        <w:t xml:space="preserve">                 </w:t>
      </w:r>
      <w:r w:rsidRPr="001F392C">
        <w:t>po kvalifikovanej pracovnej sile s podporou informačného systému ( národn</w:t>
      </w:r>
      <w:r w:rsidR="006D41FA" w:rsidRPr="001F392C">
        <w:t xml:space="preserve">ý </w:t>
      </w:r>
      <w:r w:rsidRPr="001F392C">
        <w:t xml:space="preserve"> projekt</w:t>
      </w:r>
      <w:r w:rsidR="006D41FA" w:rsidRPr="001F392C">
        <w:t xml:space="preserve"> Národná sústava povolaní III</w:t>
      </w:r>
      <w:r w:rsidR="004C6D24">
        <w:t>) - NSP bude databázou podľa európskych štandardov, ktorá bude obsahovať popisy pracovných pozícií vo všetkých sektoroch hospodárstva, vypracované prostredníctvom sektorových rád so zastúpením odborníkov z podnikového i vzdelávacieho sektora</w:t>
      </w:r>
      <w:r w:rsidR="004C6D24" w:rsidRPr="001F392C">
        <w:t>;</w:t>
      </w:r>
    </w:p>
    <w:p w:rsidR="004C6D24" w:rsidRDefault="004C6D24" w:rsidP="004C6D24">
      <w:pPr>
        <w:numPr>
          <w:ilvl w:val="0"/>
          <w:numId w:val="28"/>
        </w:numPr>
        <w:tabs>
          <w:tab w:val="left" w:pos="357"/>
        </w:tabs>
        <w:ind w:left="357" w:hanging="357"/>
        <w:jc w:val="both"/>
      </w:pPr>
      <w:r>
        <w:t>MPSVR SR bude na základe zákona č. 5/2004 Z.z. o službách zamestnanosti udržiavať a priebežne aktualizovať NSP, ako nástroj monitorovania a prognózovania vývoja na trhu práce, o. i. pre potreby efektívneho riadenia odborného vzdelávania a prípravy pre uplatnenie sa na trhu práce.</w:t>
      </w:r>
    </w:p>
    <w:p w:rsidR="003952FE" w:rsidRPr="001F392C" w:rsidRDefault="003952FE" w:rsidP="00C178EC">
      <w:pPr>
        <w:ind w:left="720"/>
        <w:jc w:val="both"/>
        <w:rPr>
          <w:b/>
        </w:rPr>
      </w:pPr>
    </w:p>
    <w:p w:rsidR="0053708B" w:rsidRPr="001F392C" w:rsidRDefault="0053708B" w:rsidP="001355C9">
      <w:pPr>
        <w:pStyle w:val="Odsekzoznamu"/>
        <w:numPr>
          <w:ilvl w:val="2"/>
          <w:numId w:val="46"/>
        </w:numPr>
        <w:tabs>
          <w:tab w:val="left" w:pos="709"/>
        </w:tabs>
        <w:ind w:left="709" w:hanging="709"/>
        <w:jc w:val="both"/>
        <w:rPr>
          <w:b/>
        </w:rPr>
      </w:pPr>
      <w:r w:rsidRPr="001F392C">
        <w:rPr>
          <w:b/>
        </w:rPr>
        <w:t>Zvýšiť rozsah financovania a zacielenosť aktívnych opatrení na trhu práce</w:t>
      </w:r>
    </w:p>
    <w:p w:rsidR="00C55354" w:rsidRPr="001F392C" w:rsidRDefault="00C55354" w:rsidP="00C178EC">
      <w:pPr>
        <w:jc w:val="both"/>
        <w:rPr>
          <w:b/>
        </w:rPr>
      </w:pPr>
    </w:p>
    <w:p w:rsidR="0053708B" w:rsidRPr="001F392C" w:rsidRDefault="0053708B" w:rsidP="00C178EC">
      <w:pPr>
        <w:numPr>
          <w:ilvl w:val="0"/>
          <w:numId w:val="28"/>
        </w:numPr>
        <w:tabs>
          <w:tab w:val="left" w:pos="357"/>
        </w:tabs>
        <w:ind w:left="357" w:hanging="357"/>
        <w:jc w:val="both"/>
      </w:pPr>
      <w:r w:rsidRPr="001F392C">
        <w:t xml:space="preserve">rozsah financovania </w:t>
      </w:r>
      <w:r w:rsidR="006D41FA" w:rsidRPr="001F392C">
        <w:t>AOTP</w:t>
      </w:r>
      <w:r w:rsidRPr="001F392C">
        <w:t xml:space="preserve"> odvíjať od rozsahu nezamestnanosti;</w:t>
      </w:r>
    </w:p>
    <w:p w:rsidR="0053708B" w:rsidRDefault="0053708B" w:rsidP="00C178EC">
      <w:pPr>
        <w:numPr>
          <w:ilvl w:val="0"/>
          <w:numId w:val="28"/>
        </w:numPr>
        <w:tabs>
          <w:tab w:val="left" w:pos="357"/>
        </w:tabs>
        <w:ind w:left="357" w:hanging="357"/>
        <w:jc w:val="both"/>
      </w:pPr>
      <w:r w:rsidRPr="001F392C">
        <w:t xml:space="preserve">zvýšiť rozsah výdavkov na programy vzdelávania a prípravy pre trh práce a osobitne </w:t>
      </w:r>
      <w:r w:rsidR="006D41FA" w:rsidRPr="001F392C">
        <w:t xml:space="preserve">       </w:t>
      </w:r>
      <w:r w:rsidRPr="001F392C">
        <w:t>na programy zacielené na potreby zamestnávateľov</w:t>
      </w:r>
      <w:r w:rsidR="00583E30" w:rsidRPr="001F392C">
        <w:t>.</w:t>
      </w:r>
    </w:p>
    <w:p w:rsidR="00F83B38" w:rsidRDefault="00F83B38" w:rsidP="00F83B38">
      <w:pPr>
        <w:tabs>
          <w:tab w:val="left" w:pos="357"/>
        </w:tabs>
        <w:jc w:val="both"/>
      </w:pPr>
    </w:p>
    <w:p w:rsidR="008613C1" w:rsidRPr="001F392C" w:rsidRDefault="008613C1" w:rsidP="00C178EC">
      <w:pPr>
        <w:jc w:val="both"/>
        <w:rPr>
          <w:b/>
          <w:i/>
        </w:rPr>
      </w:pPr>
      <w:r w:rsidRPr="001F392C">
        <w:rPr>
          <w:b/>
          <w:i/>
        </w:rPr>
        <w:t>V pôsobnosti MH SR:</w:t>
      </w:r>
    </w:p>
    <w:p w:rsidR="008613C1" w:rsidRPr="001F392C" w:rsidRDefault="008613C1" w:rsidP="00C178EC">
      <w:pPr>
        <w:jc w:val="both"/>
        <w:rPr>
          <w:b/>
          <w:i/>
        </w:rPr>
      </w:pPr>
    </w:p>
    <w:p w:rsidR="00D23798" w:rsidRPr="001F392C" w:rsidRDefault="0053708B" w:rsidP="001355C9">
      <w:pPr>
        <w:pStyle w:val="Odsekzoznamu"/>
        <w:numPr>
          <w:ilvl w:val="2"/>
          <w:numId w:val="46"/>
        </w:numPr>
        <w:tabs>
          <w:tab w:val="left" w:pos="709"/>
        </w:tabs>
        <w:ind w:left="709" w:hanging="709"/>
        <w:jc w:val="both"/>
        <w:rPr>
          <w:b/>
        </w:rPr>
      </w:pPr>
      <w:r w:rsidRPr="001F392C">
        <w:rPr>
          <w:b/>
        </w:rPr>
        <w:t>Zlepšiť podni</w:t>
      </w:r>
      <w:r w:rsidR="00076F5B" w:rsidRPr="001F392C">
        <w:rPr>
          <w:b/>
        </w:rPr>
        <w:t xml:space="preserve">kateľské prostredie </w:t>
      </w:r>
    </w:p>
    <w:p w:rsidR="00C55354" w:rsidRPr="001F392C" w:rsidRDefault="00C55354" w:rsidP="00C178EC">
      <w:pPr>
        <w:jc w:val="both"/>
        <w:rPr>
          <w:b/>
        </w:rPr>
      </w:pPr>
    </w:p>
    <w:p w:rsidR="00D23798" w:rsidRPr="001F392C" w:rsidRDefault="00D23798" w:rsidP="00C178EC">
      <w:pPr>
        <w:numPr>
          <w:ilvl w:val="0"/>
          <w:numId w:val="28"/>
        </w:numPr>
        <w:tabs>
          <w:tab w:val="left" w:pos="357"/>
        </w:tabs>
        <w:ind w:left="357" w:hanging="357"/>
        <w:jc w:val="both"/>
      </w:pPr>
      <w:r w:rsidRPr="001F392C">
        <w:t xml:space="preserve">formulovaním a presadzovaním ďalších opatrení zameraných na zníženie bariér vstupu </w:t>
      </w:r>
      <w:r w:rsidR="00C55354" w:rsidRPr="001F392C">
        <w:t xml:space="preserve">  </w:t>
      </w:r>
      <w:r w:rsidRPr="001F392C">
        <w:t>do podnikania, stabilizáciu právneho prostredia, rozšírenia služieb e-Governmentu a zníženia regulačného zaťaženia vo všetkých fázach podnikania</w:t>
      </w:r>
      <w:r w:rsidR="00A852D2" w:rsidRPr="001F392C">
        <w:t xml:space="preserve"> -</w:t>
      </w:r>
      <w:r w:rsidRPr="001F392C">
        <w:t xml:space="preserve"> ide o neustále zlepšovanie podnikateľského prostredia, najmä zlepšovaním kvality a stability podnikateľskej legislatívy, podporou transparentnosti a disciplíny v obchodných vzťahoch, či monitoringu a efektívnejšou komunikáciou s podnikateľskou sférou</w:t>
      </w:r>
      <w:r w:rsidR="00583E30" w:rsidRPr="001F392C">
        <w:t>;</w:t>
      </w:r>
      <w:r w:rsidR="00F763D2" w:rsidRPr="001F392C">
        <w:t xml:space="preserve"> </w:t>
      </w:r>
      <w:r w:rsidR="00583E30" w:rsidRPr="001F392C">
        <w:t>ď</w:t>
      </w:r>
      <w:r w:rsidRPr="001F392C">
        <w:t>alej  ide o podporu inovácií, motivovanie súkromnej sféry na zvyšovanie výdavkov do výskumu a vývoja, zlepšenie dostupnosti financovania pre malých a stredných podnikateľov, zvýšenie miery investícií do ekonomiky SR najmä v odvetviach s vysokou pridanou hodnotou a v menej rozvinutých regiónoch a zvýšenie exportnej výkonnosti slovenskej ekonomiky, podporu perspektívnych oblastí podnikania v znalostnej ekonomike;</w:t>
      </w:r>
    </w:p>
    <w:p w:rsidR="00D23798" w:rsidRPr="001F392C" w:rsidRDefault="00D23798" w:rsidP="00C178EC">
      <w:pPr>
        <w:numPr>
          <w:ilvl w:val="0"/>
          <w:numId w:val="28"/>
        </w:numPr>
        <w:tabs>
          <w:tab w:val="left" w:pos="357"/>
        </w:tabs>
        <w:ind w:left="357" w:hanging="357"/>
        <w:jc w:val="both"/>
      </w:pPr>
      <w:r w:rsidRPr="001F392C">
        <w:t xml:space="preserve">vyvíjať tlak aj na znižovanie priamych nákladov vyvolaných legislatívou, ktoré </w:t>
      </w:r>
      <w:r w:rsidR="00C55354" w:rsidRPr="001F392C">
        <w:t xml:space="preserve">               </w:t>
      </w:r>
      <w:r w:rsidRPr="001F392C">
        <w:t>si vyžadujú od podnikateľov dodatočné investície, alebo výdavky na administrovanie ukladaných povinností;</w:t>
      </w:r>
      <w:r w:rsidR="00F5725C" w:rsidRPr="001F392C">
        <w:t xml:space="preserve"> skúmať synergický efekt (negatívny, pozitívny) viacerých </w:t>
      </w:r>
      <w:r w:rsidR="00F5725C" w:rsidRPr="001F392C">
        <w:lastRenderedPageBreak/>
        <w:t>prijatých (navrhovaných) opatrení, ktoré majú (budú mať) dosah na zmeny podnikateľského prostredia;</w:t>
      </w:r>
    </w:p>
    <w:p w:rsidR="00D23798" w:rsidRPr="001F392C" w:rsidRDefault="00D23798" w:rsidP="00C178EC">
      <w:pPr>
        <w:numPr>
          <w:ilvl w:val="0"/>
          <w:numId w:val="28"/>
        </w:numPr>
        <w:tabs>
          <w:tab w:val="left" w:pos="357"/>
        </w:tabs>
        <w:ind w:left="357" w:hanging="357"/>
        <w:jc w:val="both"/>
      </w:pPr>
      <w:r w:rsidRPr="001F392C">
        <w:t xml:space="preserve">realizovať programy na podporu podnikania, investícií a zamestnanosti, cielene </w:t>
      </w:r>
      <w:r w:rsidR="00A852D2" w:rsidRPr="001F392C">
        <w:t xml:space="preserve">             </w:t>
      </w:r>
      <w:r w:rsidRPr="001F392C">
        <w:t xml:space="preserve">pre nezamestnaných mladých ľudí, ako i podporu úspešnej podnikateľskej praxe a výchovy k podnikaniu, vzdelávania a poradenstva pre malých a stredných podnikateľov; pokračovať v realizácii podporných programov pre podnikateľov (osobitné programy </w:t>
      </w:r>
      <w:r w:rsidR="00A852D2" w:rsidRPr="001F392C">
        <w:t xml:space="preserve">     </w:t>
      </w:r>
      <w:r w:rsidRPr="001F392C">
        <w:t xml:space="preserve">pre veľkých podnikateľov, pre stredných podnikateľov a pre malých podnikateľov, vrátane podpory živnostníkov), a to aj cestou využitia eurofondov; vrátane realizácie opatrení na podporu podnikania mladých ľudí; </w:t>
      </w:r>
    </w:p>
    <w:p w:rsidR="00F5725C" w:rsidRPr="001F392C" w:rsidRDefault="00F5725C" w:rsidP="00C178EC">
      <w:pPr>
        <w:numPr>
          <w:ilvl w:val="0"/>
          <w:numId w:val="28"/>
        </w:numPr>
        <w:tabs>
          <w:tab w:val="left" w:pos="357"/>
        </w:tabs>
        <w:ind w:left="357" w:hanging="357"/>
        <w:jc w:val="both"/>
      </w:pPr>
      <w:r w:rsidRPr="001F392C">
        <w:t>Národná agentúra pre rozvoj malého a stredného podnikania (NARMSP) pripraví materiál „Návrhy na podporu MSP a zvýšenie regionálnej zamestnanosti prostredníctvom podporných programov pre MSP realizovaných NARMSP“, kde hlavným cieľom je zhodnotiť situáciu v oblasti podpory MSP (mimo štrukturálnych fondov) prostredníctvom podporných programov realizovaných NARMSP, navrhnúť nové spôsoby a možnosti podpory MSP, ktoré by prispeli najmä k  zvyšovaniu regionálnej zamestnanosti so zameraním na mladých ľudí;</w:t>
      </w:r>
    </w:p>
    <w:p w:rsidR="00F5725C" w:rsidRPr="001F392C" w:rsidRDefault="00F5725C" w:rsidP="00C178EC">
      <w:pPr>
        <w:numPr>
          <w:ilvl w:val="0"/>
          <w:numId w:val="28"/>
        </w:numPr>
        <w:tabs>
          <w:tab w:val="left" w:pos="357"/>
        </w:tabs>
        <w:ind w:left="357" w:hanging="357"/>
        <w:jc w:val="both"/>
      </w:pPr>
      <w:r w:rsidRPr="001F392C">
        <w:t>naďalej stimulovať tvorbu pracovných miest na strane mikro, malých a stredných podnikateľov, a to predovšetkým s ohľadom na cieľovú skupinu mladých nezamestnaných ľudí (nezamestnaní do 29 rokov) tak, aby dochádzalo k tvorbe čo najväčšieho počtu pracovných miest z uvedenej cieľovej skupiny, pričom toto kritérium je kľúčové pre poskytnutie pomoci; nejedná sa však o priamu podporu vytvoreného pracovného miesta, ide o stimuláciu tvorby pracovných miest prostredníctvom investícií do modernizácie, rozšírenia, resp. tvorby nových prevádzok v oblastiach inovácií, technologických transferov a cestovného ruchu;</w:t>
      </w:r>
    </w:p>
    <w:p w:rsidR="00291F50" w:rsidRPr="001F392C" w:rsidRDefault="0053708B" w:rsidP="00C178EC">
      <w:pPr>
        <w:numPr>
          <w:ilvl w:val="0"/>
          <w:numId w:val="28"/>
        </w:numPr>
        <w:tabs>
          <w:tab w:val="left" w:pos="357"/>
        </w:tabs>
        <w:ind w:left="357" w:hanging="357"/>
        <w:jc w:val="both"/>
      </w:pPr>
      <w:r w:rsidRPr="001F392C">
        <w:t>zlepš</w:t>
      </w:r>
      <w:r w:rsidR="00F5725C" w:rsidRPr="001F392C">
        <w:t xml:space="preserve">ovať </w:t>
      </w:r>
      <w:r w:rsidRPr="001F392C">
        <w:t>fungovani</w:t>
      </w:r>
      <w:r w:rsidR="00F5725C" w:rsidRPr="001F392C">
        <w:t>e</w:t>
      </w:r>
      <w:r w:rsidRPr="001F392C">
        <w:t xml:space="preserve"> verejnej správy vo vzťahu k</w:t>
      </w:r>
      <w:r w:rsidR="00F5725C" w:rsidRPr="001F392C">
        <w:t> </w:t>
      </w:r>
      <w:r w:rsidRPr="001F392C">
        <w:t>po</w:t>
      </w:r>
      <w:r w:rsidR="00291F50" w:rsidRPr="001F392C">
        <w:t>dnikateľom</w:t>
      </w:r>
      <w:r w:rsidR="00F5725C" w:rsidRPr="001F392C">
        <w:t>;</w:t>
      </w:r>
    </w:p>
    <w:p w:rsidR="0053708B" w:rsidRPr="001F392C" w:rsidRDefault="00F5725C" w:rsidP="00C178EC">
      <w:pPr>
        <w:numPr>
          <w:ilvl w:val="0"/>
          <w:numId w:val="28"/>
        </w:numPr>
        <w:tabs>
          <w:tab w:val="left" w:pos="357"/>
        </w:tabs>
        <w:ind w:left="357" w:hanging="357"/>
        <w:jc w:val="both"/>
      </w:pPr>
      <w:r w:rsidRPr="001F392C">
        <w:t xml:space="preserve">posúdiť zavedenie </w:t>
      </w:r>
      <w:r w:rsidR="0053708B" w:rsidRPr="001F392C">
        <w:t xml:space="preserve">osobitnej podpory pre domáce podnikateľské subjekty, najmä </w:t>
      </w:r>
      <w:r w:rsidR="00C55354" w:rsidRPr="001F392C">
        <w:t xml:space="preserve">            </w:t>
      </w:r>
      <w:r w:rsidR="0053708B" w:rsidRPr="001F392C">
        <w:t>pre malých podnikateľov, ktorí sú najviac závislí od úrovne do</w:t>
      </w:r>
      <w:r w:rsidR="00291F50" w:rsidRPr="001F392C">
        <w:t>máceho spotrebiteľského dopytu;</w:t>
      </w:r>
    </w:p>
    <w:p w:rsidR="00C20916" w:rsidRPr="001F392C" w:rsidRDefault="00C20916" w:rsidP="00C178EC">
      <w:pPr>
        <w:rPr>
          <w:color w:val="000000"/>
        </w:rPr>
      </w:pPr>
    </w:p>
    <w:p w:rsidR="00FF649B" w:rsidRPr="001F392C" w:rsidRDefault="00371959" w:rsidP="001355C9">
      <w:pPr>
        <w:pStyle w:val="Odsekzoznamu"/>
        <w:numPr>
          <w:ilvl w:val="2"/>
          <w:numId w:val="46"/>
        </w:numPr>
        <w:tabs>
          <w:tab w:val="left" w:pos="709"/>
        </w:tabs>
        <w:ind w:left="709" w:hanging="709"/>
        <w:jc w:val="both"/>
        <w:rPr>
          <w:b/>
        </w:rPr>
      </w:pPr>
      <w:r w:rsidRPr="001F392C">
        <w:rPr>
          <w:b/>
        </w:rPr>
        <w:t>Prijať opatrenia v oblasti obchodu a ochrany</w:t>
      </w:r>
      <w:r w:rsidR="00FF649B" w:rsidRPr="001F392C">
        <w:rPr>
          <w:b/>
        </w:rPr>
        <w:t xml:space="preserve"> spotrebiteľa</w:t>
      </w:r>
    </w:p>
    <w:p w:rsidR="00FF649B" w:rsidRPr="001F392C" w:rsidRDefault="00FF649B" w:rsidP="00C178EC">
      <w:pPr>
        <w:rPr>
          <w:color w:val="000000"/>
        </w:rPr>
      </w:pPr>
    </w:p>
    <w:p w:rsidR="00FF649B" w:rsidRPr="001F392C" w:rsidRDefault="00FF649B" w:rsidP="00C178EC">
      <w:pPr>
        <w:numPr>
          <w:ilvl w:val="0"/>
          <w:numId w:val="27"/>
        </w:numPr>
        <w:tabs>
          <w:tab w:val="left" w:pos="357"/>
        </w:tabs>
        <w:jc w:val="both"/>
      </w:pPr>
      <w:r w:rsidRPr="001F392C">
        <w:t xml:space="preserve">využívať medzivládne a medzirezortné dohody o hospodárskej spolupráci </w:t>
      </w:r>
      <w:r w:rsidR="00A852D2" w:rsidRPr="001F392C">
        <w:t xml:space="preserve">                       </w:t>
      </w:r>
      <w:r w:rsidRPr="001F392C">
        <w:t>na zintenzívnenie vývozu slovenských výrobkov a etablovanie nových zahraničných investícií s pote</w:t>
      </w:r>
      <w:r w:rsidR="00C82005" w:rsidRPr="001F392C">
        <w:t>nciálom nových pracovných miest;</w:t>
      </w:r>
    </w:p>
    <w:p w:rsidR="00375B6F" w:rsidRPr="001F392C" w:rsidRDefault="00375B6F" w:rsidP="00C178EC">
      <w:pPr>
        <w:tabs>
          <w:tab w:val="left" w:pos="357"/>
        </w:tabs>
        <w:ind w:left="360"/>
        <w:jc w:val="both"/>
      </w:pPr>
    </w:p>
    <w:p w:rsidR="00FF649B" w:rsidRPr="001F392C" w:rsidRDefault="00FF649B" w:rsidP="00C178EC">
      <w:pPr>
        <w:numPr>
          <w:ilvl w:val="0"/>
          <w:numId w:val="27"/>
        </w:numPr>
        <w:tabs>
          <w:tab w:val="left" w:pos="357"/>
        </w:tabs>
        <w:jc w:val="both"/>
      </w:pPr>
      <w:r w:rsidRPr="001F392C">
        <w:t>v rámci spoločnej obchodnej politiky EÚ presadzovať lepší prístup na trhy tretích krajín v oblasti tovaru a služieb, najmä využitím nových a pripravovaných dohôd o voľnom obchode (podľa údajov EK pripravované dohody o voľnom obchode predstavujú potenciál 2 mil. nových pracovných miest v EÚ).</w:t>
      </w:r>
    </w:p>
    <w:p w:rsidR="00117856" w:rsidRPr="001F392C" w:rsidRDefault="00117856" w:rsidP="00C178EC">
      <w:pPr>
        <w:ind w:left="709"/>
        <w:jc w:val="both"/>
      </w:pPr>
    </w:p>
    <w:p w:rsidR="00BA5870" w:rsidRPr="001F392C" w:rsidRDefault="00117856" w:rsidP="001355C9">
      <w:pPr>
        <w:pStyle w:val="Odsekzoznamu"/>
        <w:numPr>
          <w:ilvl w:val="1"/>
          <w:numId w:val="46"/>
        </w:numPr>
        <w:pBdr>
          <w:top w:val="single" w:sz="4" w:space="1" w:color="auto"/>
          <w:left w:val="single" w:sz="4" w:space="4" w:color="auto"/>
          <w:bottom w:val="single" w:sz="4" w:space="1" w:color="auto"/>
          <w:right w:val="single" w:sz="4" w:space="4" w:color="auto"/>
        </w:pBdr>
        <w:tabs>
          <w:tab w:val="left" w:pos="567"/>
        </w:tabs>
        <w:ind w:left="567" w:hanging="567"/>
        <w:jc w:val="both"/>
        <w:rPr>
          <w:b/>
        </w:rPr>
      </w:pPr>
      <w:r w:rsidRPr="001F392C">
        <w:rPr>
          <w:b/>
        </w:rPr>
        <w:t xml:space="preserve">Opatrenia s </w:t>
      </w:r>
      <w:r w:rsidR="00BA5870" w:rsidRPr="001F392C">
        <w:rPr>
          <w:b/>
        </w:rPr>
        <w:t xml:space="preserve">preneseným </w:t>
      </w:r>
      <w:r w:rsidR="0043146E" w:rsidRPr="001F392C">
        <w:rPr>
          <w:b/>
        </w:rPr>
        <w:t>efektom</w:t>
      </w:r>
      <w:r w:rsidR="00BA5870" w:rsidRPr="001F392C">
        <w:rPr>
          <w:b/>
        </w:rPr>
        <w:t xml:space="preserve"> na zamestnanosť</w:t>
      </w:r>
    </w:p>
    <w:p w:rsidR="00BA5870" w:rsidRDefault="00BA5870" w:rsidP="00C178EC">
      <w:pPr>
        <w:pStyle w:val="Odsekzoznamu"/>
        <w:ind w:left="360"/>
        <w:jc w:val="both"/>
        <w:rPr>
          <w:b/>
          <w:bCs/>
        </w:rPr>
      </w:pPr>
    </w:p>
    <w:p w:rsidR="00F81BC2" w:rsidRPr="001F392C" w:rsidRDefault="00F81BC2" w:rsidP="00F81BC2">
      <w:pPr>
        <w:jc w:val="both"/>
        <w:rPr>
          <w:b/>
          <w:i/>
        </w:rPr>
      </w:pPr>
      <w:r w:rsidRPr="001F392C">
        <w:rPr>
          <w:b/>
          <w:i/>
        </w:rPr>
        <w:t>V pôsobnosti M</w:t>
      </w:r>
      <w:r>
        <w:rPr>
          <w:b/>
          <w:i/>
        </w:rPr>
        <w:t xml:space="preserve">ŠVVaŠ </w:t>
      </w:r>
      <w:r w:rsidRPr="001F392C">
        <w:rPr>
          <w:b/>
          <w:i/>
        </w:rPr>
        <w:t>SR:</w:t>
      </w:r>
    </w:p>
    <w:p w:rsidR="00F81BC2" w:rsidRPr="001F392C" w:rsidRDefault="00F81BC2" w:rsidP="00C178EC">
      <w:pPr>
        <w:pStyle w:val="Odsekzoznamu"/>
        <w:ind w:left="360"/>
        <w:jc w:val="both"/>
        <w:rPr>
          <w:b/>
          <w:bCs/>
        </w:rPr>
      </w:pPr>
    </w:p>
    <w:p w:rsidR="0087457B" w:rsidRPr="001F392C" w:rsidRDefault="0087457B" w:rsidP="001355C9">
      <w:pPr>
        <w:pStyle w:val="Odsekzoznamu"/>
        <w:numPr>
          <w:ilvl w:val="2"/>
          <w:numId w:val="46"/>
        </w:numPr>
        <w:tabs>
          <w:tab w:val="left" w:pos="709"/>
        </w:tabs>
        <w:ind w:left="709" w:hanging="709"/>
        <w:jc w:val="both"/>
        <w:rPr>
          <w:b/>
        </w:rPr>
      </w:pPr>
      <w:r w:rsidRPr="001F392C">
        <w:rPr>
          <w:b/>
        </w:rPr>
        <w:t>Zvýšiť kvalitu odborného vzdelávania a prípravy tak, aby jeho absolventi boli schopní bezprostredne po skončení štúdia priamo vstúpiť do pracovného procesu</w:t>
      </w:r>
    </w:p>
    <w:p w:rsidR="0087457B" w:rsidRPr="001F392C" w:rsidRDefault="0087457B" w:rsidP="00CF4907">
      <w:pPr>
        <w:pStyle w:val="Odsekzoznamu"/>
        <w:numPr>
          <w:ilvl w:val="0"/>
          <w:numId w:val="51"/>
        </w:numPr>
        <w:tabs>
          <w:tab w:val="left" w:pos="357"/>
        </w:tabs>
        <w:contextualSpacing/>
        <w:jc w:val="both"/>
      </w:pPr>
      <w:r w:rsidRPr="001F392C">
        <w:t xml:space="preserve">spolupracovať so zamestnávateľmi pri príprave štátnych vzdelávacích programov </w:t>
      </w:r>
      <w:r w:rsidR="000D2DDA" w:rsidRPr="001F392C">
        <w:t xml:space="preserve">          </w:t>
      </w:r>
      <w:r w:rsidRPr="001F392C">
        <w:t xml:space="preserve">pre odborné vzdelávanie a prípravu </w:t>
      </w:r>
      <w:r w:rsidR="00775FA7">
        <w:t xml:space="preserve">(OVP)  a </w:t>
      </w:r>
      <w:r w:rsidR="00775FA7" w:rsidRPr="001F392C">
        <w:t xml:space="preserve">pri tvorbe školských vzdelávacích programov pre </w:t>
      </w:r>
      <w:r w:rsidR="00775FA7">
        <w:t>OVP</w:t>
      </w:r>
      <w:r w:rsidR="00CF4907">
        <w:t xml:space="preserve"> (národný projekt „Rozvoj stredného odborného vzdelávania“</w:t>
      </w:r>
      <w:r w:rsidR="00CA09CD">
        <w:t>; 2013 – október 2015</w:t>
      </w:r>
      <w:r w:rsidR="00CF4907">
        <w:t>)</w:t>
      </w:r>
      <w:r w:rsidRPr="001F392C">
        <w:t>.</w:t>
      </w:r>
    </w:p>
    <w:p w:rsidR="0087457B" w:rsidRPr="001F392C" w:rsidRDefault="0087457B" w:rsidP="00C178EC">
      <w:pPr>
        <w:pStyle w:val="Odsekzoznamu"/>
      </w:pPr>
    </w:p>
    <w:p w:rsidR="0087457B" w:rsidRPr="00CF4907" w:rsidRDefault="0087457B" w:rsidP="00C178EC">
      <w:pPr>
        <w:pStyle w:val="Odsekzoznamu"/>
        <w:numPr>
          <w:ilvl w:val="2"/>
          <w:numId w:val="46"/>
        </w:numPr>
        <w:tabs>
          <w:tab w:val="left" w:pos="709"/>
        </w:tabs>
        <w:ind w:left="709" w:hanging="709"/>
        <w:jc w:val="both"/>
        <w:rPr>
          <w:b/>
        </w:rPr>
      </w:pPr>
      <w:r w:rsidRPr="001F392C">
        <w:rPr>
          <w:b/>
        </w:rPr>
        <w:t>Posilniť úlohu zamestnávateľov v oblasti odborného vzdelávania a prípravy</w:t>
      </w:r>
    </w:p>
    <w:p w:rsidR="00CF4907" w:rsidRPr="001F392C" w:rsidRDefault="00775FA7" w:rsidP="00CF4907">
      <w:pPr>
        <w:pStyle w:val="Odsekzoznamu"/>
        <w:numPr>
          <w:ilvl w:val="0"/>
          <w:numId w:val="51"/>
        </w:numPr>
        <w:tabs>
          <w:tab w:val="left" w:pos="357"/>
        </w:tabs>
        <w:contextualSpacing/>
        <w:jc w:val="both"/>
      </w:pPr>
      <w:r>
        <w:t xml:space="preserve">v súlade so zákonom o OVP </w:t>
      </w:r>
      <w:r w:rsidR="0087457B" w:rsidRPr="001F392C">
        <w:t xml:space="preserve">naďalej pokračovať v koordinácií </w:t>
      </w:r>
      <w:r>
        <w:t>OVP</w:t>
      </w:r>
      <w:r w:rsidR="0087457B" w:rsidRPr="001F392C">
        <w:t xml:space="preserve"> pre trh práce, zjednodušiť štruktúru poradných orgánov, znížiť formalizmus pri </w:t>
      </w:r>
      <w:r w:rsidR="00CF4907">
        <w:t>ich rokovaní</w:t>
      </w:r>
      <w:r w:rsidR="0087457B" w:rsidRPr="001F392C">
        <w:t>,</w:t>
      </w:r>
      <w:r w:rsidRPr="00775FA7">
        <w:t xml:space="preserve"> </w:t>
      </w:r>
      <w:r w:rsidRPr="001F392C">
        <w:t>zvýšiť vykonateľnosť práv a povinností zamestnávateľov</w:t>
      </w:r>
      <w:r>
        <w:t>,</w:t>
      </w:r>
      <w:r w:rsidRPr="00775FA7">
        <w:t xml:space="preserve"> </w:t>
      </w:r>
      <w:r w:rsidRPr="001F392C">
        <w:t>spolupracovať pri monitorovaní potrieb trhu práce s</w:t>
      </w:r>
      <w:r w:rsidR="00CF4907">
        <w:t> </w:t>
      </w:r>
      <w:r w:rsidRPr="001F392C">
        <w:t>ÚPSVR</w:t>
      </w:r>
      <w:r w:rsidR="00CF4907">
        <w:t xml:space="preserve">, </w:t>
      </w:r>
      <w:r w:rsidR="00CF4907" w:rsidRPr="001F392C">
        <w:t xml:space="preserve">podporiť mechanizmy na zvýšenie informovanosti zamestnávateľov o bonusoch vyplývajúcich pre nich z účasti na </w:t>
      </w:r>
      <w:r w:rsidR="00CF4907">
        <w:t>OVP</w:t>
      </w:r>
      <w:r w:rsidR="00CF4907" w:rsidRPr="001F392C">
        <w:t>,</w:t>
      </w:r>
      <w:r w:rsidR="00CF4907">
        <w:t xml:space="preserve"> </w:t>
      </w:r>
      <w:r w:rsidR="00CF4907" w:rsidRPr="001F392C">
        <w:t>podporiť vykonávanie praktického vyučovania u iných fyzických alebo právnických osôb</w:t>
      </w:r>
      <w:r w:rsidR="00CF4907">
        <w:t>.</w:t>
      </w:r>
    </w:p>
    <w:p w:rsidR="0087457B" w:rsidRPr="001F392C" w:rsidRDefault="0087457B" w:rsidP="00C178EC"/>
    <w:p w:rsidR="0087457B" w:rsidRPr="001F392C" w:rsidRDefault="0087457B" w:rsidP="001355C9">
      <w:pPr>
        <w:pStyle w:val="Odsekzoznamu"/>
        <w:numPr>
          <w:ilvl w:val="2"/>
          <w:numId w:val="46"/>
        </w:numPr>
        <w:tabs>
          <w:tab w:val="left" w:pos="709"/>
        </w:tabs>
        <w:ind w:left="709" w:hanging="709"/>
        <w:jc w:val="both"/>
        <w:rPr>
          <w:b/>
        </w:rPr>
      </w:pPr>
      <w:r w:rsidRPr="001F392C">
        <w:rPr>
          <w:b/>
        </w:rPr>
        <w:t>Prijať opatrenia podporujúce záujem žiakov o odborné vzdelávanie v súlade s potrebami trhu práce</w:t>
      </w:r>
    </w:p>
    <w:p w:rsidR="00CF4907" w:rsidRPr="00CF4907" w:rsidRDefault="0087457B" w:rsidP="00CF4907">
      <w:pPr>
        <w:pStyle w:val="Odsekzoznamu"/>
        <w:numPr>
          <w:ilvl w:val="0"/>
          <w:numId w:val="51"/>
        </w:numPr>
        <w:tabs>
          <w:tab w:val="left" w:pos="357"/>
        </w:tabs>
        <w:contextualSpacing/>
        <w:jc w:val="both"/>
      </w:pPr>
      <w:r w:rsidRPr="001F392C">
        <w:t xml:space="preserve">zaviesť tematický celok „úvod do sveta práce“ v základnej škole </w:t>
      </w:r>
      <w:r w:rsidR="00CF4907">
        <w:t xml:space="preserve">(ZŠ) </w:t>
      </w:r>
      <w:r w:rsidRPr="001F392C">
        <w:t>vo vzdeláva</w:t>
      </w:r>
      <w:r w:rsidR="00CF4907">
        <w:t xml:space="preserve">cej oblasti človek a svet práce a </w:t>
      </w:r>
      <w:r w:rsidRPr="001F392C">
        <w:t xml:space="preserve">zabezpečiť dostatočnú informovanosť žiakov </w:t>
      </w:r>
      <w:r w:rsidR="00CF4907">
        <w:t xml:space="preserve">ZŠ </w:t>
      </w:r>
      <w:r w:rsidRPr="001F392C">
        <w:t>a ich zákonných zástupcov o príprave na povolanie v stredných odborných školách</w:t>
      </w:r>
      <w:r w:rsidR="00CF4907">
        <w:t xml:space="preserve"> </w:t>
      </w:r>
      <w:r w:rsidRPr="001F392C">
        <w:t>a</w:t>
      </w:r>
      <w:r w:rsidR="00E02876">
        <w:t> </w:t>
      </w:r>
      <w:r w:rsidRPr="001F392C">
        <w:t>o</w:t>
      </w:r>
      <w:r w:rsidR="00E02876">
        <w:t> </w:t>
      </w:r>
      <w:r w:rsidRPr="001F392C">
        <w:t>miere uplatniteľ</w:t>
      </w:r>
      <w:r w:rsidR="00CF4907">
        <w:t>nosti absolventov na trhu práce (n</w:t>
      </w:r>
      <w:r w:rsidR="00CF4907" w:rsidRPr="001F392C">
        <w:t xml:space="preserve">árodný projekt „Podpora profesijnej orientácie žiakov </w:t>
      </w:r>
      <w:r w:rsidR="00CF4907">
        <w:t>ZŠ</w:t>
      </w:r>
      <w:r w:rsidR="00CF4907" w:rsidRPr="001F392C">
        <w:t xml:space="preserve"> na </w:t>
      </w:r>
      <w:r w:rsidR="00CF4907">
        <w:t>OVP</w:t>
      </w:r>
      <w:r w:rsidR="00CF4907" w:rsidRPr="001F392C">
        <w:t xml:space="preserve"> prostredníctvom rozvoja polytechnickej výchovy zameranej na rozvoj pracovných zručností a práca s talentami a úprava štátnych vzdelávacích programov </w:t>
      </w:r>
      <w:r w:rsidR="00CF4907">
        <w:t xml:space="preserve"> </w:t>
      </w:r>
      <w:r w:rsidR="00CF4907" w:rsidRPr="001F392C">
        <w:t>pre primárne a nižšie stredné vzdelanie</w:t>
      </w:r>
      <w:r w:rsidR="00CA09CD">
        <w:t>; 2013 – október 2015</w:t>
      </w:r>
      <w:r w:rsidR="00CF4907">
        <w:t>).</w:t>
      </w:r>
    </w:p>
    <w:p w:rsidR="0087457B" w:rsidRPr="001F392C" w:rsidRDefault="0087457B" w:rsidP="00C178EC"/>
    <w:p w:rsidR="0087457B" w:rsidRPr="001F392C" w:rsidRDefault="0087457B" w:rsidP="001355C9">
      <w:pPr>
        <w:pStyle w:val="Odsekzoznamu"/>
        <w:numPr>
          <w:ilvl w:val="2"/>
          <w:numId w:val="46"/>
        </w:numPr>
        <w:tabs>
          <w:tab w:val="left" w:pos="709"/>
        </w:tabs>
        <w:ind w:left="709" w:hanging="709"/>
        <w:jc w:val="both"/>
        <w:rPr>
          <w:b/>
        </w:rPr>
      </w:pPr>
      <w:r w:rsidRPr="001F392C">
        <w:rPr>
          <w:b/>
        </w:rPr>
        <w:t>Zvýšiť záujem uchádzačov o štúdium v študijných odboroch</w:t>
      </w:r>
      <w:r w:rsidR="00BA1D35" w:rsidRPr="001F392C">
        <w:rPr>
          <w:b/>
        </w:rPr>
        <w:t xml:space="preserve"> vysokých škôl</w:t>
      </w:r>
      <w:r w:rsidR="00CA09CD">
        <w:rPr>
          <w:b/>
        </w:rPr>
        <w:t xml:space="preserve"> (VŠ)</w:t>
      </w:r>
      <w:r w:rsidRPr="001F392C">
        <w:rPr>
          <w:b/>
        </w:rPr>
        <w:t>, ktoré sú žiadané trhom práce</w:t>
      </w:r>
    </w:p>
    <w:p w:rsidR="00CF4907" w:rsidRPr="00CF4907" w:rsidRDefault="00CF4907" w:rsidP="00CF4907">
      <w:pPr>
        <w:pStyle w:val="Odsekzoznamu"/>
        <w:numPr>
          <w:ilvl w:val="0"/>
          <w:numId w:val="51"/>
        </w:numPr>
        <w:tabs>
          <w:tab w:val="left" w:pos="357"/>
        </w:tabs>
        <w:contextualSpacing/>
        <w:jc w:val="both"/>
      </w:pPr>
      <w:r>
        <w:t>vytvoriť právne prostredie</w:t>
      </w:r>
      <w:r w:rsidR="0087457B" w:rsidRPr="001F392C">
        <w:t xml:space="preserve"> pre priznávanie nového druhu motivačných štipen</w:t>
      </w:r>
      <w:r>
        <w:t>dií – „odborového štipendia“, p</w:t>
      </w:r>
      <w:r w:rsidR="0087457B" w:rsidRPr="001F392C">
        <w:t xml:space="preserve">odporované študijné odbory </w:t>
      </w:r>
      <w:r>
        <w:t xml:space="preserve">určovať </w:t>
      </w:r>
      <w:r w:rsidR="0087457B" w:rsidRPr="001F392C">
        <w:t>v met</w:t>
      </w:r>
      <w:r w:rsidR="003B43C9">
        <w:t>odike rozpisu dotácií s ohľadom</w:t>
      </w:r>
      <w:r w:rsidR="000D2DDA" w:rsidRPr="001F392C">
        <w:t xml:space="preserve"> </w:t>
      </w:r>
      <w:r w:rsidR="0087457B" w:rsidRPr="001F392C">
        <w:t xml:space="preserve">na analýzy a prognózy vývoja trhu práce vypracúvané </w:t>
      </w:r>
      <w:r w:rsidR="000D2DDA" w:rsidRPr="001F392C">
        <w:t>ÚPSVR</w:t>
      </w:r>
      <w:r>
        <w:t xml:space="preserve"> (novela </w:t>
      </w:r>
      <w:r w:rsidRPr="00CF4907">
        <w:t>zákona o</w:t>
      </w:r>
      <w:r w:rsidR="00CA09CD">
        <w:t> </w:t>
      </w:r>
      <w:r w:rsidR="003B43C9">
        <w:t>VŠ)</w:t>
      </w:r>
      <w:r w:rsidR="00CA09CD">
        <w:t>.</w:t>
      </w:r>
    </w:p>
    <w:p w:rsidR="0087457B" w:rsidRPr="001F392C" w:rsidRDefault="0087457B" w:rsidP="00C178EC">
      <w:pPr>
        <w:pStyle w:val="Bezriadkovania"/>
        <w:jc w:val="both"/>
        <w:rPr>
          <w:rFonts w:ascii="Times New Roman" w:hAnsi="Times New Roman"/>
          <w:b/>
          <w:sz w:val="24"/>
          <w:szCs w:val="24"/>
        </w:rPr>
      </w:pPr>
    </w:p>
    <w:p w:rsidR="0087457B" w:rsidRPr="001F392C" w:rsidRDefault="0087457B" w:rsidP="001355C9">
      <w:pPr>
        <w:pStyle w:val="Odsekzoznamu"/>
        <w:numPr>
          <w:ilvl w:val="2"/>
          <w:numId w:val="46"/>
        </w:numPr>
        <w:tabs>
          <w:tab w:val="left" w:pos="709"/>
        </w:tabs>
        <w:ind w:left="709" w:hanging="709"/>
        <w:jc w:val="both"/>
        <w:rPr>
          <w:b/>
        </w:rPr>
      </w:pPr>
      <w:r w:rsidRPr="001F392C">
        <w:rPr>
          <w:b/>
        </w:rPr>
        <w:t xml:space="preserve">Rozvoj start-up a spin-off podnikov v rámci spolupráce </w:t>
      </w:r>
      <w:r w:rsidR="003B43C9">
        <w:rPr>
          <w:b/>
        </w:rPr>
        <w:t xml:space="preserve">VŠ s </w:t>
      </w:r>
      <w:r w:rsidRPr="001F392C">
        <w:rPr>
          <w:b/>
        </w:rPr>
        <w:t> podnikateľským prostredím</w:t>
      </w:r>
    </w:p>
    <w:p w:rsidR="003B43C9" w:rsidRPr="003B43C9" w:rsidRDefault="003B43C9" w:rsidP="003B43C9">
      <w:pPr>
        <w:pStyle w:val="Odsekzoznamu"/>
        <w:numPr>
          <w:ilvl w:val="0"/>
          <w:numId w:val="51"/>
        </w:numPr>
        <w:tabs>
          <w:tab w:val="left" w:pos="357"/>
        </w:tabs>
        <w:contextualSpacing/>
        <w:jc w:val="both"/>
      </w:pPr>
      <w:r>
        <w:t xml:space="preserve">pripraviť </w:t>
      </w:r>
      <w:r w:rsidR="0087457B" w:rsidRPr="001F392C">
        <w:t xml:space="preserve">koncepciu pre rozvoj vysokoškolského vzdelávania v strednodobom horizonte, ktorá bude východiskom </w:t>
      </w:r>
      <w:r>
        <w:t xml:space="preserve"> </w:t>
      </w:r>
      <w:r w:rsidR="0087457B" w:rsidRPr="001F392C">
        <w:t>pre</w:t>
      </w:r>
      <w:r>
        <w:t xml:space="preserve"> nový zákon o VŠ, v nej ďalej rozvinúť</w:t>
      </w:r>
      <w:r w:rsidR="0087457B" w:rsidRPr="001F392C">
        <w:t xml:space="preserve"> možnosti vytvorené </w:t>
      </w:r>
      <w:r>
        <w:t xml:space="preserve"> novelou zákona o VŠ - </w:t>
      </w:r>
      <w:r w:rsidR="0087457B" w:rsidRPr="001F392C">
        <w:t>Start-up a spin-off podniky vytvárané v spolupráci s akademickou pôdou</w:t>
      </w:r>
      <w:r>
        <w:t>, ktoré sú založené na podpore</w:t>
      </w:r>
      <w:r w:rsidR="0087457B" w:rsidRPr="001F392C">
        <w:t xml:space="preserve"> vytvárania nových pracovných miest</w:t>
      </w:r>
      <w:r>
        <w:t xml:space="preserve"> pre</w:t>
      </w:r>
      <w:r w:rsidR="0087457B" w:rsidRPr="001F392C">
        <w:t xml:space="preserve"> absolventov </w:t>
      </w:r>
      <w:r>
        <w:t>VŠ zapojených do týchto podnikov (</w:t>
      </w:r>
      <w:r w:rsidRPr="003B43C9">
        <w:t xml:space="preserve">koncepcia strednodobého rozvoja </w:t>
      </w:r>
      <w:r w:rsidR="00A43222">
        <w:t>vysokého školstva</w:t>
      </w:r>
      <w:r w:rsidRPr="003B43C9">
        <w:t xml:space="preserve"> a nový zákon o</w:t>
      </w:r>
      <w:r>
        <w:t xml:space="preserve"> VŠ; </w:t>
      </w:r>
      <w:r w:rsidRPr="003B43C9">
        <w:t>prelom rokov 2013 a</w:t>
      </w:r>
      <w:r>
        <w:t> </w:t>
      </w:r>
      <w:r w:rsidRPr="003B43C9">
        <w:t>2014</w:t>
      </w:r>
      <w:r>
        <w:t>)</w:t>
      </w:r>
      <w:r w:rsidR="00CA09CD">
        <w:t>.</w:t>
      </w:r>
    </w:p>
    <w:p w:rsidR="0087457B" w:rsidRPr="001F392C" w:rsidRDefault="0087457B" w:rsidP="00C178EC">
      <w:pPr>
        <w:pStyle w:val="Bezriadkovania"/>
        <w:jc w:val="both"/>
        <w:rPr>
          <w:rFonts w:ascii="Times New Roman" w:hAnsi="Times New Roman"/>
          <w:sz w:val="24"/>
          <w:szCs w:val="24"/>
        </w:rPr>
      </w:pPr>
    </w:p>
    <w:p w:rsidR="0087457B" w:rsidRPr="001F392C" w:rsidRDefault="0087457B" w:rsidP="001355C9">
      <w:pPr>
        <w:pStyle w:val="Odsekzoznamu"/>
        <w:numPr>
          <w:ilvl w:val="2"/>
          <w:numId w:val="46"/>
        </w:numPr>
        <w:tabs>
          <w:tab w:val="left" w:pos="709"/>
        </w:tabs>
        <w:ind w:left="709" w:hanging="709"/>
        <w:jc w:val="both"/>
        <w:rPr>
          <w:b/>
        </w:rPr>
      </w:pPr>
      <w:r w:rsidRPr="001F392C">
        <w:rPr>
          <w:b/>
        </w:rPr>
        <w:t>Rozvoj profesijne orientovaných bakalárskych študijných programov</w:t>
      </w:r>
    </w:p>
    <w:p w:rsidR="003B43C9" w:rsidRPr="00A43222" w:rsidRDefault="003B43C9" w:rsidP="00A43222">
      <w:pPr>
        <w:pStyle w:val="Odsekzoznamu"/>
        <w:numPr>
          <w:ilvl w:val="0"/>
          <w:numId w:val="51"/>
        </w:numPr>
        <w:tabs>
          <w:tab w:val="left" w:pos="357"/>
        </w:tabs>
        <w:contextualSpacing/>
        <w:jc w:val="both"/>
      </w:pPr>
      <w:r>
        <w:t xml:space="preserve">zabezpečiť </w:t>
      </w:r>
      <w:r w:rsidR="0087457B" w:rsidRPr="001F392C">
        <w:t xml:space="preserve">kvalitnejšiu prípravu budúcich bakalárov </w:t>
      </w:r>
      <w:r>
        <w:t xml:space="preserve">najmä </w:t>
      </w:r>
      <w:r w:rsidR="0087457B" w:rsidRPr="001F392C">
        <w:t xml:space="preserve">prepájaním štúdia s praxou tak, aby bola zvýšená uplatniteľnosť absolventov týchto študijných programov na trhu práce </w:t>
      </w:r>
      <w:r>
        <w:t>v porovnaní so súčasným stavom</w:t>
      </w:r>
      <w:r w:rsidR="0087457B" w:rsidRPr="001F392C">
        <w:t xml:space="preserve">, keď je vo väčšej miere vyžadované absolvované vysokoškolské vzdelanie </w:t>
      </w:r>
      <w:r>
        <w:t>2.</w:t>
      </w:r>
      <w:r w:rsidR="00A43222">
        <w:t xml:space="preserve"> stupňa, čo môže mať </w:t>
      </w:r>
      <w:r w:rsidR="0087457B" w:rsidRPr="001F392C">
        <w:t>aj priaznivý vplyv na verejné financie, nakoľko pri uplatniteľnosti absolventov týchto študijných programov nebude potrebné vynakladať verejné financie na ich ďalšie vzdelávanie na druhom stupni v tej miere</w:t>
      </w:r>
      <w:r w:rsidR="00A43222">
        <w:t>, ako je tomu v súčasnosti; zámer zvýšenia</w:t>
      </w:r>
      <w:r w:rsidR="0087457B" w:rsidRPr="001F392C">
        <w:t xml:space="preserve"> kvality pripravenosti absolventov študijných programov </w:t>
      </w:r>
      <w:r w:rsidR="00A43222">
        <w:t xml:space="preserve">1. </w:t>
      </w:r>
      <w:r w:rsidR="0087457B" w:rsidRPr="001F392C">
        <w:t>stupňa je aj jedným z aktuálnych prístupov Európskej únie k vysokoškolskému vzdel</w:t>
      </w:r>
      <w:r w:rsidR="00A43222">
        <w:t>ávaniu (</w:t>
      </w:r>
      <w:r w:rsidRPr="00A43222">
        <w:t>koncepcia strednodobého rozvoja vysokého školstva a nový zákon o </w:t>
      </w:r>
      <w:r w:rsidR="00A43222">
        <w:t>VŠ</w:t>
      </w:r>
      <w:r w:rsidRPr="00A43222">
        <w:t>, prelom rokov 2013 a</w:t>
      </w:r>
      <w:r w:rsidR="00A43222">
        <w:t> </w:t>
      </w:r>
      <w:r w:rsidRPr="00A43222">
        <w:t>2014</w:t>
      </w:r>
      <w:r w:rsidR="00A43222">
        <w:t>).</w:t>
      </w:r>
    </w:p>
    <w:p w:rsidR="0087457B" w:rsidRPr="001F392C" w:rsidRDefault="0087457B" w:rsidP="00C178EC">
      <w:pPr>
        <w:rPr>
          <w:b/>
          <w:color w:val="000000"/>
        </w:rPr>
      </w:pPr>
    </w:p>
    <w:p w:rsidR="0087457B" w:rsidRPr="001F392C" w:rsidRDefault="0087457B" w:rsidP="001355C9">
      <w:pPr>
        <w:pStyle w:val="Odsekzoznamu"/>
        <w:numPr>
          <w:ilvl w:val="2"/>
          <w:numId w:val="46"/>
        </w:numPr>
        <w:tabs>
          <w:tab w:val="left" w:pos="709"/>
        </w:tabs>
        <w:ind w:left="709" w:hanging="709"/>
        <w:jc w:val="both"/>
        <w:rPr>
          <w:b/>
        </w:rPr>
      </w:pPr>
      <w:r w:rsidRPr="001F392C">
        <w:rPr>
          <w:b/>
        </w:rPr>
        <w:lastRenderedPageBreak/>
        <w:t>Zabezpečiť opätovné začlenenie dospelých na trhu práce prostredníctvom aktivačných opatrení a cielených služieb zamestnanosti, druhej šance na vzdelávanie a krátkodobého odborného vzdelávania.</w:t>
      </w:r>
    </w:p>
    <w:p w:rsidR="00A43222" w:rsidRPr="001F392C" w:rsidRDefault="00A43222" w:rsidP="00A43222">
      <w:pPr>
        <w:pStyle w:val="Odsekzoznamu"/>
        <w:numPr>
          <w:ilvl w:val="0"/>
          <w:numId w:val="51"/>
        </w:numPr>
        <w:tabs>
          <w:tab w:val="left" w:pos="357"/>
        </w:tabs>
        <w:contextualSpacing/>
        <w:jc w:val="both"/>
      </w:pPr>
      <w:r>
        <w:t>uľahčiť prístup</w:t>
      </w:r>
      <w:r w:rsidR="0087457B" w:rsidRPr="001F392C">
        <w:t xml:space="preserve"> dospelých k nadobudnutiu novej kvalifikácie na základe predošlej praxe alebo absolvovania vzdelávacích</w:t>
      </w:r>
      <w:r>
        <w:t xml:space="preserve"> programov ďalšieho vzdelávania</w:t>
      </w:r>
      <w:r w:rsidR="0087457B" w:rsidRPr="001F392C">
        <w:t xml:space="preserve"> </w:t>
      </w:r>
      <w:r>
        <w:t>(l</w:t>
      </w:r>
      <w:r w:rsidRPr="001F392C">
        <w:t xml:space="preserve">egislatívna úprava uznávania výsledkov neformálneho vzdelávania, nový </w:t>
      </w:r>
      <w:r>
        <w:t>zákon o celoživotnom vzdelávaní).</w:t>
      </w:r>
    </w:p>
    <w:p w:rsidR="0087457B" w:rsidRPr="001F392C" w:rsidRDefault="0087457B" w:rsidP="009601B7">
      <w:pPr>
        <w:rPr>
          <w:b/>
        </w:rPr>
      </w:pPr>
    </w:p>
    <w:p w:rsidR="0087457B" w:rsidRDefault="0087457B" w:rsidP="001355C9">
      <w:pPr>
        <w:pStyle w:val="Odsekzoznamu"/>
        <w:numPr>
          <w:ilvl w:val="2"/>
          <w:numId w:val="46"/>
        </w:numPr>
        <w:tabs>
          <w:tab w:val="left" w:pos="709"/>
        </w:tabs>
        <w:ind w:left="709" w:hanging="709"/>
        <w:jc w:val="both"/>
        <w:rPr>
          <w:b/>
        </w:rPr>
      </w:pPr>
      <w:r w:rsidRPr="001F392C">
        <w:rPr>
          <w:b/>
        </w:rPr>
        <w:t>Vytvoriť</w:t>
      </w:r>
      <w:r w:rsidR="00E758D6" w:rsidRPr="001F392C">
        <w:rPr>
          <w:b/>
        </w:rPr>
        <w:t xml:space="preserve"> </w:t>
      </w:r>
      <w:r w:rsidRPr="001F392C">
        <w:rPr>
          <w:b/>
        </w:rPr>
        <w:t>rámec stimulov pre jednotlivcov aj zamestnávateľov s cieľom motivovať dospelých za účelom získania potrebných kvalifikácií požadovaných trhom práce</w:t>
      </w:r>
    </w:p>
    <w:p w:rsidR="0087457B" w:rsidRPr="00A43222" w:rsidRDefault="00A43222" w:rsidP="00A43222">
      <w:pPr>
        <w:pStyle w:val="Odsekzoznamu"/>
        <w:numPr>
          <w:ilvl w:val="0"/>
          <w:numId w:val="51"/>
        </w:numPr>
        <w:tabs>
          <w:tab w:val="left" w:pos="709"/>
        </w:tabs>
        <w:jc w:val="both"/>
        <w:rPr>
          <w:b/>
        </w:rPr>
      </w:pPr>
      <w:r>
        <w:t>p</w:t>
      </w:r>
      <w:r w:rsidR="0087457B" w:rsidRPr="001F392C">
        <w:t>odpora krátkodobých stáží v </w:t>
      </w:r>
      <w:r>
        <w:t xml:space="preserve">MSP a vytváranie stimulov </w:t>
      </w:r>
      <w:r w:rsidR="0087457B" w:rsidRPr="001F392C">
        <w:t>pre zamestnávateľov i</w:t>
      </w:r>
      <w:r>
        <w:t> UoZ; p</w:t>
      </w:r>
      <w:r w:rsidR="0087457B" w:rsidRPr="001F392C">
        <w:t>odpora mobility ú</w:t>
      </w:r>
      <w:r>
        <w:t>častníkov ďalšieho vzdelávania; t</w:t>
      </w:r>
      <w:r w:rsidR="0087457B" w:rsidRPr="001F392C">
        <w:t xml:space="preserve">ransformácia vybraných </w:t>
      </w:r>
      <w:r w:rsidR="000D2DDA" w:rsidRPr="001F392C">
        <w:t xml:space="preserve">centier voľného času </w:t>
      </w:r>
      <w:r w:rsidR="0087457B" w:rsidRPr="001F392C">
        <w:t xml:space="preserve"> do moderných centier mládeže, ktoré môžu pripravovať osobitné opatrenia na zlepšenie situácie mladých ľudí na miestnej úrovni podľa potreby vrátane podpory zamestn</w:t>
      </w:r>
      <w:r>
        <w:t>anosti; v</w:t>
      </w:r>
      <w:r w:rsidR="0087457B" w:rsidRPr="001F392C">
        <w:t>ytvorenie možnosti pre domácu dobrovoľnícku službu v centrách mládeže napr. nový národný projekt ESF, kde je kombinácia mentoringu, životného koučingu v subjektoch práce s </w:t>
      </w:r>
      <w:r>
        <w:t xml:space="preserve">mládežou a pracovnej skúsenosti; </w:t>
      </w:r>
      <w:r w:rsidR="0087457B" w:rsidRPr="001F392C">
        <w:t xml:space="preserve">  </w:t>
      </w:r>
      <w:r>
        <w:t>z</w:t>
      </w:r>
      <w:r w:rsidR="0087457B" w:rsidRPr="001F392C">
        <w:t xml:space="preserve">avedenie certifikácie kompetencií získaných v projektoch a programoch práce s mládežou na základe systému, kombinujúceho samo + externé posúdenie úrovne získaných kompetencií, zvýšenie kreditu získaných kompetencií a tým aj lepšej akceptácie u zamestnávateľov. </w:t>
      </w:r>
      <w:r w:rsidR="0087457B" w:rsidRPr="00A43222">
        <w:rPr>
          <w:i/>
        </w:rPr>
        <w:t xml:space="preserve"> </w:t>
      </w:r>
    </w:p>
    <w:p w:rsidR="0087457B" w:rsidRPr="001F392C" w:rsidRDefault="0087457B" w:rsidP="0087457B">
      <w:pPr>
        <w:rPr>
          <w:i/>
          <w:u w:val="single"/>
        </w:rPr>
      </w:pPr>
    </w:p>
    <w:p w:rsidR="007A73A0" w:rsidRPr="001F392C" w:rsidRDefault="007A73A0" w:rsidP="00A94C61">
      <w:pPr>
        <w:pStyle w:val="Odsekzoznamu"/>
        <w:ind w:left="0"/>
        <w:jc w:val="both"/>
      </w:pPr>
    </w:p>
    <w:p w:rsidR="00A94C61" w:rsidRPr="001F392C" w:rsidRDefault="00A94C61" w:rsidP="00A94C61">
      <w:pPr>
        <w:pStyle w:val="Odsekzoznamu"/>
        <w:ind w:left="0"/>
        <w:jc w:val="both"/>
        <w:rPr>
          <w:b/>
          <w:bCs/>
          <w:sz w:val="28"/>
          <w:szCs w:val="28"/>
        </w:rPr>
      </w:pPr>
      <w:r w:rsidRPr="001F392C">
        <w:rPr>
          <w:b/>
          <w:bCs/>
          <w:sz w:val="28"/>
          <w:szCs w:val="28"/>
        </w:rPr>
        <w:t>Záver</w:t>
      </w:r>
    </w:p>
    <w:p w:rsidR="007A73A0" w:rsidRPr="001F392C" w:rsidRDefault="007A73A0" w:rsidP="00A94C61">
      <w:pPr>
        <w:pStyle w:val="Odsekzoznamu"/>
        <w:ind w:left="0"/>
        <w:jc w:val="both"/>
      </w:pPr>
    </w:p>
    <w:p w:rsidR="00A94C61" w:rsidRPr="001F392C" w:rsidRDefault="00A94C61" w:rsidP="007A73A0">
      <w:pPr>
        <w:pStyle w:val="Odsekzoznamu"/>
        <w:ind w:left="0" w:firstLine="709"/>
        <w:jc w:val="both"/>
      </w:pPr>
      <w:r w:rsidRPr="001F392C">
        <w:t>Vývoj ekonomiky je determinantom vývoja na trhu práce. V ktorejkoľvek fáze hospodárskeho cyklu: ani v období ekonomickej expanzie nedosiahli parametre zamestnanosti a nezamestnanosti akceptovateľnú</w:t>
      </w:r>
      <w:r w:rsidR="007A73A0" w:rsidRPr="001F392C">
        <w:t xml:space="preserve"> úroveň. </w:t>
      </w:r>
      <w:r w:rsidRPr="001F392C">
        <w:rPr>
          <w:lang w:eastAsia="sk-SK"/>
        </w:rPr>
        <w:t xml:space="preserve">Legitimita spomaľovania ekonomického rastu v eurozóne, ako aj tlak a bremeno následkov ekonomickej krízy sa stali hlavným impulzom pre implementáciu opatrení </w:t>
      </w:r>
      <w:r w:rsidR="000D2DDA" w:rsidRPr="001F392C">
        <w:rPr>
          <w:lang w:eastAsia="sk-SK"/>
        </w:rPr>
        <w:t xml:space="preserve">súčasnej </w:t>
      </w:r>
      <w:r w:rsidRPr="001F392C">
        <w:rPr>
          <w:lang w:eastAsia="sk-SK"/>
        </w:rPr>
        <w:t xml:space="preserve">vlády SR najmä v druhom polroku 2012. Nadväzne sú prijímané </w:t>
      </w:r>
      <w:r w:rsidRPr="001F392C">
        <w:t xml:space="preserve">Opatrenia v hospodárskej politike na podporu hospodárskeho rastu (tzv. prorastové opatrenia). V záujme stimulácie trhu práce sú prijímané Opatrenia na zlepšenie situácie </w:t>
      </w:r>
      <w:r w:rsidR="007A73A0" w:rsidRPr="001F392C">
        <w:t xml:space="preserve">       </w:t>
      </w:r>
      <w:r w:rsidRPr="001F392C">
        <w:t>na trhu práce v čase spomaľovania ekonomic</w:t>
      </w:r>
      <w:r w:rsidR="007A73A0" w:rsidRPr="001F392C">
        <w:t>kého rastu.</w:t>
      </w:r>
      <w:r w:rsidR="000D2DDA" w:rsidRPr="001F392C">
        <w:t xml:space="preserve"> </w:t>
      </w:r>
      <w:r w:rsidRPr="001F392C">
        <w:t>Od nich sa očakáva priamy efekt</w:t>
      </w:r>
      <w:r w:rsidR="007A73A0" w:rsidRPr="001F392C">
        <w:t xml:space="preserve">      </w:t>
      </w:r>
      <w:r w:rsidRPr="001F392C">
        <w:t xml:space="preserve"> na podporu zamestnanosti v rokoch 2013 –</w:t>
      </w:r>
      <w:r w:rsidR="007A73A0" w:rsidRPr="001F392C">
        <w:t xml:space="preserve"> 2015.</w:t>
      </w:r>
      <w:r w:rsidR="000D2DDA" w:rsidRPr="001F392C">
        <w:t xml:space="preserve"> </w:t>
      </w:r>
      <w:r w:rsidRPr="001F392C">
        <w:t xml:space="preserve">Ich súčasťou sú aj opatrenia s preneseným, nepriamym efektom na podporu zamestnanosti v dlhodobom časovom horizonte. </w:t>
      </w:r>
    </w:p>
    <w:p w:rsidR="00A94C61" w:rsidRPr="001F392C" w:rsidRDefault="00A94C61" w:rsidP="00A94C61">
      <w:pPr>
        <w:pStyle w:val="Odsekzoznamu"/>
        <w:ind w:left="0"/>
        <w:jc w:val="both"/>
      </w:pPr>
    </w:p>
    <w:p w:rsidR="00A94C61" w:rsidRPr="001F392C" w:rsidRDefault="00A94C61" w:rsidP="00A94C61">
      <w:pPr>
        <w:pStyle w:val="Odsekzoznamu"/>
        <w:ind w:left="0"/>
        <w:jc w:val="both"/>
        <w:rPr>
          <w:b/>
          <w:bCs/>
          <w:sz w:val="28"/>
          <w:szCs w:val="28"/>
        </w:rPr>
      </w:pPr>
    </w:p>
    <w:p w:rsidR="00CE5FC3" w:rsidRDefault="00CE5FC3">
      <w:pPr>
        <w:rPr>
          <w:b/>
          <w:bCs/>
          <w:color w:val="000000"/>
          <w:sz w:val="28"/>
          <w:szCs w:val="28"/>
          <w:lang w:eastAsia="sk-SK"/>
        </w:rPr>
      </w:pPr>
      <w:r>
        <w:rPr>
          <w:b/>
          <w:bCs/>
          <w:color w:val="000000"/>
          <w:sz w:val="28"/>
          <w:szCs w:val="28"/>
          <w:lang w:eastAsia="sk-SK"/>
        </w:rPr>
        <w:br w:type="page"/>
      </w:r>
    </w:p>
    <w:p w:rsidR="00A94C61" w:rsidRPr="001F392C" w:rsidRDefault="00A94C61" w:rsidP="001355C9">
      <w:pPr>
        <w:pStyle w:val="Odsekzoznamu"/>
        <w:ind w:left="0"/>
        <w:jc w:val="both"/>
        <w:rPr>
          <w:b/>
          <w:bCs/>
          <w:sz w:val="28"/>
          <w:szCs w:val="28"/>
        </w:rPr>
      </w:pPr>
      <w:bookmarkStart w:id="2" w:name="_GoBack"/>
      <w:bookmarkEnd w:id="2"/>
      <w:r w:rsidRPr="001F392C">
        <w:rPr>
          <w:b/>
          <w:bCs/>
          <w:color w:val="000000"/>
          <w:sz w:val="28"/>
          <w:szCs w:val="28"/>
          <w:lang w:eastAsia="sk-SK"/>
        </w:rPr>
        <w:lastRenderedPageBreak/>
        <w:t>Analytické dáta</w:t>
      </w:r>
      <w:r w:rsidRPr="001F392C">
        <w:rPr>
          <w:b/>
          <w:bCs/>
          <w:sz w:val="28"/>
          <w:szCs w:val="28"/>
        </w:rPr>
        <w:t xml:space="preserve"> (tabuľková časť) formou príloh.</w:t>
      </w:r>
    </w:p>
    <w:p w:rsidR="00A94C61" w:rsidRPr="001F392C" w:rsidRDefault="00A94C61" w:rsidP="001355C9">
      <w:pPr>
        <w:pStyle w:val="Odsekzoznamu"/>
        <w:ind w:left="0"/>
        <w:jc w:val="both"/>
        <w:rPr>
          <w:b/>
          <w:bCs/>
          <w:sz w:val="28"/>
          <w:szCs w:val="28"/>
        </w:rPr>
      </w:pPr>
    </w:p>
    <w:p w:rsidR="00A94C61" w:rsidRPr="001F392C" w:rsidRDefault="00A94C61" w:rsidP="001355C9">
      <w:pPr>
        <w:rPr>
          <w:b/>
        </w:rPr>
      </w:pPr>
      <w:r w:rsidRPr="001F392C">
        <w:rPr>
          <w:b/>
        </w:rPr>
        <w:t>Zoznam príloh:</w:t>
      </w:r>
    </w:p>
    <w:p w:rsidR="00A94C61" w:rsidRPr="001F392C" w:rsidRDefault="00A94C61" w:rsidP="00E02876">
      <w:pPr>
        <w:pStyle w:val="Odsekzoznamu"/>
        <w:numPr>
          <w:ilvl w:val="0"/>
          <w:numId w:val="47"/>
        </w:numPr>
        <w:tabs>
          <w:tab w:val="left" w:pos="426"/>
        </w:tabs>
        <w:ind w:left="426" w:hanging="426"/>
        <w:contextualSpacing/>
        <w:jc w:val="both"/>
      </w:pPr>
      <w:r w:rsidRPr="001F392C">
        <w:t>Medziročný rast HDP krajín EÚ (zoradenie krajín podľa priemernej ročnej miery nezamestnanosti v roku2012)</w:t>
      </w:r>
    </w:p>
    <w:p w:rsidR="00A94C61" w:rsidRPr="001F392C" w:rsidRDefault="00A94C61" w:rsidP="00E02876">
      <w:pPr>
        <w:pStyle w:val="Odsekzoznamu"/>
        <w:numPr>
          <w:ilvl w:val="0"/>
          <w:numId w:val="47"/>
        </w:numPr>
        <w:tabs>
          <w:tab w:val="left" w:pos="426"/>
        </w:tabs>
        <w:ind w:left="426" w:hanging="426"/>
        <w:contextualSpacing/>
        <w:jc w:val="both"/>
      </w:pPr>
      <w:r w:rsidRPr="001F392C">
        <w:t>Priemerná ročná miera zamestnanosti krajín EÚ (zoradenie krajín podľa priemernej ročnej miery nezamestnanosti v roku 2012)</w:t>
      </w:r>
    </w:p>
    <w:p w:rsidR="00A94C61" w:rsidRPr="001F392C" w:rsidRDefault="00A94C61" w:rsidP="00E02876">
      <w:pPr>
        <w:pStyle w:val="Odsekzoznamu"/>
        <w:numPr>
          <w:ilvl w:val="0"/>
          <w:numId w:val="47"/>
        </w:numPr>
        <w:tabs>
          <w:tab w:val="left" w:pos="426"/>
        </w:tabs>
        <w:ind w:left="426" w:hanging="426"/>
        <w:contextualSpacing/>
        <w:jc w:val="both"/>
      </w:pPr>
      <w:r w:rsidRPr="001F392C">
        <w:t>Priemerná ročná miera nezamestnanosti krajín EÚ</w:t>
      </w:r>
    </w:p>
    <w:p w:rsidR="00A94C61" w:rsidRPr="001F392C" w:rsidRDefault="00A94C61" w:rsidP="00E02876">
      <w:pPr>
        <w:pStyle w:val="Odsekzoznamu"/>
        <w:numPr>
          <w:ilvl w:val="0"/>
          <w:numId w:val="47"/>
        </w:numPr>
        <w:tabs>
          <w:tab w:val="left" w:pos="426"/>
        </w:tabs>
        <w:ind w:left="426" w:hanging="426"/>
        <w:contextualSpacing/>
        <w:jc w:val="both"/>
      </w:pPr>
      <w:r w:rsidRPr="001F392C">
        <w:t>Základné makroekonomické ukazovatele SR (indexy k predchádzajúcemu roku v %)</w:t>
      </w:r>
    </w:p>
    <w:p w:rsidR="00A94C61" w:rsidRPr="001F392C" w:rsidRDefault="00A94C61" w:rsidP="00E02876">
      <w:pPr>
        <w:pStyle w:val="Odsekzoznamu"/>
        <w:numPr>
          <w:ilvl w:val="0"/>
          <w:numId w:val="47"/>
        </w:numPr>
        <w:tabs>
          <w:tab w:val="left" w:pos="426"/>
        </w:tabs>
        <w:ind w:left="426" w:hanging="426"/>
        <w:contextualSpacing/>
        <w:jc w:val="both"/>
      </w:pPr>
      <w:r w:rsidRPr="001F392C">
        <w:t>Miera ekonomickej aktivity  osôb vo veku 15 a viac rokov podľa vekových skupín (v</w:t>
      </w:r>
      <w:r w:rsidR="00523C30" w:rsidRPr="001F392C">
        <w:t> </w:t>
      </w:r>
      <w:r w:rsidRPr="001F392C">
        <w:t>%)</w:t>
      </w:r>
    </w:p>
    <w:p w:rsidR="00A94C61" w:rsidRPr="001F392C" w:rsidRDefault="00A94C61" w:rsidP="00E02876">
      <w:pPr>
        <w:pStyle w:val="Odsekzoznamu"/>
        <w:numPr>
          <w:ilvl w:val="0"/>
          <w:numId w:val="47"/>
        </w:numPr>
        <w:tabs>
          <w:tab w:val="left" w:pos="426"/>
        </w:tabs>
        <w:ind w:left="426" w:hanging="426"/>
        <w:contextualSpacing/>
        <w:jc w:val="both"/>
      </w:pPr>
      <w:r w:rsidRPr="001F392C">
        <w:t>Miera zamestnanosti osôb vo veku 15 a viac rokov v SR podľa vekových skupín (v %)</w:t>
      </w:r>
    </w:p>
    <w:p w:rsidR="00A94C61" w:rsidRPr="001F392C" w:rsidRDefault="00A94C61" w:rsidP="00E02876">
      <w:pPr>
        <w:pStyle w:val="Odsekzoznamu"/>
        <w:numPr>
          <w:ilvl w:val="0"/>
          <w:numId w:val="47"/>
        </w:numPr>
        <w:tabs>
          <w:tab w:val="left" w:pos="426"/>
        </w:tabs>
        <w:ind w:left="426" w:hanging="426"/>
        <w:contextualSpacing/>
        <w:jc w:val="both"/>
      </w:pPr>
      <w:r w:rsidRPr="001F392C">
        <w:t>Miera nezamestnanosti v SR podľa vekových skupín (v %)</w:t>
      </w:r>
    </w:p>
    <w:p w:rsidR="00A94C61" w:rsidRPr="001F392C" w:rsidRDefault="00A94C61" w:rsidP="00E02876">
      <w:pPr>
        <w:pStyle w:val="Odsekzoznamu"/>
        <w:numPr>
          <w:ilvl w:val="0"/>
          <w:numId w:val="47"/>
        </w:numPr>
        <w:tabs>
          <w:tab w:val="left" w:pos="426"/>
        </w:tabs>
        <w:ind w:left="426" w:hanging="426"/>
        <w:contextualSpacing/>
        <w:jc w:val="both"/>
      </w:pPr>
      <w:r w:rsidRPr="001F392C">
        <w:t>Retrospektíva absolventov stredných škôl s anticipáciou do roku 2015</w:t>
      </w:r>
    </w:p>
    <w:p w:rsidR="00A94C61" w:rsidRPr="001F392C" w:rsidRDefault="00A94C61" w:rsidP="00E02876">
      <w:pPr>
        <w:pStyle w:val="Odsekzoznamu"/>
        <w:numPr>
          <w:ilvl w:val="0"/>
          <w:numId w:val="47"/>
        </w:numPr>
        <w:tabs>
          <w:tab w:val="left" w:pos="426"/>
        </w:tabs>
        <w:ind w:left="426" w:hanging="426"/>
        <w:contextualSpacing/>
        <w:jc w:val="both"/>
      </w:pPr>
      <w:r w:rsidRPr="001F392C">
        <w:t>Retrospektíva absolventov vysokých škôl s extrapoláciou do roku 2015</w:t>
      </w:r>
    </w:p>
    <w:p w:rsidR="00A94C61" w:rsidRPr="001F392C" w:rsidRDefault="00A94C61" w:rsidP="00E02876">
      <w:pPr>
        <w:pStyle w:val="Odsekzoznamu"/>
        <w:numPr>
          <w:ilvl w:val="0"/>
          <w:numId w:val="47"/>
        </w:numPr>
        <w:tabs>
          <w:tab w:val="left" w:pos="426"/>
        </w:tabs>
        <w:ind w:left="426" w:hanging="426"/>
        <w:contextualSpacing/>
        <w:jc w:val="both"/>
      </w:pPr>
      <w:r w:rsidRPr="001F392C">
        <w:t>Základné ukazovatele trhu práce v rokoch 2002 – 2012</w:t>
      </w:r>
    </w:p>
    <w:p w:rsidR="00A94C61" w:rsidRPr="001F392C" w:rsidRDefault="00A94C61" w:rsidP="00E02876">
      <w:pPr>
        <w:pStyle w:val="Odsekzoznamu"/>
        <w:numPr>
          <w:ilvl w:val="0"/>
          <w:numId w:val="47"/>
        </w:numPr>
        <w:tabs>
          <w:tab w:val="left" w:pos="426"/>
        </w:tabs>
        <w:ind w:left="426" w:hanging="426"/>
        <w:contextualSpacing/>
        <w:jc w:val="both"/>
      </w:pPr>
      <w:r w:rsidRPr="001F392C">
        <w:t>Vývoj počtu znevýhodnených UoZ v období rokov 2002 –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odvetvia posledného zamestnávateľa (SK NACE) v SR  - priemer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odvetvia posledného zamestnávateľa (SK NACE) v SR  - priemer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odvetvia posledného zamestnávateľa (SK NACE) v SR  - priemer 2010</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profesie posledného zamestnania (KZAM) v SR  - priemer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profesie posledného zamestnania (KZAM) v SR  - priemer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profesie posledného zamestnania (KZAM) v SR  - priemer 2010</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najvyššieho dosiahnutého vzdelania v SR  - priemer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najvyššieho dosiahnutého vzdelania v SR  - priemer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podľa najvyššieho dosiahnutého vzdelania v SR  - priemer 2010</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v SR podľa veku - priemer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v SR podľa veku - priemer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v SR podľa veku - priemer 2010</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v SR podľa dĺžky evidencie (v mesiacoch) - priemer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v SR podľa dĺžky evidencie (v mesiacoch) - priemer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UoZ v SR podľa dĺžky evidencie (v mesiacoch) - priemer 2010</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VPM podľa požadovanej profesie (KZAM) v SR - priemer za mesiac v roku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VPM podľa požadovanej profesie (KZAM) v SR - priemer za mesiac v roku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VPM podľa požadovanej profesie (KZAM) v SR - priemer za mesiac v roku 2010</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VPM podľa požadovaného vzdelania v SR - priemer za mesiac v roku 2012</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VPM podľa požadovaného vzdelania v SR - priemer za mesiac v roku 2011</w:t>
      </w:r>
    </w:p>
    <w:p w:rsidR="00A94C61" w:rsidRPr="001F392C" w:rsidRDefault="00A94C61" w:rsidP="00E02876">
      <w:pPr>
        <w:pStyle w:val="Odsekzoznamu"/>
        <w:numPr>
          <w:ilvl w:val="0"/>
          <w:numId w:val="47"/>
        </w:numPr>
        <w:tabs>
          <w:tab w:val="left" w:pos="426"/>
        </w:tabs>
        <w:ind w:left="426" w:hanging="426"/>
        <w:contextualSpacing/>
        <w:jc w:val="both"/>
      </w:pPr>
      <w:r w:rsidRPr="001F392C">
        <w:t>Štruktúra VPM podľa požadovaného vzdelania v SR - priemer za mesiac v roku 2010</w:t>
      </w:r>
    </w:p>
    <w:p w:rsidR="00A94C61" w:rsidRPr="001F392C" w:rsidRDefault="00A94C61" w:rsidP="00E02876">
      <w:pPr>
        <w:pStyle w:val="Odsekzoznamu"/>
        <w:numPr>
          <w:ilvl w:val="0"/>
          <w:numId w:val="47"/>
        </w:numPr>
        <w:tabs>
          <w:tab w:val="left" w:pos="426"/>
        </w:tabs>
        <w:ind w:left="426" w:hanging="426"/>
        <w:contextualSpacing/>
        <w:jc w:val="both"/>
      </w:pPr>
      <w:r w:rsidRPr="001F392C">
        <w:t xml:space="preserve">Priemerná mzda a indexy zmeny nominálnej mzdy a reálnej mzdy podľa odvetví </w:t>
      </w:r>
      <w:r w:rsidRPr="001F392C">
        <w:br/>
        <w:t>v roku 2010 a 2011, podľa štvrťrokov roku 2012 a za rok 2012</w:t>
      </w:r>
    </w:p>
    <w:p w:rsidR="009E25EA" w:rsidRDefault="00A94C61" w:rsidP="003E498E">
      <w:pPr>
        <w:pStyle w:val="Odsekzoznamu"/>
        <w:numPr>
          <w:ilvl w:val="0"/>
          <w:numId w:val="47"/>
        </w:numPr>
        <w:tabs>
          <w:tab w:val="left" w:pos="426"/>
        </w:tabs>
        <w:ind w:left="426" w:hanging="426"/>
        <w:contextualSpacing/>
        <w:jc w:val="both"/>
      </w:pPr>
      <w:r w:rsidRPr="001F392C">
        <w:t>Prehľad realizácie aktívnych opatrení na trhu práce v</w:t>
      </w:r>
      <w:r w:rsidR="00E02876">
        <w:t> </w:t>
      </w:r>
      <w:r w:rsidRPr="001F392C">
        <w:t>rok</w:t>
      </w:r>
      <w:r w:rsidR="00E02876">
        <w:t>och 2011 a</w:t>
      </w:r>
      <w:r w:rsidRPr="001F392C">
        <w:t xml:space="preserve"> 2012</w:t>
      </w:r>
    </w:p>
    <w:sectPr w:rsidR="009E25EA" w:rsidSect="00540856">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D9" w:rsidRDefault="008014D9" w:rsidP="00596729">
      <w:r>
        <w:separator/>
      </w:r>
    </w:p>
  </w:endnote>
  <w:endnote w:type="continuationSeparator" w:id="0">
    <w:p w:rsidR="008014D9" w:rsidRDefault="008014D9" w:rsidP="00596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38" w:rsidRPr="00540856" w:rsidRDefault="000123FB">
    <w:pPr>
      <w:pStyle w:val="Pta"/>
      <w:jc w:val="right"/>
      <w:rPr>
        <w:sz w:val="20"/>
        <w:szCs w:val="20"/>
      </w:rPr>
    </w:pPr>
    <w:r w:rsidRPr="00540856">
      <w:rPr>
        <w:sz w:val="20"/>
        <w:szCs w:val="20"/>
      </w:rPr>
      <w:fldChar w:fldCharType="begin"/>
    </w:r>
    <w:r w:rsidR="00F83B38" w:rsidRPr="00540856">
      <w:rPr>
        <w:sz w:val="20"/>
        <w:szCs w:val="20"/>
      </w:rPr>
      <w:instrText xml:space="preserve"> PAGE   \* MERGEFORMAT </w:instrText>
    </w:r>
    <w:r w:rsidRPr="00540856">
      <w:rPr>
        <w:sz w:val="20"/>
        <w:szCs w:val="20"/>
      </w:rPr>
      <w:fldChar w:fldCharType="separate"/>
    </w:r>
    <w:r w:rsidR="00855D52">
      <w:rPr>
        <w:noProof/>
        <w:sz w:val="20"/>
        <w:szCs w:val="20"/>
      </w:rPr>
      <w:t>24</w:t>
    </w:r>
    <w:r w:rsidRPr="00540856">
      <w:rPr>
        <w:sz w:val="20"/>
        <w:szCs w:val="20"/>
      </w:rPr>
      <w:fldChar w:fldCharType="end"/>
    </w:r>
  </w:p>
  <w:p w:rsidR="00F83B38" w:rsidRDefault="00F83B3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D9" w:rsidRDefault="008014D9" w:rsidP="00596729">
      <w:r>
        <w:separator/>
      </w:r>
    </w:p>
  </w:footnote>
  <w:footnote w:type="continuationSeparator" w:id="0">
    <w:p w:rsidR="008014D9" w:rsidRDefault="008014D9" w:rsidP="00596729">
      <w:r>
        <w:continuationSeparator/>
      </w:r>
    </w:p>
  </w:footnote>
  <w:footnote w:id="1">
    <w:p w:rsidR="00F83B38" w:rsidRDefault="00F83B38" w:rsidP="00BE3FCF">
      <w:pPr>
        <w:pStyle w:val="Textpoznmkypodiarou"/>
        <w:jc w:val="both"/>
      </w:pPr>
      <w:r>
        <w:rPr>
          <w:rStyle w:val="Odkaznapoznmkupodiarou"/>
        </w:rPr>
        <w:footnoteRef/>
      </w:r>
      <w:r>
        <w:rPr>
          <w:rFonts w:ascii="Times New Roman" w:hAnsi="Times New Roman"/>
        </w:rPr>
        <w:t xml:space="preserve"> Podľa metodiky VZPS kategória samozamestnaných osôb zahŕňa podnikateľov bez zamestnancov, podnikateľov so zamestnancami a vypomáhajúcich členov domácností.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493"/>
    <w:multiLevelType w:val="multilevel"/>
    <w:tmpl w:val="3E50123C"/>
    <w:lvl w:ilvl="0">
      <w:start w:val="1"/>
      <w:numFmt w:val="decimal"/>
      <w:lvlText w:val="%1."/>
      <w:lvlJc w:val="left"/>
      <w:pPr>
        <w:ind w:left="360" w:hanging="360"/>
      </w:pPr>
      <w:rPr>
        <w:rFonts w:cs="Times New Roman" w:hint="default"/>
        <w:sz w:val="28"/>
        <w:u w:val="none"/>
      </w:rPr>
    </w:lvl>
    <w:lvl w:ilvl="1">
      <w:start w:val="1"/>
      <w:numFmt w:val="decimal"/>
      <w:isLgl/>
      <w:lvlText w:val="%1.%2."/>
      <w:lvlJc w:val="left"/>
      <w:pPr>
        <w:ind w:left="360" w:hanging="360"/>
      </w:pPr>
      <w:rPr>
        <w:rFonts w:cs="Times New Roman" w:hint="default"/>
        <w:vertAlign w:val="baselin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CB9566F"/>
    <w:multiLevelType w:val="hybridMultilevel"/>
    <w:tmpl w:val="4C5E39C0"/>
    <w:lvl w:ilvl="0" w:tplc="C8201AFA">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0E4B0BA2"/>
    <w:multiLevelType w:val="hybridMultilevel"/>
    <w:tmpl w:val="DDF0B9CE"/>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1B2200"/>
    <w:multiLevelType w:val="hybridMultilevel"/>
    <w:tmpl w:val="F6CA4BFA"/>
    <w:lvl w:ilvl="0" w:tplc="46466068">
      <w:start w:val="2"/>
      <w:numFmt w:val="bullet"/>
      <w:lvlText w:val="-"/>
      <w:lvlJc w:val="left"/>
      <w:pPr>
        <w:ind w:left="644" w:hanging="360"/>
      </w:pPr>
      <w:rPr>
        <w:rFonts w:ascii="Times New Roman" w:eastAsia="Times New Roman"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nsid w:val="145A64DC"/>
    <w:multiLevelType w:val="hybridMultilevel"/>
    <w:tmpl w:val="8CB460C6"/>
    <w:lvl w:ilvl="0" w:tplc="8F6821FE">
      <w:numFmt w:val="bullet"/>
      <w:lvlText w:val="-"/>
      <w:lvlJc w:val="left"/>
      <w:pPr>
        <w:tabs>
          <w:tab w:val="num" w:pos="360"/>
        </w:tabs>
        <w:ind w:left="360" w:hanging="360"/>
      </w:pPr>
      <w:rPr>
        <w:rFonts w:ascii="TimesNewRomanPSMT" w:eastAsia="Times New Roman" w:hAnsi="TimesNewRomanPSMT"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nsid w:val="152D1C84"/>
    <w:multiLevelType w:val="hybridMultilevel"/>
    <w:tmpl w:val="3C9EDC14"/>
    <w:lvl w:ilvl="0" w:tplc="041B0001">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72A4FB6"/>
    <w:multiLevelType w:val="hybridMultilevel"/>
    <w:tmpl w:val="82AEB0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7F7DFD"/>
    <w:multiLevelType w:val="hybridMultilevel"/>
    <w:tmpl w:val="46D6FDFC"/>
    <w:lvl w:ilvl="0" w:tplc="643E332C">
      <w:numFmt w:val="bullet"/>
      <w:lvlText w:val="-"/>
      <w:lvlJc w:val="left"/>
      <w:pPr>
        <w:ind w:left="360" w:hanging="360"/>
      </w:pPr>
      <w:rPr>
        <w:rFonts w:ascii="Times New Roman" w:eastAsia="Times New Roman" w:hAnsi="Times New Roman" w:hint="default"/>
        <w:color w:val="000000"/>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8">
    <w:nsid w:val="1A096E74"/>
    <w:multiLevelType w:val="hybridMultilevel"/>
    <w:tmpl w:val="9EAA5D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385C11"/>
    <w:multiLevelType w:val="hybridMultilevel"/>
    <w:tmpl w:val="A31024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FBE68D1"/>
    <w:multiLevelType w:val="multilevel"/>
    <w:tmpl w:val="C06ED7C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0836A45"/>
    <w:multiLevelType w:val="hybridMultilevel"/>
    <w:tmpl w:val="5530A1D8"/>
    <w:lvl w:ilvl="0" w:tplc="041B0001">
      <w:start w:val="1"/>
      <w:numFmt w:val="bullet"/>
      <w:lvlText w:val=""/>
      <w:lvlJc w:val="left"/>
      <w:pPr>
        <w:ind w:left="1200" w:hanging="360"/>
      </w:pPr>
      <w:rPr>
        <w:rFonts w:ascii="Symbol" w:hAnsi="Symbol" w:hint="default"/>
        <w:color w:val="auto"/>
      </w:rPr>
    </w:lvl>
    <w:lvl w:ilvl="1" w:tplc="041B0003" w:tentative="1">
      <w:start w:val="1"/>
      <w:numFmt w:val="bullet"/>
      <w:lvlText w:val="o"/>
      <w:lvlJc w:val="left"/>
      <w:pPr>
        <w:ind w:left="1920" w:hanging="360"/>
      </w:pPr>
      <w:rPr>
        <w:rFonts w:ascii="Courier New" w:hAnsi="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2">
    <w:nsid w:val="21277DCD"/>
    <w:multiLevelType w:val="hybridMultilevel"/>
    <w:tmpl w:val="28107914"/>
    <w:lvl w:ilvl="0" w:tplc="062C3F6A">
      <w:start w:val="1"/>
      <w:numFmt w:val="decimal"/>
      <w:lvlText w:val="%1."/>
      <w:lvlJc w:val="left"/>
      <w:pPr>
        <w:ind w:left="-218" w:hanging="360"/>
      </w:pPr>
      <w:rPr>
        <w:rFonts w:cs="Times New Roman"/>
      </w:rPr>
    </w:lvl>
    <w:lvl w:ilvl="1" w:tplc="041B0019">
      <w:start w:val="1"/>
      <w:numFmt w:val="lowerLetter"/>
      <w:lvlText w:val="%2."/>
      <w:lvlJc w:val="left"/>
      <w:pPr>
        <w:ind w:left="502" w:hanging="360"/>
      </w:pPr>
      <w:rPr>
        <w:rFonts w:cs="Times New Roman"/>
      </w:rPr>
    </w:lvl>
    <w:lvl w:ilvl="2" w:tplc="041B001B">
      <w:start w:val="1"/>
      <w:numFmt w:val="lowerRoman"/>
      <w:lvlText w:val="%3."/>
      <w:lvlJc w:val="right"/>
      <w:pPr>
        <w:ind w:left="1222" w:hanging="180"/>
      </w:pPr>
      <w:rPr>
        <w:rFonts w:cs="Times New Roman"/>
      </w:rPr>
    </w:lvl>
    <w:lvl w:ilvl="3" w:tplc="041B000F">
      <w:start w:val="1"/>
      <w:numFmt w:val="decimal"/>
      <w:lvlText w:val="%4."/>
      <w:lvlJc w:val="left"/>
      <w:pPr>
        <w:ind w:left="1942" w:hanging="360"/>
      </w:pPr>
      <w:rPr>
        <w:rFonts w:cs="Times New Roman"/>
      </w:rPr>
    </w:lvl>
    <w:lvl w:ilvl="4" w:tplc="041B0019">
      <w:start w:val="1"/>
      <w:numFmt w:val="lowerLetter"/>
      <w:lvlText w:val="%5."/>
      <w:lvlJc w:val="left"/>
      <w:pPr>
        <w:ind w:left="2662" w:hanging="360"/>
      </w:pPr>
      <w:rPr>
        <w:rFonts w:cs="Times New Roman"/>
      </w:rPr>
    </w:lvl>
    <w:lvl w:ilvl="5" w:tplc="041B001B">
      <w:start w:val="1"/>
      <w:numFmt w:val="lowerRoman"/>
      <w:lvlText w:val="%6."/>
      <w:lvlJc w:val="right"/>
      <w:pPr>
        <w:ind w:left="3382" w:hanging="180"/>
      </w:pPr>
      <w:rPr>
        <w:rFonts w:cs="Times New Roman"/>
      </w:rPr>
    </w:lvl>
    <w:lvl w:ilvl="6" w:tplc="041B000F">
      <w:start w:val="1"/>
      <w:numFmt w:val="decimal"/>
      <w:lvlText w:val="%7."/>
      <w:lvlJc w:val="left"/>
      <w:pPr>
        <w:ind w:left="4102" w:hanging="360"/>
      </w:pPr>
      <w:rPr>
        <w:rFonts w:cs="Times New Roman"/>
      </w:rPr>
    </w:lvl>
    <w:lvl w:ilvl="7" w:tplc="041B0019">
      <w:start w:val="1"/>
      <w:numFmt w:val="lowerLetter"/>
      <w:lvlText w:val="%8."/>
      <w:lvlJc w:val="left"/>
      <w:pPr>
        <w:ind w:left="4822" w:hanging="360"/>
      </w:pPr>
      <w:rPr>
        <w:rFonts w:cs="Times New Roman"/>
      </w:rPr>
    </w:lvl>
    <w:lvl w:ilvl="8" w:tplc="041B001B">
      <w:start w:val="1"/>
      <w:numFmt w:val="lowerRoman"/>
      <w:lvlText w:val="%9."/>
      <w:lvlJc w:val="right"/>
      <w:pPr>
        <w:ind w:left="5542" w:hanging="180"/>
      </w:pPr>
      <w:rPr>
        <w:rFonts w:cs="Times New Roman"/>
      </w:rPr>
    </w:lvl>
  </w:abstractNum>
  <w:abstractNum w:abstractNumId="13">
    <w:nsid w:val="22461023"/>
    <w:multiLevelType w:val="hybridMultilevel"/>
    <w:tmpl w:val="5B2CFE1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4063C44"/>
    <w:multiLevelType w:val="hybridMultilevel"/>
    <w:tmpl w:val="79D69E5C"/>
    <w:lvl w:ilvl="0" w:tplc="041B000F">
      <w:start w:val="1"/>
      <w:numFmt w:val="decimal"/>
      <w:lvlText w:val="%1."/>
      <w:lvlJc w:val="left"/>
      <w:pPr>
        <w:ind w:left="6032" w:hanging="360"/>
      </w:pPr>
      <w:rPr>
        <w:rFonts w:cs="Times New Roman"/>
      </w:rPr>
    </w:lvl>
    <w:lvl w:ilvl="1" w:tplc="041B0019">
      <w:start w:val="1"/>
      <w:numFmt w:val="lowerLetter"/>
      <w:lvlText w:val="%2."/>
      <w:lvlJc w:val="left"/>
      <w:pPr>
        <w:ind w:left="2292" w:hanging="360"/>
      </w:pPr>
      <w:rPr>
        <w:rFonts w:cs="Times New Roman"/>
      </w:rPr>
    </w:lvl>
    <w:lvl w:ilvl="2" w:tplc="041B001B">
      <w:start w:val="1"/>
      <w:numFmt w:val="lowerRoman"/>
      <w:lvlText w:val="%3."/>
      <w:lvlJc w:val="right"/>
      <w:pPr>
        <w:ind w:left="3012" w:hanging="180"/>
      </w:pPr>
      <w:rPr>
        <w:rFonts w:cs="Times New Roman"/>
      </w:rPr>
    </w:lvl>
    <w:lvl w:ilvl="3" w:tplc="041B000F">
      <w:start w:val="1"/>
      <w:numFmt w:val="decimal"/>
      <w:lvlText w:val="%4."/>
      <w:lvlJc w:val="left"/>
      <w:pPr>
        <w:ind w:left="3732" w:hanging="360"/>
      </w:pPr>
      <w:rPr>
        <w:rFonts w:cs="Times New Roman"/>
      </w:rPr>
    </w:lvl>
    <w:lvl w:ilvl="4" w:tplc="041B0019">
      <w:start w:val="1"/>
      <w:numFmt w:val="lowerLetter"/>
      <w:lvlText w:val="%5."/>
      <w:lvlJc w:val="left"/>
      <w:pPr>
        <w:ind w:left="4452" w:hanging="360"/>
      </w:pPr>
      <w:rPr>
        <w:rFonts w:cs="Times New Roman"/>
      </w:rPr>
    </w:lvl>
    <w:lvl w:ilvl="5" w:tplc="041B001B">
      <w:start w:val="1"/>
      <w:numFmt w:val="lowerRoman"/>
      <w:lvlText w:val="%6."/>
      <w:lvlJc w:val="right"/>
      <w:pPr>
        <w:ind w:left="5172" w:hanging="180"/>
      </w:pPr>
      <w:rPr>
        <w:rFonts w:cs="Times New Roman"/>
      </w:rPr>
    </w:lvl>
    <w:lvl w:ilvl="6" w:tplc="041B000F">
      <w:start w:val="1"/>
      <w:numFmt w:val="decimal"/>
      <w:lvlText w:val="%7."/>
      <w:lvlJc w:val="left"/>
      <w:pPr>
        <w:ind w:left="5892" w:hanging="360"/>
      </w:pPr>
      <w:rPr>
        <w:rFonts w:cs="Times New Roman"/>
      </w:rPr>
    </w:lvl>
    <w:lvl w:ilvl="7" w:tplc="041B0019">
      <w:start w:val="1"/>
      <w:numFmt w:val="lowerLetter"/>
      <w:lvlText w:val="%8."/>
      <w:lvlJc w:val="left"/>
      <w:pPr>
        <w:ind w:left="6612" w:hanging="360"/>
      </w:pPr>
      <w:rPr>
        <w:rFonts w:cs="Times New Roman"/>
      </w:rPr>
    </w:lvl>
    <w:lvl w:ilvl="8" w:tplc="041B001B">
      <w:start w:val="1"/>
      <w:numFmt w:val="lowerRoman"/>
      <w:lvlText w:val="%9."/>
      <w:lvlJc w:val="right"/>
      <w:pPr>
        <w:ind w:left="7332" w:hanging="180"/>
      </w:pPr>
      <w:rPr>
        <w:rFonts w:cs="Times New Roman"/>
      </w:rPr>
    </w:lvl>
  </w:abstractNum>
  <w:abstractNum w:abstractNumId="15">
    <w:nsid w:val="24367432"/>
    <w:multiLevelType w:val="hybridMultilevel"/>
    <w:tmpl w:val="0966013E"/>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nsid w:val="2459165A"/>
    <w:multiLevelType w:val="multilevel"/>
    <w:tmpl w:val="FD985B04"/>
    <w:lvl w:ilvl="0">
      <w:start w:val="1"/>
      <w:numFmt w:val="bullet"/>
      <w:pStyle w:val="bullet1"/>
      <w:lvlText w:val="-"/>
      <w:lvlJc w:val="left"/>
      <w:pPr>
        <w:ind w:left="360" w:hanging="360"/>
      </w:pPr>
      <w:rPr>
        <w:rFonts w:ascii="Times New Roman" w:eastAsia="Times New Roman" w:hAnsi="Times New Roman" w:hint="default"/>
      </w:rPr>
    </w:lvl>
    <w:lvl w:ilvl="1">
      <w:start w:val="1"/>
      <w:numFmt w:val="decimal"/>
      <w:lvlText w:val="%2."/>
      <w:lvlJc w:val="left"/>
      <w:pPr>
        <w:ind w:left="1080" w:hanging="360"/>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27313B31"/>
    <w:multiLevelType w:val="hybridMultilevel"/>
    <w:tmpl w:val="3CE0DB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7757CFB"/>
    <w:multiLevelType w:val="hybridMultilevel"/>
    <w:tmpl w:val="087CBEF0"/>
    <w:lvl w:ilvl="0" w:tplc="DE12E872">
      <w:start w:val="1"/>
      <w:numFmt w:val="decimal"/>
      <w:lvlText w:val="%1."/>
      <w:lvlJc w:val="left"/>
      <w:pPr>
        <w:ind w:left="360" w:hanging="360"/>
      </w:pPr>
      <w:rPr>
        <w:rFonts w:cs="Times New Roman"/>
        <w:color w:val="auto"/>
      </w:rPr>
    </w:lvl>
    <w:lvl w:ilvl="1" w:tplc="041B0019">
      <w:start w:val="1"/>
      <w:numFmt w:val="lowerLetter"/>
      <w:lvlText w:val="%2."/>
      <w:lvlJc w:val="left"/>
      <w:pPr>
        <w:ind w:left="731" w:hanging="360"/>
      </w:pPr>
      <w:rPr>
        <w:rFonts w:cs="Times New Roman"/>
      </w:rPr>
    </w:lvl>
    <w:lvl w:ilvl="2" w:tplc="041B001B">
      <w:start w:val="1"/>
      <w:numFmt w:val="lowerRoman"/>
      <w:lvlText w:val="%3."/>
      <w:lvlJc w:val="right"/>
      <w:pPr>
        <w:ind w:left="1451" w:hanging="180"/>
      </w:pPr>
      <w:rPr>
        <w:rFonts w:cs="Times New Roman"/>
      </w:rPr>
    </w:lvl>
    <w:lvl w:ilvl="3" w:tplc="041B000F">
      <w:start w:val="1"/>
      <w:numFmt w:val="decimal"/>
      <w:lvlText w:val="%4."/>
      <w:lvlJc w:val="left"/>
      <w:pPr>
        <w:ind w:left="2171" w:hanging="360"/>
      </w:pPr>
      <w:rPr>
        <w:rFonts w:cs="Times New Roman"/>
      </w:rPr>
    </w:lvl>
    <w:lvl w:ilvl="4" w:tplc="041B0019">
      <w:start w:val="1"/>
      <w:numFmt w:val="lowerLetter"/>
      <w:lvlText w:val="%5."/>
      <w:lvlJc w:val="left"/>
      <w:pPr>
        <w:ind w:left="2891" w:hanging="360"/>
      </w:pPr>
      <w:rPr>
        <w:rFonts w:cs="Times New Roman"/>
      </w:rPr>
    </w:lvl>
    <w:lvl w:ilvl="5" w:tplc="041B001B">
      <w:start w:val="1"/>
      <w:numFmt w:val="lowerRoman"/>
      <w:lvlText w:val="%6."/>
      <w:lvlJc w:val="right"/>
      <w:pPr>
        <w:ind w:left="3611" w:hanging="180"/>
      </w:pPr>
      <w:rPr>
        <w:rFonts w:cs="Times New Roman"/>
      </w:rPr>
    </w:lvl>
    <w:lvl w:ilvl="6" w:tplc="041B000F">
      <w:start w:val="1"/>
      <w:numFmt w:val="decimal"/>
      <w:lvlText w:val="%7."/>
      <w:lvlJc w:val="left"/>
      <w:pPr>
        <w:ind w:left="4331" w:hanging="360"/>
      </w:pPr>
      <w:rPr>
        <w:rFonts w:cs="Times New Roman"/>
      </w:rPr>
    </w:lvl>
    <w:lvl w:ilvl="7" w:tplc="041B0019">
      <w:start w:val="1"/>
      <w:numFmt w:val="lowerLetter"/>
      <w:lvlText w:val="%8."/>
      <w:lvlJc w:val="left"/>
      <w:pPr>
        <w:ind w:left="5051" w:hanging="360"/>
      </w:pPr>
      <w:rPr>
        <w:rFonts w:cs="Times New Roman"/>
      </w:rPr>
    </w:lvl>
    <w:lvl w:ilvl="8" w:tplc="041B001B">
      <w:start w:val="1"/>
      <w:numFmt w:val="lowerRoman"/>
      <w:lvlText w:val="%9."/>
      <w:lvlJc w:val="right"/>
      <w:pPr>
        <w:ind w:left="5771" w:hanging="180"/>
      </w:pPr>
      <w:rPr>
        <w:rFonts w:cs="Times New Roman"/>
      </w:rPr>
    </w:lvl>
  </w:abstractNum>
  <w:abstractNum w:abstractNumId="19">
    <w:nsid w:val="278F5228"/>
    <w:multiLevelType w:val="hybridMultilevel"/>
    <w:tmpl w:val="724EAEBE"/>
    <w:lvl w:ilvl="0" w:tplc="4AD07686">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140"/>
        </w:tabs>
        <w:ind w:left="1140" w:hanging="360"/>
      </w:pPr>
      <w:rPr>
        <w:rFonts w:ascii="Courier New" w:hAnsi="Courier New" w:hint="default"/>
      </w:rPr>
    </w:lvl>
    <w:lvl w:ilvl="2" w:tplc="041B0005">
      <w:start w:val="1"/>
      <w:numFmt w:val="bullet"/>
      <w:lvlText w:val=""/>
      <w:lvlJc w:val="left"/>
      <w:pPr>
        <w:tabs>
          <w:tab w:val="num" w:pos="1860"/>
        </w:tabs>
        <w:ind w:left="1860" w:hanging="360"/>
      </w:pPr>
      <w:rPr>
        <w:rFonts w:ascii="Wingdings" w:hAnsi="Wingdings" w:hint="default"/>
      </w:rPr>
    </w:lvl>
    <w:lvl w:ilvl="3" w:tplc="041B0001">
      <w:start w:val="1"/>
      <w:numFmt w:val="bullet"/>
      <w:lvlText w:val=""/>
      <w:lvlJc w:val="left"/>
      <w:pPr>
        <w:tabs>
          <w:tab w:val="num" w:pos="2580"/>
        </w:tabs>
        <w:ind w:left="2580" w:hanging="360"/>
      </w:pPr>
      <w:rPr>
        <w:rFonts w:ascii="Symbol" w:hAnsi="Symbol" w:hint="default"/>
      </w:rPr>
    </w:lvl>
    <w:lvl w:ilvl="4" w:tplc="041B0003">
      <w:start w:val="1"/>
      <w:numFmt w:val="bullet"/>
      <w:lvlText w:val="o"/>
      <w:lvlJc w:val="left"/>
      <w:pPr>
        <w:tabs>
          <w:tab w:val="num" w:pos="3300"/>
        </w:tabs>
        <w:ind w:left="3300" w:hanging="360"/>
      </w:pPr>
      <w:rPr>
        <w:rFonts w:ascii="Courier New" w:hAnsi="Courier New" w:hint="default"/>
      </w:rPr>
    </w:lvl>
    <w:lvl w:ilvl="5" w:tplc="041B0005">
      <w:start w:val="1"/>
      <w:numFmt w:val="bullet"/>
      <w:lvlText w:val=""/>
      <w:lvlJc w:val="left"/>
      <w:pPr>
        <w:tabs>
          <w:tab w:val="num" w:pos="4020"/>
        </w:tabs>
        <w:ind w:left="4020" w:hanging="360"/>
      </w:pPr>
      <w:rPr>
        <w:rFonts w:ascii="Wingdings" w:hAnsi="Wingdings" w:hint="default"/>
      </w:rPr>
    </w:lvl>
    <w:lvl w:ilvl="6" w:tplc="041B0001">
      <w:start w:val="1"/>
      <w:numFmt w:val="bullet"/>
      <w:lvlText w:val=""/>
      <w:lvlJc w:val="left"/>
      <w:pPr>
        <w:tabs>
          <w:tab w:val="num" w:pos="4740"/>
        </w:tabs>
        <w:ind w:left="4740" w:hanging="360"/>
      </w:pPr>
      <w:rPr>
        <w:rFonts w:ascii="Symbol" w:hAnsi="Symbol" w:hint="default"/>
      </w:rPr>
    </w:lvl>
    <w:lvl w:ilvl="7" w:tplc="041B0003">
      <w:start w:val="1"/>
      <w:numFmt w:val="bullet"/>
      <w:lvlText w:val="o"/>
      <w:lvlJc w:val="left"/>
      <w:pPr>
        <w:tabs>
          <w:tab w:val="num" w:pos="5460"/>
        </w:tabs>
        <w:ind w:left="5460" w:hanging="360"/>
      </w:pPr>
      <w:rPr>
        <w:rFonts w:ascii="Courier New" w:hAnsi="Courier New" w:hint="default"/>
      </w:rPr>
    </w:lvl>
    <w:lvl w:ilvl="8" w:tplc="041B0005">
      <w:start w:val="1"/>
      <w:numFmt w:val="bullet"/>
      <w:lvlText w:val=""/>
      <w:lvlJc w:val="left"/>
      <w:pPr>
        <w:tabs>
          <w:tab w:val="num" w:pos="6180"/>
        </w:tabs>
        <w:ind w:left="6180" w:hanging="360"/>
      </w:pPr>
      <w:rPr>
        <w:rFonts w:ascii="Wingdings" w:hAnsi="Wingdings" w:hint="default"/>
      </w:rPr>
    </w:lvl>
  </w:abstractNum>
  <w:abstractNum w:abstractNumId="20">
    <w:nsid w:val="28027C4D"/>
    <w:multiLevelType w:val="hybridMultilevel"/>
    <w:tmpl w:val="B980E1A2"/>
    <w:lvl w:ilvl="0" w:tplc="8FECBD90">
      <w:start w:val="1"/>
      <w:numFmt w:val="bullet"/>
      <w:lvlText w:val="-"/>
      <w:lvlJc w:val="left"/>
      <w:pPr>
        <w:ind w:left="1080" w:hanging="360"/>
      </w:pPr>
      <w:rPr>
        <w:rFonts w:ascii="Calibri" w:eastAsia="Times New Roman" w:hAnsi="Calibri"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304F7A7E"/>
    <w:multiLevelType w:val="hybridMultilevel"/>
    <w:tmpl w:val="3E3A964A"/>
    <w:lvl w:ilvl="0" w:tplc="041B0001">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32B748F1"/>
    <w:multiLevelType w:val="hybridMultilevel"/>
    <w:tmpl w:val="3028B60A"/>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3435003E"/>
    <w:multiLevelType w:val="hybridMultilevel"/>
    <w:tmpl w:val="F4482A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95529FC"/>
    <w:multiLevelType w:val="hybridMultilevel"/>
    <w:tmpl w:val="A4AE29C0"/>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C5B1FAB"/>
    <w:multiLevelType w:val="hybridMultilevel"/>
    <w:tmpl w:val="2DE4FCDA"/>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EEC25C5"/>
    <w:multiLevelType w:val="hybridMultilevel"/>
    <w:tmpl w:val="5DAAC4D0"/>
    <w:lvl w:ilvl="0" w:tplc="3A1EE20A">
      <w:start w:val="2"/>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04C7158"/>
    <w:multiLevelType w:val="hybridMultilevel"/>
    <w:tmpl w:val="9C0AA660"/>
    <w:lvl w:ilvl="0" w:tplc="D9A4E7DE">
      <w:start w:val="4"/>
      <w:numFmt w:val="bullet"/>
      <w:lvlText w:val="-"/>
      <w:lvlJc w:val="left"/>
      <w:pPr>
        <w:tabs>
          <w:tab w:val="num" w:pos="480"/>
        </w:tabs>
        <w:ind w:left="480" w:hanging="360"/>
      </w:pPr>
      <w:rPr>
        <w:rFonts w:ascii="Times New Roman" w:eastAsia="Times New Roman" w:hAnsi="Times New Roman" w:hint="default"/>
      </w:rPr>
    </w:lvl>
    <w:lvl w:ilvl="1" w:tplc="041B0003" w:tentative="1">
      <w:start w:val="1"/>
      <w:numFmt w:val="bullet"/>
      <w:lvlText w:val="o"/>
      <w:lvlJc w:val="left"/>
      <w:pPr>
        <w:tabs>
          <w:tab w:val="num" w:pos="1200"/>
        </w:tabs>
        <w:ind w:left="1200" w:hanging="360"/>
      </w:pPr>
      <w:rPr>
        <w:rFonts w:ascii="Courier New" w:hAnsi="Courier New" w:hint="default"/>
      </w:rPr>
    </w:lvl>
    <w:lvl w:ilvl="2" w:tplc="041B0005" w:tentative="1">
      <w:start w:val="1"/>
      <w:numFmt w:val="bullet"/>
      <w:lvlText w:val=""/>
      <w:lvlJc w:val="left"/>
      <w:pPr>
        <w:tabs>
          <w:tab w:val="num" w:pos="1920"/>
        </w:tabs>
        <w:ind w:left="1920" w:hanging="360"/>
      </w:pPr>
      <w:rPr>
        <w:rFonts w:ascii="Wingdings" w:hAnsi="Wingdings" w:hint="default"/>
      </w:rPr>
    </w:lvl>
    <w:lvl w:ilvl="3" w:tplc="041B0001" w:tentative="1">
      <w:start w:val="1"/>
      <w:numFmt w:val="bullet"/>
      <w:lvlText w:val=""/>
      <w:lvlJc w:val="left"/>
      <w:pPr>
        <w:tabs>
          <w:tab w:val="num" w:pos="2640"/>
        </w:tabs>
        <w:ind w:left="2640" w:hanging="360"/>
      </w:pPr>
      <w:rPr>
        <w:rFonts w:ascii="Symbol" w:hAnsi="Symbol" w:hint="default"/>
      </w:rPr>
    </w:lvl>
    <w:lvl w:ilvl="4" w:tplc="041B0003" w:tentative="1">
      <w:start w:val="1"/>
      <w:numFmt w:val="bullet"/>
      <w:lvlText w:val="o"/>
      <w:lvlJc w:val="left"/>
      <w:pPr>
        <w:tabs>
          <w:tab w:val="num" w:pos="3360"/>
        </w:tabs>
        <w:ind w:left="3360" w:hanging="360"/>
      </w:pPr>
      <w:rPr>
        <w:rFonts w:ascii="Courier New" w:hAnsi="Courier New" w:hint="default"/>
      </w:rPr>
    </w:lvl>
    <w:lvl w:ilvl="5" w:tplc="041B0005" w:tentative="1">
      <w:start w:val="1"/>
      <w:numFmt w:val="bullet"/>
      <w:lvlText w:val=""/>
      <w:lvlJc w:val="left"/>
      <w:pPr>
        <w:tabs>
          <w:tab w:val="num" w:pos="4080"/>
        </w:tabs>
        <w:ind w:left="4080" w:hanging="360"/>
      </w:pPr>
      <w:rPr>
        <w:rFonts w:ascii="Wingdings" w:hAnsi="Wingdings" w:hint="default"/>
      </w:rPr>
    </w:lvl>
    <w:lvl w:ilvl="6" w:tplc="041B0001" w:tentative="1">
      <w:start w:val="1"/>
      <w:numFmt w:val="bullet"/>
      <w:lvlText w:val=""/>
      <w:lvlJc w:val="left"/>
      <w:pPr>
        <w:tabs>
          <w:tab w:val="num" w:pos="4800"/>
        </w:tabs>
        <w:ind w:left="4800" w:hanging="360"/>
      </w:pPr>
      <w:rPr>
        <w:rFonts w:ascii="Symbol" w:hAnsi="Symbol" w:hint="default"/>
      </w:rPr>
    </w:lvl>
    <w:lvl w:ilvl="7" w:tplc="041B0003" w:tentative="1">
      <w:start w:val="1"/>
      <w:numFmt w:val="bullet"/>
      <w:lvlText w:val="o"/>
      <w:lvlJc w:val="left"/>
      <w:pPr>
        <w:tabs>
          <w:tab w:val="num" w:pos="5520"/>
        </w:tabs>
        <w:ind w:left="5520" w:hanging="360"/>
      </w:pPr>
      <w:rPr>
        <w:rFonts w:ascii="Courier New" w:hAnsi="Courier New" w:hint="default"/>
      </w:rPr>
    </w:lvl>
    <w:lvl w:ilvl="8" w:tplc="041B0005" w:tentative="1">
      <w:start w:val="1"/>
      <w:numFmt w:val="bullet"/>
      <w:lvlText w:val=""/>
      <w:lvlJc w:val="left"/>
      <w:pPr>
        <w:tabs>
          <w:tab w:val="num" w:pos="6240"/>
        </w:tabs>
        <w:ind w:left="6240" w:hanging="360"/>
      </w:pPr>
      <w:rPr>
        <w:rFonts w:ascii="Wingdings" w:hAnsi="Wingdings" w:hint="default"/>
      </w:rPr>
    </w:lvl>
  </w:abstractNum>
  <w:abstractNum w:abstractNumId="28">
    <w:nsid w:val="411B622B"/>
    <w:multiLevelType w:val="hybridMultilevel"/>
    <w:tmpl w:val="8916A7D2"/>
    <w:lvl w:ilvl="0" w:tplc="F6885B7E">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9">
    <w:nsid w:val="41907F69"/>
    <w:multiLevelType w:val="hybridMultilevel"/>
    <w:tmpl w:val="6BFCFB82"/>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0">
    <w:nsid w:val="41910694"/>
    <w:multiLevelType w:val="hybridMultilevel"/>
    <w:tmpl w:val="91D05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2545B3B"/>
    <w:multiLevelType w:val="hybridMultilevel"/>
    <w:tmpl w:val="A07C47E8"/>
    <w:lvl w:ilvl="0" w:tplc="66D42B32">
      <w:start w:val="35"/>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42C675F2"/>
    <w:multiLevelType w:val="hybridMultilevel"/>
    <w:tmpl w:val="27C86D68"/>
    <w:lvl w:ilvl="0" w:tplc="041B0001">
      <w:start w:val="1"/>
      <w:numFmt w:val="bullet"/>
      <w:lvlText w:val=""/>
      <w:lvlJc w:val="left"/>
      <w:pPr>
        <w:ind w:left="1077" w:hanging="360"/>
      </w:pPr>
      <w:rPr>
        <w:rFonts w:ascii="Symbol" w:hAnsi="Symbol" w:hint="default"/>
        <w:color w:val="auto"/>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3">
    <w:nsid w:val="46A0260E"/>
    <w:multiLevelType w:val="hybridMultilevel"/>
    <w:tmpl w:val="8BC8F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975623F"/>
    <w:multiLevelType w:val="hybridMultilevel"/>
    <w:tmpl w:val="BBB487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C603D26"/>
    <w:multiLevelType w:val="hybridMultilevel"/>
    <w:tmpl w:val="5E02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DC1370A"/>
    <w:multiLevelType w:val="hybridMultilevel"/>
    <w:tmpl w:val="8FFE6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0910AB9"/>
    <w:multiLevelType w:val="hybridMultilevel"/>
    <w:tmpl w:val="154431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10914FA"/>
    <w:multiLevelType w:val="hybridMultilevel"/>
    <w:tmpl w:val="0164A194"/>
    <w:lvl w:ilvl="0" w:tplc="38465C50">
      <w:start w:val="1"/>
      <w:numFmt w:val="lowerLetter"/>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9">
    <w:nsid w:val="67C8268B"/>
    <w:multiLevelType w:val="hybridMultilevel"/>
    <w:tmpl w:val="A7501AFE"/>
    <w:lvl w:ilvl="0" w:tplc="041B000B">
      <w:start w:val="1"/>
      <w:numFmt w:val="bullet"/>
      <w:lvlText w:val=""/>
      <w:lvlJc w:val="left"/>
      <w:pPr>
        <w:ind w:left="1125" w:hanging="360"/>
      </w:pPr>
      <w:rPr>
        <w:rFonts w:ascii="Wingdings" w:hAnsi="Wingdings" w:hint="default"/>
      </w:rPr>
    </w:lvl>
    <w:lvl w:ilvl="1" w:tplc="041B0003" w:tentative="1">
      <w:start w:val="1"/>
      <w:numFmt w:val="bullet"/>
      <w:lvlText w:val="o"/>
      <w:lvlJc w:val="left"/>
      <w:pPr>
        <w:ind w:left="1845" w:hanging="360"/>
      </w:pPr>
      <w:rPr>
        <w:rFonts w:ascii="Courier New" w:hAnsi="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40">
    <w:nsid w:val="6D2F6AE3"/>
    <w:multiLevelType w:val="hybridMultilevel"/>
    <w:tmpl w:val="88C0C1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0792747"/>
    <w:multiLevelType w:val="hybridMultilevel"/>
    <w:tmpl w:val="FCF6F6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4023809"/>
    <w:multiLevelType w:val="hybridMultilevel"/>
    <w:tmpl w:val="29285C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46D4307"/>
    <w:multiLevelType w:val="hybridMultilevel"/>
    <w:tmpl w:val="61A0AF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6707F50"/>
    <w:multiLevelType w:val="multilevel"/>
    <w:tmpl w:val="C632FE52"/>
    <w:lvl w:ilvl="0">
      <w:start w:val="2"/>
      <w:numFmt w:val="decimal"/>
      <w:lvlText w:val="%1."/>
      <w:lvlJc w:val="left"/>
      <w:pPr>
        <w:ind w:left="390" w:hanging="390"/>
      </w:pPr>
      <w:rPr>
        <w:rFonts w:ascii="Arial" w:hAnsi="Arial" w:cs="Arial" w:hint="default"/>
        <w:b w:val="0"/>
      </w:rPr>
    </w:lvl>
    <w:lvl w:ilvl="1">
      <w:start w:val="5"/>
      <w:numFmt w:val="decimal"/>
      <w:lvlText w:val="%1.%2."/>
      <w:lvlJc w:val="left"/>
      <w:pPr>
        <w:ind w:left="795" w:hanging="390"/>
      </w:pPr>
      <w:rPr>
        <w:rFonts w:ascii="Arial" w:hAnsi="Arial" w:cs="Arial" w:hint="default"/>
        <w:b w:val="0"/>
      </w:rPr>
    </w:lvl>
    <w:lvl w:ilvl="2">
      <w:start w:val="1"/>
      <w:numFmt w:val="decimal"/>
      <w:lvlText w:val="%1.%2.%3."/>
      <w:lvlJc w:val="left"/>
      <w:pPr>
        <w:ind w:left="1530" w:hanging="720"/>
      </w:pPr>
      <w:rPr>
        <w:rFonts w:ascii="Arial" w:hAnsi="Arial" w:cs="Arial" w:hint="default"/>
        <w:b w:val="0"/>
      </w:rPr>
    </w:lvl>
    <w:lvl w:ilvl="3">
      <w:start w:val="1"/>
      <w:numFmt w:val="decimal"/>
      <w:lvlText w:val="%1.%2.%3.%4."/>
      <w:lvlJc w:val="left"/>
      <w:pPr>
        <w:ind w:left="1935" w:hanging="720"/>
      </w:pPr>
      <w:rPr>
        <w:rFonts w:ascii="Arial" w:hAnsi="Arial" w:cs="Arial" w:hint="default"/>
        <w:b w:val="0"/>
      </w:rPr>
    </w:lvl>
    <w:lvl w:ilvl="4">
      <w:start w:val="1"/>
      <w:numFmt w:val="decimal"/>
      <w:lvlText w:val="%1.%2.%3.%4.%5."/>
      <w:lvlJc w:val="left"/>
      <w:pPr>
        <w:ind w:left="2700" w:hanging="1080"/>
      </w:pPr>
      <w:rPr>
        <w:rFonts w:ascii="Arial" w:hAnsi="Arial" w:cs="Arial" w:hint="default"/>
        <w:b w:val="0"/>
      </w:rPr>
    </w:lvl>
    <w:lvl w:ilvl="5">
      <w:start w:val="1"/>
      <w:numFmt w:val="decimal"/>
      <w:lvlText w:val="%1.%2.%3.%4.%5.%6."/>
      <w:lvlJc w:val="left"/>
      <w:pPr>
        <w:ind w:left="3105" w:hanging="1080"/>
      </w:pPr>
      <w:rPr>
        <w:rFonts w:ascii="Arial" w:hAnsi="Arial" w:cs="Arial" w:hint="default"/>
        <w:b w:val="0"/>
      </w:rPr>
    </w:lvl>
    <w:lvl w:ilvl="6">
      <w:start w:val="1"/>
      <w:numFmt w:val="decimal"/>
      <w:lvlText w:val="%1.%2.%3.%4.%5.%6.%7."/>
      <w:lvlJc w:val="left"/>
      <w:pPr>
        <w:ind w:left="3870" w:hanging="1440"/>
      </w:pPr>
      <w:rPr>
        <w:rFonts w:ascii="Arial" w:hAnsi="Arial" w:cs="Arial" w:hint="default"/>
        <w:b w:val="0"/>
      </w:rPr>
    </w:lvl>
    <w:lvl w:ilvl="7">
      <w:start w:val="1"/>
      <w:numFmt w:val="decimal"/>
      <w:lvlText w:val="%1.%2.%3.%4.%5.%6.%7.%8."/>
      <w:lvlJc w:val="left"/>
      <w:pPr>
        <w:ind w:left="4275" w:hanging="1440"/>
      </w:pPr>
      <w:rPr>
        <w:rFonts w:ascii="Arial" w:hAnsi="Arial" w:cs="Arial" w:hint="default"/>
        <w:b w:val="0"/>
      </w:rPr>
    </w:lvl>
    <w:lvl w:ilvl="8">
      <w:start w:val="1"/>
      <w:numFmt w:val="decimal"/>
      <w:lvlText w:val="%1.%2.%3.%4.%5.%6.%7.%8.%9."/>
      <w:lvlJc w:val="left"/>
      <w:pPr>
        <w:ind w:left="5040" w:hanging="1800"/>
      </w:pPr>
      <w:rPr>
        <w:rFonts w:ascii="Arial" w:hAnsi="Arial" w:cs="Arial" w:hint="default"/>
        <w:b w:val="0"/>
      </w:rPr>
    </w:lvl>
  </w:abstractNum>
  <w:abstractNum w:abstractNumId="45">
    <w:nsid w:val="777803EF"/>
    <w:multiLevelType w:val="multilevel"/>
    <w:tmpl w:val="4900E2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5271C1"/>
    <w:multiLevelType w:val="hybridMultilevel"/>
    <w:tmpl w:val="219A6B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0A2060"/>
    <w:multiLevelType w:val="hybridMultilevel"/>
    <w:tmpl w:val="6A26C75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6"/>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9"/>
  </w:num>
  <w:num w:numId="10">
    <w:abstractNumId w:val="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6"/>
  </w:num>
  <w:num w:numId="16">
    <w:abstractNumId w:val="3"/>
  </w:num>
  <w:num w:numId="17">
    <w:abstractNumId w:val="39"/>
  </w:num>
  <w:num w:numId="18">
    <w:abstractNumId w:val="47"/>
  </w:num>
  <w:num w:numId="19">
    <w:abstractNumId w:val="30"/>
  </w:num>
  <w:num w:numId="20">
    <w:abstractNumId w:val="46"/>
  </w:num>
  <w:num w:numId="21">
    <w:abstractNumId w:val="41"/>
  </w:num>
  <w:num w:numId="22">
    <w:abstractNumId w:val="34"/>
  </w:num>
  <w:num w:numId="23">
    <w:abstractNumId w:val="15"/>
  </w:num>
  <w:num w:numId="24">
    <w:abstractNumId w:val="23"/>
  </w:num>
  <w:num w:numId="25">
    <w:abstractNumId w:val="40"/>
  </w:num>
  <w:num w:numId="26">
    <w:abstractNumId w:val="0"/>
  </w:num>
  <w:num w:numId="27">
    <w:abstractNumId w:val="35"/>
  </w:num>
  <w:num w:numId="28">
    <w:abstractNumId w:val="37"/>
  </w:num>
  <w:num w:numId="29">
    <w:abstractNumId w:val="13"/>
  </w:num>
  <w:num w:numId="30">
    <w:abstractNumId w:val="6"/>
  </w:num>
  <w:num w:numId="31">
    <w:abstractNumId w:val="43"/>
  </w:num>
  <w:num w:numId="32">
    <w:abstractNumId w:val="27"/>
  </w:num>
  <w:num w:numId="33">
    <w:abstractNumId w:val="1"/>
  </w:num>
  <w:num w:numId="34">
    <w:abstractNumId w:val="12"/>
  </w:num>
  <w:num w:numId="35">
    <w:abstractNumId w:val="29"/>
  </w:num>
  <w:num w:numId="36">
    <w:abstractNumId w:val="11"/>
  </w:num>
  <w:num w:numId="37">
    <w:abstractNumId w:val="24"/>
  </w:num>
  <w:num w:numId="38">
    <w:abstractNumId w:val="5"/>
  </w:num>
  <w:num w:numId="39">
    <w:abstractNumId w:val="2"/>
  </w:num>
  <w:num w:numId="40">
    <w:abstractNumId w:val="32"/>
  </w:num>
  <w:num w:numId="41">
    <w:abstractNumId w:val="19"/>
  </w:num>
  <w:num w:numId="42">
    <w:abstractNumId w:val="8"/>
  </w:num>
  <w:num w:numId="43">
    <w:abstractNumId w:val="10"/>
  </w:num>
  <w:num w:numId="44">
    <w:abstractNumId w:val="17"/>
  </w:num>
  <w:num w:numId="45">
    <w:abstractNumId w:val="44"/>
  </w:num>
  <w:num w:numId="46">
    <w:abstractNumId w:val="45"/>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3"/>
  </w:num>
  <w:num w:numId="50">
    <w:abstractNumId w:val="36"/>
  </w:num>
  <w:num w:numId="51">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96729"/>
    <w:rsid w:val="00001CDB"/>
    <w:rsid w:val="000026C4"/>
    <w:rsid w:val="0000295E"/>
    <w:rsid w:val="0000439A"/>
    <w:rsid w:val="00004577"/>
    <w:rsid w:val="00004F06"/>
    <w:rsid w:val="0000548D"/>
    <w:rsid w:val="000069A5"/>
    <w:rsid w:val="00007F52"/>
    <w:rsid w:val="00010C7B"/>
    <w:rsid w:val="00012261"/>
    <w:rsid w:val="0001229C"/>
    <w:rsid w:val="000123FB"/>
    <w:rsid w:val="00013256"/>
    <w:rsid w:val="00016206"/>
    <w:rsid w:val="00017331"/>
    <w:rsid w:val="00017AD5"/>
    <w:rsid w:val="0002098D"/>
    <w:rsid w:val="00020E2A"/>
    <w:rsid w:val="00020FA8"/>
    <w:rsid w:val="0002232F"/>
    <w:rsid w:val="0002263C"/>
    <w:rsid w:val="00023218"/>
    <w:rsid w:val="00023C07"/>
    <w:rsid w:val="00023CF8"/>
    <w:rsid w:val="00024906"/>
    <w:rsid w:val="00025C5E"/>
    <w:rsid w:val="00026C91"/>
    <w:rsid w:val="00027A7F"/>
    <w:rsid w:val="00027B00"/>
    <w:rsid w:val="00030466"/>
    <w:rsid w:val="00030607"/>
    <w:rsid w:val="00031564"/>
    <w:rsid w:val="00031614"/>
    <w:rsid w:val="0003191F"/>
    <w:rsid w:val="00032234"/>
    <w:rsid w:val="00032DE4"/>
    <w:rsid w:val="00033392"/>
    <w:rsid w:val="00033430"/>
    <w:rsid w:val="00034180"/>
    <w:rsid w:val="000342F8"/>
    <w:rsid w:val="0003435A"/>
    <w:rsid w:val="00035F73"/>
    <w:rsid w:val="0003733B"/>
    <w:rsid w:val="000377C5"/>
    <w:rsid w:val="00037B9D"/>
    <w:rsid w:val="00040634"/>
    <w:rsid w:val="00040A9E"/>
    <w:rsid w:val="00042619"/>
    <w:rsid w:val="00043BF0"/>
    <w:rsid w:val="00043EE4"/>
    <w:rsid w:val="0004532E"/>
    <w:rsid w:val="00045F18"/>
    <w:rsid w:val="000461E7"/>
    <w:rsid w:val="00046D7A"/>
    <w:rsid w:val="00047AE1"/>
    <w:rsid w:val="00047B8B"/>
    <w:rsid w:val="00050AF6"/>
    <w:rsid w:val="000531C9"/>
    <w:rsid w:val="0005453A"/>
    <w:rsid w:val="00054B37"/>
    <w:rsid w:val="00054EAE"/>
    <w:rsid w:val="000557FF"/>
    <w:rsid w:val="00055BE8"/>
    <w:rsid w:val="00055FC6"/>
    <w:rsid w:val="000563B4"/>
    <w:rsid w:val="000571EB"/>
    <w:rsid w:val="00061FEB"/>
    <w:rsid w:val="000645ED"/>
    <w:rsid w:val="00064786"/>
    <w:rsid w:val="0006503B"/>
    <w:rsid w:val="000665EA"/>
    <w:rsid w:val="00066911"/>
    <w:rsid w:val="00067275"/>
    <w:rsid w:val="00071322"/>
    <w:rsid w:val="00072578"/>
    <w:rsid w:val="00072ABC"/>
    <w:rsid w:val="00073233"/>
    <w:rsid w:val="00073E8E"/>
    <w:rsid w:val="000748E7"/>
    <w:rsid w:val="00074AA5"/>
    <w:rsid w:val="00076B6E"/>
    <w:rsid w:val="00076F5B"/>
    <w:rsid w:val="00077AF8"/>
    <w:rsid w:val="00077C15"/>
    <w:rsid w:val="00080214"/>
    <w:rsid w:val="000815EA"/>
    <w:rsid w:val="00081EDD"/>
    <w:rsid w:val="000836EA"/>
    <w:rsid w:val="00084035"/>
    <w:rsid w:val="00084FCF"/>
    <w:rsid w:val="00090317"/>
    <w:rsid w:val="000905B7"/>
    <w:rsid w:val="00090BF8"/>
    <w:rsid w:val="00091B12"/>
    <w:rsid w:val="000935CD"/>
    <w:rsid w:val="00094BC3"/>
    <w:rsid w:val="00095D7B"/>
    <w:rsid w:val="00095F73"/>
    <w:rsid w:val="00096147"/>
    <w:rsid w:val="0009617F"/>
    <w:rsid w:val="00097333"/>
    <w:rsid w:val="00097713"/>
    <w:rsid w:val="00097F40"/>
    <w:rsid w:val="000A1CB0"/>
    <w:rsid w:val="000A2294"/>
    <w:rsid w:val="000A3310"/>
    <w:rsid w:val="000A3882"/>
    <w:rsid w:val="000A4E84"/>
    <w:rsid w:val="000A5F0F"/>
    <w:rsid w:val="000A6959"/>
    <w:rsid w:val="000A75C3"/>
    <w:rsid w:val="000B0608"/>
    <w:rsid w:val="000B08B2"/>
    <w:rsid w:val="000B2325"/>
    <w:rsid w:val="000B30A5"/>
    <w:rsid w:val="000B3342"/>
    <w:rsid w:val="000B3C5D"/>
    <w:rsid w:val="000B484B"/>
    <w:rsid w:val="000B4BE5"/>
    <w:rsid w:val="000B4D0A"/>
    <w:rsid w:val="000B4FBB"/>
    <w:rsid w:val="000B5DAE"/>
    <w:rsid w:val="000B6732"/>
    <w:rsid w:val="000B6738"/>
    <w:rsid w:val="000B6F83"/>
    <w:rsid w:val="000B7459"/>
    <w:rsid w:val="000C0DF2"/>
    <w:rsid w:val="000C1896"/>
    <w:rsid w:val="000C1D29"/>
    <w:rsid w:val="000C1DC2"/>
    <w:rsid w:val="000C6884"/>
    <w:rsid w:val="000C6ACF"/>
    <w:rsid w:val="000C6B0A"/>
    <w:rsid w:val="000C7CAB"/>
    <w:rsid w:val="000D0EA7"/>
    <w:rsid w:val="000D0EC0"/>
    <w:rsid w:val="000D2DDA"/>
    <w:rsid w:val="000D39C6"/>
    <w:rsid w:val="000D48CE"/>
    <w:rsid w:val="000D6756"/>
    <w:rsid w:val="000D6E77"/>
    <w:rsid w:val="000D7A11"/>
    <w:rsid w:val="000D7C58"/>
    <w:rsid w:val="000E000F"/>
    <w:rsid w:val="000E03AD"/>
    <w:rsid w:val="000E07B2"/>
    <w:rsid w:val="000E0ABB"/>
    <w:rsid w:val="000E16FE"/>
    <w:rsid w:val="000E3573"/>
    <w:rsid w:val="000E4314"/>
    <w:rsid w:val="000E704C"/>
    <w:rsid w:val="000E734F"/>
    <w:rsid w:val="000E788F"/>
    <w:rsid w:val="000E7ADE"/>
    <w:rsid w:val="000F0F8F"/>
    <w:rsid w:val="000F10E5"/>
    <w:rsid w:val="000F2173"/>
    <w:rsid w:val="000F23BC"/>
    <w:rsid w:val="000F27F6"/>
    <w:rsid w:val="000F347C"/>
    <w:rsid w:val="000F4720"/>
    <w:rsid w:val="000F47AF"/>
    <w:rsid w:val="000F57F0"/>
    <w:rsid w:val="000F7E63"/>
    <w:rsid w:val="0010523F"/>
    <w:rsid w:val="00105367"/>
    <w:rsid w:val="001056D7"/>
    <w:rsid w:val="00107A53"/>
    <w:rsid w:val="001124E9"/>
    <w:rsid w:val="001127A5"/>
    <w:rsid w:val="001128D0"/>
    <w:rsid w:val="00112C2D"/>
    <w:rsid w:val="00115C50"/>
    <w:rsid w:val="001167A8"/>
    <w:rsid w:val="001167BF"/>
    <w:rsid w:val="00117856"/>
    <w:rsid w:val="00117934"/>
    <w:rsid w:val="0011798F"/>
    <w:rsid w:val="00120F5E"/>
    <w:rsid w:val="0012206B"/>
    <w:rsid w:val="00122455"/>
    <w:rsid w:val="001240F1"/>
    <w:rsid w:val="001242B4"/>
    <w:rsid w:val="00125DAA"/>
    <w:rsid w:val="001273F1"/>
    <w:rsid w:val="0013007D"/>
    <w:rsid w:val="001302B6"/>
    <w:rsid w:val="00130455"/>
    <w:rsid w:val="00131DD2"/>
    <w:rsid w:val="001340D7"/>
    <w:rsid w:val="00134AF1"/>
    <w:rsid w:val="00135168"/>
    <w:rsid w:val="001353C4"/>
    <w:rsid w:val="001355C9"/>
    <w:rsid w:val="00135991"/>
    <w:rsid w:val="001360B9"/>
    <w:rsid w:val="001419ED"/>
    <w:rsid w:val="00142228"/>
    <w:rsid w:val="00142246"/>
    <w:rsid w:val="001434AA"/>
    <w:rsid w:val="001436F8"/>
    <w:rsid w:val="00144A68"/>
    <w:rsid w:val="00144BB0"/>
    <w:rsid w:val="00145389"/>
    <w:rsid w:val="00146035"/>
    <w:rsid w:val="00150005"/>
    <w:rsid w:val="001503BF"/>
    <w:rsid w:val="00151F1E"/>
    <w:rsid w:val="0015388A"/>
    <w:rsid w:val="00153DB5"/>
    <w:rsid w:val="001545F3"/>
    <w:rsid w:val="00155085"/>
    <w:rsid w:val="0015547C"/>
    <w:rsid w:val="001556DB"/>
    <w:rsid w:val="00156EAE"/>
    <w:rsid w:val="0015728B"/>
    <w:rsid w:val="00160983"/>
    <w:rsid w:val="00160D00"/>
    <w:rsid w:val="00161553"/>
    <w:rsid w:val="00161698"/>
    <w:rsid w:val="00161DBE"/>
    <w:rsid w:val="00162A2F"/>
    <w:rsid w:val="001634C8"/>
    <w:rsid w:val="001662AD"/>
    <w:rsid w:val="0016663C"/>
    <w:rsid w:val="00167460"/>
    <w:rsid w:val="00170662"/>
    <w:rsid w:val="0017103F"/>
    <w:rsid w:val="00171342"/>
    <w:rsid w:val="001722C8"/>
    <w:rsid w:val="00172D9F"/>
    <w:rsid w:val="00172F4E"/>
    <w:rsid w:val="0017413F"/>
    <w:rsid w:val="00176976"/>
    <w:rsid w:val="00180904"/>
    <w:rsid w:val="00180E70"/>
    <w:rsid w:val="00181E4A"/>
    <w:rsid w:val="001836EC"/>
    <w:rsid w:val="00183A2D"/>
    <w:rsid w:val="001848F4"/>
    <w:rsid w:val="001856FC"/>
    <w:rsid w:val="001858DB"/>
    <w:rsid w:val="00186380"/>
    <w:rsid w:val="00186558"/>
    <w:rsid w:val="001925A4"/>
    <w:rsid w:val="00193FD3"/>
    <w:rsid w:val="00194D4E"/>
    <w:rsid w:val="00194E55"/>
    <w:rsid w:val="00195286"/>
    <w:rsid w:val="001953C7"/>
    <w:rsid w:val="001965F4"/>
    <w:rsid w:val="001968B3"/>
    <w:rsid w:val="00197345"/>
    <w:rsid w:val="00197855"/>
    <w:rsid w:val="001A0E2C"/>
    <w:rsid w:val="001A115E"/>
    <w:rsid w:val="001A12D6"/>
    <w:rsid w:val="001A17CB"/>
    <w:rsid w:val="001A2100"/>
    <w:rsid w:val="001A2124"/>
    <w:rsid w:val="001A2C96"/>
    <w:rsid w:val="001A2D60"/>
    <w:rsid w:val="001A2E90"/>
    <w:rsid w:val="001A5F2E"/>
    <w:rsid w:val="001A5FEE"/>
    <w:rsid w:val="001A6046"/>
    <w:rsid w:val="001A61FC"/>
    <w:rsid w:val="001A6ADA"/>
    <w:rsid w:val="001A71D2"/>
    <w:rsid w:val="001B0297"/>
    <w:rsid w:val="001B05A8"/>
    <w:rsid w:val="001B0B55"/>
    <w:rsid w:val="001B3ED4"/>
    <w:rsid w:val="001B523C"/>
    <w:rsid w:val="001B6675"/>
    <w:rsid w:val="001B736D"/>
    <w:rsid w:val="001B76F0"/>
    <w:rsid w:val="001C190A"/>
    <w:rsid w:val="001C2275"/>
    <w:rsid w:val="001C2291"/>
    <w:rsid w:val="001C2E11"/>
    <w:rsid w:val="001C4179"/>
    <w:rsid w:val="001C435E"/>
    <w:rsid w:val="001C4A1A"/>
    <w:rsid w:val="001C6757"/>
    <w:rsid w:val="001C702F"/>
    <w:rsid w:val="001C7F10"/>
    <w:rsid w:val="001D0CFB"/>
    <w:rsid w:val="001D1418"/>
    <w:rsid w:val="001D189E"/>
    <w:rsid w:val="001D1B8B"/>
    <w:rsid w:val="001D1DF2"/>
    <w:rsid w:val="001D361E"/>
    <w:rsid w:val="001D3B48"/>
    <w:rsid w:val="001D3D24"/>
    <w:rsid w:val="001D715E"/>
    <w:rsid w:val="001D7402"/>
    <w:rsid w:val="001E1885"/>
    <w:rsid w:val="001E1DDF"/>
    <w:rsid w:val="001E1F34"/>
    <w:rsid w:val="001E2073"/>
    <w:rsid w:val="001E3088"/>
    <w:rsid w:val="001E3672"/>
    <w:rsid w:val="001E6289"/>
    <w:rsid w:val="001E672C"/>
    <w:rsid w:val="001E6C87"/>
    <w:rsid w:val="001E706F"/>
    <w:rsid w:val="001F015F"/>
    <w:rsid w:val="001F2797"/>
    <w:rsid w:val="001F355A"/>
    <w:rsid w:val="001F392C"/>
    <w:rsid w:val="001F3A54"/>
    <w:rsid w:val="001F434F"/>
    <w:rsid w:val="001F4BB8"/>
    <w:rsid w:val="001F4F9B"/>
    <w:rsid w:val="001F4FF0"/>
    <w:rsid w:val="001F5967"/>
    <w:rsid w:val="001F5CEE"/>
    <w:rsid w:val="001F7E43"/>
    <w:rsid w:val="002022D6"/>
    <w:rsid w:val="00202479"/>
    <w:rsid w:val="002025E6"/>
    <w:rsid w:val="002031D2"/>
    <w:rsid w:val="00204340"/>
    <w:rsid w:val="00206042"/>
    <w:rsid w:val="002063CF"/>
    <w:rsid w:val="0020784F"/>
    <w:rsid w:val="00211522"/>
    <w:rsid w:val="00211DF9"/>
    <w:rsid w:val="00212616"/>
    <w:rsid w:val="00212986"/>
    <w:rsid w:val="00213CD1"/>
    <w:rsid w:val="00215F3A"/>
    <w:rsid w:val="00217156"/>
    <w:rsid w:val="00217ADB"/>
    <w:rsid w:val="00217EC3"/>
    <w:rsid w:val="00217FE2"/>
    <w:rsid w:val="00221B3D"/>
    <w:rsid w:val="002229E3"/>
    <w:rsid w:val="00222EA2"/>
    <w:rsid w:val="002235D5"/>
    <w:rsid w:val="002237E2"/>
    <w:rsid w:val="00223E83"/>
    <w:rsid w:val="002240C4"/>
    <w:rsid w:val="00224D2A"/>
    <w:rsid w:val="00225E19"/>
    <w:rsid w:val="002263EF"/>
    <w:rsid w:val="0022710F"/>
    <w:rsid w:val="002274AE"/>
    <w:rsid w:val="002310D2"/>
    <w:rsid w:val="002312E0"/>
    <w:rsid w:val="0023178E"/>
    <w:rsid w:val="00231DDF"/>
    <w:rsid w:val="00232CC0"/>
    <w:rsid w:val="00234160"/>
    <w:rsid w:val="002349D6"/>
    <w:rsid w:val="00234B7B"/>
    <w:rsid w:val="002361FE"/>
    <w:rsid w:val="00236AD1"/>
    <w:rsid w:val="00237886"/>
    <w:rsid w:val="002379E5"/>
    <w:rsid w:val="00237E2F"/>
    <w:rsid w:val="002405B3"/>
    <w:rsid w:val="00241FA5"/>
    <w:rsid w:val="00245411"/>
    <w:rsid w:val="00247CEF"/>
    <w:rsid w:val="002507E8"/>
    <w:rsid w:val="00251208"/>
    <w:rsid w:val="00251FA5"/>
    <w:rsid w:val="00252BFA"/>
    <w:rsid w:val="00254766"/>
    <w:rsid w:val="0025598F"/>
    <w:rsid w:val="00255FEF"/>
    <w:rsid w:val="00256EAC"/>
    <w:rsid w:val="00257ABC"/>
    <w:rsid w:val="00260107"/>
    <w:rsid w:val="002620D9"/>
    <w:rsid w:val="002637E7"/>
    <w:rsid w:val="0026567D"/>
    <w:rsid w:val="00267008"/>
    <w:rsid w:val="00267705"/>
    <w:rsid w:val="00270CDA"/>
    <w:rsid w:val="00272915"/>
    <w:rsid w:val="0027389C"/>
    <w:rsid w:val="00273E0E"/>
    <w:rsid w:val="00274B8C"/>
    <w:rsid w:val="002753AE"/>
    <w:rsid w:val="00277290"/>
    <w:rsid w:val="00277CDF"/>
    <w:rsid w:val="0028071A"/>
    <w:rsid w:val="00280BCD"/>
    <w:rsid w:val="00281AA8"/>
    <w:rsid w:val="00282CCD"/>
    <w:rsid w:val="0028560E"/>
    <w:rsid w:val="00286152"/>
    <w:rsid w:val="00286280"/>
    <w:rsid w:val="00287B11"/>
    <w:rsid w:val="0029112C"/>
    <w:rsid w:val="00291C48"/>
    <w:rsid w:val="00291F50"/>
    <w:rsid w:val="002921B8"/>
    <w:rsid w:val="00292566"/>
    <w:rsid w:val="002955C7"/>
    <w:rsid w:val="00296DF5"/>
    <w:rsid w:val="0029770D"/>
    <w:rsid w:val="002A0C3A"/>
    <w:rsid w:val="002A149E"/>
    <w:rsid w:val="002A19E9"/>
    <w:rsid w:val="002A1EE0"/>
    <w:rsid w:val="002A223C"/>
    <w:rsid w:val="002A2F5A"/>
    <w:rsid w:val="002A4044"/>
    <w:rsid w:val="002A424A"/>
    <w:rsid w:val="002A4E36"/>
    <w:rsid w:val="002A5F49"/>
    <w:rsid w:val="002A756B"/>
    <w:rsid w:val="002B04CB"/>
    <w:rsid w:val="002B083B"/>
    <w:rsid w:val="002B21A0"/>
    <w:rsid w:val="002B31B1"/>
    <w:rsid w:val="002B461F"/>
    <w:rsid w:val="002B4D31"/>
    <w:rsid w:val="002B5515"/>
    <w:rsid w:val="002B6A04"/>
    <w:rsid w:val="002C0CEB"/>
    <w:rsid w:val="002C12D6"/>
    <w:rsid w:val="002C2755"/>
    <w:rsid w:val="002C2F28"/>
    <w:rsid w:val="002C3027"/>
    <w:rsid w:val="002C4A8C"/>
    <w:rsid w:val="002C4F43"/>
    <w:rsid w:val="002C4F7E"/>
    <w:rsid w:val="002C66E2"/>
    <w:rsid w:val="002D0A37"/>
    <w:rsid w:val="002D0F2A"/>
    <w:rsid w:val="002D1D23"/>
    <w:rsid w:val="002D3A70"/>
    <w:rsid w:val="002D52CA"/>
    <w:rsid w:val="002D6E12"/>
    <w:rsid w:val="002E02D9"/>
    <w:rsid w:val="002E0D7C"/>
    <w:rsid w:val="002E18D5"/>
    <w:rsid w:val="002E2452"/>
    <w:rsid w:val="002E25BE"/>
    <w:rsid w:val="002E2D88"/>
    <w:rsid w:val="002E3213"/>
    <w:rsid w:val="002E3515"/>
    <w:rsid w:val="002E4108"/>
    <w:rsid w:val="002E4A80"/>
    <w:rsid w:val="002E60B1"/>
    <w:rsid w:val="002E735D"/>
    <w:rsid w:val="002E74BC"/>
    <w:rsid w:val="002F0093"/>
    <w:rsid w:val="002F0894"/>
    <w:rsid w:val="002F0B68"/>
    <w:rsid w:val="002F1ECC"/>
    <w:rsid w:val="002F2145"/>
    <w:rsid w:val="002F22B2"/>
    <w:rsid w:val="002F247E"/>
    <w:rsid w:val="002F3763"/>
    <w:rsid w:val="002F3CEE"/>
    <w:rsid w:val="002F4F2D"/>
    <w:rsid w:val="002F51F1"/>
    <w:rsid w:val="002F5370"/>
    <w:rsid w:val="00300260"/>
    <w:rsid w:val="00300BB0"/>
    <w:rsid w:val="00300E34"/>
    <w:rsid w:val="003015F6"/>
    <w:rsid w:val="00301AA0"/>
    <w:rsid w:val="003024F0"/>
    <w:rsid w:val="003032DB"/>
    <w:rsid w:val="00305224"/>
    <w:rsid w:val="0030765D"/>
    <w:rsid w:val="00307F96"/>
    <w:rsid w:val="003101AC"/>
    <w:rsid w:val="00310739"/>
    <w:rsid w:val="00311229"/>
    <w:rsid w:val="0031159C"/>
    <w:rsid w:val="0031390A"/>
    <w:rsid w:val="00314A8A"/>
    <w:rsid w:val="00314E2A"/>
    <w:rsid w:val="003150B9"/>
    <w:rsid w:val="00315D20"/>
    <w:rsid w:val="0031697C"/>
    <w:rsid w:val="00317AE1"/>
    <w:rsid w:val="00317BCE"/>
    <w:rsid w:val="00317DA9"/>
    <w:rsid w:val="0032249F"/>
    <w:rsid w:val="003227A1"/>
    <w:rsid w:val="00322E2E"/>
    <w:rsid w:val="0032614B"/>
    <w:rsid w:val="00326A30"/>
    <w:rsid w:val="00326FE9"/>
    <w:rsid w:val="0032715B"/>
    <w:rsid w:val="00331124"/>
    <w:rsid w:val="003316EB"/>
    <w:rsid w:val="00331925"/>
    <w:rsid w:val="00331EFC"/>
    <w:rsid w:val="00332236"/>
    <w:rsid w:val="003324DF"/>
    <w:rsid w:val="003333E7"/>
    <w:rsid w:val="003337EA"/>
    <w:rsid w:val="00333C2D"/>
    <w:rsid w:val="00336C8B"/>
    <w:rsid w:val="0033712C"/>
    <w:rsid w:val="0034012A"/>
    <w:rsid w:val="003403EE"/>
    <w:rsid w:val="0034061B"/>
    <w:rsid w:val="00341221"/>
    <w:rsid w:val="0034124B"/>
    <w:rsid w:val="00342312"/>
    <w:rsid w:val="003425F7"/>
    <w:rsid w:val="00343561"/>
    <w:rsid w:val="00344302"/>
    <w:rsid w:val="0034437A"/>
    <w:rsid w:val="00344710"/>
    <w:rsid w:val="003451A3"/>
    <w:rsid w:val="0034521A"/>
    <w:rsid w:val="00346197"/>
    <w:rsid w:val="00350CEC"/>
    <w:rsid w:val="00351903"/>
    <w:rsid w:val="0035409A"/>
    <w:rsid w:val="00354655"/>
    <w:rsid w:val="003621DA"/>
    <w:rsid w:val="0036232E"/>
    <w:rsid w:val="00362F9E"/>
    <w:rsid w:val="00364610"/>
    <w:rsid w:val="0036548D"/>
    <w:rsid w:val="00365518"/>
    <w:rsid w:val="00365C16"/>
    <w:rsid w:val="00365D76"/>
    <w:rsid w:val="003663BD"/>
    <w:rsid w:val="00367C42"/>
    <w:rsid w:val="00370C88"/>
    <w:rsid w:val="00371013"/>
    <w:rsid w:val="003710E4"/>
    <w:rsid w:val="00371959"/>
    <w:rsid w:val="00372E06"/>
    <w:rsid w:val="00372EE3"/>
    <w:rsid w:val="00375B6F"/>
    <w:rsid w:val="00376F3D"/>
    <w:rsid w:val="0037701B"/>
    <w:rsid w:val="003776A1"/>
    <w:rsid w:val="00380EF7"/>
    <w:rsid w:val="00382707"/>
    <w:rsid w:val="00382716"/>
    <w:rsid w:val="00382D8D"/>
    <w:rsid w:val="00384E98"/>
    <w:rsid w:val="00384EF1"/>
    <w:rsid w:val="003851BA"/>
    <w:rsid w:val="00385CEF"/>
    <w:rsid w:val="00385DCD"/>
    <w:rsid w:val="003864E9"/>
    <w:rsid w:val="00387242"/>
    <w:rsid w:val="003923A8"/>
    <w:rsid w:val="003925DB"/>
    <w:rsid w:val="00393466"/>
    <w:rsid w:val="00393E4E"/>
    <w:rsid w:val="00394C8C"/>
    <w:rsid w:val="003952FE"/>
    <w:rsid w:val="00395965"/>
    <w:rsid w:val="00396F2E"/>
    <w:rsid w:val="0039723D"/>
    <w:rsid w:val="00397278"/>
    <w:rsid w:val="00397EA0"/>
    <w:rsid w:val="003A16A5"/>
    <w:rsid w:val="003A1AEE"/>
    <w:rsid w:val="003A1BCA"/>
    <w:rsid w:val="003A2A1C"/>
    <w:rsid w:val="003A2C57"/>
    <w:rsid w:val="003A3626"/>
    <w:rsid w:val="003A3CE7"/>
    <w:rsid w:val="003A68F9"/>
    <w:rsid w:val="003B42CA"/>
    <w:rsid w:val="003B43C9"/>
    <w:rsid w:val="003B4C88"/>
    <w:rsid w:val="003B7AD5"/>
    <w:rsid w:val="003C0622"/>
    <w:rsid w:val="003C0DCB"/>
    <w:rsid w:val="003C175D"/>
    <w:rsid w:val="003C2717"/>
    <w:rsid w:val="003C2C6D"/>
    <w:rsid w:val="003C3450"/>
    <w:rsid w:val="003C36F8"/>
    <w:rsid w:val="003D04DB"/>
    <w:rsid w:val="003D0641"/>
    <w:rsid w:val="003D0A7D"/>
    <w:rsid w:val="003D120F"/>
    <w:rsid w:val="003D1CB9"/>
    <w:rsid w:val="003D23B3"/>
    <w:rsid w:val="003D2440"/>
    <w:rsid w:val="003D2F4A"/>
    <w:rsid w:val="003D446B"/>
    <w:rsid w:val="003D582D"/>
    <w:rsid w:val="003D5961"/>
    <w:rsid w:val="003D6063"/>
    <w:rsid w:val="003D6067"/>
    <w:rsid w:val="003D6C18"/>
    <w:rsid w:val="003E04C9"/>
    <w:rsid w:val="003E15C2"/>
    <w:rsid w:val="003E1737"/>
    <w:rsid w:val="003E3A91"/>
    <w:rsid w:val="003E489F"/>
    <w:rsid w:val="003E498E"/>
    <w:rsid w:val="003E4E9C"/>
    <w:rsid w:val="003E53A0"/>
    <w:rsid w:val="003E5D0B"/>
    <w:rsid w:val="003E6F55"/>
    <w:rsid w:val="003E7A1D"/>
    <w:rsid w:val="003E7B88"/>
    <w:rsid w:val="003F1297"/>
    <w:rsid w:val="003F1BA8"/>
    <w:rsid w:val="003F54B3"/>
    <w:rsid w:val="003F609D"/>
    <w:rsid w:val="003F6339"/>
    <w:rsid w:val="003F652D"/>
    <w:rsid w:val="003F67EC"/>
    <w:rsid w:val="003F6A8C"/>
    <w:rsid w:val="00401434"/>
    <w:rsid w:val="00401815"/>
    <w:rsid w:val="00401D14"/>
    <w:rsid w:val="00402F8C"/>
    <w:rsid w:val="0040332C"/>
    <w:rsid w:val="00403E87"/>
    <w:rsid w:val="00404DF3"/>
    <w:rsid w:val="0040590E"/>
    <w:rsid w:val="0040694B"/>
    <w:rsid w:val="00406AB5"/>
    <w:rsid w:val="00406FB0"/>
    <w:rsid w:val="00411D35"/>
    <w:rsid w:val="004138B4"/>
    <w:rsid w:val="00413B6B"/>
    <w:rsid w:val="00414A68"/>
    <w:rsid w:val="004165CC"/>
    <w:rsid w:val="00421176"/>
    <w:rsid w:val="00421C7A"/>
    <w:rsid w:val="00423034"/>
    <w:rsid w:val="0042397B"/>
    <w:rsid w:val="00425A3A"/>
    <w:rsid w:val="00427398"/>
    <w:rsid w:val="00430B5F"/>
    <w:rsid w:val="0043146E"/>
    <w:rsid w:val="0043244A"/>
    <w:rsid w:val="004339D1"/>
    <w:rsid w:val="00434AE9"/>
    <w:rsid w:val="004352BD"/>
    <w:rsid w:val="00435BD0"/>
    <w:rsid w:val="00436452"/>
    <w:rsid w:val="0043699E"/>
    <w:rsid w:val="00437F0E"/>
    <w:rsid w:val="00440D95"/>
    <w:rsid w:val="004416A4"/>
    <w:rsid w:val="004416C1"/>
    <w:rsid w:val="004426AD"/>
    <w:rsid w:val="0044314B"/>
    <w:rsid w:val="00443DE8"/>
    <w:rsid w:val="004447D6"/>
    <w:rsid w:val="00445663"/>
    <w:rsid w:val="004456BE"/>
    <w:rsid w:val="0044610B"/>
    <w:rsid w:val="00446BB4"/>
    <w:rsid w:val="004472E4"/>
    <w:rsid w:val="00447322"/>
    <w:rsid w:val="0044743D"/>
    <w:rsid w:val="00447B7D"/>
    <w:rsid w:val="0045190A"/>
    <w:rsid w:val="004521CE"/>
    <w:rsid w:val="00452B59"/>
    <w:rsid w:val="0045426D"/>
    <w:rsid w:val="00454AA9"/>
    <w:rsid w:val="00454C10"/>
    <w:rsid w:val="004551DD"/>
    <w:rsid w:val="00457133"/>
    <w:rsid w:val="004574AF"/>
    <w:rsid w:val="00457E15"/>
    <w:rsid w:val="00460081"/>
    <w:rsid w:val="00460C01"/>
    <w:rsid w:val="004610E5"/>
    <w:rsid w:val="00461159"/>
    <w:rsid w:val="0046272E"/>
    <w:rsid w:val="00462B37"/>
    <w:rsid w:val="00463EA1"/>
    <w:rsid w:val="00464AA1"/>
    <w:rsid w:val="004664F7"/>
    <w:rsid w:val="004721E4"/>
    <w:rsid w:val="00474122"/>
    <w:rsid w:val="00474693"/>
    <w:rsid w:val="00475897"/>
    <w:rsid w:val="00475FDE"/>
    <w:rsid w:val="00476122"/>
    <w:rsid w:val="00476536"/>
    <w:rsid w:val="004774C6"/>
    <w:rsid w:val="00480550"/>
    <w:rsid w:val="00480EE3"/>
    <w:rsid w:val="00482926"/>
    <w:rsid w:val="0048388D"/>
    <w:rsid w:val="00484164"/>
    <w:rsid w:val="0048489E"/>
    <w:rsid w:val="00484E1B"/>
    <w:rsid w:val="00485033"/>
    <w:rsid w:val="00485410"/>
    <w:rsid w:val="004874E9"/>
    <w:rsid w:val="004876D5"/>
    <w:rsid w:val="004876E3"/>
    <w:rsid w:val="004906CB"/>
    <w:rsid w:val="0049260F"/>
    <w:rsid w:val="00494496"/>
    <w:rsid w:val="0049469A"/>
    <w:rsid w:val="0049568D"/>
    <w:rsid w:val="00495CF9"/>
    <w:rsid w:val="004965A1"/>
    <w:rsid w:val="00497B5A"/>
    <w:rsid w:val="004A220E"/>
    <w:rsid w:val="004A293D"/>
    <w:rsid w:val="004A2AC2"/>
    <w:rsid w:val="004A562F"/>
    <w:rsid w:val="004A5AE4"/>
    <w:rsid w:val="004A62EB"/>
    <w:rsid w:val="004B00B4"/>
    <w:rsid w:val="004B042F"/>
    <w:rsid w:val="004B0E2C"/>
    <w:rsid w:val="004B19CF"/>
    <w:rsid w:val="004B3164"/>
    <w:rsid w:val="004B373F"/>
    <w:rsid w:val="004B398C"/>
    <w:rsid w:val="004B41DB"/>
    <w:rsid w:val="004B606A"/>
    <w:rsid w:val="004B66CB"/>
    <w:rsid w:val="004B72AC"/>
    <w:rsid w:val="004C0BBA"/>
    <w:rsid w:val="004C2F61"/>
    <w:rsid w:val="004C31B3"/>
    <w:rsid w:val="004C392E"/>
    <w:rsid w:val="004C436D"/>
    <w:rsid w:val="004C4820"/>
    <w:rsid w:val="004C4A92"/>
    <w:rsid w:val="004C4C29"/>
    <w:rsid w:val="004C506D"/>
    <w:rsid w:val="004C6AEF"/>
    <w:rsid w:val="004C6D24"/>
    <w:rsid w:val="004C7D7D"/>
    <w:rsid w:val="004C7DF0"/>
    <w:rsid w:val="004D0EAD"/>
    <w:rsid w:val="004D116A"/>
    <w:rsid w:val="004D1DDC"/>
    <w:rsid w:val="004D389C"/>
    <w:rsid w:val="004D4375"/>
    <w:rsid w:val="004D50D3"/>
    <w:rsid w:val="004D6520"/>
    <w:rsid w:val="004D6BCF"/>
    <w:rsid w:val="004E0FB9"/>
    <w:rsid w:val="004E138B"/>
    <w:rsid w:val="004E2379"/>
    <w:rsid w:val="004E2C4C"/>
    <w:rsid w:val="004E2CB3"/>
    <w:rsid w:val="004E2F84"/>
    <w:rsid w:val="004E3326"/>
    <w:rsid w:val="004E3498"/>
    <w:rsid w:val="004E398A"/>
    <w:rsid w:val="004E3B8B"/>
    <w:rsid w:val="004E6738"/>
    <w:rsid w:val="004E7254"/>
    <w:rsid w:val="004E7B4A"/>
    <w:rsid w:val="004F12C1"/>
    <w:rsid w:val="004F2392"/>
    <w:rsid w:val="004F23BC"/>
    <w:rsid w:val="004F2F99"/>
    <w:rsid w:val="004F3A6F"/>
    <w:rsid w:val="004F4703"/>
    <w:rsid w:val="004F71CB"/>
    <w:rsid w:val="004F7458"/>
    <w:rsid w:val="004F7EBE"/>
    <w:rsid w:val="00501F11"/>
    <w:rsid w:val="0050244B"/>
    <w:rsid w:val="005032EF"/>
    <w:rsid w:val="00503926"/>
    <w:rsid w:val="00503A62"/>
    <w:rsid w:val="005045FE"/>
    <w:rsid w:val="005053BA"/>
    <w:rsid w:val="00506323"/>
    <w:rsid w:val="00506A9F"/>
    <w:rsid w:val="00506EB8"/>
    <w:rsid w:val="005070FA"/>
    <w:rsid w:val="00507936"/>
    <w:rsid w:val="00512FD1"/>
    <w:rsid w:val="00514B07"/>
    <w:rsid w:val="005161D1"/>
    <w:rsid w:val="00517618"/>
    <w:rsid w:val="00517D2E"/>
    <w:rsid w:val="00521DA4"/>
    <w:rsid w:val="00522BF8"/>
    <w:rsid w:val="00523191"/>
    <w:rsid w:val="00523C30"/>
    <w:rsid w:val="00523C83"/>
    <w:rsid w:val="0052431F"/>
    <w:rsid w:val="00524579"/>
    <w:rsid w:val="00524935"/>
    <w:rsid w:val="00524F1F"/>
    <w:rsid w:val="0052582D"/>
    <w:rsid w:val="0052730B"/>
    <w:rsid w:val="005301FB"/>
    <w:rsid w:val="00530B82"/>
    <w:rsid w:val="005311C9"/>
    <w:rsid w:val="00531A44"/>
    <w:rsid w:val="00531DA7"/>
    <w:rsid w:val="00531F22"/>
    <w:rsid w:val="00533E6C"/>
    <w:rsid w:val="00535739"/>
    <w:rsid w:val="005358F3"/>
    <w:rsid w:val="00535C2B"/>
    <w:rsid w:val="005365E8"/>
    <w:rsid w:val="0053708B"/>
    <w:rsid w:val="0053760B"/>
    <w:rsid w:val="005401B1"/>
    <w:rsid w:val="00540856"/>
    <w:rsid w:val="00540E8D"/>
    <w:rsid w:val="00543367"/>
    <w:rsid w:val="00543BB4"/>
    <w:rsid w:val="005441E8"/>
    <w:rsid w:val="005449B5"/>
    <w:rsid w:val="00544BC2"/>
    <w:rsid w:val="00546871"/>
    <w:rsid w:val="00547F2E"/>
    <w:rsid w:val="005503A3"/>
    <w:rsid w:val="00550942"/>
    <w:rsid w:val="00550A07"/>
    <w:rsid w:val="0055164A"/>
    <w:rsid w:val="00551E78"/>
    <w:rsid w:val="0055509A"/>
    <w:rsid w:val="00557520"/>
    <w:rsid w:val="005578E4"/>
    <w:rsid w:val="00557C48"/>
    <w:rsid w:val="0056219B"/>
    <w:rsid w:val="0056275B"/>
    <w:rsid w:val="00562902"/>
    <w:rsid w:val="005635D7"/>
    <w:rsid w:val="00563C5E"/>
    <w:rsid w:val="00564506"/>
    <w:rsid w:val="00564A68"/>
    <w:rsid w:val="005660EC"/>
    <w:rsid w:val="0057051D"/>
    <w:rsid w:val="00571462"/>
    <w:rsid w:val="00572337"/>
    <w:rsid w:val="0057255A"/>
    <w:rsid w:val="00573B04"/>
    <w:rsid w:val="00574B32"/>
    <w:rsid w:val="00574E3A"/>
    <w:rsid w:val="00574E5A"/>
    <w:rsid w:val="00574FBB"/>
    <w:rsid w:val="005760C5"/>
    <w:rsid w:val="005770C3"/>
    <w:rsid w:val="005803C0"/>
    <w:rsid w:val="005806D6"/>
    <w:rsid w:val="00580C4B"/>
    <w:rsid w:val="00581C5D"/>
    <w:rsid w:val="005827BD"/>
    <w:rsid w:val="00583708"/>
    <w:rsid w:val="00583E30"/>
    <w:rsid w:val="00583F5D"/>
    <w:rsid w:val="00585617"/>
    <w:rsid w:val="00585D97"/>
    <w:rsid w:val="00586207"/>
    <w:rsid w:val="00586845"/>
    <w:rsid w:val="00586BBC"/>
    <w:rsid w:val="0058704D"/>
    <w:rsid w:val="005877C3"/>
    <w:rsid w:val="00587A26"/>
    <w:rsid w:val="005909D0"/>
    <w:rsid w:val="00590B87"/>
    <w:rsid w:val="00590CF6"/>
    <w:rsid w:val="00590D88"/>
    <w:rsid w:val="00591327"/>
    <w:rsid w:val="00591B25"/>
    <w:rsid w:val="00594C17"/>
    <w:rsid w:val="005954D9"/>
    <w:rsid w:val="00596729"/>
    <w:rsid w:val="00597203"/>
    <w:rsid w:val="00597679"/>
    <w:rsid w:val="00597E33"/>
    <w:rsid w:val="00597EFA"/>
    <w:rsid w:val="005A17BE"/>
    <w:rsid w:val="005A36E9"/>
    <w:rsid w:val="005A4151"/>
    <w:rsid w:val="005A41D5"/>
    <w:rsid w:val="005A4380"/>
    <w:rsid w:val="005A448E"/>
    <w:rsid w:val="005A54CD"/>
    <w:rsid w:val="005A6431"/>
    <w:rsid w:val="005A6AB3"/>
    <w:rsid w:val="005A7ECA"/>
    <w:rsid w:val="005B0CAC"/>
    <w:rsid w:val="005B1FBB"/>
    <w:rsid w:val="005B2C94"/>
    <w:rsid w:val="005B3C73"/>
    <w:rsid w:val="005B3D62"/>
    <w:rsid w:val="005B4F3E"/>
    <w:rsid w:val="005B5597"/>
    <w:rsid w:val="005B5C0E"/>
    <w:rsid w:val="005B649E"/>
    <w:rsid w:val="005B6569"/>
    <w:rsid w:val="005C18F8"/>
    <w:rsid w:val="005C25B6"/>
    <w:rsid w:val="005C5205"/>
    <w:rsid w:val="005C5836"/>
    <w:rsid w:val="005C6326"/>
    <w:rsid w:val="005C635D"/>
    <w:rsid w:val="005C6E6A"/>
    <w:rsid w:val="005D1C43"/>
    <w:rsid w:val="005D20D6"/>
    <w:rsid w:val="005D37E5"/>
    <w:rsid w:val="005D50FF"/>
    <w:rsid w:val="005D5874"/>
    <w:rsid w:val="005D7583"/>
    <w:rsid w:val="005E10EB"/>
    <w:rsid w:val="005E1240"/>
    <w:rsid w:val="005E15F6"/>
    <w:rsid w:val="005E4078"/>
    <w:rsid w:val="005E4FB3"/>
    <w:rsid w:val="005E6386"/>
    <w:rsid w:val="005E67C5"/>
    <w:rsid w:val="005E7569"/>
    <w:rsid w:val="005F0095"/>
    <w:rsid w:val="005F1AD7"/>
    <w:rsid w:val="005F1B25"/>
    <w:rsid w:val="005F27CF"/>
    <w:rsid w:val="005F2F5A"/>
    <w:rsid w:val="005F30F9"/>
    <w:rsid w:val="005F3837"/>
    <w:rsid w:val="005F3DFA"/>
    <w:rsid w:val="005F4201"/>
    <w:rsid w:val="005F5554"/>
    <w:rsid w:val="005F7351"/>
    <w:rsid w:val="00600297"/>
    <w:rsid w:val="00600372"/>
    <w:rsid w:val="006010DE"/>
    <w:rsid w:val="00602E11"/>
    <w:rsid w:val="00602E8A"/>
    <w:rsid w:val="00603D86"/>
    <w:rsid w:val="00603D9D"/>
    <w:rsid w:val="00604272"/>
    <w:rsid w:val="00604935"/>
    <w:rsid w:val="00604D11"/>
    <w:rsid w:val="0060544F"/>
    <w:rsid w:val="00605F9A"/>
    <w:rsid w:val="006066BC"/>
    <w:rsid w:val="00607DD6"/>
    <w:rsid w:val="006134C2"/>
    <w:rsid w:val="00613A01"/>
    <w:rsid w:val="006143FE"/>
    <w:rsid w:val="00615E61"/>
    <w:rsid w:val="006172B8"/>
    <w:rsid w:val="00617370"/>
    <w:rsid w:val="00617850"/>
    <w:rsid w:val="006179F5"/>
    <w:rsid w:val="00617C95"/>
    <w:rsid w:val="00620101"/>
    <w:rsid w:val="00620AFA"/>
    <w:rsid w:val="00622D33"/>
    <w:rsid w:val="006232D9"/>
    <w:rsid w:val="00623742"/>
    <w:rsid w:val="006249B9"/>
    <w:rsid w:val="0062541D"/>
    <w:rsid w:val="006255C1"/>
    <w:rsid w:val="00625B60"/>
    <w:rsid w:val="00625E34"/>
    <w:rsid w:val="006267B9"/>
    <w:rsid w:val="0062724E"/>
    <w:rsid w:val="00630D11"/>
    <w:rsid w:val="00630F33"/>
    <w:rsid w:val="00631662"/>
    <w:rsid w:val="0063205C"/>
    <w:rsid w:val="00632310"/>
    <w:rsid w:val="00632B25"/>
    <w:rsid w:val="00634E74"/>
    <w:rsid w:val="00635867"/>
    <w:rsid w:val="00635B2C"/>
    <w:rsid w:val="00635E43"/>
    <w:rsid w:val="00635FD8"/>
    <w:rsid w:val="00640ABA"/>
    <w:rsid w:val="00640B14"/>
    <w:rsid w:val="006417C1"/>
    <w:rsid w:val="00642870"/>
    <w:rsid w:val="00644CD3"/>
    <w:rsid w:val="00647AC3"/>
    <w:rsid w:val="00647B2A"/>
    <w:rsid w:val="00650CF7"/>
    <w:rsid w:val="00651F33"/>
    <w:rsid w:val="0065245D"/>
    <w:rsid w:val="006529EA"/>
    <w:rsid w:val="00653046"/>
    <w:rsid w:val="00654901"/>
    <w:rsid w:val="00654E66"/>
    <w:rsid w:val="0065553D"/>
    <w:rsid w:val="00655865"/>
    <w:rsid w:val="00656B2E"/>
    <w:rsid w:val="00657541"/>
    <w:rsid w:val="00661D19"/>
    <w:rsid w:val="00662287"/>
    <w:rsid w:val="006628BD"/>
    <w:rsid w:val="00664FB2"/>
    <w:rsid w:val="006653EB"/>
    <w:rsid w:val="006654AF"/>
    <w:rsid w:val="00665F1F"/>
    <w:rsid w:val="00666F14"/>
    <w:rsid w:val="00672892"/>
    <w:rsid w:val="00674FE3"/>
    <w:rsid w:val="0067533F"/>
    <w:rsid w:val="00675AAF"/>
    <w:rsid w:val="00676A0C"/>
    <w:rsid w:val="00677089"/>
    <w:rsid w:val="00677A82"/>
    <w:rsid w:val="00677E68"/>
    <w:rsid w:val="006809DE"/>
    <w:rsid w:val="006818C8"/>
    <w:rsid w:val="00681F58"/>
    <w:rsid w:val="00682B81"/>
    <w:rsid w:val="00682D66"/>
    <w:rsid w:val="00682DBC"/>
    <w:rsid w:val="006834D7"/>
    <w:rsid w:val="00685DC9"/>
    <w:rsid w:val="00690442"/>
    <w:rsid w:val="00690ED0"/>
    <w:rsid w:val="0069121D"/>
    <w:rsid w:val="00691399"/>
    <w:rsid w:val="00692AA2"/>
    <w:rsid w:val="00692B14"/>
    <w:rsid w:val="00693823"/>
    <w:rsid w:val="00693A32"/>
    <w:rsid w:val="0069441E"/>
    <w:rsid w:val="00695D71"/>
    <w:rsid w:val="006974E7"/>
    <w:rsid w:val="0069783D"/>
    <w:rsid w:val="006979D5"/>
    <w:rsid w:val="006A06FE"/>
    <w:rsid w:val="006A45B6"/>
    <w:rsid w:val="006A637E"/>
    <w:rsid w:val="006A6A5E"/>
    <w:rsid w:val="006B1E28"/>
    <w:rsid w:val="006B2493"/>
    <w:rsid w:val="006B4BD0"/>
    <w:rsid w:val="006B5285"/>
    <w:rsid w:val="006C03E8"/>
    <w:rsid w:val="006C04C0"/>
    <w:rsid w:val="006C09F1"/>
    <w:rsid w:val="006C0B89"/>
    <w:rsid w:val="006C0DB4"/>
    <w:rsid w:val="006C1C1E"/>
    <w:rsid w:val="006C43E9"/>
    <w:rsid w:val="006C4451"/>
    <w:rsid w:val="006C4B9B"/>
    <w:rsid w:val="006C4BC6"/>
    <w:rsid w:val="006C4C0B"/>
    <w:rsid w:val="006C4C80"/>
    <w:rsid w:val="006C54C7"/>
    <w:rsid w:val="006C58CD"/>
    <w:rsid w:val="006C58F9"/>
    <w:rsid w:val="006C5B3C"/>
    <w:rsid w:val="006C7C54"/>
    <w:rsid w:val="006D05BF"/>
    <w:rsid w:val="006D3C00"/>
    <w:rsid w:val="006D41FA"/>
    <w:rsid w:val="006D5B5D"/>
    <w:rsid w:val="006D75F2"/>
    <w:rsid w:val="006E13E7"/>
    <w:rsid w:val="006E152D"/>
    <w:rsid w:val="006E295A"/>
    <w:rsid w:val="006E30E7"/>
    <w:rsid w:val="006E3467"/>
    <w:rsid w:val="006E5FA9"/>
    <w:rsid w:val="006E62A2"/>
    <w:rsid w:val="006E68BA"/>
    <w:rsid w:val="006E6C7F"/>
    <w:rsid w:val="006E70A9"/>
    <w:rsid w:val="006E7824"/>
    <w:rsid w:val="006E7861"/>
    <w:rsid w:val="006E7D5A"/>
    <w:rsid w:val="006F0896"/>
    <w:rsid w:val="006F09AF"/>
    <w:rsid w:val="006F4473"/>
    <w:rsid w:val="006F690B"/>
    <w:rsid w:val="00700012"/>
    <w:rsid w:val="00700133"/>
    <w:rsid w:val="00701CF8"/>
    <w:rsid w:val="00702C5C"/>
    <w:rsid w:val="00703050"/>
    <w:rsid w:val="007038FB"/>
    <w:rsid w:val="00703AAA"/>
    <w:rsid w:val="00703EFE"/>
    <w:rsid w:val="007042C6"/>
    <w:rsid w:val="00704722"/>
    <w:rsid w:val="00705217"/>
    <w:rsid w:val="00706849"/>
    <w:rsid w:val="0071156B"/>
    <w:rsid w:val="007115A1"/>
    <w:rsid w:val="00711BA5"/>
    <w:rsid w:val="007155FF"/>
    <w:rsid w:val="00720AF2"/>
    <w:rsid w:val="00722A12"/>
    <w:rsid w:val="0072303A"/>
    <w:rsid w:val="007239B6"/>
    <w:rsid w:val="00724BC5"/>
    <w:rsid w:val="007257C2"/>
    <w:rsid w:val="00726069"/>
    <w:rsid w:val="0072612C"/>
    <w:rsid w:val="00726DD1"/>
    <w:rsid w:val="00727071"/>
    <w:rsid w:val="00730E81"/>
    <w:rsid w:val="00731DAD"/>
    <w:rsid w:val="0073257F"/>
    <w:rsid w:val="00732CE8"/>
    <w:rsid w:val="00732D90"/>
    <w:rsid w:val="00732EA1"/>
    <w:rsid w:val="007357A4"/>
    <w:rsid w:val="00735DFA"/>
    <w:rsid w:val="007370E4"/>
    <w:rsid w:val="0073713E"/>
    <w:rsid w:val="00737684"/>
    <w:rsid w:val="00740A34"/>
    <w:rsid w:val="00740F7F"/>
    <w:rsid w:val="007418C2"/>
    <w:rsid w:val="00741AE2"/>
    <w:rsid w:val="007425C4"/>
    <w:rsid w:val="00742846"/>
    <w:rsid w:val="00745810"/>
    <w:rsid w:val="0074652F"/>
    <w:rsid w:val="00747A67"/>
    <w:rsid w:val="007500F5"/>
    <w:rsid w:val="00750DB3"/>
    <w:rsid w:val="00750DFB"/>
    <w:rsid w:val="0075219B"/>
    <w:rsid w:val="00754F53"/>
    <w:rsid w:val="007552C0"/>
    <w:rsid w:val="00756099"/>
    <w:rsid w:val="007560F6"/>
    <w:rsid w:val="007568A9"/>
    <w:rsid w:val="00757251"/>
    <w:rsid w:val="00761473"/>
    <w:rsid w:val="00762E4B"/>
    <w:rsid w:val="00763740"/>
    <w:rsid w:val="0076437A"/>
    <w:rsid w:val="00765382"/>
    <w:rsid w:val="007667EB"/>
    <w:rsid w:val="00767A01"/>
    <w:rsid w:val="007701B0"/>
    <w:rsid w:val="00770F7E"/>
    <w:rsid w:val="007719A9"/>
    <w:rsid w:val="00772312"/>
    <w:rsid w:val="00773897"/>
    <w:rsid w:val="00773B49"/>
    <w:rsid w:val="0077472F"/>
    <w:rsid w:val="00775FA7"/>
    <w:rsid w:val="0077689A"/>
    <w:rsid w:val="00777B13"/>
    <w:rsid w:val="00781021"/>
    <w:rsid w:val="007811C0"/>
    <w:rsid w:val="00781572"/>
    <w:rsid w:val="00782265"/>
    <w:rsid w:val="00782C34"/>
    <w:rsid w:val="007832DD"/>
    <w:rsid w:val="00786403"/>
    <w:rsid w:val="00787EFD"/>
    <w:rsid w:val="00787F4A"/>
    <w:rsid w:val="007919DA"/>
    <w:rsid w:val="00791E5F"/>
    <w:rsid w:val="0079237F"/>
    <w:rsid w:val="00793525"/>
    <w:rsid w:val="00795534"/>
    <w:rsid w:val="007A1426"/>
    <w:rsid w:val="007A18F5"/>
    <w:rsid w:val="007A29EF"/>
    <w:rsid w:val="007A317E"/>
    <w:rsid w:val="007A5726"/>
    <w:rsid w:val="007A6091"/>
    <w:rsid w:val="007A73A0"/>
    <w:rsid w:val="007A7F8D"/>
    <w:rsid w:val="007B0105"/>
    <w:rsid w:val="007B033E"/>
    <w:rsid w:val="007B03A5"/>
    <w:rsid w:val="007B1C45"/>
    <w:rsid w:val="007B2C09"/>
    <w:rsid w:val="007B70DB"/>
    <w:rsid w:val="007C04C0"/>
    <w:rsid w:val="007C13F6"/>
    <w:rsid w:val="007C1CBF"/>
    <w:rsid w:val="007C20CC"/>
    <w:rsid w:val="007C229D"/>
    <w:rsid w:val="007C310D"/>
    <w:rsid w:val="007C3218"/>
    <w:rsid w:val="007C4696"/>
    <w:rsid w:val="007C5946"/>
    <w:rsid w:val="007C773F"/>
    <w:rsid w:val="007D0B38"/>
    <w:rsid w:val="007D2078"/>
    <w:rsid w:val="007D2E91"/>
    <w:rsid w:val="007D340A"/>
    <w:rsid w:val="007D62C1"/>
    <w:rsid w:val="007D68C8"/>
    <w:rsid w:val="007E024F"/>
    <w:rsid w:val="007E0BF5"/>
    <w:rsid w:val="007E13F8"/>
    <w:rsid w:val="007E1ED1"/>
    <w:rsid w:val="007E220D"/>
    <w:rsid w:val="007E2C3A"/>
    <w:rsid w:val="007E42FB"/>
    <w:rsid w:val="007E44C8"/>
    <w:rsid w:val="007E5CA8"/>
    <w:rsid w:val="007E6DA2"/>
    <w:rsid w:val="007F0A2F"/>
    <w:rsid w:val="007F22CC"/>
    <w:rsid w:val="007F2F39"/>
    <w:rsid w:val="007F30F1"/>
    <w:rsid w:val="007F35BC"/>
    <w:rsid w:val="007F38A8"/>
    <w:rsid w:val="007F5850"/>
    <w:rsid w:val="007F6616"/>
    <w:rsid w:val="007F6BD5"/>
    <w:rsid w:val="007F7D2F"/>
    <w:rsid w:val="008014D9"/>
    <w:rsid w:val="00801DDB"/>
    <w:rsid w:val="00803069"/>
    <w:rsid w:val="008039EF"/>
    <w:rsid w:val="00807169"/>
    <w:rsid w:val="00807590"/>
    <w:rsid w:val="00811542"/>
    <w:rsid w:val="0081470B"/>
    <w:rsid w:val="00815AB0"/>
    <w:rsid w:val="00815DE9"/>
    <w:rsid w:val="00816E40"/>
    <w:rsid w:val="00817C15"/>
    <w:rsid w:val="0082177D"/>
    <w:rsid w:val="008218C4"/>
    <w:rsid w:val="0082263A"/>
    <w:rsid w:val="0082327C"/>
    <w:rsid w:val="00823483"/>
    <w:rsid w:val="00824F95"/>
    <w:rsid w:val="008256BB"/>
    <w:rsid w:val="00826D0D"/>
    <w:rsid w:val="008309A8"/>
    <w:rsid w:val="00830C40"/>
    <w:rsid w:val="00831322"/>
    <w:rsid w:val="008325D8"/>
    <w:rsid w:val="00832D7C"/>
    <w:rsid w:val="00833EE2"/>
    <w:rsid w:val="008376B7"/>
    <w:rsid w:val="008402FE"/>
    <w:rsid w:val="00840CCF"/>
    <w:rsid w:val="00843CDB"/>
    <w:rsid w:val="00845627"/>
    <w:rsid w:val="0084690D"/>
    <w:rsid w:val="00847246"/>
    <w:rsid w:val="008510C8"/>
    <w:rsid w:val="00851B81"/>
    <w:rsid w:val="008521FC"/>
    <w:rsid w:val="00853CF7"/>
    <w:rsid w:val="00854351"/>
    <w:rsid w:val="008549D3"/>
    <w:rsid w:val="00854A74"/>
    <w:rsid w:val="00854AD3"/>
    <w:rsid w:val="00854EC2"/>
    <w:rsid w:val="008559A4"/>
    <w:rsid w:val="00855D52"/>
    <w:rsid w:val="008561EA"/>
    <w:rsid w:val="00856DBE"/>
    <w:rsid w:val="008613C1"/>
    <w:rsid w:val="00861602"/>
    <w:rsid w:val="00861B5E"/>
    <w:rsid w:val="00862332"/>
    <w:rsid w:val="00863AE6"/>
    <w:rsid w:val="00864009"/>
    <w:rsid w:val="0086592B"/>
    <w:rsid w:val="00867619"/>
    <w:rsid w:val="00870123"/>
    <w:rsid w:val="00870D87"/>
    <w:rsid w:val="00871AF4"/>
    <w:rsid w:val="00872A7C"/>
    <w:rsid w:val="0087457B"/>
    <w:rsid w:val="00874B9F"/>
    <w:rsid w:val="00875A6E"/>
    <w:rsid w:val="00876B83"/>
    <w:rsid w:val="0087795B"/>
    <w:rsid w:val="00877EE9"/>
    <w:rsid w:val="0088048C"/>
    <w:rsid w:val="00881C93"/>
    <w:rsid w:val="00881D94"/>
    <w:rsid w:val="00882495"/>
    <w:rsid w:val="00882F69"/>
    <w:rsid w:val="00883864"/>
    <w:rsid w:val="00883B9F"/>
    <w:rsid w:val="00884081"/>
    <w:rsid w:val="00886900"/>
    <w:rsid w:val="00886F1A"/>
    <w:rsid w:val="00887AC9"/>
    <w:rsid w:val="00887CA7"/>
    <w:rsid w:val="008917DD"/>
    <w:rsid w:val="00892C84"/>
    <w:rsid w:val="00894EBB"/>
    <w:rsid w:val="00895E6B"/>
    <w:rsid w:val="00895EB6"/>
    <w:rsid w:val="00896276"/>
    <w:rsid w:val="008A03B0"/>
    <w:rsid w:val="008A0683"/>
    <w:rsid w:val="008A12B8"/>
    <w:rsid w:val="008A3D45"/>
    <w:rsid w:val="008A3F24"/>
    <w:rsid w:val="008A53CD"/>
    <w:rsid w:val="008A5421"/>
    <w:rsid w:val="008A635A"/>
    <w:rsid w:val="008A6662"/>
    <w:rsid w:val="008A710E"/>
    <w:rsid w:val="008B0020"/>
    <w:rsid w:val="008B00A8"/>
    <w:rsid w:val="008B1084"/>
    <w:rsid w:val="008B1312"/>
    <w:rsid w:val="008B16AB"/>
    <w:rsid w:val="008B33B3"/>
    <w:rsid w:val="008B481F"/>
    <w:rsid w:val="008B7CB1"/>
    <w:rsid w:val="008B7EC3"/>
    <w:rsid w:val="008C02F0"/>
    <w:rsid w:val="008C08D2"/>
    <w:rsid w:val="008C195B"/>
    <w:rsid w:val="008C1D97"/>
    <w:rsid w:val="008C2955"/>
    <w:rsid w:val="008C2E5B"/>
    <w:rsid w:val="008C61F3"/>
    <w:rsid w:val="008D01C4"/>
    <w:rsid w:val="008D02EB"/>
    <w:rsid w:val="008D0CE0"/>
    <w:rsid w:val="008D141C"/>
    <w:rsid w:val="008D4175"/>
    <w:rsid w:val="008D46EA"/>
    <w:rsid w:val="008D4B0D"/>
    <w:rsid w:val="008D5704"/>
    <w:rsid w:val="008D6047"/>
    <w:rsid w:val="008D6488"/>
    <w:rsid w:val="008D76A2"/>
    <w:rsid w:val="008D79FF"/>
    <w:rsid w:val="008E0D98"/>
    <w:rsid w:val="008E1642"/>
    <w:rsid w:val="008E1A92"/>
    <w:rsid w:val="008E3A3A"/>
    <w:rsid w:val="008E3B5E"/>
    <w:rsid w:val="008E46C9"/>
    <w:rsid w:val="008E5104"/>
    <w:rsid w:val="008E57A5"/>
    <w:rsid w:val="008E6E51"/>
    <w:rsid w:val="008E7583"/>
    <w:rsid w:val="008F0B9E"/>
    <w:rsid w:val="008F0FF1"/>
    <w:rsid w:val="008F16BC"/>
    <w:rsid w:val="008F2107"/>
    <w:rsid w:val="008F2262"/>
    <w:rsid w:val="008F3745"/>
    <w:rsid w:val="008F5948"/>
    <w:rsid w:val="008F5AC9"/>
    <w:rsid w:val="008F60A4"/>
    <w:rsid w:val="008F629E"/>
    <w:rsid w:val="008F65AD"/>
    <w:rsid w:val="008F6D3D"/>
    <w:rsid w:val="00900C70"/>
    <w:rsid w:val="0090143B"/>
    <w:rsid w:val="0090170D"/>
    <w:rsid w:val="00901FB9"/>
    <w:rsid w:val="009021DE"/>
    <w:rsid w:val="00903318"/>
    <w:rsid w:val="00903553"/>
    <w:rsid w:val="00905994"/>
    <w:rsid w:val="009063F4"/>
    <w:rsid w:val="00906CA7"/>
    <w:rsid w:val="00907E04"/>
    <w:rsid w:val="00907FF9"/>
    <w:rsid w:val="00912F15"/>
    <w:rsid w:val="009131A1"/>
    <w:rsid w:val="009135E0"/>
    <w:rsid w:val="00913F5F"/>
    <w:rsid w:val="00915298"/>
    <w:rsid w:val="0091686A"/>
    <w:rsid w:val="00916A75"/>
    <w:rsid w:val="00916FA7"/>
    <w:rsid w:val="00920AD6"/>
    <w:rsid w:val="00921167"/>
    <w:rsid w:val="00921348"/>
    <w:rsid w:val="00921A36"/>
    <w:rsid w:val="00921F25"/>
    <w:rsid w:val="00923903"/>
    <w:rsid w:val="00925047"/>
    <w:rsid w:val="00925B0A"/>
    <w:rsid w:val="00925C3D"/>
    <w:rsid w:val="00926AA4"/>
    <w:rsid w:val="00927293"/>
    <w:rsid w:val="00934D27"/>
    <w:rsid w:val="00937581"/>
    <w:rsid w:val="00940465"/>
    <w:rsid w:val="00940663"/>
    <w:rsid w:val="009408D3"/>
    <w:rsid w:val="00941631"/>
    <w:rsid w:val="009417EE"/>
    <w:rsid w:val="00941AE0"/>
    <w:rsid w:val="00944315"/>
    <w:rsid w:val="00945A81"/>
    <w:rsid w:val="00945FF8"/>
    <w:rsid w:val="00946345"/>
    <w:rsid w:val="00947B6B"/>
    <w:rsid w:val="00952270"/>
    <w:rsid w:val="00952655"/>
    <w:rsid w:val="00953316"/>
    <w:rsid w:val="00953585"/>
    <w:rsid w:val="00954D28"/>
    <w:rsid w:val="0095646C"/>
    <w:rsid w:val="00956A02"/>
    <w:rsid w:val="00957C4B"/>
    <w:rsid w:val="0096001A"/>
    <w:rsid w:val="00960122"/>
    <w:rsid w:val="009601B7"/>
    <w:rsid w:val="00961C2C"/>
    <w:rsid w:val="00964C4B"/>
    <w:rsid w:val="009650EB"/>
    <w:rsid w:val="00965FE7"/>
    <w:rsid w:val="009664EC"/>
    <w:rsid w:val="0096704A"/>
    <w:rsid w:val="00970136"/>
    <w:rsid w:val="00971FEB"/>
    <w:rsid w:val="00972389"/>
    <w:rsid w:val="00972D45"/>
    <w:rsid w:val="009750E8"/>
    <w:rsid w:val="009759F7"/>
    <w:rsid w:val="00976D28"/>
    <w:rsid w:val="0097737A"/>
    <w:rsid w:val="009777A1"/>
    <w:rsid w:val="009815F7"/>
    <w:rsid w:val="00981834"/>
    <w:rsid w:val="00984871"/>
    <w:rsid w:val="0098636C"/>
    <w:rsid w:val="00986410"/>
    <w:rsid w:val="00986A20"/>
    <w:rsid w:val="00987B01"/>
    <w:rsid w:val="00987D45"/>
    <w:rsid w:val="00990A89"/>
    <w:rsid w:val="00991E9A"/>
    <w:rsid w:val="009939AB"/>
    <w:rsid w:val="00994307"/>
    <w:rsid w:val="00995D29"/>
    <w:rsid w:val="00996C72"/>
    <w:rsid w:val="00997440"/>
    <w:rsid w:val="00997627"/>
    <w:rsid w:val="009976D3"/>
    <w:rsid w:val="009A0737"/>
    <w:rsid w:val="009A0D87"/>
    <w:rsid w:val="009A243E"/>
    <w:rsid w:val="009A253F"/>
    <w:rsid w:val="009A303D"/>
    <w:rsid w:val="009A5131"/>
    <w:rsid w:val="009A51DC"/>
    <w:rsid w:val="009A5D9B"/>
    <w:rsid w:val="009A64D7"/>
    <w:rsid w:val="009A75DB"/>
    <w:rsid w:val="009A7B0A"/>
    <w:rsid w:val="009B2BC3"/>
    <w:rsid w:val="009B3F6C"/>
    <w:rsid w:val="009B4AF9"/>
    <w:rsid w:val="009B4CEF"/>
    <w:rsid w:val="009B5D56"/>
    <w:rsid w:val="009B673D"/>
    <w:rsid w:val="009B6E8C"/>
    <w:rsid w:val="009B6EE1"/>
    <w:rsid w:val="009C043C"/>
    <w:rsid w:val="009C1F92"/>
    <w:rsid w:val="009C3D8B"/>
    <w:rsid w:val="009C41EC"/>
    <w:rsid w:val="009C5934"/>
    <w:rsid w:val="009C5C61"/>
    <w:rsid w:val="009C6879"/>
    <w:rsid w:val="009C6990"/>
    <w:rsid w:val="009C7311"/>
    <w:rsid w:val="009C7687"/>
    <w:rsid w:val="009C79C4"/>
    <w:rsid w:val="009D04FC"/>
    <w:rsid w:val="009D10C6"/>
    <w:rsid w:val="009D1340"/>
    <w:rsid w:val="009D333E"/>
    <w:rsid w:val="009D3A39"/>
    <w:rsid w:val="009D3E2C"/>
    <w:rsid w:val="009D6920"/>
    <w:rsid w:val="009D7241"/>
    <w:rsid w:val="009D7B59"/>
    <w:rsid w:val="009E0D13"/>
    <w:rsid w:val="009E1769"/>
    <w:rsid w:val="009E25EA"/>
    <w:rsid w:val="009E480D"/>
    <w:rsid w:val="009E484A"/>
    <w:rsid w:val="009F2085"/>
    <w:rsid w:val="009F32E7"/>
    <w:rsid w:val="009F3590"/>
    <w:rsid w:val="009F4341"/>
    <w:rsid w:val="009F43F1"/>
    <w:rsid w:val="009F55F0"/>
    <w:rsid w:val="009F5FA9"/>
    <w:rsid w:val="009F6330"/>
    <w:rsid w:val="009F66CE"/>
    <w:rsid w:val="009F6B7B"/>
    <w:rsid w:val="009F7A98"/>
    <w:rsid w:val="00A00351"/>
    <w:rsid w:val="00A003DA"/>
    <w:rsid w:val="00A0134F"/>
    <w:rsid w:val="00A01E56"/>
    <w:rsid w:val="00A0256F"/>
    <w:rsid w:val="00A03BEA"/>
    <w:rsid w:val="00A04C27"/>
    <w:rsid w:val="00A06661"/>
    <w:rsid w:val="00A07288"/>
    <w:rsid w:val="00A10112"/>
    <w:rsid w:val="00A11625"/>
    <w:rsid w:val="00A1198A"/>
    <w:rsid w:val="00A129A0"/>
    <w:rsid w:val="00A13E45"/>
    <w:rsid w:val="00A15DBD"/>
    <w:rsid w:val="00A1622F"/>
    <w:rsid w:val="00A165DD"/>
    <w:rsid w:val="00A16F56"/>
    <w:rsid w:val="00A1770D"/>
    <w:rsid w:val="00A20002"/>
    <w:rsid w:val="00A215E5"/>
    <w:rsid w:val="00A2270B"/>
    <w:rsid w:val="00A23015"/>
    <w:rsid w:val="00A25A9F"/>
    <w:rsid w:val="00A264C4"/>
    <w:rsid w:val="00A31E55"/>
    <w:rsid w:val="00A40933"/>
    <w:rsid w:val="00A42B82"/>
    <w:rsid w:val="00A43222"/>
    <w:rsid w:val="00A439FE"/>
    <w:rsid w:val="00A43E14"/>
    <w:rsid w:val="00A441EC"/>
    <w:rsid w:val="00A46DE8"/>
    <w:rsid w:val="00A46F51"/>
    <w:rsid w:val="00A4714D"/>
    <w:rsid w:val="00A47DA1"/>
    <w:rsid w:val="00A50C65"/>
    <w:rsid w:val="00A51C56"/>
    <w:rsid w:val="00A52550"/>
    <w:rsid w:val="00A529C2"/>
    <w:rsid w:val="00A52B68"/>
    <w:rsid w:val="00A5357F"/>
    <w:rsid w:val="00A54B24"/>
    <w:rsid w:val="00A55182"/>
    <w:rsid w:val="00A56264"/>
    <w:rsid w:val="00A5720C"/>
    <w:rsid w:val="00A57248"/>
    <w:rsid w:val="00A6025D"/>
    <w:rsid w:val="00A61C78"/>
    <w:rsid w:val="00A61DEB"/>
    <w:rsid w:val="00A634DE"/>
    <w:rsid w:val="00A6398D"/>
    <w:rsid w:val="00A6535D"/>
    <w:rsid w:val="00A662B9"/>
    <w:rsid w:val="00A66907"/>
    <w:rsid w:val="00A67E85"/>
    <w:rsid w:val="00A7088C"/>
    <w:rsid w:val="00A723DA"/>
    <w:rsid w:val="00A726B8"/>
    <w:rsid w:val="00A72BB4"/>
    <w:rsid w:val="00A73907"/>
    <w:rsid w:val="00A75C92"/>
    <w:rsid w:val="00A75D9F"/>
    <w:rsid w:val="00A762F9"/>
    <w:rsid w:val="00A76DA7"/>
    <w:rsid w:val="00A76E6B"/>
    <w:rsid w:val="00A826CB"/>
    <w:rsid w:val="00A83DED"/>
    <w:rsid w:val="00A852D2"/>
    <w:rsid w:val="00A8572A"/>
    <w:rsid w:val="00A86097"/>
    <w:rsid w:val="00A86744"/>
    <w:rsid w:val="00A90391"/>
    <w:rsid w:val="00A9039C"/>
    <w:rsid w:val="00A91531"/>
    <w:rsid w:val="00A9183F"/>
    <w:rsid w:val="00A91AEB"/>
    <w:rsid w:val="00A91D07"/>
    <w:rsid w:val="00A9381D"/>
    <w:rsid w:val="00A94848"/>
    <w:rsid w:val="00A94B72"/>
    <w:rsid w:val="00A94C61"/>
    <w:rsid w:val="00A94FE9"/>
    <w:rsid w:val="00A9557B"/>
    <w:rsid w:val="00A96682"/>
    <w:rsid w:val="00A96CD7"/>
    <w:rsid w:val="00A97DBD"/>
    <w:rsid w:val="00AA0CE2"/>
    <w:rsid w:val="00AA0D80"/>
    <w:rsid w:val="00AA126F"/>
    <w:rsid w:val="00AA1EAD"/>
    <w:rsid w:val="00AA31BD"/>
    <w:rsid w:val="00AA41A5"/>
    <w:rsid w:val="00AA5CD7"/>
    <w:rsid w:val="00AA6065"/>
    <w:rsid w:val="00AA63FD"/>
    <w:rsid w:val="00AA6A08"/>
    <w:rsid w:val="00AA6ECD"/>
    <w:rsid w:val="00AA7D16"/>
    <w:rsid w:val="00AB0B1A"/>
    <w:rsid w:val="00AB0FAF"/>
    <w:rsid w:val="00AB29D1"/>
    <w:rsid w:val="00AB2EDA"/>
    <w:rsid w:val="00AB306D"/>
    <w:rsid w:val="00AB4378"/>
    <w:rsid w:val="00AB578F"/>
    <w:rsid w:val="00AB5F74"/>
    <w:rsid w:val="00AB60E1"/>
    <w:rsid w:val="00AB6ECB"/>
    <w:rsid w:val="00AB7E2F"/>
    <w:rsid w:val="00AC1E1F"/>
    <w:rsid w:val="00AC31E1"/>
    <w:rsid w:val="00AC4382"/>
    <w:rsid w:val="00AC4D9E"/>
    <w:rsid w:val="00AD1C20"/>
    <w:rsid w:val="00AD2234"/>
    <w:rsid w:val="00AD2D3F"/>
    <w:rsid w:val="00AD3497"/>
    <w:rsid w:val="00AD3DFA"/>
    <w:rsid w:val="00AD426A"/>
    <w:rsid w:val="00AD4E36"/>
    <w:rsid w:val="00AD695F"/>
    <w:rsid w:val="00AE2A7B"/>
    <w:rsid w:val="00AE3394"/>
    <w:rsid w:val="00AE37BA"/>
    <w:rsid w:val="00AE3BEC"/>
    <w:rsid w:val="00AE3CCA"/>
    <w:rsid w:val="00AE4A0D"/>
    <w:rsid w:val="00AF17E2"/>
    <w:rsid w:val="00AF341A"/>
    <w:rsid w:val="00AF3446"/>
    <w:rsid w:val="00AF52B8"/>
    <w:rsid w:val="00AF52E6"/>
    <w:rsid w:val="00AF599D"/>
    <w:rsid w:val="00AF6B37"/>
    <w:rsid w:val="00AF6F59"/>
    <w:rsid w:val="00AF746A"/>
    <w:rsid w:val="00AF7676"/>
    <w:rsid w:val="00B00092"/>
    <w:rsid w:val="00B005B4"/>
    <w:rsid w:val="00B00D1B"/>
    <w:rsid w:val="00B01B45"/>
    <w:rsid w:val="00B021D6"/>
    <w:rsid w:val="00B023FE"/>
    <w:rsid w:val="00B029A2"/>
    <w:rsid w:val="00B02A6D"/>
    <w:rsid w:val="00B02F78"/>
    <w:rsid w:val="00B038CD"/>
    <w:rsid w:val="00B0397E"/>
    <w:rsid w:val="00B04C6B"/>
    <w:rsid w:val="00B0723B"/>
    <w:rsid w:val="00B073AC"/>
    <w:rsid w:val="00B07713"/>
    <w:rsid w:val="00B10325"/>
    <w:rsid w:val="00B1116B"/>
    <w:rsid w:val="00B11903"/>
    <w:rsid w:val="00B11FCE"/>
    <w:rsid w:val="00B137F1"/>
    <w:rsid w:val="00B1644E"/>
    <w:rsid w:val="00B17657"/>
    <w:rsid w:val="00B20186"/>
    <w:rsid w:val="00B207C8"/>
    <w:rsid w:val="00B22DC8"/>
    <w:rsid w:val="00B22FE2"/>
    <w:rsid w:val="00B2397B"/>
    <w:rsid w:val="00B23D87"/>
    <w:rsid w:val="00B24035"/>
    <w:rsid w:val="00B251CB"/>
    <w:rsid w:val="00B25371"/>
    <w:rsid w:val="00B256AF"/>
    <w:rsid w:val="00B2659D"/>
    <w:rsid w:val="00B26A1F"/>
    <w:rsid w:val="00B26D0B"/>
    <w:rsid w:val="00B27068"/>
    <w:rsid w:val="00B278D8"/>
    <w:rsid w:val="00B27A23"/>
    <w:rsid w:val="00B27ABC"/>
    <w:rsid w:val="00B27EBF"/>
    <w:rsid w:val="00B3180C"/>
    <w:rsid w:val="00B31B44"/>
    <w:rsid w:val="00B32429"/>
    <w:rsid w:val="00B3335B"/>
    <w:rsid w:val="00B340CE"/>
    <w:rsid w:val="00B34B86"/>
    <w:rsid w:val="00B35F0C"/>
    <w:rsid w:val="00B40247"/>
    <w:rsid w:val="00B408AD"/>
    <w:rsid w:val="00B43AEF"/>
    <w:rsid w:val="00B43C3E"/>
    <w:rsid w:val="00B4430F"/>
    <w:rsid w:val="00B44F4E"/>
    <w:rsid w:val="00B475BF"/>
    <w:rsid w:val="00B500CE"/>
    <w:rsid w:val="00B505AD"/>
    <w:rsid w:val="00B50905"/>
    <w:rsid w:val="00B5221A"/>
    <w:rsid w:val="00B52FEE"/>
    <w:rsid w:val="00B531F1"/>
    <w:rsid w:val="00B5471E"/>
    <w:rsid w:val="00B55D1D"/>
    <w:rsid w:val="00B5615B"/>
    <w:rsid w:val="00B56ADF"/>
    <w:rsid w:val="00B56D2A"/>
    <w:rsid w:val="00B578E5"/>
    <w:rsid w:val="00B57DB3"/>
    <w:rsid w:val="00B57DD7"/>
    <w:rsid w:val="00B633D6"/>
    <w:rsid w:val="00B647F7"/>
    <w:rsid w:val="00B70AD5"/>
    <w:rsid w:val="00B70B4E"/>
    <w:rsid w:val="00B70D68"/>
    <w:rsid w:val="00B7223B"/>
    <w:rsid w:val="00B7405F"/>
    <w:rsid w:val="00B75DBC"/>
    <w:rsid w:val="00B800E0"/>
    <w:rsid w:val="00B810F6"/>
    <w:rsid w:val="00B8140A"/>
    <w:rsid w:val="00B81BD5"/>
    <w:rsid w:val="00B84332"/>
    <w:rsid w:val="00B84432"/>
    <w:rsid w:val="00B87D74"/>
    <w:rsid w:val="00B9060D"/>
    <w:rsid w:val="00B90F45"/>
    <w:rsid w:val="00B919C9"/>
    <w:rsid w:val="00B9385B"/>
    <w:rsid w:val="00B93A91"/>
    <w:rsid w:val="00B96C4A"/>
    <w:rsid w:val="00B97719"/>
    <w:rsid w:val="00B977AB"/>
    <w:rsid w:val="00BA048D"/>
    <w:rsid w:val="00BA1A94"/>
    <w:rsid w:val="00BA1D35"/>
    <w:rsid w:val="00BA3082"/>
    <w:rsid w:val="00BA4299"/>
    <w:rsid w:val="00BA43D8"/>
    <w:rsid w:val="00BA45C4"/>
    <w:rsid w:val="00BA4BEF"/>
    <w:rsid w:val="00BA52F7"/>
    <w:rsid w:val="00BA5870"/>
    <w:rsid w:val="00BA6407"/>
    <w:rsid w:val="00BA6A3B"/>
    <w:rsid w:val="00BA7BEF"/>
    <w:rsid w:val="00BA7BF7"/>
    <w:rsid w:val="00BB047A"/>
    <w:rsid w:val="00BB0941"/>
    <w:rsid w:val="00BB1A2D"/>
    <w:rsid w:val="00BB25D5"/>
    <w:rsid w:val="00BB3B45"/>
    <w:rsid w:val="00BB536E"/>
    <w:rsid w:val="00BB58BD"/>
    <w:rsid w:val="00BB70C3"/>
    <w:rsid w:val="00BB72A7"/>
    <w:rsid w:val="00BB72D2"/>
    <w:rsid w:val="00BB7D5D"/>
    <w:rsid w:val="00BC035B"/>
    <w:rsid w:val="00BC371B"/>
    <w:rsid w:val="00BC4AF4"/>
    <w:rsid w:val="00BC5153"/>
    <w:rsid w:val="00BC53D8"/>
    <w:rsid w:val="00BC54CB"/>
    <w:rsid w:val="00BD1F5C"/>
    <w:rsid w:val="00BD30C0"/>
    <w:rsid w:val="00BD3DD7"/>
    <w:rsid w:val="00BD4017"/>
    <w:rsid w:val="00BD5E2D"/>
    <w:rsid w:val="00BD631C"/>
    <w:rsid w:val="00BD7547"/>
    <w:rsid w:val="00BD7D33"/>
    <w:rsid w:val="00BD7F47"/>
    <w:rsid w:val="00BE004B"/>
    <w:rsid w:val="00BE0131"/>
    <w:rsid w:val="00BE0C72"/>
    <w:rsid w:val="00BE0CC0"/>
    <w:rsid w:val="00BE141D"/>
    <w:rsid w:val="00BE1A58"/>
    <w:rsid w:val="00BE2F22"/>
    <w:rsid w:val="00BE3FCF"/>
    <w:rsid w:val="00BE42B6"/>
    <w:rsid w:val="00BE4CCD"/>
    <w:rsid w:val="00BE61E1"/>
    <w:rsid w:val="00BE6934"/>
    <w:rsid w:val="00BE75D6"/>
    <w:rsid w:val="00BF0DA7"/>
    <w:rsid w:val="00BF4BE9"/>
    <w:rsid w:val="00BF4C22"/>
    <w:rsid w:val="00BF61AB"/>
    <w:rsid w:val="00BF730B"/>
    <w:rsid w:val="00BF731C"/>
    <w:rsid w:val="00BF7BF9"/>
    <w:rsid w:val="00C001F9"/>
    <w:rsid w:val="00C00C61"/>
    <w:rsid w:val="00C00DDC"/>
    <w:rsid w:val="00C021F2"/>
    <w:rsid w:val="00C0296E"/>
    <w:rsid w:val="00C03319"/>
    <w:rsid w:val="00C03774"/>
    <w:rsid w:val="00C03EA1"/>
    <w:rsid w:val="00C04F6D"/>
    <w:rsid w:val="00C05872"/>
    <w:rsid w:val="00C0604C"/>
    <w:rsid w:val="00C06792"/>
    <w:rsid w:val="00C07054"/>
    <w:rsid w:val="00C07070"/>
    <w:rsid w:val="00C078A8"/>
    <w:rsid w:val="00C07B5E"/>
    <w:rsid w:val="00C07BF7"/>
    <w:rsid w:val="00C11449"/>
    <w:rsid w:val="00C121FC"/>
    <w:rsid w:val="00C12372"/>
    <w:rsid w:val="00C1481E"/>
    <w:rsid w:val="00C15073"/>
    <w:rsid w:val="00C1569C"/>
    <w:rsid w:val="00C159E9"/>
    <w:rsid w:val="00C1611E"/>
    <w:rsid w:val="00C1778C"/>
    <w:rsid w:val="00C178EC"/>
    <w:rsid w:val="00C179E8"/>
    <w:rsid w:val="00C17F98"/>
    <w:rsid w:val="00C20916"/>
    <w:rsid w:val="00C2146D"/>
    <w:rsid w:val="00C21478"/>
    <w:rsid w:val="00C2425B"/>
    <w:rsid w:val="00C24EBB"/>
    <w:rsid w:val="00C262DD"/>
    <w:rsid w:val="00C2724E"/>
    <w:rsid w:val="00C27E38"/>
    <w:rsid w:val="00C30282"/>
    <w:rsid w:val="00C31633"/>
    <w:rsid w:val="00C31801"/>
    <w:rsid w:val="00C318ED"/>
    <w:rsid w:val="00C31CB1"/>
    <w:rsid w:val="00C31F6E"/>
    <w:rsid w:val="00C32647"/>
    <w:rsid w:val="00C32982"/>
    <w:rsid w:val="00C34EFE"/>
    <w:rsid w:val="00C3580A"/>
    <w:rsid w:val="00C35841"/>
    <w:rsid w:val="00C37095"/>
    <w:rsid w:val="00C375A7"/>
    <w:rsid w:val="00C40313"/>
    <w:rsid w:val="00C410D7"/>
    <w:rsid w:val="00C413F3"/>
    <w:rsid w:val="00C414A7"/>
    <w:rsid w:val="00C420FF"/>
    <w:rsid w:val="00C4381C"/>
    <w:rsid w:val="00C43F46"/>
    <w:rsid w:val="00C441CC"/>
    <w:rsid w:val="00C455D8"/>
    <w:rsid w:val="00C4574F"/>
    <w:rsid w:val="00C45AC7"/>
    <w:rsid w:val="00C462AA"/>
    <w:rsid w:val="00C50D0D"/>
    <w:rsid w:val="00C5235B"/>
    <w:rsid w:val="00C53701"/>
    <w:rsid w:val="00C5399F"/>
    <w:rsid w:val="00C53F72"/>
    <w:rsid w:val="00C54E48"/>
    <w:rsid w:val="00C55354"/>
    <w:rsid w:val="00C56DF8"/>
    <w:rsid w:val="00C6009E"/>
    <w:rsid w:val="00C61FC3"/>
    <w:rsid w:val="00C62D1C"/>
    <w:rsid w:val="00C62F07"/>
    <w:rsid w:val="00C63B45"/>
    <w:rsid w:val="00C63C10"/>
    <w:rsid w:val="00C65462"/>
    <w:rsid w:val="00C65561"/>
    <w:rsid w:val="00C65841"/>
    <w:rsid w:val="00C658F5"/>
    <w:rsid w:val="00C66263"/>
    <w:rsid w:val="00C66DFB"/>
    <w:rsid w:val="00C672B0"/>
    <w:rsid w:val="00C6787E"/>
    <w:rsid w:val="00C70366"/>
    <w:rsid w:val="00C71631"/>
    <w:rsid w:val="00C72EFB"/>
    <w:rsid w:val="00C7315E"/>
    <w:rsid w:val="00C7346A"/>
    <w:rsid w:val="00C77185"/>
    <w:rsid w:val="00C77458"/>
    <w:rsid w:val="00C805AB"/>
    <w:rsid w:val="00C82005"/>
    <w:rsid w:val="00C821D3"/>
    <w:rsid w:val="00C84D1B"/>
    <w:rsid w:val="00C85FE6"/>
    <w:rsid w:val="00C86BCF"/>
    <w:rsid w:val="00C86DDF"/>
    <w:rsid w:val="00C878BA"/>
    <w:rsid w:val="00C87BB8"/>
    <w:rsid w:val="00C87DFD"/>
    <w:rsid w:val="00C91BB4"/>
    <w:rsid w:val="00C91BC2"/>
    <w:rsid w:val="00C923C3"/>
    <w:rsid w:val="00C9493C"/>
    <w:rsid w:val="00C96BD4"/>
    <w:rsid w:val="00CA0079"/>
    <w:rsid w:val="00CA09CD"/>
    <w:rsid w:val="00CA150F"/>
    <w:rsid w:val="00CA2084"/>
    <w:rsid w:val="00CA2308"/>
    <w:rsid w:val="00CA2652"/>
    <w:rsid w:val="00CA3CBC"/>
    <w:rsid w:val="00CA46F2"/>
    <w:rsid w:val="00CA5D9B"/>
    <w:rsid w:val="00CA6005"/>
    <w:rsid w:val="00CA65E5"/>
    <w:rsid w:val="00CA7601"/>
    <w:rsid w:val="00CB0184"/>
    <w:rsid w:val="00CB04CA"/>
    <w:rsid w:val="00CB1946"/>
    <w:rsid w:val="00CB28B7"/>
    <w:rsid w:val="00CB3F88"/>
    <w:rsid w:val="00CB4CCD"/>
    <w:rsid w:val="00CB5A53"/>
    <w:rsid w:val="00CB6C30"/>
    <w:rsid w:val="00CC0A0E"/>
    <w:rsid w:val="00CC206E"/>
    <w:rsid w:val="00CC27F9"/>
    <w:rsid w:val="00CC2F98"/>
    <w:rsid w:val="00CC3509"/>
    <w:rsid w:val="00CC38BE"/>
    <w:rsid w:val="00CC5105"/>
    <w:rsid w:val="00CC58BE"/>
    <w:rsid w:val="00CC5B1D"/>
    <w:rsid w:val="00CC5BA5"/>
    <w:rsid w:val="00CC6299"/>
    <w:rsid w:val="00CC65A2"/>
    <w:rsid w:val="00CD10D1"/>
    <w:rsid w:val="00CD2DA0"/>
    <w:rsid w:val="00CD374D"/>
    <w:rsid w:val="00CD38C1"/>
    <w:rsid w:val="00CD405F"/>
    <w:rsid w:val="00CD55CC"/>
    <w:rsid w:val="00CD65B7"/>
    <w:rsid w:val="00CD7097"/>
    <w:rsid w:val="00CE09AF"/>
    <w:rsid w:val="00CE36F9"/>
    <w:rsid w:val="00CE3995"/>
    <w:rsid w:val="00CE4033"/>
    <w:rsid w:val="00CE5AE7"/>
    <w:rsid w:val="00CE5FC3"/>
    <w:rsid w:val="00CE6D78"/>
    <w:rsid w:val="00CE7686"/>
    <w:rsid w:val="00CF2E87"/>
    <w:rsid w:val="00CF3532"/>
    <w:rsid w:val="00CF3C77"/>
    <w:rsid w:val="00CF4907"/>
    <w:rsid w:val="00CF4E12"/>
    <w:rsid w:val="00D00539"/>
    <w:rsid w:val="00D039EC"/>
    <w:rsid w:val="00D052D1"/>
    <w:rsid w:val="00D05700"/>
    <w:rsid w:val="00D07035"/>
    <w:rsid w:val="00D0796B"/>
    <w:rsid w:val="00D11CAD"/>
    <w:rsid w:val="00D12984"/>
    <w:rsid w:val="00D12A39"/>
    <w:rsid w:val="00D1366E"/>
    <w:rsid w:val="00D156BB"/>
    <w:rsid w:val="00D17017"/>
    <w:rsid w:val="00D20789"/>
    <w:rsid w:val="00D208B7"/>
    <w:rsid w:val="00D20E51"/>
    <w:rsid w:val="00D216E5"/>
    <w:rsid w:val="00D23798"/>
    <w:rsid w:val="00D23860"/>
    <w:rsid w:val="00D25404"/>
    <w:rsid w:val="00D25749"/>
    <w:rsid w:val="00D262F4"/>
    <w:rsid w:val="00D267A6"/>
    <w:rsid w:val="00D26ED8"/>
    <w:rsid w:val="00D2710B"/>
    <w:rsid w:val="00D30443"/>
    <w:rsid w:val="00D304ED"/>
    <w:rsid w:val="00D30C8D"/>
    <w:rsid w:val="00D30CB2"/>
    <w:rsid w:val="00D31D5A"/>
    <w:rsid w:val="00D31F26"/>
    <w:rsid w:val="00D32197"/>
    <w:rsid w:val="00D32221"/>
    <w:rsid w:val="00D322AB"/>
    <w:rsid w:val="00D33229"/>
    <w:rsid w:val="00D35BE4"/>
    <w:rsid w:val="00D35D9B"/>
    <w:rsid w:val="00D36056"/>
    <w:rsid w:val="00D362CF"/>
    <w:rsid w:val="00D37002"/>
    <w:rsid w:val="00D37205"/>
    <w:rsid w:val="00D37A9D"/>
    <w:rsid w:val="00D37F8D"/>
    <w:rsid w:val="00D40220"/>
    <w:rsid w:val="00D42E87"/>
    <w:rsid w:val="00D44442"/>
    <w:rsid w:val="00D4517A"/>
    <w:rsid w:val="00D46040"/>
    <w:rsid w:val="00D46C9F"/>
    <w:rsid w:val="00D473D4"/>
    <w:rsid w:val="00D5002F"/>
    <w:rsid w:val="00D503BC"/>
    <w:rsid w:val="00D504FF"/>
    <w:rsid w:val="00D53649"/>
    <w:rsid w:val="00D54FBD"/>
    <w:rsid w:val="00D55B66"/>
    <w:rsid w:val="00D567E9"/>
    <w:rsid w:val="00D5704F"/>
    <w:rsid w:val="00D574B9"/>
    <w:rsid w:val="00D5752E"/>
    <w:rsid w:val="00D57625"/>
    <w:rsid w:val="00D61F4E"/>
    <w:rsid w:val="00D635CB"/>
    <w:rsid w:val="00D63B6A"/>
    <w:rsid w:val="00D63B74"/>
    <w:rsid w:val="00D63EDB"/>
    <w:rsid w:val="00D64965"/>
    <w:rsid w:val="00D64B29"/>
    <w:rsid w:val="00D6506E"/>
    <w:rsid w:val="00D704CC"/>
    <w:rsid w:val="00D726C5"/>
    <w:rsid w:val="00D73771"/>
    <w:rsid w:val="00D7443B"/>
    <w:rsid w:val="00D748A5"/>
    <w:rsid w:val="00D75393"/>
    <w:rsid w:val="00D75DC5"/>
    <w:rsid w:val="00D7651B"/>
    <w:rsid w:val="00D82E2C"/>
    <w:rsid w:val="00D83565"/>
    <w:rsid w:val="00D83BBF"/>
    <w:rsid w:val="00D848D8"/>
    <w:rsid w:val="00D849B2"/>
    <w:rsid w:val="00D84D60"/>
    <w:rsid w:val="00D850EA"/>
    <w:rsid w:val="00D852A3"/>
    <w:rsid w:val="00D860FA"/>
    <w:rsid w:val="00D861E1"/>
    <w:rsid w:val="00D8693D"/>
    <w:rsid w:val="00D874CA"/>
    <w:rsid w:val="00D90C4E"/>
    <w:rsid w:val="00D90F39"/>
    <w:rsid w:val="00D91BEC"/>
    <w:rsid w:val="00D92519"/>
    <w:rsid w:val="00D94196"/>
    <w:rsid w:val="00D95217"/>
    <w:rsid w:val="00D952E3"/>
    <w:rsid w:val="00D95B67"/>
    <w:rsid w:val="00D962D6"/>
    <w:rsid w:val="00D97124"/>
    <w:rsid w:val="00D972B2"/>
    <w:rsid w:val="00D97D03"/>
    <w:rsid w:val="00DA153D"/>
    <w:rsid w:val="00DA454E"/>
    <w:rsid w:val="00DA5FD8"/>
    <w:rsid w:val="00DA632A"/>
    <w:rsid w:val="00DA6500"/>
    <w:rsid w:val="00DA6979"/>
    <w:rsid w:val="00DA6FF9"/>
    <w:rsid w:val="00DA7117"/>
    <w:rsid w:val="00DB027E"/>
    <w:rsid w:val="00DB3219"/>
    <w:rsid w:val="00DB3660"/>
    <w:rsid w:val="00DB3EF1"/>
    <w:rsid w:val="00DB3F87"/>
    <w:rsid w:val="00DB4EA0"/>
    <w:rsid w:val="00DB5378"/>
    <w:rsid w:val="00DB541D"/>
    <w:rsid w:val="00DB6E5A"/>
    <w:rsid w:val="00DB7049"/>
    <w:rsid w:val="00DB7B63"/>
    <w:rsid w:val="00DC029F"/>
    <w:rsid w:val="00DC04CD"/>
    <w:rsid w:val="00DC072B"/>
    <w:rsid w:val="00DC105C"/>
    <w:rsid w:val="00DC1B2B"/>
    <w:rsid w:val="00DC2622"/>
    <w:rsid w:val="00DC292B"/>
    <w:rsid w:val="00DC297B"/>
    <w:rsid w:val="00DC2D76"/>
    <w:rsid w:val="00DC2FB7"/>
    <w:rsid w:val="00DC31D6"/>
    <w:rsid w:val="00DC3355"/>
    <w:rsid w:val="00DC3674"/>
    <w:rsid w:val="00DC48AE"/>
    <w:rsid w:val="00DC5074"/>
    <w:rsid w:val="00DC60A5"/>
    <w:rsid w:val="00DD0C75"/>
    <w:rsid w:val="00DD16FB"/>
    <w:rsid w:val="00DD2555"/>
    <w:rsid w:val="00DD2AA0"/>
    <w:rsid w:val="00DE0711"/>
    <w:rsid w:val="00DE0A20"/>
    <w:rsid w:val="00DE1756"/>
    <w:rsid w:val="00DE4A4D"/>
    <w:rsid w:val="00DE58E1"/>
    <w:rsid w:val="00DE63E5"/>
    <w:rsid w:val="00DE6768"/>
    <w:rsid w:val="00DE7249"/>
    <w:rsid w:val="00DE7E6A"/>
    <w:rsid w:val="00DF08BD"/>
    <w:rsid w:val="00DF16E7"/>
    <w:rsid w:val="00DF17AA"/>
    <w:rsid w:val="00DF18CF"/>
    <w:rsid w:val="00DF18F7"/>
    <w:rsid w:val="00DF1D71"/>
    <w:rsid w:val="00DF280F"/>
    <w:rsid w:val="00DF281C"/>
    <w:rsid w:val="00DF2FAF"/>
    <w:rsid w:val="00DF3EE5"/>
    <w:rsid w:val="00DF415E"/>
    <w:rsid w:val="00DF56E9"/>
    <w:rsid w:val="00DF57E0"/>
    <w:rsid w:val="00DF6D08"/>
    <w:rsid w:val="00DF7437"/>
    <w:rsid w:val="00E00761"/>
    <w:rsid w:val="00E00DAE"/>
    <w:rsid w:val="00E01E64"/>
    <w:rsid w:val="00E0202E"/>
    <w:rsid w:val="00E02082"/>
    <w:rsid w:val="00E02876"/>
    <w:rsid w:val="00E02A5E"/>
    <w:rsid w:val="00E04849"/>
    <w:rsid w:val="00E052DD"/>
    <w:rsid w:val="00E07209"/>
    <w:rsid w:val="00E07CF0"/>
    <w:rsid w:val="00E10322"/>
    <w:rsid w:val="00E115F6"/>
    <w:rsid w:val="00E12C05"/>
    <w:rsid w:val="00E12E0C"/>
    <w:rsid w:val="00E130B2"/>
    <w:rsid w:val="00E13B36"/>
    <w:rsid w:val="00E13F05"/>
    <w:rsid w:val="00E14724"/>
    <w:rsid w:val="00E15CBE"/>
    <w:rsid w:val="00E163D7"/>
    <w:rsid w:val="00E17BA5"/>
    <w:rsid w:val="00E17CB2"/>
    <w:rsid w:val="00E20C57"/>
    <w:rsid w:val="00E22870"/>
    <w:rsid w:val="00E230E5"/>
    <w:rsid w:val="00E24E4B"/>
    <w:rsid w:val="00E24E8A"/>
    <w:rsid w:val="00E25EB0"/>
    <w:rsid w:val="00E274AD"/>
    <w:rsid w:val="00E2799A"/>
    <w:rsid w:val="00E27B45"/>
    <w:rsid w:val="00E27F4C"/>
    <w:rsid w:val="00E27F92"/>
    <w:rsid w:val="00E30EEC"/>
    <w:rsid w:val="00E31966"/>
    <w:rsid w:val="00E32909"/>
    <w:rsid w:val="00E32DCE"/>
    <w:rsid w:val="00E334F6"/>
    <w:rsid w:val="00E33645"/>
    <w:rsid w:val="00E33971"/>
    <w:rsid w:val="00E35177"/>
    <w:rsid w:val="00E3572E"/>
    <w:rsid w:val="00E366CF"/>
    <w:rsid w:val="00E36F85"/>
    <w:rsid w:val="00E36FD9"/>
    <w:rsid w:val="00E42141"/>
    <w:rsid w:val="00E4286C"/>
    <w:rsid w:val="00E429F7"/>
    <w:rsid w:val="00E42F83"/>
    <w:rsid w:val="00E46056"/>
    <w:rsid w:val="00E467FC"/>
    <w:rsid w:val="00E4694D"/>
    <w:rsid w:val="00E4728C"/>
    <w:rsid w:val="00E4735F"/>
    <w:rsid w:val="00E476CF"/>
    <w:rsid w:val="00E507D4"/>
    <w:rsid w:val="00E5110B"/>
    <w:rsid w:val="00E513B2"/>
    <w:rsid w:val="00E514BC"/>
    <w:rsid w:val="00E53C47"/>
    <w:rsid w:val="00E55509"/>
    <w:rsid w:val="00E556C9"/>
    <w:rsid w:val="00E56B7A"/>
    <w:rsid w:val="00E57549"/>
    <w:rsid w:val="00E61961"/>
    <w:rsid w:val="00E61F77"/>
    <w:rsid w:val="00E6226F"/>
    <w:rsid w:val="00E625CF"/>
    <w:rsid w:val="00E6344A"/>
    <w:rsid w:val="00E63E92"/>
    <w:rsid w:val="00E658C3"/>
    <w:rsid w:val="00E65F83"/>
    <w:rsid w:val="00E66C70"/>
    <w:rsid w:val="00E71391"/>
    <w:rsid w:val="00E72340"/>
    <w:rsid w:val="00E739B0"/>
    <w:rsid w:val="00E73ACB"/>
    <w:rsid w:val="00E74E29"/>
    <w:rsid w:val="00E756FA"/>
    <w:rsid w:val="00E758D6"/>
    <w:rsid w:val="00E75C11"/>
    <w:rsid w:val="00E76AD4"/>
    <w:rsid w:val="00E76DC0"/>
    <w:rsid w:val="00E81150"/>
    <w:rsid w:val="00E81F8E"/>
    <w:rsid w:val="00E83101"/>
    <w:rsid w:val="00E84B64"/>
    <w:rsid w:val="00E84EC7"/>
    <w:rsid w:val="00E84FA5"/>
    <w:rsid w:val="00E85AF9"/>
    <w:rsid w:val="00E9033D"/>
    <w:rsid w:val="00E911FB"/>
    <w:rsid w:val="00E9168B"/>
    <w:rsid w:val="00E927C9"/>
    <w:rsid w:val="00E9382C"/>
    <w:rsid w:val="00E959B6"/>
    <w:rsid w:val="00E971F7"/>
    <w:rsid w:val="00E97D35"/>
    <w:rsid w:val="00EA0043"/>
    <w:rsid w:val="00EA0897"/>
    <w:rsid w:val="00EA0BDB"/>
    <w:rsid w:val="00EA1872"/>
    <w:rsid w:val="00EA3A79"/>
    <w:rsid w:val="00EA3C88"/>
    <w:rsid w:val="00EA5A69"/>
    <w:rsid w:val="00EA5B8C"/>
    <w:rsid w:val="00EA6C73"/>
    <w:rsid w:val="00EB02FC"/>
    <w:rsid w:val="00EB0BF4"/>
    <w:rsid w:val="00EB1BDD"/>
    <w:rsid w:val="00EB1ECB"/>
    <w:rsid w:val="00EB3D8F"/>
    <w:rsid w:val="00EB422B"/>
    <w:rsid w:val="00EB51EA"/>
    <w:rsid w:val="00EB52AE"/>
    <w:rsid w:val="00EB77F0"/>
    <w:rsid w:val="00EB78E0"/>
    <w:rsid w:val="00EB7ACF"/>
    <w:rsid w:val="00EC0946"/>
    <w:rsid w:val="00EC0E4E"/>
    <w:rsid w:val="00EC116E"/>
    <w:rsid w:val="00EC11FD"/>
    <w:rsid w:val="00EC1F23"/>
    <w:rsid w:val="00EC2A2A"/>
    <w:rsid w:val="00EC2CF1"/>
    <w:rsid w:val="00EC4248"/>
    <w:rsid w:val="00EC5A4E"/>
    <w:rsid w:val="00EC5B46"/>
    <w:rsid w:val="00EC5BE4"/>
    <w:rsid w:val="00EC7CBA"/>
    <w:rsid w:val="00ED315B"/>
    <w:rsid w:val="00ED5486"/>
    <w:rsid w:val="00ED5D88"/>
    <w:rsid w:val="00ED6187"/>
    <w:rsid w:val="00ED6998"/>
    <w:rsid w:val="00EE0668"/>
    <w:rsid w:val="00EE1C5F"/>
    <w:rsid w:val="00EE2869"/>
    <w:rsid w:val="00EE473A"/>
    <w:rsid w:val="00EE4C3A"/>
    <w:rsid w:val="00EF1708"/>
    <w:rsid w:val="00EF27C3"/>
    <w:rsid w:val="00EF37AF"/>
    <w:rsid w:val="00EF42EB"/>
    <w:rsid w:val="00EF48F3"/>
    <w:rsid w:val="00EF6319"/>
    <w:rsid w:val="00F00C8E"/>
    <w:rsid w:val="00F01155"/>
    <w:rsid w:val="00F02CD5"/>
    <w:rsid w:val="00F03AC7"/>
    <w:rsid w:val="00F03F33"/>
    <w:rsid w:val="00F045D6"/>
    <w:rsid w:val="00F046A4"/>
    <w:rsid w:val="00F04BAA"/>
    <w:rsid w:val="00F05266"/>
    <w:rsid w:val="00F065A4"/>
    <w:rsid w:val="00F066C9"/>
    <w:rsid w:val="00F10663"/>
    <w:rsid w:val="00F10784"/>
    <w:rsid w:val="00F113BE"/>
    <w:rsid w:val="00F117EA"/>
    <w:rsid w:val="00F11F7C"/>
    <w:rsid w:val="00F129EC"/>
    <w:rsid w:val="00F13DF2"/>
    <w:rsid w:val="00F144D9"/>
    <w:rsid w:val="00F16111"/>
    <w:rsid w:val="00F16112"/>
    <w:rsid w:val="00F171A9"/>
    <w:rsid w:val="00F20524"/>
    <w:rsid w:val="00F2334F"/>
    <w:rsid w:val="00F2379C"/>
    <w:rsid w:val="00F24946"/>
    <w:rsid w:val="00F25CF7"/>
    <w:rsid w:val="00F25D52"/>
    <w:rsid w:val="00F25D76"/>
    <w:rsid w:val="00F25E51"/>
    <w:rsid w:val="00F26B3F"/>
    <w:rsid w:val="00F3018A"/>
    <w:rsid w:val="00F303F3"/>
    <w:rsid w:val="00F322AE"/>
    <w:rsid w:val="00F33017"/>
    <w:rsid w:val="00F33ADF"/>
    <w:rsid w:val="00F35446"/>
    <w:rsid w:val="00F3696B"/>
    <w:rsid w:val="00F37867"/>
    <w:rsid w:val="00F37F87"/>
    <w:rsid w:val="00F418CB"/>
    <w:rsid w:val="00F42F6D"/>
    <w:rsid w:val="00F43855"/>
    <w:rsid w:val="00F439BC"/>
    <w:rsid w:val="00F43AA3"/>
    <w:rsid w:val="00F43ADE"/>
    <w:rsid w:val="00F44B5E"/>
    <w:rsid w:val="00F44B97"/>
    <w:rsid w:val="00F47933"/>
    <w:rsid w:val="00F505A3"/>
    <w:rsid w:val="00F50776"/>
    <w:rsid w:val="00F5121F"/>
    <w:rsid w:val="00F517E3"/>
    <w:rsid w:val="00F51D2D"/>
    <w:rsid w:val="00F52D54"/>
    <w:rsid w:val="00F5308C"/>
    <w:rsid w:val="00F53259"/>
    <w:rsid w:val="00F53276"/>
    <w:rsid w:val="00F54A3F"/>
    <w:rsid w:val="00F54B5A"/>
    <w:rsid w:val="00F54E05"/>
    <w:rsid w:val="00F56E07"/>
    <w:rsid w:val="00F5725C"/>
    <w:rsid w:val="00F57430"/>
    <w:rsid w:val="00F60AD3"/>
    <w:rsid w:val="00F60DE9"/>
    <w:rsid w:val="00F63771"/>
    <w:rsid w:val="00F64654"/>
    <w:rsid w:val="00F64C95"/>
    <w:rsid w:val="00F64F22"/>
    <w:rsid w:val="00F6524B"/>
    <w:rsid w:val="00F65980"/>
    <w:rsid w:val="00F668BC"/>
    <w:rsid w:val="00F668C9"/>
    <w:rsid w:val="00F676D1"/>
    <w:rsid w:val="00F67E74"/>
    <w:rsid w:val="00F70CC7"/>
    <w:rsid w:val="00F71E06"/>
    <w:rsid w:val="00F72C50"/>
    <w:rsid w:val="00F73338"/>
    <w:rsid w:val="00F75309"/>
    <w:rsid w:val="00F7559F"/>
    <w:rsid w:val="00F75ECC"/>
    <w:rsid w:val="00F763D2"/>
    <w:rsid w:val="00F80802"/>
    <w:rsid w:val="00F80A52"/>
    <w:rsid w:val="00F813FF"/>
    <w:rsid w:val="00F8163D"/>
    <w:rsid w:val="00F81BC2"/>
    <w:rsid w:val="00F81BFF"/>
    <w:rsid w:val="00F81D36"/>
    <w:rsid w:val="00F82860"/>
    <w:rsid w:val="00F828F8"/>
    <w:rsid w:val="00F83B38"/>
    <w:rsid w:val="00F8515F"/>
    <w:rsid w:val="00F85B1A"/>
    <w:rsid w:val="00F87F80"/>
    <w:rsid w:val="00F902C1"/>
    <w:rsid w:val="00F90649"/>
    <w:rsid w:val="00F9243A"/>
    <w:rsid w:val="00F92819"/>
    <w:rsid w:val="00F92C03"/>
    <w:rsid w:val="00F9353F"/>
    <w:rsid w:val="00F93DE1"/>
    <w:rsid w:val="00F953D0"/>
    <w:rsid w:val="00FA015D"/>
    <w:rsid w:val="00FA091D"/>
    <w:rsid w:val="00FA0BD5"/>
    <w:rsid w:val="00FA133B"/>
    <w:rsid w:val="00FA1C7A"/>
    <w:rsid w:val="00FA246A"/>
    <w:rsid w:val="00FA3821"/>
    <w:rsid w:val="00FA472E"/>
    <w:rsid w:val="00FA473B"/>
    <w:rsid w:val="00FA4AE8"/>
    <w:rsid w:val="00FA7081"/>
    <w:rsid w:val="00FA756C"/>
    <w:rsid w:val="00FB01D2"/>
    <w:rsid w:val="00FB08DF"/>
    <w:rsid w:val="00FB0AC9"/>
    <w:rsid w:val="00FB0C6C"/>
    <w:rsid w:val="00FB1A81"/>
    <w:rsid w:val="00FB1DC3"/>
    <w:rsid w:val="00FB2598"/>
    <w:rsid w:val="00FB5177"/>
    <w:rsid w:val="00FB5BB2"/>
    <w:rsid w:val="00FB604F"/>
    <w:rsid w:val="00FB62FD"/>
    <w:rsid w:val="00FB6537"/>
    <w:rsid w:val="00FB67C4"/>
    <w:rsid w:val="00FB6C37"/>
    <w:rsid w:val="00FB7A42"/>
    <w:rsid w:val="00FC0C5D"/>
    <w:rsid w:val="00FC0D4C"/>
    <w:rsid w:val="00FC14E0"/>
    <w:rsid w:val="00FC2093"/>
    <w:rsid w:val="00FC23F4"/>
    <w:rsid w:val="00FC4103"/>
    <w:rsid w:val="00FC470C"/>
    <w:rsid w:val="00FC5B8C"/>
    <w:rsid w:val="00FC6790"/>
    <w:rsid w:val="00FC7B54"/>
    <w:rsid w:val="00FC7D49"/>
    <w:rsid w:val="00FC7DED"/>
    <w:rsid w:val="00FD0426"/>
    <w:rsid w:val="00FD09D8"/>
    <w:rsid w:val="00FD1E0A"/>
    <w:rsid w:val="00FD2015"/>
    <w:rsid w:val="00FD33B6"/>
    <w:rsid w:val="00FD59F4"/>
    <w:rsid w:val="00FD61D0"/>
    <w:rsid w:val="00FD6753"/>
    <w:rsid w:val="00FE1BD3"/>
    <w:rsid w:val="00FE1BF8"/>
    <w:rsid w:val="00FE4312"/>
    <w:rsid w:val="00FE68FA"/>
    <w:rsid w:val="00FF1DFE"/>
    <w:rsid w:val="00FF26B8"/>
    <w:rsid w:val="00FF48D7"/>
    <w:rsid w:val="00FF5899"/>
    <w:rsid w:val="00FF5A82"/>
    <w:rsid w:val="00FF5D91"/>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footnote text" w:uiPriority="0"/>
    <w:lsdException w:name="annotation text" w:locked="1" w:semiHidden="0" w:unhideWhenUsed="0"/>
    <w:lsdException w:name="header" w:locked="1" w:semiHidden="0" w:uiPriority="0" w:unhideWhenUsed="0"/>
    <w:lsdException w:name="caption" w:locked="1" w:uiPriority="0" w:qFormat="1"/>
    <w:lsdException w:name="footnote reference" w:uiPriority="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6729"/>
    <w:rPr>
      <w:rFonts w:ascii="Times New Roman" w:hAnsi="Times New Roman" w:cs="Times New Roman"/>
      <w:sz w:val="24"/>
      <w:szCs w:val="24"/>
      <w:lang w:eastAsia="en-US"/>
    </w:rPr>
  </w:style>
  <w:style w:type="paragraph" w:styleId="Nadpis1">
    <w:name w:val="heading 1"/>
    <w:basedOn w:val="Normlny"/>
    <w:next w:val="Normlny"/>
    <w:link w:val="Nadpis1Char"/>
    <w:uiPriority w:val="99"/>
    <w:qFormat/>
    <w:rsid w:val="00596729"/>
    <w:pPr>
      <w:keepNext/>
      <w:keepLines/>
      <w:spacing w:before="480"/>
      <w:outlineLvl w:val="0"/>
    </w:pPr>
    <w:rPr>
      <w:rFonts w:ascii="Cambria" w:hAnsi="Cambria" w:cs="Cambria"/>
      <w:b/>
      <w:bCs/>
      <w:color w:val="365F91"/>
      <w:sz w:val="28"/>
      <w:szCs w:val="28"/>
      <w:lang w:eastAsia="sk-SK"/>
    </w:rPr>
  </w:style>
  <w:style w:type="paragraph" w:styleId="Nadpis2">
    <w:name w:val="heading 2"/>
    <w:basedOn w:val="Normlny"/>
    <w:next w:val="Normlny"/>
    <w:link w:val="Nadpis2Char"/>
    <w:uiPriority w:val="99"/>
    <w:qFormat/>
    <w:rsid w:val="00596729"/>
    <w:pPr>
      <w:keepNext/>
      <w:jc w:val="center"/>
      <w:outlineLvl w:val="1"/>
    </w:pPr>
    <w:rPr>
      <w:b/>
      <w:bCs/>
      <w:lang w:eastAsia="sk-SK"/>
    </w:rPr>
  </w:style>
  <w:style w:type="paragraph" w:styleId="Nadpis7">
    <w:name w:val="heading 7"/>
    <w:basedOn w:val="Normlny"/>
    <w:next w:val="Normlny"/>
    <w:link w:val="Nadpis7Char"/>
    <w:uiPriority w:val="9"/>
    <w:semiHidden/>
    <w:unhideWhenUsed/>
    <w:qFormat/>
    <w:locked/>
    <w:rsid w:val="00FB0AC9"/>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96729"/>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596729"/>
    <w:rPr>
      <w:rFonts w:ascii="Times New Roman" w:hAnsi="Times New Roman" w:cs="Times New Roman"/>
      <w:b/>
      <w:bCs/>
      <w:sz w:val="24"/>
      <w:szCs w:val="24"/>
      <w:lang w:eastAsia="sk-SK"/>
    </w:rPr>
  </w:style>
  <w:style w:type="character" w:customStyle="1" w:styleId="Nadpis7Char">
    <w:name w:val="Nadpis 7 Char"/>
    <w:basedOn w:val="Predvolenpsmoodseku"/>
    <w:link w:val="Nadpis7"/>
    <w:uiPriority w:val="9"/>
    <w:semiHidden/>
    <w:locked/>
    <w:rsid w:val="00FB0AC9"/>
    <w:rPr>
      <w:rFonts w:ascii="Calibri" w:hAnsi="Calibri" w:cs="Times New Roman"/>
      <w:sz w:val="24"/>
      <w:szCs w:val="24"/>
      <w:lang w:eastAsia="en-US"/>
    </w:rPr>
  </w:style>
  <w:style w:type="character" w:styleId="Hypertextovprepojenie">
    <w:name w:val="Hyperlink"/>
    <w:basedOn w:val="Predvolenpsmoodseku"/>
    <w:uiPriority w:val="99"/>
    <w:rsid w:val="00596729"/>
    <w:rPr>
      <w:rFonts w:cs="Times New Roman"/>
      <w:b/>
      <w:bCs/>
      <w:color w:val="auto"/>
      <w:u w:val="none"/>
      <w:effect w:val="none"/>
    </w:rPr>
  </w:style>
  <w:style w:type="paragraph" w:customStyle="1" w:styleId="ListParagraph1">
    <w:name w:val="List Paragraph1"/>
    <w:basedOn w:val="Normlny"/>
    <w:uiPriority w:val="99"/>
    <w:rsid w:val="00596729"/>
    <w:pPr>
      <w:ind w:left="708"/>
    </w:pPr>
  </w:style>
  <w:style w:type="paragraph" w:styleId="Zkladntext2">
    <w:name w:val="Body Text 2"/>
    <w:basedOn w:val="Normlny"/>
    <w:link w:val="Zkladntext2Char"/>
    <w:uiPriority w:val="99"/>
    <w:rsid w:val="00596729"/>
    <w:pPr>
      <w:jc w:val="both"/>
    </w:pPr>
    <w:rPr>
      <w:sz w:val="20"/>
      <w:szCs w:val="20"/>
      <w:lang w:eastAsia="sk-SK"/>
    </w:rPr>
  </w:style>
  <w:style w:type="character" w:customStyle="1" w:styleId="Zkladntext2Char">
    <w:name w:val="Základný text 2 Char"/>
    <w:basedOn w:val="Predvolenpsmoodseku"/>
    <w:link w:val="Zkladntext2"/>
    <w:uiPriority w:val="99"/>
    <w:locked/>
    <w:rsid w:val="00596729"/>
    <w:rPr>
      <w:rFonts w:ascii="Times New Roman" w:hAnsi="Times New Roman" w:cs="Times New Roman"/>
      <w:sz w:val="20"/>
      <w:szCs w:val="20"/>
    </w:rPr>
  </w:style>
  <w:style w:type="paragraph" w:styleId="Zkladntext">
    <w:name w:val="Body Text"/>
    <w:basedOn w:val="Normlny"/>
    <w:link w:val="ZkladntextChar"/>
    <w:uiPriority w:val="99"/>
    <w:semiHidden/>
    <w:rsid w:val="00596729"/>
    <w:pPr>
      <w:spacing w:after="120"/>
    </w:pPr>
    <w:rPr>
      <w:lang w:eastAsia="sk-SK"/>
    </w:rPr>
  </w:style>
  <w:style w:type="character" w:customStyle="1" w:styleId="ZkladntextChar">
    <w:name w:val="Základný text Char"/>
    <w:basedOn w:val="Predvolenpsmoodseku"/>
    <w:link w:val="Zkladntext"/>
    <w:uiPriority w:val="99"/>
    <w:semiHidden/>
    <w:locked/>
    <w:rsid w:val="00596729"/>
    <w:rPr>
      <w:rFonts w:ascii="Times New Roman" w:hAnsi="Times New Roman" w:cs="Times New Roman"/>
      <w:sz w:val="24"/>
      <w:szCs w:val="24"/>
    </w:rPr>
  </w:style>
  <w:style w:type="paragraph" w:styleId="Zarkazkladnhotextu2">
    <w:name w:val="Body Text Indent 2"/>
    <w:basedOn w:val="Normlny"/>
    <w:link w:val="Zarkazkladnhotextu2Char"/>
    <w:uiPriority w:val="99"/>
    <w:semiHidden/>
    <w:rsid w:val="00596729"/>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semiHidden/>
    <w:locked/>
    <w:rsid w:val="00596729"/>
    <w:rPr>
      <w:rFonts w:ascii="Times New Roman" w:hAnsi="Times New Roman" w:cs="Times New Roman"/>
      <w:sz w:val="24"/>
      <w:szCs w:val="24"/>
    </w:rPr>
  </w:style>
  <w:style w:type="character" w:styleId="Siln">
    <w:name w:val="Strong"/>
    <w:basedOn w:val="Predvolenpsmoodseku"/>
    <w:uiPriority w:val="22"/>
    <w:qFormat/>
    <w:rsid w:val="00596729"/>
    <w:rPr>
      <w:rFonts w:cs="Times New Roman"/>
      <w:b/>
      <w:bCs/>
    </w:rPr>
  </w:style>
  <w:style w:type="paragraph" w:customStyle="1" w:styleId="NormlnsWWW">
    <w:name w:val="Normální (síť WWW)"/>
    <w:basedOn w:val="Normlny"/>
    <w:rsid w:val="00596729"/>
    <w:pPr>
      <w:spacing w:before="100" w:beforeAutospacing="1" w:after="100" w:afterAutospacing="1"/>
    </w:pPr>
    <w:rPr>
      <w:rFonts w:ascii="Arial Unicode MS" w:cs="Arial Unicode MS"/>
      <w:lang w:eastAsia="sk-SK"/>
    </w:rPr>
  </w:style>
  <w:style w:type="paragraph" w:customStyle="1" w:styleId="CharChar1CharCharCharCharCharCharCharCharChar">
    <w:name w:val="Char Char1 Char Char Char Char Char Char Char Char Char"/>
    <w:basedOn w:val="Normlny"/>
    <w:uiPriority w:val="99"/>
    <w:rsid w:val="00596729"/>
    <w:pPr>
      <w:tabs>
        <w:tab w:val="num" w:pos="567"/>
      </w:tabs>
      <w:spacing w:line="240" w:lineRule="exact"/>
      <w:ind w:left="567" w:hanging="567"/>
    </w:pPr>
    <w:rPr>
      <w:rFonts w:ascii="Times New Roman Bold" w:hAnsi="Times New Roman Bold" w:cs="Times New Roman Bold"/>
      <w:b/>
      <w:bCs/>
      <w:sz w:val="26"/>
      <w:szCs w:val="26"/>
    </w:rPr>
  </w:style>
  <w:style w:type="paragraph" w:styleId="Hlavika">
    <w:name w:val="header"/>
    <w:basedOn w:val="Normlny"/>
    <w:link w:val="HlavikaChar"/>
    <w:uiPriority w:val="99"/>
    <w:rsid w:val="00596729"/>
    <w:pPr>
      <w:tabs>
        <w:tab w:val="center" w:pos="4536"/>
        <w:tab w:val="right" w:pos="9072"/>
      </w:tabs>
    </w:pPr>
    <w:rPr>
      <w:sz w:val="20"/>
      <w:szCs w:val="20"/>
      <w:lang w:eastAsia="sk-SK"/>
    </w:rPr>
  </w:style>
  <w:style w:type="character" w:customStyle="1" w:styleId="HlavikaChar">
    <w:name w:val="Hlavička Char"/>
    <w:basedOn w:val="Predvolenpsmoodseku"/>
    <w:link w:val="Hlavika"/>
    <w:uiPriority w:val="99"/>
    <w:locked/>
    <w:rsid w:val="00596729"/>
    <w:rPr>
      <w:rFonts w:ascii="Times New Roman" w:hAnsi="Times New Roman" w:cs="Times New Roman"/>
      <w:sz w:val="20"/>
      <w:szCs w:val="20"/>
    </w:rPr>
  </w:style>
  <w:style w:type="paragraph" w:styleId="Pta">
    <w:name w:val="footer"/>
    <w:basedOn w:val="Normlny"/>
    <w:link w:val="PtaChar"/>
    <w:uiPriority w:val="99"/>
    <w:rsid w:val="00596729"/>
    <w:pPr>
      <w:tabs>
        <w:tab w:val="center" w:pos="4536"/>
        <w:tab w:val="right" w:pos="9072"/>
      </w:tabs>
    </w:pPr>
    <w:rPr>
      <w:lang w:eastAsia="sk-SK"/>
    </w:rPr>
  </w:style>
  <w:style w:type="character" w:customStyle="1" w:styleId="PtaChar">
    <w:name w:val="Päta Char"/>
    <w:basedOn w:val="Predvolenpsmoodseku"/>
    <w:link w:val="Pta"/>
    <w:uiPriority w:val="99"/>
    <w:locked/>
    <w:rsid w:val="00596729"/>
    <w:rPr>
      <w:rFonts w:ascii="Times New Roman" w:hAnsi="Times New Roman" w:cs="Times New Roman"/>
      <w:sz w:val="24"/>
      <w:szCs w:val="24"/>
    </w:rPr>
  </w:style>
  <w:style w:type="paragraph" w:styleId="Textbubliny">
    <w:name w:val="Balloon Text"/>
    <w:basedOn w:val="Normlny"/>
    <w:link w:val="TextbublinyChar"/>
    <w:uiPriority w:val="99"/>
    <w:rsid w:val="009D10C6"/>
    <w:rPr>
      <w:rFonts w:ascii="Tahoma" w:hAnsi="Tahoma" w:cs="Tahoma"/>
      <w:sz w:val="16"/>
      <w:szCs w:val="16"/>
      <w:lang w:eastAsia="sk-SK"/>
    </w:rPr>
  </w:style>
  <w:style w:type="character" w:customStyle="1" w:styleId="TextbublinyChar">
    <w:name w:val="Text bubliny Char"/>
    <w:basedOn w:val="Predvolenpsmoodseku"/>
    <w:link w:val="Textbubliny"/>
    <w:uiPriority w:val="99"/>
    <w:locked/>
    <w:rsid w:val="000123FB"/>
    <w:rPr>
      <w:rFonts w:ascii="Tahoma" w:hAnsi="Tahoma" w:cs="Tahoma"/>
      <w:sz w:val="16"/>
      <w:szCs w:val="16"/>
      <w:lang w:val="sk-SK"/>
    </w:rPr>
  </w:style>
  <w:style w:type="character" w:styleId="Odkaznakomentr">
    <w:name w:val="annotation reference"/>
    <w:basedOn w:val="Predvolenpsmoodseku"/>
    <w:uiPriority w:val="99"/>
    <w:semiHidden/>
    <w:rsid w:val="009D10C6"/>
    <w:rPr>
      <w:rFonts w:cs="Times New Roman"/>
      <w:sz w:val="16"/>
      <w:szCs w:val="16"/>
    </w:rPr>
  </w:style>
  <w:style w:type="paragraph" w:styleId="Textkomentra">
    <w:name w:val="annotation text"/>
    <w:basedOn w:val="Normlny"/>
    <w:link w:val="TextkomentraChar"/>
    <w:uiPriority w:val="99"/>
    <w:semiHidden/>
    <w:rsid w:val="009D10C6"/>
    <w:rPr>
      <w:rFonts w:ascii="Calibri" w:hAnsi="Calibri" w:cs="Calibri"/>
      <w:sz w:val="20"/>
      <w:szCs w:val="20"/>
    </w:rPr>
  </w:style>
  <w:style w:type="character" w:customStyle="1" w:styleId="TextkomentraChar">
    <w:name w:val="Text komentára Char"/>
    <w:basedOn w:val="Predvolenpsmoodseku"/>
    <w:link w:val="Textkomentra"/>
    <w:uiPriority w:val="99"/>
    <w:semiHidden/>
    <w:locked/>
    <w:rsid w:val="009D10C6"/>
    <w:rPr>
      <w:rFonts w:cs="Times New Roman"/>
      <w:lang w:val="sk-SK" w:eastAsia="en-US"/>
    </w:rPr>
  </w:style>
  <w:style w:type="paragraph" w:styleId="Odsekzoznamu">
    <w:name w:val="List Paragraph"/>
    <w:basedOn w:val="Normlny"/>
    <w:uiPriority w:val="99"/>
    <w:qFormat/>
    <w:rsid w:val="009D10C6"/>
    <w:pPr>
      <w:ind w:left="708"/>
    </w:pPr>
  </w:style>
  <w:style w:type="paragraph" w:styleId="Predmetkomentra">
    <w:name w:val="annotation subject"/>
    <w:basedOn w:val="Textkomentra"/>
    <w:next w:val="Textkomentra"/>
    <w:link w:val="PredmetkomentraChar"/>
    <w:uiPriority w:val="99"/>
    <w:semiHidden/>
    <w:rsid w:val="00D704CC"/>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locked/>
    <w:rsid w:val="000123FB"/>
    <w:rPr>
      <w:rFonts w:ascii="Times New Roman" w:hAnsi="Times New Roman" w:cs="Times New Roman"/>
      <w:b/>
      <w:bCs/>
      <w:lang w:val="sk-SK" w:eastAsia="en-US"/>
    </w:rPr>
  </w:style>
  <w:style w:type="character" w:customStyle="1" w:styleId="CommentTextChar">
    <w:name w:val="Comment Text Char"/>
    <w:uiPriority w:val="99"/>
    <w:semiHidden/>
    <w:locked/>
    <w:rsid w:val="00AB0FAF"/>
    <w:rPr>
      <w:sz w:val="20"/>
    </w:rPr>
  </w:style>
  <w:style w:type="paragraph" w:customStyle="1" w:styleId="Default">
    <w:name w:val="Default"/>
    <w:rsid w:val="00FB6C37"/>
    <w:pPr>
      <w:autoSpaceDE w:val="0"/>
      <w:autoSpaceDN w:val="0"/>
      <w:adjustRightInd w:val="0"/>
    </w:pPr>
    <w:rPr>
      <w:rFonts w:ascii="Arial" w:hAnsi="Arial" w:cs="Arial"/>
      <w:color w:val="000000"/>
      <w:sz w:val="24"/>
      <w:szCs w:val="24"/>
      <w:lang w:val="cs-CZ" w:eastAsia="cs-CZ"/>
    </w:rPr>
  </w:style>
  <w:style w:type="paragraph" w:customStyle="1" w:styleId="Styl4">
    <w:name w:val="Styl4"/>
    <w:basedOn w:val="Normlny"/>
    <w:uiPriority w:val="99"/>
    <w:rsid w:val="0052431F"/>
    <w:pPr>
      <w:tabs>
        <w:tab w:val="num" w:pos="360"/>
      </w:tabs>
      <w:ind w:left="357" w:hanging="357"/>
    </w:pPr>
    <w:rPr>
      <w:b/>
      <w:bCs/>
      <w:sz w:val="22"/>
      <w:szCs w:val="22"/>
      <w:lang w:val="cs-CZ" w:eastAsia="cs-CZ"/>
    </w:rPr>
  </w:style>
  <w:style w:type="paragraph" w:styleId="Zarkazkladnhotextu">
    <w:name w:val="Body Text Indent"/>
    <w:basedOn w:val="Normlny"/>
    <w:link w:val="ZarkazkladnhotextuChar"/>
    <w:uiPriority w:val="99"/>
    <w:rsid w:val="00404DF3"/>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404DF3"/>
    <w:rPr>
      <w:rFonts w:ascii="Times New Roman" w:hAnsi="Times New Roman" w:cs="Times New Roman"/>
      <w:sz w:val="24"/>
      <w:szCs w:val="24"/>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b/>
      <w:sz w:val="24"/>
      <w:lang w:eastAsia="sk-SK"/>
    </w:rPr>
  </w:style>
  <w:style w:type="paragraph" w:styleId="Revzia">
    <w:name w:val="Revision"/>
    <w:hidden/>
    <w:uiPriority w:val="99"/>
    <w:semiHidden/>
    <w:rsid w:val="005B5C0E"/>
    <w:rPr>
      <w:rFonts w:ascii="Times New Roman" w:hAnsi="Times New Roman" w:cs="Times New Roman"/>
      <w:sz w:val="24"/>
      <w:szCs w:val="24"/>
      <w:lang w:eastAsia="en-US"/>
    </w:rPr>
  </w:style>
  <w:style w:type="paragraph" w:customStyle="1" w:styleId="ListParagraph2">
    <w:name w:val="List Paragraph2"/>
    <w:basedOn w:val="Normlny"/>
    <w:uiPriority w:val="99"/>
    <w:rsid w:val="00354655"/>
    <w:pPr>
      <w:spacing w:after="200" w:line="276" w:lineRule="auto"/>
      <w:ind w:left="720"/>
    </w:pPr>
    <w:rPr>
      <w:rFonts w:ascii="Calibri" w:hAnsi="Calibri" w:cs="Calibri"/>
      <w:sz w:val="22"/>
      <w:szCs w:val="22"/>
    </w:rPr>
  </w:style>
  <w:style w:type="character" w:customStyle="1" w:styleId="skypepnhprintcontainer">
    <w:name w:val="skype_pnh_print_container"/>
    <w:basedOn w:val="Predvolenpsmoodseku"/>
    <w:uiPriority w:val="99"/>
    <w:rsid w:val="0069441E"/>
    <w:rPr>
      <w:rFonts w:cs="Times New Roman"/>
    </w:rPr>
  </w:style>
  <w:style w:type="character" w:customStyle="1" w:styleId="skypepnhcontainer">
    <w:name w:val="skype_pnh_container"/>
    <w:basedOn w:val="Predvolenpsmoodseku"/>
    <w:uiPriority w:val="99"/>
    <w:rsid w:val="0069441E"/>
    <w:rPr>
      <w:rFonts w:cs="Times New Roman"/>
    </w:rPr>
  </w:style>
  <w:style w:type="character" w:customStyle="1" w:styleId="skypepnhmark">
    <w:name w:val="skype_pnh_mark"/>
    <w:basedOn w:val="Predvolenpsmoodseku"/>
    <w:uiPriority w:val="99"/>
    <w:rsid w:val="0069441E"/>
    <w:rPr>
      <w:rFonts w:cs="Times New Roman"/>
    </w:rPr>
  </w:style>
  <w:style w:type="character" w:customStyle="1" w:styleId="skypepnhtextspan">
    <w:name w:val="skype_pnh_text_span"/>
    <w:basedOn w:val="Predvolenpsmoodseku"/>
    <w:uiPriority w:val="99"/>
    <w:rsid w:val="0069441E"/>
    <w:rPr>
      <w:rFonts w:cs="Times New Roman"/>
    </w:rPr>
  </w:style>
  <w:style w:type="character" w:customStyle="1" w:styleId="skypepnhrightspan">
    <w:name w:val="skype_pnh_right_span"/>
    <w:basedOn w:val="Predvolenpsmoodseku"/>
    <w:uiPriority w:val="99"/>
    <w:rsid w:val="0069441E"/>
    <w:rPr>
      <w:rFonts w:cs="Times New Roman"/>
    </w:rPr>
  </w:style>
  <w:style w:type="paragraph" w:styleId="Normlnywebov">
    <w:name w:val="Normal (Web)"/>
    <w:basedOn w:val="Normlny"/>
    <w:unhideWhenUsed/>
    <w:rsid w:val="003150B9"/>
    <w:pPr>
      <w:spacing w:before="100" w:beforeAutospacing="1" w:after="100" w:afterAutospacing="1"/>
    </w:pPr>
    <w:rPr>
      <w:lang w:eastAsia="sk-SK"/>
    </w:rPr>
  </w:style>
  <w:style w:type="character" w:customStyle="1" w:styleId="NormlnysozarkamiChar">
    <w:name w:val="Normálny so zarážkami Char"/>
    <w:link w:val="Normlnysozarkami"/>
    <w:uiPriority w:val="99"/>
    <w:semiHidden/>
    <w:locked/>
    <w:rsid w:val="00FB0AC9"/>
    <w:rPr>
      <w:rFonts w:ascii="Times New Roman" w:hAnsi="Times New Roman"/>
      <w:sz w:val="24"/>
    </w:rPr>
  </w:style>
  <w:style w:type="paragraph" w:styleId="Normlnysozarkami">
    <w:name w:val="Normal Indent"/>
    <w:basedOn w:val="Normlny"/>
    <w:link w:val="NormlnysozarkamiChar"/>
    <w:uiPriority w:val="99"/>
    <w:semiHidden/>
    <w:unhideWhenUsed/>
    <w:qFormat/>
    <w:rsid w:val="00FB0AC9"/>
    <w:pPr>
      <w:ind w:firstLine="357"/>
      <w:jc w:val="both"/>
    </w:pPr>
    <w:rPr>
      <w:szCs w:val="20"/>
      <w:lang w:val="en-US" w:eastAsia="sk-SK"/>
    </w:rPr>
  </w:style>
  <w:style w:type="character" w:customStyle="1" w:styleId="bullet1Char">
    <w:name w:val="bullet1 Char"/>
    <w:link w:val="bullet1"/>
    <w:locked/>
    <w:rsid w:val="00FB0AC9"/>
    <w:rPr>
      <w:rFonts w:ascii="Times New Roman" w:hAnsi="Times New Roman"/>
      <w:sz w:val="24"/>
    </w:rPr>
  </w:style>
  <w:style w:type="paragraph" w:customStyle="1" w:styleId="bullet1">
    <w:name w:val="bullet1"/>
    <w:basedOn w:val="Normlny"/>
    <w:link w:val="bullet1Char"/>
    <w:qFormat/>
    <w:rsid w:val="00FB0AC9"/>
    <w:pPr>
      <w:numPr>
        <w:numId w:val="1"/>
      </w:numPr>
      <w:jc w:val="both"/>
    </w:pPr>
    <w:rPr>
      <w:szCs w:val="20"/>
      <w:lang w:val="en-US" w:eastAsia="sk-SK"/>
    </w:rPr>
  </w:style>
  <w:style w:type="character" w:customStyle="1" w:styleId="123Char">
    <w:name w:val="123 Char"/>
    <w:link w:val="123"/>
    <w:locked/>
    <w:rsid w:val="00FB0AC9"/>
    <w:rPr>
      <w:rFonts w:ascii="Times New Roman" w:hAnsi="Times New Roman"/>
      <w:b/>
      <w:sz w:val="24"/>
    </w:rPr>
  </w:style>
  <w:style w:type="paragraph" w:customStyle="1" w:styleId="123">
    <w:name w:val="123"/>
    <w:basedOn w:val="Odsekzoznamu"/>
    <w:link w:val="123Char"/>
    <w:qFormat/>
    <w:rsid w:val="00FB0AC9"/>
    <w:pPr>
      <w:spacing w:before="240" w:after="60"/>
      <w:ind w:left="0"/>
      <w:jc w:val="both"/>
    </w:pPr>
    <w:rPr>
      <w:b/>
      <w:szCs w:val="20"/>
      <w:lang w:val="en-US" w:eastAsia="sk-SK"/>
    </w:rPr>
  </w:style>
  <w:style w:type="character" w:customStyle="1" w:styleId="normalindentChar">
    <w:name w:val="normal indent Char"/>
    <w:link w:val="Normlnysozarkami1"/>
    <w:locked/>
    <w:rsid w:val="00FB0AC9"/>
    <w:rPr>
      <w:rFonts w:ascii="Times New Roman" w:hAnsi="Times New Roman"/>
      <w:sz w:val="24"/>
    </w:rPr>
  </w:style>
  <w:style w:type="paragraph" w:customStyle="1" w:styleId="Normlnysozarkami1">
    <w:name w:val="Normálny so zarážkami1"/>
    <w:basedOn w:val="Normlny"/>
    <w:link w:val="normalindentChar"/>
    <w:qFormat/>
    <w:rsid w:val="00FB0AC9"/>
    <w:pPr>
      <w:ind w:firstLine="357"/>
      <w:jc w:val="both"/>
    </w:pPr>
    <w:rPr>
      <w:szCs w:val="20"/>
      <w:lang w:val="en-US" w:eastAsia="sk-SK"/>
    </w:rPr>
  </w:style>
  <w:style w:type="character" w:customStyle="1" w:styleId="zdrojChar">
    <w:name w:val="zdroj Char"/>
    <w:link w:val="zdroj"/>
    <w:locked/>
    <w:rsid w:val="00E739B0"/>
    <w:rPr>
      <w:rFonts w:ascii="Times New Roman" w:hAnsi="Times New Roman"/>
      <w:i/>
      <w:color w:val="000000"/>
      <w:sz w:val="20"/>
      <w:lang w:val="cs-CZ"/>
    </w:rPr>
  </w:style>
  <w:style w:type="paragraph" w:customStyle="1" w:styleId="zdroj">
    <w:name w:val="zdroj"/>
    <w:basedOn w:val="Normlny"/>
    <w:link w:val="zdrojChar"/>
    <w:qFormat/>
    <w:rsid w:val="00E739B0"/>
    <w:pPr>
      <w:spacing w:before="60" w:after="120"/>
      <w:ind w:firstLine="567"/>
      <w:jc w:val="both"/>
    </w:pPr>
    <w:rPr>
      <w:i/>
      <w:color w:val="000000"/>
      <w:sz w:val="20"/>
      <w:szCs w:val="20"/>
      <w:lang w:val="cs-CZ" w:eastAsia="sk-SK"/>
    </w:rPr>
  </w:style>
  <w:style w:type="paragraph" w:customStyle="1" w:styleId="Normlnysozarkami11">
    <w:name w:val="Normálny so zarážkami11"/>
    <w:basedOn w:val="Normlny"/>
    <w:qFormat/>
    <w:rsid w:val="007D0B38"/>
    <w:pPr>
      <w:ind w:firstLine="357"/>
      <w:jc w:val="both"/>
    </w:pPr>
    <w:rPr>
      <w:sz w:val="22"/>
      <w:lang w:eastAsia="sk-SK"/>
    </w:rPr>
  </w:style>
  <w:style w:type="character" w:customStyle="1" w:styleId="heading4Char">
    <w:name w:val="heading 4 Char"/>
    <w:link w:val="Nadpis41"/>
    <w:locked/>
    <w:rsid w:val="00C121FC"/>
    <w:rPr>
      <w:rFonts w:ascii="Times New Roman" w:hAnsi="Times New Roman"/>
      <w:b/>
      <w:color w:val="95B3D7"/>
      <w:sz w:val="24"/>
    </w:rPr>
  </w:style>
  <w:style w:type="paragraph" w:customStyle="1" w:styleId="Nadpis41">
    <w:name w:val="Nadpis 41"/>
    <w:basedOn w:val="Normlny"/>
    <w:link w:val="heading4Char"/>
    <w:qFormat/>
    <w:rsid w:val="00C121FC"/>
    <w:pPr>
      <w:spacing w:before="240" w:after="60"/>
      <w:jc w:val="both"/>
    </w:pPr>
    <w:rPr>
      <w:b/>
      <w:color w:val="95B3D7"/>
      <w:szCs w:val="20"/>
      <w:lang w:val="en-US" w:eastAsia="sk-SK"/>
    </w:rPr>
  </w:style>
  <w:style w:type="paragraph" w:customStyle="1" w:styleId="3Title">
    <w:name w:val="3 Title"/>
    <w:basedOn w:val="Normlny"/>
    <w:uiPriority w:val="99"/>
    <w:rsid w:val="00025C5E"/>
    <w:pPr>
      <w:tabs>
        <w:tab w:val="right" w:pos="9360"/>
      </w:tabs>
    </w:pPr>
    <w:rPr>
      <w:rFonts w:ascii="Arial" w:hAnsi="Arial" w:cs="Arial"/>
      <w:sz w:val="32"/>
      <w:szCs w:val="20"/>
      <w:lang w:val="en-GB"/>
    </w:rPr>
  </w:style>
  <w:style w:type="table" w:styleId="Mriekatabuky">
    <w:name w:val="Table Grid"/>
    <w:basedOn w:val="Normlnatabuka"/>
    <w:uiPriority w:val="59"/>
    <w:locked/>
    <w:rsid w:val="00025C5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1, Char1"/>
    <w:basedOn w:val="Normlny"/>
    <w:link w:val="TextpoznmkypodiarouChar"/>
    <w:semiHidden/>
    <w:unhideWhenUsed/>
    <w:rsid w:val="00025C5E"/>
    <w:rPr>
      <w:rFonts w:ascii="Calibri" w:hAnsi="Calibri"/>
      <w:sz w:val="20"/>
      <w:szCs w:val="20"/>
    </w:rPr>
  </w:style>
  <w:style w:type="character" w:customStyle="1" w:styleId="TextpoznmkypodiarouChar">
    <w:name w:val="Text poznámky pod čiarou Char"/>
    <w:aliases w:val="Char1 Char, Char1 Char"/>
    <w:basedOn w:val="Predvolenpsmoodseku"/>
    <w:link w:val="Textpoznmkypodiarou"/>
    <w:semiHidden/>
    <w:locked/>
    <w:rsid w:val="00025C5E"/>
    <w:rPr>
      <w:rFonts w:cs="Times New Roman"/>
      <w:sz w:val="20"/>
      <w:szCs w:val="20"/>
      <w:lang w:eastAsia="en-US"/>
    </w:rPr>
  </w:style>
  <w:style w:type="character" w:styleId="Zvraznenie">
    <w:name w:val="Emphasis"/>
    <w:basedOn w:val="Predvolenpsmoodseku"/>
    <w:uiPriority w:val="20"/>
    <w:qFormat/>
    <w:locked/>
    <w:rsid w:val="00025C5E"/>
    <w:rPr>
      <w:rFonts w:cs="Times New Roman"/>
      <w:i/>
    </w:rPr>
  </w:style>
  <w:style w:type="paragraph" w:styleId="Bezriadkovania">
    <w:name w:val="No Spacing"/>
    <w:uiPriority w:val="1"/>
    <w:qFormat/>
    <w:rsid w:val="0087457B"/>
    <w:rPr>
      <w:rFonts w:cs="Times New Roman"/>
      <w:sz w:val="22"/>
      <w:szCs w:val="22"/>
      <w:lang w:eastAsia="en-US"/>
    </w:rPr>
  </w:style>
  <w:style w:type="character" w:styleId="Odkaznapoznmkupodiarou">
    <w:name w:val="footnote reference"/>
    <w:basedOn w:val="Predvolenpsmoodseku"/>
    <w:semiHidden/>
    <w:unhideWhenUsed/>
    <w:rsid w:val="009976D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footnote text" w:uiPriority="0"/>
    <w:lsdException w:name="annotation text" w:locked="1" w:semiHidden="0" w:unhideWhenUsed="0"/>
    <w:lsdException w:name="header" w:locked="1" w:semiHidden="0" w:uiPriority="0" w:unhideWhenUsed="0"/>
    <w:lsdException w:name="caption" w:locked="1" w:uiPriority="0" w:qFormat="1"/>
    <w:lsdException w:name="footnote reference" w:uiPriority="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6729"/>
    <w:rPr>
      <w:rFonts w:ascii="Times New Roman" w:hAnsi="Times New Roman" w:cs="Times New Roman"/>
      <w:sz w:val="24"/>
      <w:szCs w:val="24"/>
      <w:lang w:eastAsia="en-US"/>
    </w:rPr>
  </w:style>
  <w:style w:type="paragraph" w:styleId="Nadpis1">
    <w:name w:val="heading 1"/>
    <w:basedOn w:val="Normlny"/>
    <w:next w:val="Normlny"/>
    <w:link w:val="Nadpis1Char"/>
    <w:uiPriority w:val="99"/>
    <w:qFormat/>
    <w:rsid w:val="00596729"/>
    <w:pPr>
      <w:keepNext/>
      <w:keepLines/>
      <w:spacing w:before="480"/>
      <w:outlineLvl w:val="0"/>
    </w:pPr>
    <w:rPr>
      <w:rFonts w:ascii="Cambria" w:hAnsi="Cambria" w:cs="Cambria"/>
      <w:b/>
      <w:bCs/>
      <w:color w:val="365F91"/>
      <w:sz w:val="28"/>
      <w:szCs w:val="28"/>
      <w:lang w:eastAsia="sk-SK"/>
    </w:rPr>
  </w:style>
  <w:style w:type="paragraph" w:styleId="Nadpis2">
    <w:name w:val="heading 2"/>
    <w:basedOn w:val="Normlny"/>
    <w:next w:val="Normlny"/>
    <w:link w:val="Nadpis2Char"/>
    <w:uiPriority w:val="99"/>
    <w:qFormat/>
    <w:rsid w:val="00596729"/>
    <w:pPr>
      <w:keepNext/>
      <w:jc w:val="center"/>
      <w:outlineLvl w:val="1"/>
    </w:pPr>
    <w:rPr>
      <w:b/>
      <w:bCs/>
      <w:lang w:eastAsia="sk-SK"/>
    </w:rPr>
  </w:style>
  <w:style w:type="paragraph" w:styleId="Nadpis7">
    <w:name w:val="heading 7"/>
    <w:basedOn w:val="Normlny"/>
    <w:next w:val="Normlny"/>
    <w:link w:val="Nadpis7Char"/>
    <w:uiPriority w:val="9"/>
    <w:semiHidden/>
    <w:unhideWhenUsed/>
    <w:qFormat/>
    <w:locked/>
    <w:rsid w:val="00FB0AC9"/>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96729"/>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596729"/>
    <w:rPr>
      <w:rFonts w:ascii="Times New Roman" w:hAnsi="Times New Roman" w:cs="Times New Roman"/>
      <w:b/>
      <w:bCs/>
      <w:sz w:val="24"/>
      <w:szCs w:val="24"/>
      <w:lang w:val="x-none" w:eastAsia="sk-SK"/>
    </w:rPr>
  </w:style>
  <w:style w:type="character" w:customStyle="1" w:styleId="Nadpis7Char">
    <w:name w:val="Nadpis 7 Char"/>
    <w:basedOn w:val="Predvolenpsmoodseku"/>
    <w:link w:val="Nadpis7"/>
    <w:uiPriority w:val="9"/>
    <w:semiHidden/>
    <w:locked/>
    <w:rsid w:val="00FB0AC9"/>
    <w:rPr>
      <w:rFonts w:ascii="Calibri" w:hAnsi="Calibri" w:cs="Times New Roman"/>
      <w:sz w:val="24"/>
      <w:szCs w:val="24"/>
      <w:lang w:val="x-none" w:eastAsia="en-US"/>
    </w:rPr>
  </w:style>
  <w:style w:type="character" w:styleId="Hypertextovprepojenie">
    <w:name w:val="Hyperlink"/>
    <w:basedOn w:val="Predvolenpsmoodseku"/>
    <w:uiPriority w:val="99"/>
    <w:rsid w:val="00596729"/>
    <w:rPr>
      <w:rFonts w:cs="Times New Roman"/>
      <w:b/>
      <w:bCs/>
      <w:color w:val="auto"/>
      <w:u w:val="none"/>
      <w:effect w:val="none"/>
    </w:rPr>
  </w:style>
  <w:style w:type="paragraph" w:customStyle="1" w:styleId="ListParagraph1">
    <w:name w:val="List Paragraph1"/>
    <w:basedOn w:val="Normlny"/>
    <w:uiPriority w:val="99"/>
    <w:rsid w:val="00596729"/>
    <w:pPr>
      <w:ind w:left="708"/>
    </w:pPr>
  </w:style>
  <w:style w:type="paragraph" w:styleId="Zkladntext2">
    <w:name w:val="Body Text 2"/>
    <w:basedOn w:val="Normlny"/>
    <w:link w:val="Zkladntext2Char"/>
    <w:uiPriority w:val="99"/>
    <w:rsid w:val="00596729"/>
    <w:pPr>
      <w:jc w:val="both"/>
    </w:pPr>
    <w:rPr>
      <w:sz w:val="20"/>
      <w:szCs w:val="20"/>
      <w:lang w:eastAsia="sk-SK"/>
    </w:rPr>
  </w:style>
  <w:style w:type="character" w:customStyle="1" w:styleId="Zkladntext2Char">
    <w:name w:val="Základný text 2 Char"/>
    <w:basedOn w:val="Predvolenpsmoodseku"/>
    <w:link w:val="Zkladntext2"/>
    <w:uiPriority w:val="99"/>
    <w:locked/>
    <w:rsid w:val="00596729"/>
    <w:rPr>
      <w:rFonts w:ascii="Times New Roman" w:hAnsi="Times New Roman" w:cs="Times New Roman"/>
      <w:sz w:val="20"/>
      <w:szCs w:val="20"/>
    </w:rPr>
  </w:style>
  <w:style w:type="paragraph" w:styleId="Zkladntext">
    <w:name w:val="Body Text"/>
    <w:basedOn w:val="Normlny"/>
    <w:link w:val="ZkladntextChar"/>
    <w:uiPriority w:val="99"/>
    <w:semiHidden/>
    <w:rsid w:val="00596729"/>
    <w:pPr>
      <w:spacing w:after="120"/>
    </w:pPr>
    <w:rPr>
      <w:lang w:eastAsia="sk-SK"/>
    </w:rPr>
  </w:style>
  <w:style w:type="character" w:customStyle="1" w:styleId="ZkladntextChar">
    <w:name w:val="Základný text Char"/>
    <w:basedOn w:val="Predvolenpsmoodseku"/>
    <w:link w:val="Zkladntext"/>
    <w:uiPriority w:val="99"/>
    <w:semiHidden/>
    <w:locked/>
    <w:rsid w:val="00596729"/>
    <w:rPr>
      <w:rFonts w:ascii="Times New Roman" w:hAnsi="Times New Roman" w:cs="Times New Roman"/>
      <w:sz w:val="24"/>
      <w:szCs w:val="24"/>
    </w:rPr>
  </w:style>
  <w:style w:type="paragraph" w:styleId="Zarkazkladnhotextu2">
    <w:name w:val="Body Text Indent 2"/>
    <w:basedOn w:val="Normlny"/>
    <w:link w:val="Zarkazkladnhotextu2Char"/>
    <w:uiPriority w:val="99"/>
    <w:semiHidden/>
    <w:rsid w:val="00596729"/>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semiHidden/>
    <w:locked/>
    <w:rsid w:val="00596729"/>
    <w:rPr>
      <w:rFonts w:ascii="Times New Roman" w:hAnsi="Times New Roman" w:cs="Times New Roman"/>
      <w:sz w:val="24"/>
      <w:szCs w:val="24"/>
    </w:rPr>
  </w:style>
  <w:style w:type="character" w:styleId="Siln">
    <w:name w:val="Strong"/>
    <w:basedOn w:val="Predvolenpsmoodseku"/>
    <w:uiPriority w:val="22"/>
    <w:qFormat/>
    <w:rsid w:val="00596729"/>
    <w:rPr>
      <w:rFonts w:cs="Times New Roman"/>
      <w:b/>
      <w:bCs/>
    </w:rPr>
  </w:style>
  <w:style w:type="paragraph" w:customStyle="1" w:styleId="NormlnsWWW">
    <w:name w:val="Normální (síť WWW)"/>
    <w:basedOn w:val="Normlny"/>
    <w:rsid w:val="00596729"/>
    <w:pPr>
      <w:spacing w:before="100" w:beforeAutospacing="1" w:after="100" w:afterAutospacing="1"/>
    </w:pPr>
    <w:rPr>
      <w:rFonts w:ascii="Arial Unicode MS" w:cs="Arial Unicode MS"/>
      <w:lang w:eastAsia="sk-SK"/>
    </w:rPr>
  </w:style>
  <w:style w:type="paragraph" w:customStyle="1" w:styleId="CharChar1CharCharCharCharCharCharCharCharChar">
    <w:name w:val="Char Char1 Char Char Char Char Char Char Char Char Char"/>
    <w:basedOn w:val="Normlny"/>
    <w:uiPriority w:val="99"/>
    <w:rsid w:val="00596729"/>
    <w:pPr>
      <w:tabs>
        <w:tab w:val="num" w:pos="567"/>
      </w:tabs>
      <w:spacing w:line="240" w:lineRule="exact"/>
      <w:ind w:left="567" w:hanging="567"/>
    </w:pPr>
    <w:rPr>
      <w:rFonts w:ascii="Times New Roman Bold" w:hAnsi="Times New Roman Bold" w:cs="Times New Roman Bold"/>
      <w:b/>
      <w:bCs/>
      <w:sz w:val="26"/>
      <w:szCs w:val="26"/>
    </w:rPr>
  </w:style>
  <w:style w:type="paragraph" w:styleId="Hlavika">
    <w:name w:val="header"/>
    <w:basedOn w:val="Normlny"/>
    <w:link w:val="HlavikaChar"/>
    <w:uiPriority w:val="99"/>
    <w:rsid w:val="00596729"/>
    <w:pPr>
      <w:tabs>
        <w:tab w:val="center" w:pos="4536"/>
        <w:tab w:val="right" w:pos="9072"/>
      </w:tabs>
    </w:pPr>
    <w:rPr>
      <w:sz w:val="20"/>
      <w:szCs w:val="20"/>
      <w:lang w:eastAsia="sk-SK"/>
    </w:rPr>
  </w:style>
  <w:style w:type="character" w:customStyle="1" w:styleId="HlavikaChar">
    <w:name w:val="Hlavička Char"/>
    <w:basedOn w:val="Predvolenpsmoodseku"/>
    <w:link w:val="Hlavika"/>
    <w:uiPriority w:val="99"/>
    <w:locked/>
    <w:rsid w:val="00596729"/>
    <w:rPr>
      <w:rFonts w:ascii="Times New Roman" w:hAnsi="Times New Roman" w:cs="Times New Roman"/>
      <w:sz w:val="20"/>
      <w:szCs w:val="20"/>
    </w:rPr>
  </w:style>
  <w:style w:type="paragraph" w:styleId="Pta">
    <w:name w:val="footer"/>
    <w:basedOn w:val="Normlny"/>
    <w:link w:val="PtaChar"/>
    <w:uiPriority w:val="99"/>
    <w:rsid w:val="00596729"/>
    <w:pPr>
      <w:tabs>
        <w:tab w:val="center" w:pos="4536"/>
        <w:tab w:val="right" w:pos="9072"/>
      </w:tabs>
    </w:pPr>
    <w:rPr>
      <w:lang w:eastAsia="sk-SK"/>
    </w:rPr>
  </w:style>
  <w:style w:type="character" w:customStyle="1" w:styleId="PtaChar">
    <w:name w:val="Päta Char"/>
    <w:basedOn w:val="Predvolenpsmoodseku"/>
    <w:link w:val="Pta"/>
    <w:uiPriority w:val="99"/>
    <w:locked/>
    <w:rsid w:val="00596729"/>
    <w:rPr>
      <w:rFonts w:ascii="Times New Roman" w:hAnsi="Times New Roman" w:cs="Times New Roman"/>
      <w:sz w:val="24"/>
      <w:szCs w:val="24"/>
    </w:rPr>
  </w:style>
  <w:style w:type="paragraph" w:styleId="Textbubliny">
    <w:name w:val="Balloon Text"/>
    <w:basedOn w:val="Normlny"/>
    <w:link w:val="TextbublinyChar"/>
    <w:uiPriority w:val="99"/>
    <w:rsid w:val="009D10C6"/>
    <w:rPr>
      <w:rFonts w:ascii="Tahoma" w:hAnsi="Tahoma" w:cs="Tahoma"/>
      <w:sz w:val="16"/>
      <w:szCs w:val="16"/>
      <w:lang w:eastAsia="sk-SK"/>
    </w:rPr>
  </w:style>
  <w:style w:type="character" w:customStyle="1" w:styleId="TextbublinyChar">
    <w:name w:val="Text bubliny Char"/>
    <w:basedOn w:val="Predvolenpsmoodseku"/>
    <w:link w:val="Textbubliny"/>
    <w:uiPriority w:val="99"/>
    <w:locked/>
    <w:rPr>
      <w:rFonts w:ascii="Tahoma" w:hAnsi="Tahoma" w:cs="Tahoma"/>
      <w:sz w:val="16"/>
      <w:szCs w:val="16"/>
      <w:lang w:val="sk-SK" w:eastAsia="x-none"/>
    </w:rPr>
  </w:style>
  <w:style w:type="character" w:styleId="Odkaznakomentr">
    <w:name w:val="annotation reference"/>
    <w:basedOn w:val="Predvolenpsmoodseku"/>
    <w:uiPriority w:val="99"/>
    <w:semiHidden/>
    <w:rsid w:val="009D10C6"/>
    <w:rPr>
      <w:rFonts w:cs="Times New Roman"/>
      <w:sz w:val="16"/>
      <w:szCs w:val="16"/>
    </w:rPr>
  </w:style>
  <w:style w:type="paragraph" w:styleId="Textkomentra">
    <w:name w:val="annotation text"/>
    <w:basedOn w:val="Normlny"/>
    <w:link w:val="TextkomentraChar"/>
    <w:uiPriority w:val="99"/>
    <w:semiHidden/>
    <w:rsid w:val="009D10C6"/>
    <w:rPr>
      <w:rFonts w:ascii="Calibri" w:hAnsi="Calibri" w:cs="Calibri"/>
      <w:sz w:val="20"/>
      <w:szCs w:val="20"/>
    </w:rPr>
  </w:style>
  <w:style w:type="character" w:customStyle="1" w:styleId="TextkomentraChar">
    <w:name w:val="Text komentára Char"/>
    <w:basedOn w:val="Predvolenpsmoodseku"/>
    <w:link w:val="Textkomentra"/>
    <w:uiPriority w:val="99"/>
    <w:semiHidden/>
    <w:locked/>
    <w:rsid w:val="009D10C6"/>
    <w:rPr>
      <w:rFonts w:cs="Times New Roman"/>
      <w:lang w:val="sk-SK" w:eastAsia="en-US"/>
    </w:rPr>
  </w:style>
  <w:style w:type="paragraph" w:styleId="Odsekzoznamu">
    <w:name w:val="List Paragraph"/>
    <w:basedOn w:val="Normlny"/>
    <w:uiPriority w:val="99"/>
    <w:qFormat/>
    <w:rsid w:val="009D10C6"/>
    <w:pPr>
      <w:ind w:left="708"/>
    </w:pPr>
  </w:style>
  <w:style w:type="paragraph" w:styleId="Predmetkomentra">
    <w:name w:val="annotation subject"/>
    <w:basedOn w:val="Textkomentra"/>
    <w:next w:val="Textkomentra"/>
    <w:link w:val="PredmetkomentraChar"/>
    <w:uiPriority w:val="99"/>
    <w:semiHidden/>
    <w:rsid w:val="00D704CC"/>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lang w:val="sk-SK" w:eastAsia="en-US"/>
    </w:rPr>
  </w:style>
  <w:style w:type="character" w:customStyle="1" w:styleId="CommentTextChar">
    <w:name w:val="Comment Text Char"/>
    <w:uiPriority w:val="99"/>
    <w:semiHidden/>
    <w:locked/>
    <w:rsid w:val="00AB0FAF"/>
    <w:rPr>
      <w:sz w:val="20"/>
    </w:rPr>
  </w:style>
  <w:style w:type="paragraph" w:customStyle="1" w:styleId="Default">
    <w:name w:val="Default"/>
    <w:rsid w:val="00FB6C37"/>
    <w:pPr>
      <w:autoSpaceDE w:val="0"/>
      <w:autoSpaceDN w:val="0"/>
      <w:adjustRightInd w:val="0"/>
    </w:pPr>
    <w:rPr>
      <w:rFonts w:ascii="Arial" w:hAnsi="Arial" w:cs="Arial"/>
      <w:color w:val="000000"/>
      <w:sz w:val="24"/>
      <w:szCs w:val="24"/>
      <w:lang w:val="cs-CZ" w:eastAsia="cs-CZ"/>
    </w:rPr>
  </w:style>
  <w:style w:type="paragraph" w:customStyle="1" w:styleId="Styl4">
    <w:name w:val="Styl4"/>
    <w:basedOn w:val="Normlny"/>
    <w:uiPriority w:val="99"/>
    <w:rsid w:val="0052431F"/>
    <w:pPr>
      <w:tabs>
        <w:tab w:val="num" w:pos="360"/>
      </w:tabs>
      <w:ind w:left="357" w:hanging="357"/>
    </w:pPr>
    <w:rPr>
      <w:b/>
      <w:bCs/>
      <w:sz w:val="22"/>
      <w:szCs w:val="22"/>
      <w:lang w:val="cs-CZ" w:eastAsia="cs-CZ"/>
    </w:rPr>
  </w:style>
  <w:style w:type="paragraph" w:styleId="Zarkazkladnhotextu">
    <w:name w:val="Body Text Indent"/>
    <w:basedOn w:val="Normlny"/>
    <w:link w:val="ZarkazkladnhotextuChar"/>
    <w:uiPriority w:val="99"/>
    <w:rsid w:val="00404DF3"/>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404DF3"/>
    <w:rPr>
      <w:rFonts w:ascii="Times New Roman" w:hAnsi="Times New Roman" w:cs="Times New Roman"/>
      <w:sz w:val="24"/>
      <w:szCs w:val="24"/>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b/>
      <w:sz w:val="24"/>
      <w:lang w:val="x-none" w:eastAsia="sk-SK"/>
    </w:rPr>
  </w:style>
  <w:style w:type="paragraph" w:styleId="Revzia">
    <w:name w:val="Revision"/>
    <w:hidden/>
    <w:uiPriority w:val="99"/>
    <w:semiHidden/>
    <w:rsid w:val="005B5C0E"/>
    <w:rPr>
      <w:rFonts w:ascii="Times New Roman" w:hAnsi="Times New Roman" w:cs="Times New Roman"/>
      <w:sz w:val="24"/>
      <w:szCs w:val="24"/>
      <w:lang w:eastAsia="en-US"/>
    </w:rPr>
  </w:style>
  <w:style w:type="paragraph" w:customStyle="1" w:styleId="ListParagraph2">
    <w:name w:val="List Paragraph2"/>
    <w:basedOn w:val="Normlny"/>
    <w:uiPriority w:val="99"/>
    <w:rsid w:val="00354655"/>
    <w:pPr>
      <w:spacing w:after="200" w:line="276" w:lineRule="auto"/>
      <w:ind w:left="720"/>
    </w:pPr>
    <w:rPr>
      <w:rFonts w:ascii="Calibri" w:hAnsi="Calibri" w:cs="Calibri"/>
      <w:sz w:val="22"/>
      <w:szCs w:val="22"/>
    </w:rPr>
  </w:style>
  <w:style w:type="character" w:customStyle="1" w:styleId="skypepnhprintcontainer">
    <w:name w:val="skype_pnh_print_container"/>
    <w:basedOn w:val="Predvolenpsmoodseku"/>
    <w:uiPriority w:val="99"/>
    <w:rsid w:val="0069441E"/>
    <w:rPr>
      <w:rFonts w:cs="Times New Roman"/>
    </w:rPr>
  </w:style>
  <w:style w:type="character" w:customStyle="1" w:styleId="skypepnhcontainer">
    <w:name w:val="skype_pnh_container"/>
    <w:basedOn w:val="Predvolenpsmoodseku"/>
    <w:uiPriority w:val="99"/>
    <w:rsid w:val="0069441E"/>
    <w:rPr>
      <w:rFonts w:cs="Times New Roman"/>
    </w:rPr>
  </w:style>
  <w:style w:type="character" w:customStyle="1" w:styleId="skypepnhmark">
    <w:name w:val="skype_pnh_mark"/>
    <w:basedOn w:val="Predvolenpsmoodseku"/>
    <w:uiPriority w:val="99"/>
    <w:rsid w:val="0069441E"/>
    <w:rPr>
      <w:rFonts w:cs="Times New Roman"/>
    </w:rPr>
  </w:style>
  <w:style w:type="character" w:customStyle="1" w:styleId="skypepnhtextspan">
    <w:name w:val="skype_pnh_text_span"/>
    <w:basedOn w:val="Predvolenpsmoodseku"/>
    <w:uiPriority w:val="99"/>
    <w:rsid w:val="0069441E"/>
    <w:rPr>
      <w:rFonts w:cs="Times New Roman"/>
    </w:rPr>
  </w:style>
  <w:style w:type="character" w:customStyle="1" w:styleId="skypepnhrightspan">
    <w:name w:val="skype_pnh_right_span"/>
    <w:basedOn w:val="Predvolenpsmoodseku"/>
    <w:uiPriority w:val="99"/>
    <w:rsid w:val="0069441E"/>
    <w:rPr>
      <w:rFonts w:cs="Times New Roman"/>
    </w:rPr>
  </w:style>
  <w:style w:type="paragraph" w:styleId="Normlnywebov">
    <w:name w:val="Normal (Web)"/>
    <w:basedOn w:val="Normlny"/>
    <w:unhideWhenUsed/>
    <w:rsid w:val="003150B9"/>
    <w:pPr>
      <w:spacing w:before="100" w:beforeAutospacing="1" w:after="100" w:afterAutospacing="1"/>
    </w:pPr>
    <w:rPr>
      <w:lang w:eastAsia="sk-SK"/>
    </w:rPr>
  </w:style>
  <w:style w:type="character" w:customStyle="1" w:styleId="NormlnysozarkamiChar">
    <w:name w:val="Normálny so zarážkami Char"/>
    <w:link w:val="Normlnysozarkami"/>
    <w:uiPriority w:val="99"/>
    <w:semiHidden/>
    <w:locked/>
    <w:rsid w:val="00FB0AC9"/>
    <w:rPr>
      <w:rFonts w:ascii="Times New Roman" w:hAnsi="Times New Roman"/>
      <w:sz w:val="24"/>
    </w:rPr>
  </w:style>
  <w:style w:type="paragraph" w:styleId="Normlnysozarkami">
    <w:name w:val="Normal Indent"/>
    <w:basedOn w:val="Normlny"/>
    <w:link w:val="NormlnysozarkamiChar"/>
    <w:uiPriority w:val="99"/>
    <w:semiHidden/>
    <w:unhideWhenUsed/>
    <w:qFormat/>
    <w:rsid w:val="00FB0AC9"/>
    <w:pPr>
      <w:ind w:firstLine="357"/>
      <w:jc w:val="both"/>
    </w:pPr>
    <w:rPr>
      <w:szCs w:val="20"/>
      <w:lang w:val="en-US" w:eastAsia="sk-SK"/>
    </w:rPr>
  </w:style>
  <w:style w:type="character" w:customStyle="1" w:styleId="bullet1Char">
    <w:name w:val="bullet1 Char"/>
    <w:link w:val="bullet1"/>
    <w:locked/>
    <w:rsid w:val="00FB0AC9"/>
    <w:rPr>
      <w:rFonts w:ascii="Times New Roman" w:hAnsi="Times New Roman"/>
      <w:sz w:val="24"/>
    </w:rPr>
  </w:style>
  <w:style w:type="paragraph" w:customStyle="1" w:styleId="bullet1">
    <w:name w:val="bullet1"/>
    <w:basedOn w:val="Normlny"/>
    <w:link w:val="bullet1Char"/>
    <w:qFormat/>
    <w:rsid w:val="00FB0AC9"/>
    <w:pPr>
      <w:numPr>
        <w:numId w:val="1"/>
      </w:numPr>
      <w:jc w:val="both"/>
    </w:pPr>
    <w:rPr>
      <w:szCs w:val="20"/>
      <w:lang w:val="en-US" w:eastAsia="sk-SK"/>
    </w:rPr>
  </w:style>
  <w:style w:type="character" w:customStyle="1" w:styleId="123Char">
    <w:name w:val="123 Char"/>
    <w:link w:val="123"/>
    <w:locked/>
    <w:rsid w:val="00FB0AC9"/>
    <w:rPr>
      <w:rFonts w:ascii="Times New Roman" w:hAnsi="Times New Roman"/>
      <w:b/>
      <w:sz w:val="24"/>
    </w:rPr>
  </w:style>
  <w:style w:type="paragraph" w:customStyle="1" w:styleId="123">
    <w:name w:val="123"/>
    <w:basedOn w:val="Odsekzoznamu"/>
    <w:link w:val="123Char"/>
    <w:qFormat/>
    <w:rsid w:val="00FB0AC9"/>
    <w:pPr>
      <w:spacing w:before="240" w:after="60"/>
      <w:ind w:left="0"/>
      <w:jc w:val="both"/>
    </w:pPr>
    <w:rPr>
      <w:b/>
      <w:szCs w:val="20"/>
      <w:lang w:val="en-US" w:eastAsia="sk-SK"/>
    </w:rPr>
  </w:style>
  <w:style w:type="character" w:customStyle="1" w:styleId="normalindentChar">
    <w:name w:val="normal indent Char"/>
    <w:link w:val="Normlnysozarkami1"/>
    <w:locked/>
    <w:rsid w:val="00FB0AC9"/>
    <w:rPr>
      <w:rFonts w:ascii="Times New Roman" w:hAnsi="Times New Roman"/>
      <w:sz w:val="24"/>
    </w:rPr>
  </w:style>
  <w:style w:type="paragraph" w:customStyle="1" w:styleId="Normlnysozarkami1">
    <w:name w:val="Normálny so zarážkami1"/>
    <w:basedOn w:val="Normlny"/>
    <w:link w:val="normalindentChar"/>
    <w:qFormat/>
    <w:rsid w:val="00FB0AC9"/>
    <w:pPr>
      <w:ind w:firstLine="357"/>
      <w:jc w:val="both"/>
    </w:pPr>
    <w:rPr>
      <w:szCs w:val="20"/>
      <w:lang w:val="en-US" w:eastAsia="sk-SK"/>
    </w:rPr>
  </w:style>
  <w:style w:type="character" w:customStyle="1" w:styleId="zdrojChar">
    <w:name w:val="zdroj Char"/>
    <w:link w:val="zdroj"/>
    <w:locked/>
    <w:rsid w:val="00E739B0"/>
    <w:rPr>
      <w:rFonts w:ascii="Times New Roman" w:hAnsi="Times New Roman"/>
      <w:i/>
      <w:color w:val="000000"/>
      <w:sz w:val="20"/>
      <w:lang w:val="cs-CZ" w:eastAsia="x-none"/>
    </w:rPr>
  </w:style>
  <w:style w:type="paragraph" w:customStyle="1" w:styleId="zdroj">
    <w:name w:val="zdroj"/>
    <w:basedOn w:val="Normlny"/>
    <w:link w:val="zdrojChar"/>
    <w:qFormat/>
    <w:rsid w:val="00E739B0"/>
    <w:pPr>
      <w:spacing w:before="60" w:after="120"/>
      <w:ind w:firstLine="567"/>
      <w:jc w:val="both"/>
    </w:pPr>
    <w:rPr>
      <w:i/>
      <w:color w:val="000000"/>
      <w:sz w:val="20"/>
      <w:szCs w:val="20"/>
      <w:lang w:val="cs-CZ" w:eastAsia="sk-SK"/>
    </w:rPr>
  </w:style>
  <w:style w:type="paragraph" w:customStyle="1" w:styleId="Normlnysozarkami11">
    <w:name w:val="Normálny so zarážkami11"/>
    <w:basedOn w:val="Normlny"/>
    <w:qFormat/>
    <w:rsid w:val="007D0B38"/>
    <w:pPr>
      <w:ind w:firstLine="357"/>
      <w:jc w:val="both"/>
    </w:pPr>
    <w:rPr>
      <w:sz w:val="22"/>
      <w:lang w:eastAsia="sk-SK"/>
    </w:rPr>
  </w:style>
  <w:style w:type="character" w:customStyle="1" w:styleId="heading4Char">
    <w:name w:val="heading 4 Char"/>
    <w:link w:val="Nadpis41"/>
    <w:locked/>
    <w:rsid w:val="00C121FC"/>
    <w:rPr>
      <w:rFonts w:ascii="Times New Roman" w:hAnsi="Times New Roman"/>
      <w:b/>
      <w:color w:val="95B3D7"/>
      <w:sz w:val="24"/>
    </w:rPr>
  </w:style>
  <w:style w:type="paragraph" w:customStyle="1" w:styleId="Nadpis41">
    <w:name w:val="Nadpis 41"/>
    <w:basedOn w:val="Normlny"/>
    <w:link w:val="heading4Char"/>
    <w:qFormat/>
    <w:rsid w:val="00C121FC"/>
    <w:pPr>
      <w:spacing w:before="240" w:after="60"/>
      <w:jc w:val="both"/>
    </w:pPr>
    <w:rPr>
      <w:b/>
      <w:color w:val="95B3D7"/>
      <w:szCs w:val="20"/>
      <w:lang w:val="en-US" w:eastAsia="sk-SK"/>
    </w:rPr>
  </w:style>
  <w:style w:type="paragraph" w:customStyle="1" w:styleId="3Title">
    <w:name w:val="3 Title"/>
    <w:basedOn w:val="Normlny"/>
    <w:uiPriority w:val="99"/>
    <w:rsid w:val="00025C5E"/>
    <w:pPr>
      <w:tabs>
        <w:tab w:val="right" w:pos="9360"/>
      </w:tabs>
    </w:pPr>
    <w:rPr>
      <w:rFonts w:ascii="Arial" w:hAnsi="Arial" w:cs="Arial"/>
      <w:sz w:val="32"/>
      <w:szCs w:val="20"/>
      <w:lang w:val="en-GB"/>
    </w:rPr>
  </w:style>
  <w:style w:type="table" w:styleId="Mriekatabuky">
    <w:name w:val="Table Grid"/>
    <w:basedOn w:val="Normlnatabuka"/>
    <w:uiPriority w:val="59"/>
    <w:locked/>
    <w:rsid w:val="00025C5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1, Char1"/>
    <w:basedOn w:val="Normlny"/>
    <w:link w:val="TextpoznmkypodiarouChar"/>
    <w:semiHidden/>
    <w:unhideWhenUsed/>
    <w:rsid w:val="00025C5E"/>
    <w:rPr>
      <w:rFonts w:ascii="Calibri" w:hAnsi="Calibri"/>
      <w:sz w:val="20"/>
      <w:szCs w:val="20"/>
    </w:rPr>
  </w:style>
  <w:style w:type="character" w:customStyle="1" w:styleId="TextpoznmkypodiarouChar">
    <w:name w:val="Text poznámky pod čiarou Char"/>
    <w:aliases w:val="Char1 Char, Char1 Char"/>
    <w:basedOn w:val="Predvolenpsmoodseku"/>
    <w:link w:val="Textpoznmkypodiarou"/>
    <w:semiHidden/>
    <w:locked/>
    <w:rsid w:val="00025C5E"/>
    <w:rPr>
      <w:rFonts w:cs="Times New Roman"/>
      <w:sz w:val="20"/>
      <w:szCs w:val="20"/>
      <w:lang w:val="x-none" w:eastAsia="en-US"/>
    </w:rPr>
  </w:style>
  <w:style w:type="character" w:styleId="Zvraznenie">
    <w:name w:val="Emphasis"/>
    <w:basedOn w:val="Predvolenpsmoodseku"/>
    <w:uiPriority w:val="20"/>
    <w:qFormat/>
    <w:locked/>
    <w:rsid w:val="00025C5E"/>
    <w:rPr>
      <w:rFonts w:cs="Times New Roman"/>
      <w:i/>
    </w:rPr>
  </w:style>
  <w:style w:type="paragraph" w:styleId="Bezriadkovania">
    <w:name w:val="No Spacing"/>
    <w:uiPriority w:val="1"/>
    <w:qFormat/>
    <w:rsid w:val="0087457B"/>
    <w:rPr>
      <w:rFonts w:cs="Times New Roman"/>
      <w:sz w:val="22"/>
      <w:szCs w:val="22"/>
      <w:lang w:eastAsia="en-US"/>
    </w:rPr>
  </w:style>
  <w:style w:type="character" w:styleId="Odkaznapoznmkupodiarou">
    <w:name w:val="footnote reference"/>
    <w:basedOn w:val="Predvolenpsmoodseku"/>
    <w:semiHidden/>
    <w:unhideWhenUsed/>
    <w:rsid w:val="009976D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7236585">
      <w:bodyDiv w:val="1"/>
      <w:marLeft w:val="0"/>
      <w:marRight w:val="0"/>
      <w:marTop w:val="0"/>
      <w:marBottom w:val="0"/>
      <w:divBdr>
        <w:top w:val="none" w:sz="0" w:space="0" w:color="auto"/>
        <w:left w:val="none" w:sz="0" w:space="0" w:color="auto"/>
        <w:bottom w:val="none" w:sz="0" w:space="0" w:color="auto"/>
        <w:right w:val="none" w:sz="0" w:space="0" w:color="auto"/>
      </w:divBdr>
    </w:div>
    <w:div w:id="93482499">
      <w:bodyDiv w:val="1"/>
      <w:marLeft w:val="0"/>
      <w:marRight w:val="0"/>
      <w:marTop w:val="0"/>
      <w:marBottom w:val="0"/>
      <w:divBdr>
        <w:top w:val="none" w:sz="0" w:space="0" w:color="auto"/>
        <w:left w:val="none" w:sz="0" w:space="0" w:color="auto"/>
        <w:bottom w:val="none" w:sz="0" w:space="0" w:color="auto"/>
        <w:right w:val="none" w:sz="0" w:space="0" w:color="auto"/>
      </w:divBdr>
    </w:div>
    <w:div w:id="314146802">
      <w:bodyDiv w:val="1"/>
      <w:marLeft w:val="0"/>
      <w:marRight w:val="0"/>
      <w:marTop w:val="0"/>
      <w:marBottom w:val="0"/>
      <w:divBdr>
        <w:top w:val="none" w:sz="0" w:space="0" w:color="auto"/>
        <w:left w:val="none" w:sz="0" w:space="0" w:color="auto"/>
        <w:bottom w:val="none" w:sz="0" w:space="0" w:color="auto"/>
        <w:right w:val="none" w:sz="0" w:space="0" w:color="auto"/>
      </w:divBdr>
    </w:div>
    <w:div w:id="381907408">
      <w:bodyDiv w:val="1"/>
      <w:marLeft w:val="0"/>
      <w:marRight w:val="0"/>
      <w:marTop w:val="0"/>
      <w:marBottom w:val="0"/>
      <w:divBdr>
        <w:top w:val="none" w:sz="0" w:space="0" w:color="auto"/>
        <w:left w:val="none" w:sz="0" w:space="0" w:color="auto"/>
        <w:bottom w:val="none" w:sz="0" w:space="0" w:color="auto"/>
        <w:right w:val="none" w:sz="0" w:space="0" w:color="auto"/>
      </w:divBdr>
    </w:div>
    <w:div w:id="614676382">
      <w:bodyDiv w:val="1"/>
      <w:marLeft w:val="0"/>
      <w:marRight w:val="0"/>
      <w:marTop w:val="0"/>
      <w:marBottom w:val="0"/>
      <w:divBdr>
        <w:top w:val="none" w:sz="0" w:space="0" w:color="auto"/>
        <w:left w:val="none" w:sz="0" w:space="0" w:color="auto"/>
        <w:bottom w:val="none" w:sz="0" w:space="0" w:color="auto"/>
        <w:right w:val="none" w:sz="0" w:space="0" w:color="auto"/>
      </w:divBdr>
    </w:div>
    <w:div w:id="622997909">
      <w:bodyDiv w:val="1"/>
      <w:marLeft w:val="0"/>
      <w:marRight w:val="0"/>
      <w:marTop w:val="0"/>
      <w:marBottom w:val="0"/>
      <w:divBdr>
        <w:top w:val="none" w:sz="0" w:space="0" w:color="auto"/>
        <w:left w:val="none" w:sz="0" w:space="0" w:color="auto"/>
        <w:bottom w:val="none" w:sz="0" w:space="0" w:color="auto"/>
        <w:right w:val="none" w:sz="0" w:space="0" w:color="auto"/>
      </w:divBdr>
    </w:div>
    <w:div w:id="923412688">
      <w:marLeft w:val="0"/>
      <w:marRight w:val="0"/>
      <w:marTop w:val="0"/>
      <w:marBottom w:val="0"/>
      <w:divBdr>
        <w:top w:val="none" w:sz="0" w:space="0" w:color="auto"/>
        <w:left w:val="none" w:sz="0" w:space="0" w:color="auto"/>
        <w:bottom w:val="none" w:sz="0" w:space="0" w:color="auto"/>
        <w:right w:val="none" w:sz="0" w:space="0" w:color="auto"/>
      </w:divBdr>
    </w:div>
    <w:div w:id="923412689">
      <w:marLeft w:val="0"/>
      <w:marRight w:val="0"/>
      <w:marTop w:val="0"/>
      <w:marBottom w:val="0"/>
      <w:divBdr>
        <w:top w:val="none" w:sz="0" w:space="0" w:color="auto"/>
        <w:left w:val="none" w:sz="0" w:space="0" w:color="auto"/>
        <w:bottom w:val="none" w:sz="0" w:space="0" w:color="auto"/>
        <w:right w:val="none" w:sz="0" w:space="0" w:color="auto"/>
      </w:divBdr>
    </w:div>
    <w:div w:id="923412690">
      <w:marLeft w:val="0"/>
      <w:marRight w:val="0"/>
      <w:marTop w:val="0"/>
      <w:marBottom w:val="0"/>
      <w:divBdr>
        <w:top w:val="none" w:sz="0" w:space="0" w:color="auto"/>
        <w:left w:val="none" w:sz="0" w:space="0" w:color="auto"/>
        <w:bottom w:val="none" w:sz="0" w:space="0" w:color="auto"/>
        <w:right w:val="none" w:sz="0" w:space="0" w:color="auto"/>
      </w:divBdr>
    </w:div>
    <w:div w:id="923412691">
      <w:marLeft w:val="0"/>
      <w:marRight w:val="0"/>
      <w:marTop w:val="0"/>
      <w:marBottom w:val="0"/>
      <w:divBdr>
        <w:top w:val="none" w:sz="0" w:space="0" w:color="auto"/>
        <w:left w:val="none" w:sz="0" w:space="0" w:color="auto"/>
        <w:bottom w:val="none" w:sz="0" w:space="0" w:color="auto"/>
        <w:right w:val="none" w:sz="0" w:space="0" w:color="auto"/>
      </w:divBdr>
    </w:div>
    <w:div w:id="923412692">
      <w:marLeft w:val="0"/>
      <w:marRight w:val="0"/>
      <w:marTop w:val="0"/>
      <w:marBottom w:val="0"/>
      <w:divBdr>
        <w:top w:val="none" w:sz="0" w:space="0" w:color="auto"/>
        <w:left w:val="none" w:sz="0" w:space="0" w:color="auto"/>
        <w:bottom w:val="none" w:sz="0" w:space="0" w:color="auto"/>
        <w:right w:val="none" w:sz="0" w:space="0" w:color="auto"/>
      </w:divBdr>
    </w:div>
    <w:div w:id="923412693">
      <w:marLeft w:val="0"/>
      <w:marRight w:val="0"/>
      <w:marTop w:val="0"/>
      <w:marBottom w:val="0"/>
      <w:divBdr>
        <w:top w:val="none" w:sz="0" w:space="0" w:color="auto"/>
        <w:left w:val="none" w:sz="0" w:space="0" w:color="auto"/>
        <w:bottom w:val="none" w:sz="0" w:space="0" w:color="auto"/>
        <w:right w:val="none" w:sz="0" w:space="0" w:color="auto"/>
      </w:divBdr>
    </w:div>
    <w:div w:id="923412694">
      <w:marLeft w:val="0"/>
      <w:marRight w:val="0"/>
      <w:marTop w:val="0"/>
      <w:marBottom w:val="0"/>
      <w:divBdr>
        <w:top w:val="none" w:sz="0" w:space="0" w:color="auto"/>
        <w:left w:val="none" w:sz="0" w:space="0" w:color="auto"/>
        <w:bottom w:val="none" w:sz="0" w:space="0" w:color="auto"/>
        <w:right w:val="none" w:sz="0" w:space="0" w:color="auto"/>
      </w:divBdr>
    </w:div>
    <w:div w:id="923412695">
      <w:marLeft w:val="0"/>
      <w:marRight w:val="0"/>
      <w:marTop w:val="0"/>
      <w:marBottom w:val="0"/>
      <w:divBdr>
        <w:top w:val="none" w:sz="0" w:space="0" w:color="auto"/>
        <w:left w:val="none" w:sz="0" w:space="0" w:color="auto"/>
        <w:bottom w:val="none" w:sz="0" w:space="0" w:color="auto"/>
        <w:right w:val="none" w:sz="0" w:space="0" w:color="auto"/>
      </w:divBdr>
    </w:div>
    <w:div w:id="923412696">
      <w:marLeft w:val="0"/>
      <w:marRight w:val="0"/>
      <w:marTop w:val="0"/>
      <w:marBottom w:val="0"/>
      <w:divBdr>
        <w:top w:val="none" w:sz="0" w:space="0" w:color="auto"/>
        <w:left w:val="none" w:sz="0" w:space="0" w:color="auto"/>
        <w:bottom w:val="none" w:sz="0" w:space="0" w:color="auto"/>
        <w:right w:val="none" w:sz="0" w:space="0" w:color="auto"/>
      </w:divBdr>
    </w:div>
    <w:div w:id="923412697">
      <w:marLeft w:val="0"/>
      <w:marRight w:val="0"/>
      <w:marTop w:val="0"/>
      <w:marBottom w:val="0"/>
      <w:divBdr>
        <w:top w:val="none" w:sz="0" w:space="0" w:color="auto"/>
        <w:left w:val="none" w:sz="0" w:space="0" w:color="auto"/>
        <w:bottom w:val="none" w:sz="0" w:space="0" w:color="auto"/>
        <w:right w:val="none" w:sz="0" w:space="0" w:color="auto"/>
      </w:divBdr>
    </w:div>
    <w:div w:id="923412698">
      <w:marLeft w:val="0"/>
      <w:marRight w:val="0"/>
      <w:marTop w:val="0"/>
      <w:marBottom w:val="0"/>
      <w:divBdr>
        <w:top w:val="none" w:sz="0" w:space="0" w:color="auto"/>
        <w:left w:val="none" w:sz="0" w:space="0" w:color="auto"/>
        <w:bottom w:val="none" w:sz="0" w:space="0" w:color="auto"/>
        <w:right w:val="none" w:sz="0" w:space="0" w:color="auto"/>
      </w:divBdr>
    </w:div>
    <w:div w:id="923412702">
      <w:marLeft w:val="0"/>
      <w:marRight w:val="0"/>
      <w:marTop w:val="0"/>
      <w:marBottom w:val="0"/>
      <w:divBdr>
        <w:top w:val="none" w:sz="0" w:space="0" w:color="auto"/>
        <w:left w:val="none" w:sz="0" w:space="0" w:color="auto"/>
        <w:bottom w:val="none" w:sz="0" w:space="0" w:color="auto"/>
        <w:right w:val="none" w:sz="0" w:space="0" w:color="auto"/>
      </w:divBdr>
      <w:divsChild>
        <w:div w:id="923412711">
          <w:marLeft w:val="0"/>
          <w:marRight w:val="0"/>
          <w:marTop w:val="0"/>
          <w:marBottom w:val="0"/>
          <w:divBdr>
            <w:top w:val="single" w:sz="2" w:space="0" w:color="000000"/>
            <w:left w:val="single" w:sz="2" w:space="0" w:color="000000"/>
            <w:bottom w:val="single" w:sz="2" w:space="0" w:color="000000"/>
            <w:right w:val="single" w:sz="2" w:space="0" w:color="000000"/>
          </w:divBdr>
          <w:divsChild>
            <w:div w:id="923412707">
              <w:marLeft w:val="0"/>
              <w:marRight w:val="0"/>
              <w:marTop w:val="0"/>
              <w:marBottom w:val="0"/>
              <w:divBdr>
                <w:top w:val="none" w:sz="0" w:space="0" w:color="auto"/>
                <w:left w:val="none" w:sz="0" w:space="0" w:color="auto"/>
                <w:bottom w:val="none" w:sz="0" w:space="0" w:color="auto"/>
                <w:right w:val="none" w:sz="0" w:space="0" w:color="auto"/>
              </w:divBdr>
              <w:divsChild>
                <w:div w:id="923412746">
                  <w:marLeft w:val="0"/>
                  <w:marRight w:val="0"/>
                  <w:marTop w:val="0"/>
                  <w:marBottom w:val="0"/>
                  <w:divBdr>
                    <w:top w:val="none" w:sz="0" w:space="0" w:color="auto"/>
                    <w:left w:val="none" w:sz="0" w:space="0" w:color="auto"/>
                    <w:bottom w:val="none" w:sz="0" w:space="0" w:color="auto"/>
                    <w:right w:val="none" w:sz="0" w:space="0" w:color="auto"/>
                  </w:divBdr>
                  <w:divsChild>
                    <w:div w:id="923412704">
                      <w:marLeft w:val="0"/>
                      <w:marRight w:val="0"/>
                      <w:marTop w:val="0"/>
                      <w:marBottom w:val="0"/>
                      <w:divBdr>
                        <w:top w:val="none" w:sz="0" w:space="0" w:color="auto"/>
                        <w:left w:val="none" w:sz="0" w:space="0" w:color="auto"/>
                        <w:bottom w:val="none" w:sz="0" w:space="0" w:color="auto"/>
                        <w:right w:val="none" w:sz="0" w:space="0" w:color="auto"/>
                      </w:divBdr>
                      <w:divsChild>
                        <w:div w:id="923412706">
                          <w:marLeft w:val="0"/>
                          <w:marRight w:val="0"/>
                          <w:marTop w:val="0"/>
                          <w:marBottom w:val="0"/>
                          <w:divBdr>
                            <w:top w:val="single" w:sz="6" w:space="4" w:color="DEDBDE"/>
                            <w:left w:val="single" w:sz="6" w:space="4" w:color="DEDBDE"/>
                            <w:bottom w:val="single" w:sz="6" w:space="4" w:color="DEDBDE"/>
                            <w:right w:val="single" w:sz="6" w:space="4" w:color="DEDBDE"/>
                          </w:divBdr>
                          <w:divsChild>
                            <w:div w:id="923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708">
      <w:marLeft w:val="0"/>
      <w:marRight w:val="0"/>
      <w:marTop w:val="0"/>
      <w:marBottom w:val="0"/>
      <w:divBdr>
        <w:top w:val="none" w:sz="0" w:space="0" w:color="auto"/>
        <w:left w:val="none" w:sz="0" w:space="0" w:color="auto"/>
        <w:bottom w:val="none" w:sz="0" w:space="0" w:color="auto"/>
        <w:right w:val="none" w:sz="0" w:space="0" w:color="auto"/>
      </w:divBdr>
      <w:divsChild>
        <w:div w:id="923412703">
          <w:marLeft w:val="0"/>
          <w:marRight w:val="0"/>
          <w:marTop w:val="0"/>
          <w:marBottom w:val="0"/>
          <w:divBdr>
            <w:top w:val="none" w:sz="0" w:space="0" w:color="auto"/>
            <w:left w:val="none" w:sz="0" w:space="0" w:color="auto"/>
            <w:bottom w:val="none" w:sz="0" w:space="0" w:color="auto"/>
            <w:right w:val="none" w:sz="0" w:space="0" w:color="auto"/>
          </w:divBdr>
          <w:divsChild>
            <w:div w:id="923412700">
              <w:marLeft w:val="0"/>
              <w:marRight w:val="0"/>
              <w:marTop w:val="0"/>
              <w:marBottom w:val="0"/>
              <w:divBdr>
                <w:top w:val="single" w:sz="2" w:space="0" w:color="000000"/>
                <w:left w:val="single" w:sz="2" w:space="0" w:color="000000"/>
                <w:bottom w:val="single" w:sz="2" w:space="0" w:color="000000"/>
                <w:right w:val="single" w:sz="2" w:space="0" w:color="000000"/>
              </w:divBdr>
              <w:divsChild>
                <w:div w:id="923412701">
                  <w:marLeft w:val="2250"/>
                  <w:marRight w:val="0"/>
                  <w:marTop w:val="0"/>
                  <w:marBottom w:val="0"/>
                  <w:divBdr>
                    <w:top w:val="none" w:sz="0" w:space="0" w:color="auto"/>
                    <w:left w:val="none" w:sz="0" w:space="0" w:color="auto"/>
                    <w:bottom w:val="none" w:sz="0" w:space="0" w:color="auto"/>
                    <w:right w:val="none" w:sz="0" w:space="0" w:color="auto"/>
                  </w:divBdr>
                  <w:divsChild>
                    <w:div w:id="923412705">
                      <w:marLeft w:val="0"/>
                      <w:marRight w:val="0"/>
                      <w:marTop w:val="0"/>
                      <w:marBottom w:val="0"/>
                      <w:divBdr>
                        <w:top w:val="none" w:sz="0" w:space="0" w:color="auto"/>
                        <w:left w:val="none" w:sz="0" w:space="0" w:color="auto"/>
                        <w:bottom w:val="none" w:sz="0" w:space="0" w:color="auto"/>
                        <w:right w:val="none" w:sz="0" w:space="0" w:color="auto"/>
                      </w:divBdr>
                      <w:divsChild>
                        <w:div w:id="923412709">
                          <w:marLeft w:val="0"/>
                          <w:marRight w:val="0"/>
                          <w:marTop w:val="0"/>
                          <w:marBottom w:val="0"/>
                          <w:divBdr>
                            <w:top w:val="none" w:sz="0" w:space="0" w:color="auto"/>
                            <w:left w:val="none" w:sz="0" w:space="0" w:color="auto"/>
                            <w:bottom w:val="none" w:sz="0" w:space="0" w:color="auto"/>
                            <w:right w:val="none" w:sz="0" w:space="0" w:color="auto"/>
                          </w:divBdr>
                          <w:divsChild>
                            <w:div w:id="923412710">
                              <w:marLeft w:val="0"/>
                              <w:marRight w:val="0"/>
                              <w:marTop w:val="0"/>
                              <w:marBottom w:val="0"/>
                              <w:divBdr>
                                <w:top w:val="none" w:sz="0" w:space="0" w:color="auto"/>
                                <w:left w:val="none" w:sz="0" w:space="0" w:color="auto"/>
                                <w:bottom w:val="none" w:sz="0" w:space="0" w:color="auto"/>
                                <w:right w:val="none" w:sz="0" w:space="0" w:color="auto"/>
                              </w:divBdr>
                              <w:divsChild>
                                <w:div w:id="923412744">
                                  <w:marLeft w:val="0"/>
                                  <w:marRight w:val="2775"/>
                                  <w:marTop w:val="0"/>
                                  <w:marBottom w:val="0"/>
                                  <w:divBdr>
                                    <w:top w:val="none" w:sz="0" w:space="0" w:color="auto"/>
                                    <w:left w:val="none" w:sz="0" w:space="0" w:color="auto"/>
                                    <w:bottom w:val="none" w:sz="0" w:space="0" w:color="auto"/>
                                    <w:right w:val="none" w:sz="0" w:space="0" w:color="auto"/>
                                  </w:divBdr>
                                  <w:divsChild>
                                    <w:div w:id="923412699">
                                      <w:marLeft w:val="0"/>
                                      <w:marRight w:val="0"/>
                                      <w:marTop w:val="0"/>
                                      <w:marBottom w:val="0"/>
                                      <w:divBdr>
                                        <w:top w:val="none" w:sz="0" w:space="0" w:color="auto"/>
                                        <w:left w:val="none" w:sz="0" w:space="0" w:color="auto"/>
                                        <w:bottom w:val="none" w:sz="0" w:space="0" w:color="auto"/>
                                        <w:right w:val="none" w:sz="0" w:space="0" w:color="auto"/>
                                      </w:divBdr>
                                    </w:div>
                                    <w:div w:id="923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12722">
      <w:marLeft w:val="0"/>
      <w:marRight w:val="0"/>
      <w:marTop w:val="0"/>
      <w:marBottom w:val="0"/>
      <w:divBdr>
        <w:top w:val="none" w:sz="0" w:space="0" w:color="auto"/>
        <w:left w:val="none" w:sz="0" w:space="0" w:color="auto"/>
        <w:bottom w:val="none" w:sz="0" w:space="0" w:color="auto"/>
        <w:right w:val="none" w:sz="0" w:space="0" w:color="auto"/>
      </w:divBdr>
    </w:div>
    <w:div w:id="923412723">
      <w:marLeft w:val="0"/>
      <w:marRight w:val="0"/>
      <w:marTop w:val="0"/>
      <w:marBottom w:val="0"/>
      <w:divBdr>
        <w:top w:val="none" w:sz="0" w:space="0" w:color="auto"/>
        <w:left w:val="none" w:sz="0" w:space="0" w:color="auto"/>
        <w:bottom w:val="none" w:sz="0" w:space="0" w:color="auto"/>
        <w:right w:val="none" w:sz="0" w:space="0" w:color="auto"/>
      </w:divBdr>
    </w:div>
    <w:div w:id="923412724">
      <w:marLeft w:val="0"/>
      <w:marRight w:val="0"/>
      <w:marTop w:val="0"/>
      <w:marBottom w:val="0"/>
      <w:divBdr>
        <w:top w:val="none" w:sz="0" w:space="0" w:color="auto"/>
        <w:left w:val="none" w:sz="0" w:space="0" w:color="auto"/>
        <w:bottom w:val="none" w:sz="0" w:space="0" w:color="auto"/>
        <w:right w:val="none" w:sz="0" w:space="0" w:color="auto"/>
      </w:divBdr>
    </w:div>
    <w:div w:id="923412725">
      <w:marLeft w:val="0"/>
      <w:marRight w:val="0"/>
      <w:marTop w:val="0"/>
      <w:marBottom w:val="0"/>
      <w:divBdr>
        <w:top w:val="none" w:sz="0" w:space="0" w:color="auto"/>
        <w:left w:val="none" w:sz="0" w:space="0" w:color="auto"/>
        <w:bottom w:val="none" w:sz="0" w:space="0" w:color="auto"/>
        <w:right w:val="none" w:sz="0" w:space="0" w:color="auto"/>
      </w:divBdr>
    </w:div>
    <w:div w:id="923412726">
      <w:marLeft w:val="0"/>
      <w:marRight w:val="0"/>
      <w:marTop w:val="0"/>
      <w:marBottom w:val="0"/>
      <w:divBdr>
        <w:top w:val="none" w:sz="0" w:space="0" w:color="auto"/>
        <w:left w:val="none" w:sz="0" w:space="0" w:color="auto"/>
        <w:bottom w:val="none" w:sz="0" w:space="0" w:color="auto"/>
        <w:right w:val="none" w:sz="0" w:space="0" w:color="auto"/>
      </w:divBdr>
    </w:div>
    <w:div w:id="923412730">
      <w:marLeft w:val="0"/>
      <w:marRight w:val="0"/>
      <w:marTop w:val="0"/>
      <w:marBottom w:val="0"/>
      <w:divBdr>
        <w:top w:val="none" w:sz="0" w:space="0" w:color="auto"/>
        <w:left w:val="none" w:sz="0" w:space="0" w:color="auto"/>
        <w:bottom w:val="none" w:sz="0" w:space="0" w:color="auto"/>
        <w:right w:val="none" w:sz="0" w:space="0" w:color="auto"/>
      </w:divBdr>
      <w:divsChild>
        <w:div w:id="923412719">
          <w:marLeft w:val="0"/>
          <w:marRight w:val="0"/>
          <w:marTop w:val="0"/>
          <w:marBottom w:val="0"/>
          <w:divBdr>
            <w:top w:val="none" w:sz="0" w:space="0" w:color="auto"/>
            <w:left w:val="none" w:sz="0" w:space="0" w:color="auto"/>
            <w:bottom w:val="none" w:sz="0" w:space="0" w:color="auto"/>
            <w:right w:val="none" w:sz="0" w:space="0" w:color="auto"/>
          </w:divBdr>
          <w:divsChild>
            <w:div w:id="923412720">
              <w:marLeft w:val="0"/>
              <w:marRight w:val="0"/>
              <w:marTop w:val="0"/>
              <w:marBottom w:val="0"/>
              <w:divBdr>
                <w:top w:val="single" w:sz="2" w:space="0" w:color="000000"/>
                <w:left w:val="single" w:sz="2" w:space="0" w:color="000000"/>
                <w:bottom w:val="single" w:sz="2" w:space="0" w:color="000000"/>
                <w:right w:val="single" w:sz="2" w:space="0" w:color="000000"/>
              </w:divBdr>
              <w:divsChild>
                <w:div w:id="923412732">
                  <w:marLeft w:val="2374"/>
                  <w:marRight w:val="0"/>
                  <w:marTop w:val="0"/>
                  <w:marBottom w:val="0"/>
                  <w:divBdr>
                    <w:top w:val="none" w:sz="0" w:space="0" w:color="auto"/>
                    <w:left w:val="none" w:sz="0" w:space="0" w:color="auto"/>
                    <w:bottom w:val="none" w:sz="0" w:space="0" w:color="auto"/>
                    <w:right w:val="none" w:sz="0" w:space="0" w:color="auto"/>
                  </w:divBdr>
                  <w:divsChild>
                    <w:div w:id="923412733">
                      <w:marLeft w:val="0"/>
                      <w:marRight w:val="0"/>
                      <w:marTop w:val="0"/>
                      <w:marBottom w:val="0"/>
                      <w:divBdr>
                        <w:top w:val="none" w:sz="0" w:space="0" w:color="auto"/>
                        <w:left w:val="none" w:sz="0" w:space="0" w:color="auto"/>
                        <w:bottom w:val="none" w:sz="0" w:space="0" w:color="auto"/>
                        <w:right w:val="none" w:sz="0" w:space="0" w:color="auto"/>
                      </w:divBdr>
                      <w:divsChild>
                        <w:div w:id="923412736">
                          <w:marLeft w:val="0"/>
                          <w:marRight w:val="0"/>
                          <w:marTop w:val="0"/>
                          <w:marBottom w:val="0"/>
                          <w:divBdr>
                            <w:top w:val="none" w:sz="0" w:space="0" w:color="auto"/>
                            <w:left w:val="none" w:sz="0" w:space="0" w:color="auto"/>
                            <w:bottom w:val="none" w:sz="0" w:space="0" w:color="auto"/>
                            <w:right w:val="none" w:sz="0" w:space="0" w:color="auto"/>
                          </w:divBdr>
                          <w:divsChild>
                            <w:div w:id="923412735">
                              <w:marLeft w:val="0"/>
                              <w:marRight w:val="0"/>
                              <w:marTop w:val="0"/>
                              <w:marBottom w:val="0"/>
                              <w:divBdr>
                                <w:top w:val="none" w:sz="0" w:space="0" w:color="auto"/>
                                <w:left w:val="none" w:sz="0" w:space="0" w:color="auto"/>
                                <w:bottom w:val="none" w:sz="0" w:space="0" w:color="auto"/>
                                <w:right w:val="none" w:sz="0" w:space="0" w:color="auto"/>
                              </w:divBdr>
                              <w:divsChild>
                                <w:div w:id="923412721">
                                  <w:marLeft w:val="0"/>
                                  <w:marRight w:val="2927"/>
                                  <w:marTop w:val="0"/>
                                  <w:marBottom w:val="0"/>
                                  <w:divBdr>
                                    <w:top w:val="none" w:sz="0" w:space="0" w:color="auto"/>
                                    <w:left w:val="none" w:sz="0" w:space="0" w:color="auto"/>
                                    <w:bottom w:val="none" w:sz="0" w:space="0" w:color="auto"/>
                                    <w:right w:val="none" w:sz="0" w:space="0" w:color="auto"/>
                                  </w:divBdr>
                                  <w:divsChild>
                                    <w:div w:id="9234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12734">
      <w:marLeft w:val="0"/>
      <w:marRight w:val="0"/>
      <w:marTop w:val="0"/>
      <w:marBottom w:val="0"/>
      <w:divBdr>
        <w:top w:val="none" w:sz="0" w:space="0" w:color="auto"/>
        <w:left w:val="none" w:sz="0" w:space="0" w:color="auto"/>
        <w:bottom w:val="none" w:sz="0" w:space="0" w:color="auto"/>
        <w:right w:val="none" w:sz="0" w:space="0" w:color="auto"/>
      </w:divBdr>
      <w:divsChild>
        <w:div w:id="923412739">
          <w:marLeft w:val="0"/>
          <w:marRight w:val="0"/>
          <w:marTop w:val="0"/>
          <w:marBottom w:val="0"/>
          <w:divBdr>
            <w:top w:val="none" w:sz="0" w:space="0" w:color="auto"/>
            <w:left w:val="none" w:sz="0" w:space="0" w:color="auto"/>
            <w:bottom w:val="none" w:sz="0" w:space="0" w:color="auto"/>
            <w:right w:val="none" w:sz="0" w:space="0" w:color="auto"/>
          </w:divBdr>
          <w:divsChild>
            <w:div w:id="923412740">
              <w:marLeft w:val="0"/>
              <w:marRight w:val="0"/>
              <w:marTop w:val="0"/>
              <w:marBottom w:val="0"/>
              <w:divBdr>
                <w:top w:val="single" w:sz="2" w:space="0" w:color="000000"/>
                <w:left w:val="single" w:sz="2" w:space="0" w:color="000000"/>
                <w:bottom w:val="single" w:sz="2" w:space="0" w:color="000000"/>
                <w:right w:val="single" w:sz="2" w:space="0" w:color="000000"/>
              </w:divBdr>
              <w:divsChild>
                <w:div w:id="923412728">
                  <w:marLeft w:val="2374"/>
                  <w:marRight w:val="0"/>
                  <w:marTop w:val="0"/>
                  <w:marBottom w:val="0"/>
                  <w:divBdr>
                    <w:top w:val="none" w:sz="0" w:space="0" w:color="auto"/>
                    <w:left w:val="none" w:sz="0" w:space="0" w:color="auto"/>
                    <w:bottom w:val="none" w:sz="0" w:space="0" w:color="auto"/>
                    <w:right w:val="none" w:sz="0" w:space="0" w:color="auto"/>
                  </w:divBdr>
                  <w:divsChild>
                    <w:div w:id="923412713">
                      <w:marLeft w:val="0"/>
                      <w:marRight w:val="0"/>
                      <w:marTop w:val="0"/>
                      <w:marBottom w:val="0"/>
                      <w:divBdr>
                        <w:top w:val="none" w:sz="0" w:space="0" w:color="auto"/>
                        <w:left w:val="none" w:sz="0" w:space="0" w:color="auto"/>
                        <w:bottom w:val="none" w:sz="0" w:space="0" w:color="auto"/>
                        <w:right w:val="none" w:sz="0" w:space="0" w:color="auto"/>
                      </w:divBdr>
                      <w:divsChild>
                        <w:div w:id="923412737">
                          <w:marLeft w:val="0"/>
                          <w:marRight w:val="0"/>
                          <w:marTop w:val="0"/>
                          <w:marBottom w:val="0"/>
                          <w:divBdr>
                            <w:top w:val="none" w:sz="0" w:space="0" w:color="auto"/>
                            <w:left w:val="none" w:sz="0" w:space="0" w:color="auto"/>
                            <w:bottom w:val="none" w:sz="0" w:space="0" w:color="auto"/>
                            <w:right w:val="none" w:sz="0" w:space="0" w:color="auto"/>
                          </w:divBdr>
                          <w:divsChild>
                            <w:div w:id="923412712">
                              <w:marLeft w:val="0"/>
                              <w:marRight w:val="0"/>
                              <w:marTop w:val="0"/>
                              <w:marBottom w:val="0"/>
                              <w:divBdr>
                                <w:top w:val="none" w:sz="0" w:space="0" w:color="auto"/>
                                <w:left w:val="none" w:sz="0" w:space="0" w:color="auto"/>
                                <w:bottom w:val="none" w:sz="0" w:space="0" w:color="auto"/>
                                <w:right w:val="none" w:sz="0" w:space="0" w:color="auto"/>
                              </w:divBdr>
                              <w:divsChild>
                                <w:div w:id="923412741">
                                  <w:marLeft w:val="0"/>
                                  <w:marRight w:val="2927"/>
                                  <w:marTop w:val="0"/>
                                  <w:marBottom w:val="0"/>
                                  <w:divBdr>
                                    <w:top w:val="none" w:sz="0" w:space="0" w:color="auto"/>
                                    <w:left w:val="none" w:sz="0" w:space="0" w:color="auto"/>
                                    <w:bottom w:val="none" w:sz="0" w:space="0" w:color="auto"/>
                                    <w:right w:val="none" w:sz="0" w:space="0" w:color="auto"/>
                                  </w:divBdr>
                                  <w:divsChild>
                                    <w:div w:id="9234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12743">
      <w:marLeft w:val="0"/>
      <w:marRight w:val="0"/>
      <w:marTop w:val="0"/>
      <w:marBottom w:val="0"/>
      <w:divBdr>
        <w:top w:val="none" w:sz="0" w:space="0" w:color="auto"/>
        <w:left w:val="none" w:sz="0" w:space="0" w:color="auto"/>
        <w:bottom w:val="none" w:sz="0" w:space="0" w:color="auto"/>
        <w:right w:val="none" w:sz="0" w:space="0" w:color="auto"/>
      </w:divBdr>
      <w:divsChild>
        <w:div w:id="923412729">
          <w:marLeft w:val="0"/>
          <w:marRight w:val="0"/>
          <w:marTop w:val="0"/>
          <w:marBottom w:val="0"/>
          <w:divBdr>
            <w:top w:val="none" w:sz="0" w:space="0" w:color="auto"/>
            <w:left w:val="none" w:sz="0" w:space="0" w:color="auto"/>
            <w:bottom w:val="none" w:sz="0" w:space="0" w:color="auto"/>
            <w:right w:val="none" w:sz="0" w:space="0" w:color="auto"/>
          </w:divBdr>
          <w:divsChild>
            <w:div w:id="923412727">
              <w:marLeft w:val="0"/>
              <w:marRight w:val="0"/>
              <w:marTop w:val="0"/>
              <w:marBottom w:val="0"/>
              <w:divBdr>
                <w:top w:val="single" w:sz="2" w:space="0" w:color="000000"/>
                <w:left w:val="single" w:sz="2" w:space="0" w:color="000000"/>
                <w:bottom w:val="single" w:sz="2" w:space="0" w:color="000000"/>
                <w:right w:val="single" w:sz="2" w:space="0" w:color="000000"/>
              </w:divBdr>
              <w:divsChild>
                <w:div w:id="923412714">
                  <w:marLeft w:val="2374"/>
                  <w:marRight w:val="0"/>
                  <w:marTop w:val="0"/>
                  <w:marBottom w:val="0"/>
                  <w:divBdr>
                    <w:top w:val="none" w:sz="0" w:space="0" w:color="auto"/>
                    <w:left w:val="none" w:sz="0" w:space="0" w:color="auto"/>
                    <w:bottom w:val="none" w:sz="0" w:space="0" w:color="auto"/>
                    <w:right w:val="none" w:sz="0" w:space="0" w:color="auto"/>
                  </w:divBdr>
                  <w:divsChild>
                    <w:div w:id="923412718">
                      <w:marLeft w:val="0"/>
                      <w:marRight w:val="0"/>
                      <w:marTop w:val="0"/>
                      <w:marBottom w:val="0"/>
                      <w:divBdr>
                        <w:top w:val="none" w:sz="0" w:space="0" w:color="auto"/>
                        <w:left w:val="none" w:sz="0" w:space="0" w:color="auto"/>
                        <w:bottom w:val="none" w:sz="0" w:space="0" w:color="auto"/>
                        <w:right w:val="none" w:sz="0" w:space="0" w:color="auto"/>
                      </w:divBdr>
                      <w:divsChild>
                        <w:div w:id="923412731">
                          <w:marLeft w:val="0"/>
                          <w:marRight w:val="0"/>
                          <w:marTop w:val="0"/>
                          <w:marBottom w:val="0"/>
                          <w:divBdr>
                            <w:top w:val="none" w:sz="0" w:space="0" w:color="auto"/>
                            <w:left w:val="none" w:sz="0" w:space="0" w:color="auto"/>
                            <w:bottom w:val="none" w:sz="0" w:space="0" w:color="auto"/>
                            <w:right w:val="none" w:sz="0" w:space="0" w:color="auto"/>
                          </w:divBdr>
                          <w:divsChild>
                            <w:div w:id="923412738">
                              <w:marLeft w:val="0"/>
                              <w:marRight w:val="0"/>
                              <w:marTop w:val="0"/>
                              <w:marBottom w:val="0"/>
                              <w:divBdr>
                                <w:top w:val="none" w:sz="0" w:space="0" w:color="auto"/>
                                <w:left w:val="none" w:sz="0" w:space="0" w:color="auto"/>
                                <w:bottom w:val="none" w:sz="0" w:space="0" w:color="auto"/>
                                <w:right w:val="none" w:sz="0" w:space="0" w:color="auto"/>
                              </w:divBdr>
                              <w:divsChild>
                                <w:div w:id="923412716">
                                  <w:marLeft w:val="0"/>
                                  <w:marRight w:val="2927"/>
                                  <w:marTop w:val="0"/>
                                  <w:marBottom w:val="0"/>
                                  <w:divBdr>
                                    <w:top w:val="none" w:sz="0" w:space="0" w:color="auto"/>
                                    <w:left w:val="none" w:sz="0" w:space="0" w:color="auto"/>
                                    <w:bottom w:val="none" w:sz="0" w:space="0" w:color="auto"/>
                                    <w:right w:val="none" w:sz="0" w:space="0" w:color="auto"/>
                                  </w:divBdr>
                                  <w:divsChild>
                                    <w:div w:id="9234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12748">
      <w:marLeft w:val="0"/>
      <w:marRight w:val="0"/>
      <w:marTop w:val="0"/>
      <w:marBottom w:val="0"/>
      <w:divBdr>
        <w:top w:val="none" w:sz="0" w:space="0" w:color="auto"/>
        <w:left w:val="none" w:sz="0" w:space="0" w:color="auto"/>
        <w:bottom w:val="none" w:sz="0" w:space="0" w:color="auto"/>
        <w:right w:val="none" w:sz="0" w:space="0" w:color="auto"/>
      </w:divBdr>
    </w:div>
    <w:div w:id="923412749">
      <w:marLeft w:val="0"/>
      <w:marRight w:val="0"/>
      <w:marTop w:val="0"/>
      <w:marBottom w:val="0"/>
      <w:divBdr>
        <w:top w:val="none" w:sz="0" w:space="0" w:color="auto"/>
        <w:left w:val="none" w:sz="0" w:space="0" w:color="auto"/>
        <w:bottom w:val="none" w:sz="0" w:space="0" w:color="auto"/>
        <w:right w:val="none" w:sz="0" w:space="0" w:color="auto"/>
      </w:divBdr>
    </w:div>
    <w:div w:id="923412750">
      <w:marLeft w:val="0"/>
      <w:marRight w:val="0"/>
      <w:marTop w:val="0"/>
      <w:marBottom w:val="0"/>
      <w:divBdr>
        <w:top w:val="none" w:sz="0" w:space="0" w:color="auto"/>
        <w:left w:val="none" w:sz="0" w:space="0" w:color="auto"/>
        <w:bottom w:val="none" w:sz="0" w:space="0" w:color="auto"/>
        <w:right w:val="none" w:sz="0" w:space="0" w:color="auto"/>
      </w:divBdr>
    </w:div>
    <w:div w:id="923412751">
      <w:marLeft w:val="0"/>
      <w:marRight w:val="0"/>
      <w:marTop w:val="0"/>
      <w:marBottom w:val="0"/>
      <w:divBdr>
        <w:top w:val="none" w:sz="0" w:space="0" w:color="auto"/>
        <w:left w:val="none" w:sz="0" w:space="0" w:color="auto"/>
        <w:bottom w:val="none" w:sz="0" w:space="0" w:color="auto"/>
        <w:right w:val="none" w:sz="0" w:space="0" w:color="auto"/>
      </w:divBdr>
    </w:div>
    <w:div w:id="923412752">
      <w:marLeft w:val="0"/>
      <w:marRight w:val="0"/>
      <w:marTop w:val="0"/>
      <w:marBottom w:val="0"/>
      <w:divBdr>
        <w:top w:val="none" w:sz="0" w:space="0" w:color="auto"/>
        <w:left w:val="none" w:sz="0" w:space="0" w:color="auto"/>
        <w:bottom w:val="none" w:sz="0" w:space="0" w:color="auto"/>
        <w:right w:val="none" w:sz="0" w:space="0" w:color="auto"/>
      </w:divBdr>
    </w:div>
    <w:div w:id="923412753">
      <w:marLeft w:val="0"/>
      <w:marRight w:val="0"/>
      <w:marTop w:val="0"/>
      <w:marBottom w:val="0"/>
      <w:divBdr>
        <w:top w:val="none" w:sz="0" w:space="0" w:color="auto"/>
        <w:left w:val="none" w:sz="0" w:space="0" w:color="auto"/>
        <w:bottom w:val="none" w:sz="0" w:space="0" w:color="auto"/>
        <w:right w:val="none" w:sz="0" w:space="0" w:color="auto"/>
      </w:divBdr>
    </w:div>
    <w:div w:id="923412754">
      <w:marLeft w:val="0"/>
      <w:marRight w:val="0"/>
      <w:marTop w:val="0"/>
      <w:marBottom w:val="0"/>
      <w:divBdr>
        <w:top w:val="none" w:sz="0" w:space="0" w:color="auto"/>
        <w:left w:val="none" w:sz="0" w:space="0" w:color="auto"/>
        <w:bottom w:val="none" w:sz="0" w:space="0" w:color="auto"/>
        <w:right w:val="none" w:sz="0" w:space="0" w:color="auto"/>
      </w:divBdr>
    </w:div>
    <w:div w:id="923412755">
      <w:marLeft w:val="0"/>
      <w:marRight w:val="0"/>
      <w:marTop w:val="0"/>
      <w:marBottom w:val="0"/>
      <w:divBdr>
        <w:top w:val="none" w:sz="0" w:space="0" w:color="auto"/>
        <w:left w:val="none" w:sz="0" w:space="0" w:color="auto"/>
        <w:bottom w:val="none" w:sz="0" w:space="0" w:color="auto"/>
        <w:right w:val="none" w:sz="0" w:space="0" w:color="auto"/>
      </w:divBdr>
    </w:div>
    <w:div w:id="923412756">
      <w:marLeft w:val="0"/>
      <w:marRight w:val="0"/>
      <w:marTop w:val="0"/>
      <w:marBottom w:val="0"/>
      <w:divBdr>
        <w:top w:val="none" w:sz="0" w:space="0" w:color="auto"/>
        <w:left w:val="none" w:sz="0" w:space="0" w:color="auto"/>
        <w:bottom w:val="none" w:sz="0" w:space="0" w:color="auto"/>
        <w:right w:val="none" w:sz="0" w:space="0" w:color="auto"/>
      </w:divBdr>
    </w:div>
    <w:div w:id="923412757">
      <w:marLeft w:val="0"/>
      <w:marRight w:val="0"/>
      <w:marTop w:val="0"/>
      <w:marBottom w:val="0"/>
      <w:divBdr>
        <w:top w:val="none" w:sz="0" w:space="0" w:color="auto"/>
        <w:left w:val="none" w:sz="0" w:space="0" w:color="auto"/>
        <w:bottom w:val="none" w:sz="0" w:space="0" w:color="auto"/>
        <w:right w:val="none" w:sz="0" w:space="0" w:color="auto"/>
      </w:divBdr>
    </w:div>
    <w:div w:id="923412758">
      <w:marLeft w:val="0"/>
      <w:marRight w:val="0"/>
      <w:marTop w:val="0"/>
      <w:marBottom w:val="0"/>
      <w:divBdr>
        <w:top w:val="none" w:sz="0" w:space="0" w:color="auto"/>
        <w:left w:val="none" w:sz="0" w:space="0" w:color="auto"/>
        <w:bottom w:val="none" w:sz="0" w:space="0" w:color="auto"/>
        <w:right w:val="none" w:sz="0" w:space="0" w:color="auto"/>
      </w:divBdr>
    </w:div>
    <w:div w:id="923412759">
      <w:marLeft w:val="0"/>
      <w:marRight w:val="0"/>
      <w:marTop w:val="0"/>
      <w:marBottom w:val="0"/>
      <w:divBdr>
        <w:top w:val="none" w:sz="0" w:space="0" w:color="auto"/>
        <w:left w:val="none" w:sz="0" w:space="0" w:color="auto"/>
        <w:bottom w:val="none" w:sz="0" w:space="0" w:color="auto"/>
        <w:right w:val="none" w:sz="0" w:space="0" w:color="auto"/>
      </w:divBdr>
    </w:div>
    <w:div w:id="923412760">
      <w:marLeft w:val="0"/>
      <w:marRight w:val="0"/>
      <w:marTop w:val="0"/>
      <w:marBottom w:val="0"/>
      <w:divBdr>
        <w:top w:val="none" w:sz="0" w:space="0" w:color="auto"/>
        <w:left w:val="none" w:sz="0" w:space="0" w:color="auto"/>
        <w:bottom w:val="none" w:sz="0" w:space="0" w:color="auto"/>
        <w:right w:val="none" w:sz="0" w:space="0" w:color="auto"/>
      </w:divBdr>
    </w:div>
    <w:div w:id="923412761">
      <w:marLeft w:val="0"/>
      <w:marRight w:val="0"/>
      <w:marTop w:val="0"/>
      <w:marBottom w:val="0"/>
      <w:divBdr>
        <w:top w:val="none" w:sz="0" w:space="0" w:color="auto"/>
        <w:left w:val="none" w:sz="0" w:space="0" w:color="auto"/>
        <w:bottom w:val="none" w:sz="0" w:space="0" w:color="auto"/>
        <w:right w:val="none" w:sz="0" w:space="0" w:color="auto"/>
      </w:divBdr>
    </w:div>
    <w:div w:id="923412762">
      <w:marLeft w:val="0"/>
      <w:marRight w:val="0"/>
      <w:marTop w:val="0"/>
      <w:marBottom w:val="0"/>
      <w:divBdr>
        <w:top w:val="none" w:sz="0" w:space="0" w:color="auto"/>
        <w:left w:val="none" w:sz="0" w:space="0" w:color="auto"/>
        <w:bottom w:val="none" w:sz="0" w:space="0" w:color="auto"/>
        <w:right w:val="none" w:sz="0" w:space="0" w:color="auto"/>
      </w:divBdr>
    </w:div>
    <w:div w:id="923412763">
      <w:marLeft w:val="0"/>
      <w:marRight w:val="0"/>
      <w:marTop w:val="0"/>
      <w:marBottom w:val="0"/>
      <w:divBdr>
        <w:top w:val="none" w:sz="0" w:space="0" w:color="auto"/>
        <w:left w:val="none" w:sz="0" w:space="0" w:color="auto"/>
        <w:bottom w:val="none" w:sz="0" w:space="0" w:color="auto"/>
        <w:right w:val="none" w:sz="0" w:space="0" w:color="auto"/>
      </w:divBdr>
    </w:div>
    <w:div w:id="923412764">
      <w:marLeft w:val="0"/>
      <w:marRight w:val="0"/>
      <w:marTop w:val="0"/>
      <w:marBottom w:val="0"/>
      <w:divBdr>
        <w:top w:val="none" w:sz="0" w:space="0" w:color="auto"/>
        <w:left w:val="none" w:sz="0" w:space="0" w:color="auto"/>
        <w:bottom w:val="none" w:sz="0" w:space="0" w:color="auto"/>
        <w:right w:val="none" w:sz="0" w:space="0" w:color="auto"/>
      </w:divBdr>
    </w:div>
    <w:div w:id="923412765">
      <w:marLeft w:val="0"/>
      <w:marRight w:val="0"/>
      <w:marTop w:val="0"/>
      <w:marBottom w:val="0"/>
      <w:divBdr>
        <w:top w:val="none" w:sz="0" w:space="0" w:color="auto"/>
        <w:left w:val="none" w:sz="0" w:space="0" w:color="auto"/>
        <w:bottom w:val="none" w:sz="0" w:space="0" w:color="auto"/>
        <w:right w:val="none" w:sz="0" w:space="0" w:color="auto"/>
      </w:divBdr>
    </w:div>
    <w:div w:id="923412766">
      <w:marLeft w:val="0"/>
      <w:marRight w:val="0"/>
      <w:marTop w:val="0"/>
      <w:marBottom w:val="0"/>
      <w:divBdr>
        <w:top w:val="none" w:sz="0" w:space="0" w:color="auto"/>
        <w:left w:val="none" w:sz="0" w:space="0" w:color="auto"/>
        <w:bottom w:val="none" w:sz="0" w:space="0" w:color="auto"/>
        <w:right w:val="none" w:sz="0" w:space="0" w:color="auto"/>
      </w:divBdr>
    </w:div>
    <w:div w:id="923412767">
      <w:marLeft w:val="0"/>
      <w:marRight w:val="0"/>
      <w:marTop w:val="0"/>
      <w:marBottom w:val="0"/>
      <w:divBdr>
        <w:top w:val="none" w:sz="0" w:space="0" w:color="auto"/>
        <w:left w:val="none" w:sz="0" w:space="0" w:color="auto"/>
        <w:bottom w:val="none" w:sz="0" w:space="0" w:color="auto"/>
        <w:right w:val="none" w:sz="0" w:space="0" w:color="auto"/>
      </w:divBdr>
    </w:div>
    <w:div w:id="923412768">
      <w:marLeft w:val="0"/>
      <w:marRight w:val="0"/>
      <w:marTop w:val="0"/>
      <w:marBottom w:val="0"/>
      <w:divBdr>
        <w:top w:val="none" w:sz="0" w:space="0" w:color="auto"/>
        <w:left w:val="none" w:sz="0" w:space="0" w:color="auto"/>
        <w:bottom w:val="none" w:sz="0" w:space="0" w:color="auto"/>
        <w:right w:val="none" w:sz="0" w:space="0" w:color="auto"/>
      </w:divBdr>
    </w:div>
    <w:div w:id="923412769">
      <w:marLeft w:val="0"/>
      <w:marRight w:val="0"/>
      <w:marTop w:val="0"/>
      <w:marBottom w:val="0"/>
      <w:divBdr>
        <w:top w:val="none" w:sz="0" w:space="0" w:color="auto"/>
        <w:left w:val="none" w:sz="0" w:space="0" w:color="auto"/>
        <w:bottom w:val="none" w:sz="0" w:space="0" w:color="auto"/>
        <w:right w:val="none" w:sz="0" w:space="0" w:color="auto"/>
      </w:divBdr>
    </w:div>
    <w:div w:id="923412770">
      <w:marLeft w:val="0"/>
      <w:marRight w:val="0"/>
      <w:marTop w:val="0"/>
      <w:marBottom w:val="0"/>
      <w:divBdr>
        <w:top w:val="none" w:sz="0" w:space="0" w:color="auto"/>
        <w:left w:val="none" w:sz="0" w:space="0" w:color="auto"/>
        <w:bottom w:val="none" w:sz="0" w:space="0" w:color="auto"/>
        <w:right w:val="none" w:sz="0" w:space="0" w:color="auto"/>
      </w:divBdr>
    </w:div>
    <w:div w:id="923412771">
      <w:marLeft w:val="0"/>
      <w:marRight w:val="0"/>
      <w:marTop w:val="0"/>
      <w:marBottom w:val="0"/>
      <w:divBdr>
        <w:top w:val="none" w:sz="0" w:space="0" w:color="auto"/>
        <w:left w:val="none" w:sz="0" w:space="0" w:color="auto"/>
        <w:bottom w:val="none" w:sz="0" w:space="0" w:color="auto"/>
        <w:right w:val="none" w:sz="0" w:space="0" w:color="auto"/>
      </w:divBdr>
    </w:div>
    <w:div w:id="923412772">
      <w:marLeft w:val="0"/>
      <w:marRight w:val="0"/>
      <w:marTop w:val="0"/>
      <w:marBottom w:val="0"/>
      <w:divBdr>
        <w:top w:val="none" w:sz="0" w:space="0" w:color="auto"/>
        <w:left w:val="none" w:sz="0" w:space="0" w:color="auto"/>
        <w:bottom w:val="none" w:sz="0" w:space="0" w:color="auto"/>
        <w:right w:val="none" w:sz="0" w:space="0" w:color="auto"/>
      </w:divBdr>
    </w:div>
    <w:div w:id="923412773">
      <w:marLeft w:val="0"/>
      <w:marRight w:val="0"/>
      <w:marTop w:val="0"/>
      <w:marBottom w:val="0"/>
      <w:divBdr>
        <w:top w:val="none" w:sz="0" w:space="0" w:color="auto"/>
        <w:left w:val="none" w:sz="0" w:space="0" w:color="auto"/>
        <w:bottom w:val="none" w:sz="0" w:space="0" w:color="auto"/>
        <w:right w:val="none" w:sz="0" w:space="0" w:color="auto"/>
      </w:divBdr>
    </w:div>
    <w:div w:id="1078752373">
      <w:bodyDiv w:val="1"/>
      <w:marLeft w:val="0"/>
      <w:marRight w:val="0"/>
      <w:marTop w:val="0"/>
      <w:marBottom w:val="0"/>
      <w:divBdr>
        <w:top w:val="none" w:sz="0" w:space="0" w:color="auto"/>
        <w:left w:val="none" w:sz="0" w:space="0" w:color="auto"/>
        <w:bottom w:val="none" w:sz="0" w:space="0" w:color="auto"/>
        <w:right w:val="none" w:sz="0" w:space="0" w:color="auto"/>
      </w:divBdr>
    </w:div>
    <w:div w:id="1134761699">
      <w:bodyDiv w:val="1"/>
      <w:marLeft w:val="0"/>
      <w:marRight w:val="0"/>
      <w:marTop w:val="0"/>
      <w:marBottom w:val="0"/>
      <w:divBdr>
        <w:top w:val="none" w:sz="0" w:space="0" w:color="auto"/>
        <w:left w:val="none" w:sz="0" w:space="0" w:color="auto"/>
        <w:bottom w:val="none" w:sz="0" w:space="0" w:color="auto"/>
        <w:right w:val="none" w:sz="0" w:space="0" w:color="auto"/>
      </w:divBdr>
    </w:div>
    <w:div w:id="1192256304">
      <w:bodyDiv w:val="1"/>
      <w:marLeft w:val="0"/>
      <w:marRight w:val="0"/>
      <w:marTop w:val="0"/>
      <w:marBottom w:val="0"/>
      <w:divBdr>
        <w:top w:val="none" w:sz="0" w:space="0" w:color="auto"/>
        <w:left w:val="none" w:sz="0" w:space="0" w:color="auto"/>
        <w:bottom w:val="none" w:sz="0" w:space="0" w:color="auto"/>
        <w:right w:val="none" w:sz="0" w:space="0" w:color="auto"/>
      </w:divBdr>
    </w:div>
    <w:div w:id="1291666651">
      <w:bodyDiv w:val="1"/>
      <w:marLeft w:val="0"/>
      <w:marRight w:val="0"/>
      <w:marTop w:val="0"/>
      <w:marBottom w:val="0"/>
      <w:divBdr>
        <w:top w:val="none" w:sz="0" w:space="0" w:color="auto"/>
        <w:left w:val="none" w:sz="0" w:space="0" w:color="auto"/>
        <w:bottom w:val="none" w:sz="0" w:space="0" w:color="auto"/>
        <w:right w:val="none" w:sz="0" w:space="0" w:color="auto"/>
      </w:divBdr>
    </w:div>
    <w:div w:id="1323775101">
      <w:bodyDiv w:val="1"/>
      <w:marLeft w:val="0"/>
      <w:marRight w:val="0"/>
      <w:marTop w:val="0"/>
      <w:marBottom w:val="0"/>
      <w:divBdr>
        <w:top w:val="none" w:sz="0" w:space="0" w:color="auto"/>
        <w:left w:val="none" w:sz="0" w:space="0" w:color="auto"/>
        <w:bottom w:val="none" w:sz="0" w:space="0" w:color="auto"/>
        <w:right w:val="none" w:sz="0" w:space="0" w:color="auto"/>
      </w:divBdr>
    </w:div>
    <w:div w:id="1923680998">
      <w:bodyDiv w:val="1"/>
      <w:marLeft w:val="0"/>
      <w:marRight w:val="0"/>
      <w:marTop w:val="0"/>
      <w:marBottom w:val="0"/>
      <w:divBdr>
        <w:top w:val="none" w:sz="0" w:space="0" w:color="auto"/>
        <w:left w:val="none" w:sz="0" w:space="0" w:color="auto"/>
        <w:bottom w:val="none" w:sz="0" w:space="0" w:color="auto"/>
        <w:right w:val="none" w:sz="0" w:space="0" w:color="auto"/>
      </w:divBdr>
    </w:div>
    <w:div w:id="2014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8C26-57D6-491D-BD0C-FCB520CA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10799</Words>
  <Characters>61558</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Zákon,</vt:lpstr>
    </vt:vector>
  </TitlesOfParts>
  <Company>MPSVR</Company>
  <LinksUpToDate>false</LinksUpToDate>
  <CharactersWithSpaces>72213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vargova</dc:creator>
  <cp:lastModifiedBy>lanakova</cp:lastModifiedBy>
  <cp:revision>2</cp:revision>
  <cp:lastPrinted>2013-03-25T11:28:00Z</cp:lastPrinted>
  <dcterms:created xsi:type="dcterms:W3CDTF">2013-04-04T14:12:00Z</dcterms:created>
  <dcterms:modified xsi:type="dcterms:W3CDTF">2013-04-04T14:12:00Z</dcterms:modified>
</cp:coreProperties>
</file>