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8" w:rsidRDefault="00187EE8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Dôvodová správa</w:t>
      </w:r>
    </w:p>
    <w:p w:rsidR="00A9603C" w:rsidRPr="00DB6A13" w:rsidRDefault="00A9603C" w:rsidP="00A9603C">
      <w:pPr>
        <w:pStyle w:val="Nadpis1"/>
      </w:pPr>
      <w:r w:rsidRPr="00DB6A13">
        <w:t>Všeobecná časť</w:t>
      </w:r>
    </w:p>
    <w:p w:rsidR="00DD40E7" w:rsidRPr="00B55BBC" w:rsidRDefault="00DD40E7" w:rsidP="00145ED0">
      <w:pPr>
        <w:pStyle w:val="Zkladntext"/>
        <w:spacing w:before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BBC">
        <w:rPr>
          <w:rFonts w:ascii="Times New Roman" w:hAnsi="Times New Roman"/>
          <w:sz w:val="24"/>
          <w:szCs w:val="24"/>
        </w:rPr>
        <w:t>Národná rada Slovenskej republiky na svojej schôdzi dňa ........2013 prerokovala a schválila návrh zákona</w:t>
      </w:r>
      <w:r>
        <w:rPr>
          <w:rFonts w:ascii="Times New Roman" w:hAnsi="Times New Roman"/>
          <w:sz w:val="24"/>
          <w:szCs w:val="24"/>
        </w:rPr>
        <w:t xml:space="preserve"> č. ......./2013 Z. z.</w:t>
      </w:r>
      <w:r w:rsidRPr="00B55BBC">
        <w:rPr>
          <w:rFonts w:ascii="Times New Roman" w:hAnsi="Times New Roman"/>
          <w:sz w:val="24"/>
          <w:szCs w:val="24"/>
        </w:rPr>
        <w:t xml:space="preserve">, ktorým sa mení a dopĺňa zákon č. 443/2010 </w:t>
      </w:r>
      <w:r>
        <w:rPr>
          <w:rFonts w:ascii="Times New Roman" w:hAnsi="Times New Roman"/>
          <w:sz w:val="24"/>
          <w:szCs w:val="24"/>
        </w:rPr>
        <w:t xml:space="preserve">Z. z. </w:t>
      </w:r>
      <w:r w:rsidRPr="00B55BBC">
        <w:rPr>
          <w:rFonts w:ascii="Times New Roman" w:hAnsi="Times New Roman"/>
          <w:sz w:val="24"/>
          <w:szCs w:val="24"/>
        </w:rPr>
        <w:t xml:space="preserve">o dotáciách na rozvoj bývania a o sociálnom bývaní. </w:t>
      </w:r>
    </w:p>
    <w:p w:rsidR="00B55BBC" w:rsidRPr="00B55BBC" w:rsidRDefault="00B55BBC" w:rsidP="00145ED0">
      <w:pPr>
        <w:numPr>
          <w:ilvl w:val="12"/>
          <w:numId w:val="0"/>
        </w:numPr>
        <w:spacing w:before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BBC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nariadenia vlády Slovenskej republiky, ktorým sa ustanovuje výška dotácie na obstaranie nájomného bytu, obstaranie technickej vybavenosti a odstránenie systémovej poruchy a výška oprávnených nákladov na obstaranie nájomného bytu </w:t>
      </w:r>
      <w:r w:rsidRPr="00B55BBC">
        <w:rPr>
          <w:rFonts w:ascii="Times New Roman" w:hAnsi="Times New Roman"/>
          <w:sz w:val="24"/>
          <w:szCs w:val="24"/>
        </w:rPr>
        <w:t>je vypracovaný v súlade s § 2</w:t>
      </w:r>
      <w:r>
        <w:rPr>
          <w:rFonts w:ascii="Times New Roman" w:hAnsi="Times New Roman"/>
          <w:sz w:val="24"/>
          <w:szCs w:val="24"/>
        </w:rPr>
        <w:t>3</w:t>
      </w:r>
      <w:r w:rsidRPr="00B55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2 zákona č. 443/2010 Z. z. o dotáciách na rozvoj bývania a o sociálnom bývaní v znení </w:t>
      </w:r>
      <w:r w:rsidRPr="00B55BBC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č. ......./2013</w:t>
      </w:r>
      <w:r w:rsidR="007D66EC">
        <w:rPr>
          <w:rFonts w:ascii="Times New Roman" w:hAnsi="Times New Roman"/>
          <w:sz w:val="24"/>
          <w:szCs w:val="24"/>
        </w:rPr>
        <w:t xml:space="preserve"> Z. </w:t>
      </w:r>
      <w:r w:rsidR="00B34911">
        <w:rPr>
          <w:rFonts w:ascii="Times New Roman" w:hAnsi="Times New Roman"/>
          <w:sz w:val="24"/>
          <w:szCs w:val="24"/>
        </w:rPr>
        <w:t>z.</w:t>
      </w:r>
      <w:r w:rsidR="001E2454">
        <w:rPr>
          <w:rFonts w:ascii="Times New Roman" w:hAnsi="Times New Roman"/>
          <w:sz w:val="24"/>
          <w:szCs w:val="24"/>
        </w:rPr>
        <w:t xml:space="preserve"> </w:t>
      </w:r>
      <w:r w:rsidRPr="00B55BBC">
        <w:rPr>
          <w:rFonts w:ascii="Times New Roman" w:hAnsi="Times New Roman"/>
          <w:sz w:val="24"/>
          <w:szCs w:val="24"/>
        </w:rPr>
        <w:t xml:space="preserve">(ďalej len „zákon“). </w:t>
      </w:r>
    </w:p>
    <w:p w:rsidR="0056447B" w:rsidRDefault="00DD40E7" w:rsidP="00286206">
      <w:pPr>
        <w:pStyle w:val="Zkladntext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Obsahom </w:t>
      </w:r>
      <w:r w:rsidR="00B55BBC" w:rsidRPr="00117C3B">
        <w:rPr>
          <w:rFonts w:ascii="Times New Roman" w:hAnsi="Times New Roman"/>
          <w:sz w:val="24"/>
          <w:szCs w:val="24"/>
        </w:rPr>
        <w:t>vypracovan</w:t>
      </w:r>
      <w:r>
        <w:rPr>
          <w:rFonts w:ascii="Times New Roman" w:hAnsi="Times New Roman"/>
          <w:sz w:val="24"/>
          <w:szCs w:val="24"/>
        </w:rPr>
        <w:t xml:space="preserve">ého </w:t>
      </w:r>
      <w:r w:rsidR="00B55BBC" w:rsidRPr="00117C3B">
        <w:rPr>
          <w:rFonts w:ascii="Times New Roman" w:hAnsi="Times New Roman"/>
          <w:sz w:val="24"/>
          <w:szCs w:val="24"/>
        </w:rPr>
        <w:t>vykonávac</w:t>
      </w:r>
      <w:r>
        <w:rPr>
          <w:rFonts w:ascii="Times New Roman" w:hAnsi="Times New Roman"/>
          <w:sz w:val="24"/>
          <w:szCs w:val="24"/>
        </w:rPr>
        <w:t>ieho</w:t>
      </w:r>
      <w:r w:rsidR="00B55BBC" w:rsidRPr="00117C3B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</w:t>
      </w:r>
      <w:r w:rsidR="00B55BBC" w:rsidRPr="00117C3B">
        <w:rPr>
          <w:rFonts w:ascii="Times New Roman" w:hAnsi="Times New Roman"/>
          <w:sz w:val="24"/>
          <w:szCs w:val="24"/>
        </w:rPr>
        <w:t xml:space="preserve"> </w:t>
      </w:r>
      <w:r w:rsidR="00117C3B" w:rsidRPr="00117C3B">
        <w:rPr>
          <w:rFonts w:ascii="Times New Roman" w:hAnsi="Times New Roman"/>
          <w:sz w:val="24"/>
          <w:szCs w:val="24"/>
        </w:rPr>
        <w:t>je stanovenie výšk</w:t>
      </w:r>
      <w:r w:rsidR="001D5DED">
        <w:rPr>
          <w:rFonts w:ascii="Times New Roman" w:hAnsi="Times New Roman"/>
          <w:sz w:val="24"/>
          <w:szCs w:val="24"/>
        </w:rPr>
        <w:t>y</w:t>
      </w:r>
      <w:r w:rsidR="00117C3B" w:rsidRPr="00117C3B">
        <w:rPr>
          <w:rFonts w:ascii="Times New Roman" w:hAnsi="Times New Roman"/>
          <w:sz w:val="24"/>
          <w:szCs w:val="24"/>
        </w:rPr>
        <w:t xml:space="preserve"> dotáci</w:t>
      </w:r>
      <w:r w:rsidR="001D5DED">
        <w:rPr>
          <w:rFonts w:ascii="Times New Roman" w:hAnsi="Times New Roman"/>
          <w:sz w:val="24"/>
          <w:szCs w:val="24"/>
        </w:rPr>
        <w:t>e</w:t>
      </w:r>
      <w:r w:rsidR="00117C3B" w:rsidRPr="00117C3B">
        <w:rPr>
          <w:rFonts w:ascii="Times New Roman" w:hAnsi="Times New Roman"/>
          <w:sz w:val="24"/>
          <w:szCs w:val="24"/>
        </w:rPr>
        <w:t xml:space="preserve"> na</w:t>
      </w:r>
      <w:r w:rsidR="00117C3B">
        <w:rPr>
          <w:rFonts w:ascii="Times New Roman" w:hAnsi="Times New Roman"/>
          <w:sz w:val="24"/>
          <w:szCs w:val="24"/>
        </w:rPr>
        <w:t xml:space="preserve"> </w:t>
      </w:r>
      <w:r w:rsidR="006057C9">
        <w:rPr>
          <w:rFonts w:ascii="Times New Roman" w:hAnsi="Times New Roman"/>
          <w:sz w:val="24"/>
          <w:szCs w:val="24"/>
        </w:rPr>
        <w:t xml:space="preserve"> obstaranie nájomného bytu stavebnými úpravami nájomného bytu v bytovom dome, ktorý je národnou kultúrnou pamiatkou</w:t>
      </w:r>
      <w:r w:rsidR="00C55793">
        <w:rPr>
          <w:rFonts w:ascii="Times New Roman" w:hAnsi="Times New Roman"/>
          <w:sz w:val="24"/>
          <w:szCs w:val="24"/>
        </w:rPr>
        <w:t xml:space="preserve"> a nachádza sa v lokalitách zapísaných v Zozname svetového dedičstva</w:t>
      </w:r>
      <w:r w:rsidR="00AB45C4">
        <w:rPr>
          <w:rFonts w:ascii="Times New Roman" w:hAnsi="Times New Roman"/>
          <w:sz w:val="24"/>
          <w:szCs w:val="24"/>
        </w:rPr>
        <w:t xml:space="preserve"> (§ 4 ods. 1 písm. e) zákona)</w:t>
      </w:r>
      <w:r w:rsidR="006057C9">
        <w:rPr>
          <w:rFonts w:ascii="Times New Roman" w:hAnsi="Times New Roman"/>
          <w:sz w:val="24"/>
          <w:szCs w:val="24"/>
        </w:rPr>
        <w:t xml:space="preserve">, </w:t>
      </w:r>
      <w:r w:rsidR="001D5DED">
        <w:rPr>
          <w:rFonts w:ascii="Times New Roman" w:hAnsi="Times New Roman"/>
          <w:sz w:val="24"/>
          <w:szCs w:val="24"/>
        </w:rPr>
        <w:t>v</w:t>
      </w:r>
      <w:r w:rsidR="006057C9">
        <w:rPr>
          <w:rFonts w:ascii="Times New Roman" w:hAnsi="Times New Roman"/>
          <w:sz w:val="24"/>
          <w:szCs w:val="24"/>
        </w:rPr>
        <w:t>ýšk</w:t>
      </w:r>
      <w:r w:rsidR="001D5DED">
        <w:rPr>
          <w:rFonts w:ascii="Times New Roman" w:hAnsi="Times New Roman"/>
          <w:sz w:val="24"/>
          <w:szCs w:val="24"/>
        </w:rPr>
        <w:t>y</w:t>
      </w:r>
      <w:r w:rsidR="006057C9">
        <w:rPr>
          <w:rFonts w:ascii="Times New Roman" w:hAnsi="Times New Roman"/>
          <w:sz w:val="24"/>
          <w:szCs w:val="24"/>
        </w:rPr>
        <w:t xml:space="preserve"> dotáci</w:t>
      </w:r>
      <w:r w:rsidR="001D5DED">
        <w:rPr>
          <w:rFonts w:ascii="Times New Roman" w:hAnsi="Times New Roman"/>
          <w:sz w:val="24"/>
          <w:szCs w:val="24"/>
        </w:rPr>
        <w:t>e</w:t>
      </w:r>
      <w:r w:rsidR="006057C9">
        <w:rPr>
          <w:rFonts w:ascii="Times New Roman" w:hAnsi="Times New Roman"/>
          <w:sz w:val="24"/>
          <w:szCs w:val="24"/>
        </w:rPr>
        <w:t xml:space="preserve"> na obstaranie technickej vybavenosti podmieňujúcej užívanie nájomných bytov</w:t>
      </w:r>
      <w:r w:rsidR="009D6108">
        <w:rPr>
          <w:rFonts w:ascii="Times New Roman" w:hAnsi="Times New Roman"/>
          <w:sz w:val="24"/>
          <w:szCs w:val="24"/>
        </w:rPr>
        <w:t xml:space="preserve"> </w:t>
      </w:r>
      <w:r w:rsidR="00A93767">
        <w:rPr>
          <w:rFonts w:ascii="Times New Roman" w:hAnsi="Times New Roman"/>
          <w:sz w:val="24"/>
          <w:szCs w:val="24"/>
        </w:rPr>
        <w:t xml:space="preserve">(§ 5 písm. a) </w:t>
      </w:r>
      <w:r w:rsidR="006057C9">
        <w:rPr>
          <w:rFonts w:ascii="Times New Roman" w:hAnsi="Times New Roman"/>
          <w:sz w:val="24"/>
          <w:szCs w:val="24"/>
        </w:rPr>
        <w:t>a</w:t>
      </w:r>
      <w:r w:rsidR="00A93767">
        <w:rPr>
          <w:rFonts w:ascii="Times New Roman" w:hAnsi="Times New Roman"/>
          <w:sz w:val="24"/>
          <w:szCs w:val="24"/>
        </w:rPr>
        <w:t xml:space="preserve"> c) zákona) a </w:t>
      </w:r>
      <w:r w:rsidR="006057C9">
        <w:rPr>
          <w:rFonts w:ascii="Times New Roman" w:hAnsi="Times New Roman"/>
          <w:sz w:val="24"/>
          <w:szCs w:val="24"/>
        </w:rPr>
        <w:t> technickej vybavenosti pre zvýšenie sociálno-kultúrnej úrovne rómskej osady</w:t>
      </w:r>
      <w:r w:rsidR="009D6108">
        <w:rPr>
          <w:rFonts w:ascii="Times New Roman" w:hAnsi="Times New Roman"/>
          <w:sz w:val="24"/>
          <w:szCs w:val="24"/>
        </w:rPr>
        <w:t xml:space="preserve"> (§ 5 </w:t>
      </w:r>
      <w:r w:rsidR="00A93767">
        <w:rPr>
          <w:rFonts w:ascii="Times New Roman" w:hAnsi="Times New Roman"/>
          <w:sz w:val="24"/>
          <w:szCs w:val="24"/>
        </w:rPr>
        <w:t xml:space="preserve">písm. b) </w:t>
      </w:r>
      <w:r w:rsidR="009D6108">
        <w:rPr>
          <w:rFonts w:ascii="Times New Roman" w:hAnsi="Times New Roman"/>
          <w:sz w:val="24"/>
          <w:szCs w:val="24"/>
        </w:rPr>
        <w:t>zákona)</w:t>
      </w:r>
      <w:r w:rsidR="006057C9">
        <w:rPr>
          <w:rFonts w:ascii="Times New Roman" w:hAnsi="Times New Roman"/>
          <w:sz w:val="24"/>
          <w:szCs w:val="24"/>
        </w:rPr>
        <w:t>.</w:t>
      </w:r>
      <w:r w:rsidR="00D45830">
        <w:rPr>
          <w:rFonts w:ascii="Times New Roman" w:hAnsi="Times New Roman"/>
          <w:sz w:val="24"/>
          <w:szCs w:val="24"/>
        </w:rPr>
        <w:t xml:space="preserve"> </w:t>
      </w:r>
      <w:r w:rsidR="00D45830" w:rsidRPr="00D45830">
        <w:rPr>
          <w:rFonts w:ascii="Times New Roman" w:hAnsi="Times New Roman"/>
          <w:sz w:val="24"/>
          <w:szCs w:val="24"/>
        </w:rPr>
        <w:t>Stanovuj</w:t>
      </w:r>
      <w:r w:rsidR="001D5DED">
        <w:rPr>
          <w:rFonts w:ascii="Times New Roman" w:hAnsi="Times New Roman"/>
          <w:sz w:val="24"/>
          <w:szCs w:val="24"/>
        </w:rPr>
        <w:t>e</w:t>
      </w:r>
      <w:r w:rsidR="001F6EFC">
        <w:rPr>
          <w:rFonts w:ascii="Times New Roman" w:hAnsi="Times New Roman"/>
          <w:sz w:val="24"/>
          <w:szCs w:val="24"/>
        </w:rPr>
        <w:t xml:space="preserve"> sa aj </w:t>
      </w:r>
      <w:r w:rsidR="00D45830" w:rsidRPr="00D45830">
        <w:rPr>
          <w:rFonts w:ascii="Times New Roman" w:hAnsi="Times New Roman"/>
          <w:sz w:val="24"/>
          <w:szCs w:val="24"/>
        </w:rPr>
        <w:t>výšk</w:t>
      </w:r>
      <w:r w:rsidR="001D5DED">
        <w:rPr>
          <w:rFonts w:ascii="Times New Roman" w:hAnsi="Times New Roman"/>
          <w:sz w:val="24"/>
          <w:szCs w:val="24"/>
        </w:rPr>
        <w:t>a</w:t>
      </w:r>
      <w:r w:rsidR="00D45830" w:rsidRPr="00D45830">
        <w:rPr>
          <w:rFonts w:ascii="Times New Roman" w:hAnsi="Times New Roman"/>
          <w:sz w:val="24"/>
          <w:szCs w:val="24"/>
        </w:rPr>
        <w:t xml:space="preserve"> dotácie na odstránenie systémovej poruchy bytového domu</w:t>
      </w:r>
      <w:r w:rsidR="009D6108">
        <w:rPr>
          <w:rFonts w:ascii="Times New Roman" w:hAnsi="Times New Roman"/>
          <w:sz w:val="24"/>
          <w:szCs w:val="24"/>
        </w:rPr>
        <w:t xml:space="preserve"> (§</w:t>
      </w:r>
      <w:r w:rsidR="00177FE4">
        <w:rPr>
          <w:rFonts w:ascii="Times New Roman" w:hAnsi="Times New Roman"/>
          <w:sz w:val="24"/>
          <w:szCs w:val="24"/>
        </w:rPr>
        <w:t xml:space="preserve"> </w:t>
      </w:r>
      <w:r w:rsidR="009D6108">
        <w:rPr>
          <w:rFonts w:ascii="Times New Roman" w:hAnsi="Times New Roman"/>
          <w:sz w:val="24"/>
          <w:szCs w:val="24"/>
        </w:rPr>
        <w:t>6 zákona)</w:t>
      </w:r>
      <w:r w:rsidR="00D45830" w:rsidRPr="00D45830">
        <w:rPr>
          <w:rFonts w:ascii="Times New Roman" w:hAnsi="Times New Roman"/>
          <w:sz w:val="24"/>
          <w:szCs w:val="24"/>
        </w:rPr>
        <w:t>.</w:t>
      </w:r>
      <w:r w:rsidR="00D45830">
        <w:t xml:space="preserve"> </w:t>
      </w:r>
      <w:r w:rsidR="0056447B">
        <w:rPr>
          <w:rFonts w:ascii="Times New Roman" w:hAnsi="Times New Roman"/>
          <w:sz w:val="24"/>
          <w:szCs w:val="24"/>
        </w:rPr>
        <w:t xml:space="preserve"> Zároveň </w:t>
      </w:r>
      <w:r w:rsidR="001D5DED">
        <w:rPr>
          <w:rFonts w:ascii="Times New Roman" w:hAnsi="Times New Roman"/>
          <w:sz w:val="24"/>
          <w:szCs w:val="24"/>
        </w:rPr>
        <w:t xml:space="preserve">sa </w:t>
      </w:r>
      <w:r w:rsidR="0056447B">
        <w:t>s</w:t>
      </w:r>
      <w:r w:rsidR="0056447B">
        <w:rPr>
          <w:rFonts w:ascii="Times New Roman" w:hAnsi="Times New Roman"/>
          <w:sz w:val="24"/>
          <w:szCs w:val="24"/>
        </w:rPr>
        <w:t>tanovuje výšk</w:t>
      </w:r>
      <w:r w:rsidR="001D5DED">
        <w:rPr>
          <w:rFonts w:ascii="Times New Roman" w:hAnsi="Times New Roman"/>
          <w:sz w:val="24"/>
          <w:szCs w:val="24"/>
        </w:rPr>
        <w:t>a</w:t>
      </w:r>
      <w:r w:rsidR="0056447B">
        <w:rPr>
          <w:rFonts w:ascii="Times New Roman" w:hAnsi="Times New Roman"/>
          <w:sz w:val="24"/>
          <w:szCs w:val="24"/>
        </w:rPr>
        <w:t xml:space="preserve"> oprávnených nákladov na obstaranie nájomného bytu bežného </w:t>
      </w:r>
      <w:r w:rsidR="0056447B" w:rsidRPr="0056447B">
        <w:rPr>
          <w:rFonts w:ascii="Times New Roman" w:hAnsi="Times New Roman"/>
          <w:sz w:val="24"/>
          <w:szCs w:val="24"/>
        </w:rPr>
        <w:t>štandardu a výšk</w:t>
      </w:r>
      <w:r w:rsidR="001D5DED">
        <w:rPr>
          <w:rFonts w:ascii="Times New Roman" w:hAnsi="Times New Roman"/>
          <w:sz w:val="24"/>
          <w:szCs w:val="24"/>
        </w:rPr>
        <w:t>a</w:t>
      </w:r>
      <w:r w:rsidR="0056447B" w:rsidRPr="0056447B">
        <w:rPr>
          <w:rFonts w:ascii="Times New Roman" w:hAnsi="Times New Roman"/>
          <w:sz w:val="24"/>
          <w:szCs w:val="24"/>
        </w:rPr>
        <w:t xml:space="preserve"> oprávnených nákladov na obstaranie nájomného bytu nižšieho štandardu</w:t>
      </w:r>
      <w:r w:rsidR="00177FE4">
        <w:rPr>
          <w:rFonts w:ascii="Times New Roman" w:hAnsi="Times New Roman"/>
          <w:sz w:val="24"/>
          <w:szCs w:val="24"/>
        </w:rPr>
        <w:t xml:space="preserve"> </w:t>
      </w:r>
      <w:r w:rsidR="009D6108">
        <w:rPr>
          <w:rFonts w:ascii="Times New Roman" w:hAnsi="Times New Roman"/>
          <w:sz w:val="24"/>
          <w:szCs w:val="24"/>
        </w:rPr>
        <w:t>(§ 4 ods.1</w:t>
      </w:r>
      <w:r w:rsidR="00177FE4">
        <w:rPr>
          <w:rFonts w:ascii="Times New Roman" w:hAnsi="Times New Roman"/>
          <w:sz w:val="24"/>
          <w:szCs w:val="24"/>
        </w:rPr>
        <w:t xml:space="preserve"> zákona</w:t>
      </w:r>
      <w:r w:rsidR="009D6108">
        <w:rPr>
          <w:rFonts w:ascii="Times New Roman" w:hAnsi="Times New Roman"/>
          <w:sz w:val="24"/>
          <w:szCs w:val="24"/>
        </w:rPr>
        <w:t>)</w:t>
      </w:r>
      <w:r w:rsidR="0056447B" w:rsidRPr="0056447B">
        <w:rPr>
          <w:rFonts w:ascii="Times New Roman" w:hAnsi="Times New Roman"/>
          <w:sz w:val="24"/>
          <w:szCs w:val="24"/>
        </w:rPr>
        <w:t xml:space="preserve">.     </w:t>
      </w:r>
    </w:p>
    <w:p w:rsidR="00B55BBC" w:rsidRPr="00B55BBC" w:rsidRDefault="009D6108" w:rsidP="00145ED0">
      <w:pPr>
        <w:pStyle w:val="Zarkazkladnhotextu"/>
        <w:spacing w:before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6108">
        <w:rPr>
          <w:rFonts w:ascii="Times New Roman" w:hAnsi="Times New Roman"/>
          <w:sz w:val="24"/>
          <w:szCs w:val="24"/>
        </w:rPr>
        <w:t>Vykonávací predpis zákona</w:t>
      </w:r>
      <w:r w:rsidRPr="009A6FCE">
        <w:t xml:space="preserve"> </w:t>
      </w:r>
      <w:r w:rsidR="00B55BBC" w:rsidRPr="00B55BBC">
        <w:rPr>
          <w:rFonts w:ascii="Times New Roman" w:hAnsi="Times New Roman"/>
          <w:sz w:val="24"/>
          <w:szCs w:val="24"/>
        </w:rPr>
        <w:t>nezakladá nové nároky na výdavky zo štátneho rozpočtu a ani nevyžaduje nové nároky na pracovné sily a organizačné zabezpečenie.</w:t>
      </w:r>
    </w:p>
    <w:p w:rsidR="00A9603C" w:rsidRPr="007046A2" w:rsidRDefault="00B55BBC" w:rsidP="00145ED0">
      <w:pPr>
        <w:pStyle w:val="Zarkazkladnhotextu2"/>
        <w:spacing w:before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55BBC">
        <w:rPr>
          <w:rFonts w:ascii="Times New Roman" w:hAnsi="Times New Roman"/>
          <w:sz w:val="24"/>
          <w:szCs w:val="24"/>
        </w:rPr>
        <w:t xml:space="preserve">Návrh </w:t>
      </w:r>
      <w:r w:rsidR="007046A2">
        <w:rPr>
          <w:rFonts w:ascii="Times New Roman" w:hAnsi="Times New Roman"/>
          <w:sz w:val="24"/>
          <w:szCs w:val="24"/>
        </w:rPr>
        <w:t>nariadenia</w:t>
      </w:r>
      <w:r w:rsidR="00A96E44">
        <w:rPr>
          <w:rFonts w:ascii="Times New Roman" w:hAnsi="Times New Roman"/>
          <w:sz w:val="24"/>
          <w:szCs w:val="24"/>
        </w:rPr>
        <w:t xml:space="preserve"> vlády</w:t>
      </w:r>
      <w:r w:rsidR="007046A2">
        <w:rPr>
          <w:rFonts w:ascii="Times New Roman" w:hAnsi="Times New Roman"/>
          <w:sz w:val="24"/>
          <w:szCs w:val="24"/>
        </w:rPr>
        <w:t xml:space="preserve"> </w:t>
      </w:r>
      <w:r w:rsidRPr="00B55BBC">
        <w:rPr>
          <w:rFonts w:ascii="Times New Roman" w:hAnsi="Times New Roman"/>
          <w:sz w:val="24"/>
          <w:szCs w:val="24"/>
        </w:rPr>
        <w:t xml:space="preserve">je v súlade s ústavou Slovenskej republiky a ostatnými všeobecne záväznými právnymi predpismi Slovenskej republiky. </w:t>
      </w:r>
    </w:p>
    <w:p w:rsidR="004B7491" w:rsidRDefault="004B7491" w:rsidP="00187EE8">
      <w:pPr>
        <w:pStyle w:val="Zkladntext3"/>
        <w:spacing w:after="0"/>
        <w:rPr>
          <w:b/>
          <w:bCs/>
          <w:sz w:val="24"/>
          <w:szCs w:val="24"/>
        </w:rPr>
      </w:pPr>
    </w:p>
    <w:p w:rsidR="00187EE8" w:rsidRDefault="00187EE8" w:rsidP="00187EE8">
      <w:pPr>
        <w:pStyle w:val="Zkladntext3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Osobitná časť</w:t>
      </w:r>
    </w:p>
    <w:p w:rsidR="00187EE8" w:rsidRDefault="00187EE8" w:rsidP="00187EE8">
      <w:pPr>
        <w:pStyle w:val="Zkladntext3"/>
        <w:spacing w:after="0"/>
        <w:rPr>
          <w:b/>
          <w:bCs/>
          <w:sz w:val="24"/>
          <w:szCs w:val="24"/>
        </w:rPr>
      </w:pPr>
    </w:p>
    <w:p w:rsidR="00187EE8" w:rsidRDefault="00187EE8" w:rsidP="00145ED0">
      <w:pPr>
        <w:pStyle w:val="Zkladntext3"/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§ 1</w:t>
      </w:r>
      <w:r w:rsidR="00F3749E">
        <w:rPr>
          <w:b/>
          <w:bCs/>
          <w:sz w:val="24"/>
          <w:szCs w:val="24"/>
        </w:rPr>
        <w:t>:</w:t>
      </w:r>
    </w:p>
    <w:p w:rsidR="00FA0713" w:rsidRDefault="008C611A" w:rsidP="00145ED0">
      <w:pPr>
        <w:pStyle w:val="Zkladntext3"/>
        <w:spacing w:before="120" w:after="0"/>
        <w:ind w:firstLine="708"/>
        <w:rPr>
          <w:bCs/>
          <w:sz w:val="24"/>
          <w:szCs w:val="24"/>
        </w:rPr>
      </w:pPr>
      <w:r w:rsidRPr="008C611A">
        <w:rPr>
          <w:bCs/>
          <w:sz w:val="24"/>
          <w:szCs w:val="24"/>
        </w:rPr>
        <w:t xml:space="preserve">Na stavebné úpravy </w:t>
      </w:r>
      <w:r>
        <w:rPr>
          <w:bCs/>
          <w:sz w:val="24"/>
          <w:szCs w:val="24"/>
        </w:rPr>
        <w:t xml:space="preserve">nájomného bytu v bytovom dome, ktorý je národnou kultúrnou pamiatkou a nachádza sa v lokalitách,  ktoré sú zapísané v Zozname svetového dedičstva  sa </w:t>
      </w:r>
      <w:r w:rsidR="009A5B3A">
        <w:rPr>
          <w:bCs/>
          <w:sz w:val="24"/>
          <w:szCs w:val="24"/>
        </w:rPr>
        <w:t>stanovuje</w:t>
      </w:r>
      <w:r>
        <w:rPr>
          <w:bCs/>
          <w:sz w:val="24"/>
          <w:szCs w:val="24"/>
        </w:rPr>
        <w:t xml:space="preserve"> dotáci</w:t>
      </w:r>
      <w:r w:rsidR="001D5DED">
        <w:rPr>
          <w:bCs/>
          <w:sz w:val="24"/>
          <w:szCs w:val="24"/>
        </w:rPr>
        <w:t>a vo výške 56 600 €</w:t>
      </w:r>
      <w:r w:rsidR="001D532A">
        <w:rPr>
          <w:bCs/>
          <w:sz w:val="24"/>
          <w:szCs w:val="24"/>
        </w:rPr>
        <w:t xml:space="preserve"> na nájomný byt</w:t>
      </w:r>
      <w:r w:rsidR="001D5DED">
        <w:rPr>
          <w:bCs/>
          <w:sz w:val="24"/>
          <w:szCs w:val="24"/>
        </w:rPr>
        <w:t>.</w:t>
      </w:r>
      <w:r w:rsidR="00FA0713">
        <w:rPr>
          <w:bCs/>
          <w:sz w:val="24"/>
          <w:szCs w:val="24"/>
        </w:rPr>
        <w:t xml:space="preserve"> Pre určenie dotácie je stanovený aj druhý limit, a to </w:t>
      </w:r>
      <w:r>
        <w:rPr>
          <w:bCs/>
          <w:sz w:val="24"/>
          <w:szCs w:val="24"/>
        </w:rPr>
        <w:t>80 % oprávnených nákladov stavby.</w:t>
      </w:r>
    </w:p>
    <w:p w:rsidR="007D5FCB" w:rsidRPr="007D5FCB" w:rsidRDefault="007D5FCB" w:rsidP="00145ED0">
      <w:pPr>
        <w:pStyle w:val="Zkladntext3"/>
        <w:spacing w:before="120" w:after="0"/>
        <w:rPr>
          <w:b/>
          <w:bCs/>
          <w:sz w:val="24"/>
          <w:szCs w:val="24"/>
        </w:rPr>
      </w:pPr>
      <w:r w:rsidRPr="007D5FCB">
        <w:rPr>
          <w:b/>
          <w:bCs/>
          <w:sz w:val="24"/>
          <w:szCs w:val="24"/>
        </w:rPr>
        <w:t>K § 2:</w:t>
      </w:r>
    </w:p>
    <w:p w:rsidR="007D5FCB" w:rsidRDefault="00FA0713" w:rsidP="00145ED0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Na</w:t>
      </w:r>
      <w:r w:rsidR="004D7A74">
        <w:rPr>
          <w:bCs/>
          <w:sz w:val="24"/>
          <w:szCs w:val="24"/>
        </w:rPr>
        <w:t xml:space="preserve"> obstaranie technickej vybavenosti</w:t>
      </w:r>
      <w:r w:rsidR="00085E10">
        <w:rPr>
          <w:bCs/>
          <w:sz w:val="24"/>
          <w:szCs w:val="24"/>
        </w:rPr>
        <w:t>, ktorá súvisí s obstaraním nájomných bytov pre riešenie sociálneho bývania</w:t>
      </w:r>
      <w:r w:rsidR="004D7A74">
        <w:rPr>
          <w:bCs/>
          <w:sz w:val="24"/>
          <w:szCs w:val="24"/>
        </w:rPr>
        <w:t xml:space="preserve"> sa navrhuje </w:t>
      </w:r>
      <w:r w:rsidR="001D5DED">
        <w:rPr>
          <w:bCs/>
          <w:sz w:val="24"/>
          <w:szCs w:val="24"/>
        </w:rPr>
        <w:t xml:space="preserve">výška dotácie pre jednotlivé druhy technickej vybavenosti </w:t>
      </w:r>
      <w:r w:rsidR="00612A26">
        <w:rPr>
          <w:bCs/>
          <w:sz w:val="24"/>
          <w:szCs w:val="24"/>
        </w:rPr>
        <w:t>na nájomný byt</w:t>
      </w:r>
      <w:r w:rsidR="00990C31">
        <w:rPr>
          <w:bCs/>
          <w:sz w:val="24"/>
          <w:szCs w:val="24"/>
        </w:rPr>
        <w:t>, avšak podiel</w:t>
      </w:r>
      <w:r w:rsidR="004D7A74">
        <w:rPr>
          <w:bCs/>
          <w:sz w:val="24"/>
          <w:szCs w:val="24"/>
        </w:rPr>
        <w:t xml:space="preserve"> možnej dotácie </w:t>
      </w:r>
      <w:r w:rsidR="00990C31">
        <w:rPr>
          <w:bCs/>
          <w:sz w:val="24"/>
          <w:szCs w:val="24"/>
        </w:rPr>
        <w:t xml:space="preserve">je limitovaný </w:t>
      </w:r>
      <w:r w:rsidR="004D7A74">
        <w:rPr>
          <w:bCs/>
          <w:sz w:val="24"/>
          <w:szCs w:val="24"/>
        </w:rPr>
        <w:t>70 % oprávnených nákladov</w:t>
      </w:r>
      <w:r w:rsidR="00990C31">
        <w:rPr>
          <w:bCs/>
          <w:sz w:val="24"/>
          <w:szCs w:val="24"/>
        </w:rPr>
        <w:t xml:space="preserve"> na obstaranie technickej vybavenosti. </w:t>
      </w:r>
      <w:r w:rsidR="004D7A74">
        <w:rPr>
          <w:bCs/>
          <w:sz w:val="24"/>
          <w:szCs w:val="24"/>
        </w:rPr>
        <w:t xml:space="preserve">Pre určenie </w:t>
      </w:r>
      <w:r w:rsidR="00085E10">
        <w:rPr>
          <w:bCs/>
          <w:sz w:val="24"/>
          <w:szCs w:val="24"/>
        </w:rPr>
        <w:t xml:space="preserve">výšky </w:t>
      </w:r>
      <w:r w:rsidR="004D7A74">
        <w:rPr>
          <w:bCs/>
          <w:sz w:val="24"/>
          <w:szCs w:val="24"/>
        </w:rPr>
        <w:t xml:space="preserve">dotácie </w:t>
      </w:r>
      <w:r w:rsidR="00085E10">
        <w:rPr>
          <w:bCs/>
          <w:sz w:val="24"/>
          <w:szCs w:val="24"/>
        </w:rPr>
        <w:t>sú</w:t>
      </w:r>
      <w:r w:rsidR="004D7A74">
        <w:rPr>
          <w:bCs/>
          <w:sz w:val="24"/>
          <w:szCs w:val="24"/>
        </w:rPr>
        <w:t xml:space="preserve"> rozhodujúce</w:t>
      </w:r>
      <w:r w:rsidR="00085E10">
        <w:rPr>
          <w:bCs/>
          <w:sz w:val="24"/>
          <w:szCs w:val="24"/>
        </w:rPr>
        <w:t xml:space="preserve"> oba limitujúce faktory</w:t>
      </w:r>
      <w:r w:rsidR="004D7A74">
        <w:rPr>
          <w:bCs/>
          <w:sz w:val="24"/>
          <w:szCs w:val="24"/>
        </w:rPr>
        <w:t xml:space="preserve">, </w:t>
      </w:r>
      <w:r w:rsidR="00085E10">
        <w:rPr>
          <w:bCs/>
          <w:sz w:val="24"/>
          <w:szCs w:val="24"/>
        </w:rPr>
        <w:t xml:space="preserve">t.j. podiel z oprávnených nákladov ako dotácia vypočítaná k počtu </w:t>
      </w:r>
      <w:r w:rsidR="007A4A4C">
        <w:rPr>
          <w:bCs/>
          <w:sz w:val="24"/>
          <w:szCs w:val="24"/>
        </w:rPr>
        <w:t>bytov</w:t>
      </w:r>
      <w:r w:rsidR="00085E10">
        <w:rPr>
          <w:bCs/>
          <w:sz w:val="24"/>
          <w:szCs w:val="24"/>
        </w:rPr>
        <w:t>, ktorých obstaranie podmieňuje.</w:t>
      </w:r>
      <w:r w:rsidR="00E00EA4">
        <w:rPr>
          <w:bCs/>
          <w:sz w:val="24"/>
          <w:szCs w:val="24"/>
        </w:rPr>
        <w:t xml:space="preserve"> </w:t>
      </w:r>
      <w:r w:rsidR="00EB4AA9">
        <w:rPr>
          <w:bCs/>
          <w:sz w:val="24"/>
          <w:szCs w:val="24"/>
        </w:rPr>
        <w:t>V</w:t>
      </w:r>
      <w:r w:rsidR="00E00EA4">
        <w:rPr>
          <w:bCs/>
          <w:sz w:val="24"/>
          <w:szCs w:val="24"/>
        </w:rPr>
        <w:t>ýsledn</w:t>
      </w:r>
      <w:r w:rsidR="001524C2">
        <w:rPr>
          <w:bCs/>
          <w:sz w:val="24"/>
          <w:szCs w:val="24"/>
        </w:rPr>
        <w:t>á</w:t>
      </w:r>
      <w:r w:rsidR="00E00EA4">
        <w:rPr>
          <w:bCs/>
          <w:sz w:val="24"/>
          <w:szCs w:val="24"/>
        </w:rPr>
        <w:t xml:space="preserve"> dotáci</w:t>
      </w:r>
      <w:r w:rsidR="001524C2">
        <w:rPr>
          <w:bCs/>
          <w:sz w:val="24"/>
          <w:szCs w:val="24"/>
        </w:rPr>
        <w:t>a</w:t>
      </w:r>
      <w:r w:rsidR="00E00EA4">
        <w:rPr>
          <w:bCs/>
          <w:sz w:val="24"/>
          <w:szCs w:val="24"/>
        </w:rPr>
        <w:t xml:space="preserve"> </w:t>
      </w:r>
      <w:r w:rsidR="00085E10">
        <w:rPr>
          <w:bCs/>
          <w:sz w:val="24"/>
          <w:szCs w:val="24"/>
        </w:rPr>
        <w:t>sa určí vo výške nižšej z uvedených hodnôt.</w:t>
      </w:r>
    </w:p>
    <w:p w:rsidR="00EB4AA9" w:rsidRDefault="00E00EA4" w:rsidP="00145ED0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Pre výstavbu</w:t>
      </w:r>
      <w:r w:rsidR="003E091D" w:rsidRPr="003E091D">
        <w:rPr>
          <w:bCs/>
          <w:sz w:val="24"/>
          <w:szCs w:val="24"/>
        </w:rPr>
        <w:t xml:space="preserve"> </w:t>
      </w:r>
      <w:r w:rsidR="003E091D">
        <w:rPr>
          <w:bCs/>
          <w:sz w:val="24"/>
          <w:szCs w:val="24"/>
        </w:rPr>
        <w:t>jednotlivých druhov</w:t>
      </w:r>
      <w:r>
        <w:rPr>
          <w:bCs/>
          <w:sz w:val="24"/>
          <w:szCs w:val="24"/>
        </w:rPr>
        <w:t xml:space="preserve"> technickej vybavenosti do rómskej osady </w:t>
      </w:r>
      <w:r w:rsidR="003E091D">
        <w:rPr>
          <w:bCs/>
          <w:sz w:val="24"/>
          <w:szCs w:val="24"/>
        </w:rPr>
        <w:t xml:space="preserve">je stanovený finančný limit </w:t>
      </w:r>
      <w:r w:rsidR="00EB4AA9">
        <w:rPr>
          <w:bCs/>
          <w:sz w:val="24"/>
          <w:szCs w:val="24"/>
        </w:rPr>
        <w:t xml:space="preserve">na 1 m dĺžky budovanej technickej vybavenosti. Zároveň sa stanovuje </w:t>
      </w:r>
      <w:r>
        <w:rPr>
          <w:bCs/>
          <w:sz w:val="24"/>
          <w:szCs w:val="24"/>
        </w:rPr>
        <w:t xml:space="preserve">možnosť poskytnutia dotácie </w:t>
      </w:r>
      <w:r w:rsidR="001375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 80 %  oprávnených nákladov</w:t>
      </w:r>
      <w:r w:rsidR="00C52656">
        <w:rPr>
          <w:bCs/>
          <w:sz w:val="24"/>
          <w:szCs w:val="24"/>
        </w:rPr>
        <w:t xml:space="preserve">. </w:t>
      </w:r>
      <w:r w:rsidR="00085E10">
        <w:rPr>
          <w:bCs/>
          <w:sz w:val="24"/>
          <w:szCs w:val="24"/>
        </w:rPr>
        <w:t>Pre určenie konečnej výšky platí vyššie uvedený postup.</w:t>
      </w:r>
    </w:p>
    <w:p w:rsidR="00673AC6" w:rsidRPr="00CB1EDE" w:rsidRDefault="00673AC6" w:rsidP="00673AC6">
      <w:pPr>
        <w:pStyle w:val="Zkladntext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EDE">
        <w:rPr>
          <w:rFonts w:ascii="Times New Roman" w:hAnsi="Times New Roman"/>
          <w:sz w:val="24"/>
          <w:szCs w:val="24"/>
        </w:rPr>
        <w:t xml:space="preserve">Podiel dotácie, ako aj absolútna výška dotácie na obstaranie technickej vybavenosti sú v návrhu stanovená tak, aby sa na financovaní podieľala aj obec a súčasne, aby bolo navrhované efektívne riešenie tejto investície podmieňujúcej prevádzku a užívanie bytov. </w:t>
      </w:r>
      <w:r w:rsidR="00533551" w:rsidRPr="00CB1EDE">
        <w:rPr>
          <w:rFonts w:ascii="Times New Roman" w:hAnsi="Times New Roman"/>
          <w:sz w:val="24"/>
          <w:szCs w:val="24"/>
        </w:rPr>
        <w:t>T</w:t>
      </w:r>
      <w:r w:rsidRPr="00CB1EDE">
        <w:rPr>
          <w:rFonts w:ascii="Times New Roman" w:hAnsi="Times New Roman"/>
          <w:sz w:val="24"/>
          <w:szCs w:val="24"/>
        </w:rPr>
        <w:t xml:space="preserve">echnická </w:t>
      </w:r>
      <w:r w:rsidRPr="00CB1EDE">
        <w:rPr>
          <w:rFonts w:ascii="Times New Roman" w:hAnsi="Times New Roman"/>
          <w:sz w:val="24"/>
          <w:szCs w:val="24"/>
        </w:rPr>
        <w:lastRenderedPageBreak/>
        <w:t>vybavenosť budovaná do rómskych osád má</w:t>
      </w:r>
      <w:r w:rsidR="00533551" w:rsidRPr="00CB1EDE">
        <w:rPr>
          <w:rFonts w:ascii="Times New Roman" w:hAnsi="Times New Roman"/>
          <w:sz w:val="24"/>
          <w:szCs w:val="24"/>
        </w:rPr>
        <w:t xml:space="preserve"> zlepšiť</w:t>
      </w:r>
      <w:r w:rsidRPr="00CB1EDE">
        <w:rPr>
          <w:rFonts w:ascii="Times New Roman" w:hAnsi="Times New Roman"/>
          <w:sz w:val="24"/>
          <w:szCs w:val="24"/>
        </w:rPr>
        <w:t xml:space="preserve"> soci</w:t>
      </w:r>
      <w:r w:rsidR="00533551" w:rsidRPr="00CB1EDE">
        <w:rPr>
          <w:rFonts w:ascii="Times New Roman" w:hAnsi="Times New Roman"/>
          <w:sz w:val="24"/>
          <w:szCs w:val="24"/>
        </w:rPr>
        <w:t>áln</w:t>
      </w:r>
      <w:r w:rsidRPr="00CB1EDE">
        <w:rPr>
          <w:rFonts w:ascii="Times New Roman" w:hAnsi="Times New Roman"/>
          <w:sz w:val="24"/>
          <w:szCs w:val="24"/>
        </w:rPr>
        <w:t>o</w:t>
      </w:r>
      <w:r w:rsidR="00533551" w:rsidRPr="00CB1EDE">
        <w:rPr>
          <w:rFonts w:ascii="Times New Roman" w:hAnsi="Times New Roman"/>
          <w:sz w:val="24"/>
          <w:szCs w:val="24"/>
        </w:rPr>
        <w:t>-kultúrnu</w:t>
      </w:r>
      <w:r w:rsidRPr="00CB1EDE">
        <w:rPr>
          <w:rFonts w:ascii="Times New Roman" w:hAnsi="Times New Roman"/>
          <w:sz w:val="24"/>
          <w:szCs w:val="24"/>
        </w:rPr>
        <w:t xml:space="preserve"> úrovne </w:t>
      </w:r>
      <w:r w:rsidR="00533551" w:rsidRPr="00CB1EDE">
        <w:rPr>
          <w:rFonts w:ascii="Times New Roman" w:hAnsi="Times New Roman"/>
          <w:sz w:val="24"/>
          <w:szCs w:val="24"/>
        </w:rPr>
        <w:t>obyvateľov týchto osád. V rámci osád nie je možné uvažovať o bytových jednotách, preto je v návrhu zvolená iná merná jednotka, ako v prípade nájomných bytov.</w:t>
      </w:r>
    </w:p>
    <w:p w:rsidR="007D5FCB" w:rsidRPr="007D5FCB" w:rsidRDefault="006B467D" w:rsidP="00533551">
      <w:pPr>
        <w:pStyle w:val="Zkladntext3"/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§ 3</w:t>
      </w:r>
      <w:r w:rsidR="007D5FCB" w:rsidRPr="007D5FCB">
        <w:rPr>
          <w:b/>
          <w:bCs/>
          <w:sz w:val="24"/>
          <w:szCs w:val="24"/>
        </w:rPr>
        <w:t>:</w:t>
      </w:r>
    </w:p>
    <w:p w:rsidR="00C805F5" w:rsidRDefault="006F5ADD" w:rsidP="00145ED0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Na odstránenie systémovej poruchy</w:t>
      </w:r>
      <w:r w:rsidR="00C805F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ak</w:t>
      </w:r>
      <w:r w:rsidR="00C805F5">
        <w:rPr>
          <w:bCs/>
          <w:sz w:val="24"/>
          <w:szCs w:val="24"/>
        </w:rPr>
        <w:t xml:space="preserve"> ide o poruchy balkónov, lodžií, </w:t>
      </w:r>
      <w:proofErr w:type="spellStart"/>
      <w:r w:rsidR="00C805F5">
        <w:rPr>
          <w:bCs/>
          <w:sz w:val="24"/>
          <w:szCs w:val="24"/>
        </w:rPr>
        <w:t>atiky</w:t>
      </w:r>
      <w:proofErr w:type="spellEnd"/>
      <w:r w:rsidR="00C805F5">
        <w:rPr>
          <w:bCs/>
          <w:sz w:val="24"/>
          <w:szCs w:val="24"/>
        </w:rPr>
        <w:t xml:space="preserve">, vystupujúcich konštrukcií  schodiskového priestoru </w:t>
      </w:r>
      <w:r>
        <w:rPr>
          <w:bCs/>
          <w:sz w:val="24"/>
          <w:szCs w:val="24"/>
        </w:rPr>
        <w:t xml:space="preserve">sa navrhuje poskytnutie dotácie vo výške 20 € na 1 m2 podlahovej plochy bytu. V tomto prípade je </w:t>
      </w:r>
      <w:r w:rsidR="00C805F5">
        <w:rPr>
          <w:bCs/>
          <w:sz w:val="24"/>
          <w:szCs w:val="24"/>
        </w:rPr>
        <w:t xml:space="preserve">podiel dotácie na odstránenie systémovej poruchy </w:t>
      </w:r>
      <w:r w:rsidR="007D46E3">
        <w:rPr>
          <w:bCs/>
          <w:sz w:val="24"/>
          <w:szCs w:val="24"/>
        </w:rPr>
        <w:t xml:space="preserve">najviac </w:t>
      </w:r>
      <w:r w:rsidR="00C805F5">
        <w:rPr>
          <w:bCs/>
          <w:sz w:val="24"/>
          <w:szCs w:val="24"/>
        </w:rPr>
        <w:t>70 % oprávnených nákladov</w:t>
      </w:r>
      <w:r w:rsidR="00085E10">
        <w:rPr>
          <w:bCs/>
          <w:sz w:val="24"/>
          <w:szCs w:val="24"/>
        </w:rPr>
        <w:t xml:space="preserve"> stavby</w:t>
      </w:r>
      <w:r w:rsidR="00C805F5">
        <w:rPr>
          <w:bCs/>
          <w:sz w:val="24"/>
          <w:szCs w:val="24"/>
        </w:rPr>
        <w:t xml:space="preserve">. </w:t>
      </w:r>
      <w:r w:rsidR="007D46E3">
        <w:rPr>
          <w:bCs/>
          <w:sz w:val="24"/>
          <w:szCs w:val="24"/>
        </w:rPr>
        <w:t xml:space="preserve">Ak </w:t>
      </w:r>
      <w:r w:rsidR="00C805F5">
        <w:rPr>
          <w:bCs/>
          <w:sz w:val="24"/>
          <w:szCs w:val="24"/>
        </w:rPr>
        <w:t xml:space="preserve">ide o poruchu </w:t>
      </w:r>
      <w:proofErr w:type="spellStart"/>
      <w:r w:rsidR="00C805F5">
        <w:rPr>
          <w:bCs/>
          <w:sz w:val="24"/>
          <w:szCs w:val="24"/>
        </w:rPr>
        <w:t>predsadenej</w:t>
      </w:r>
      <w:proofErr w:type="spellEnd"/>
      <w:r w:rsidR="00C805F5">
        <w:rPr>
          <w:bCs/>
          <w:sz w:val="24"/>
          <w:szCs w:val="24"/>
        </w:rPr>
        <w:t xml:space="preserve"> lodžie a súvisiaceho  obvodového plášťa  navrhuje sa</w:t>
      </w:r>
      <w:r w:rsidRPr="006F5A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poskytnutie dotácie vo výške 14 € na 1 m</w:t>
      </w:r>
      <w:r w:rsidR="000263F0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podlahovej plochy bytu, avšak</w:t>
      </w:r>
      <w:r w:rsidR="00C805F5">
        <w:rPr>
          <w:bCs/>
          <w:sz w:val="24"/>
          <w:szCs w:val="24"/>
        </w:rPr>
        <w:t xml:space="preserve"> </w:t>
      </w:r>
      <w:r w:rsidR="007D46E3">
        <w:rPr>
          <w:bCs/>
          <w:sz w:val="24"/>
          <w:szCs w:val="24"/>
        </w:rPr>
        <w:t xml:space="preserve">najviac </w:t>
      </w:r>
      <w:r w:rsidR="00C805F5">
        <w:rPr>
          <w:bCs/>
          <w:sz w:val="24"/>
          <w:szCs w:val="24"/>
        </w:rPr>
        <w:t>50 % oprávnených nákladov</w:t>
      </w:r>
      <w:r w:rsidR="00085E10">
        <w:rPr>
          <w:bCs/>
          <w:sz w:val="24"/>
          <w:szCs w:val="24"/>
        </w:rPr>
        <w:t xml:space="preserve"> stavby</w:t>
      </w:r>
      <w:r w:rsidR="00C805F5">
        <w:rPr>
          <w:bCs/>
          <w:sz w:val="24"/>
          <w:szCs w:val="24"/>
        </w:rPr>
        <w:t xml:space="preserve">. </w:t>
      </w:r>
      <w:r w:rsidR="007D46E3">
        <w:rPr>
          <w:bCs/>
          <w:sz w:val="24"/>
          <w:szCs w:val="24"/>
        </w:rPr>
        <w:t xml:space="preserve">V tomto prípade je dotácia nižšia, nakoľko odstránenie systémovej poruchy zateplením predstavuje pre </w:t>
      </w:r>
      <w:r w:rsidR="00177FE4">
        <w:rPr>
          <w:bCs/>
          <w:sz w:val="24"/>
          <w:szCs w:val="24"/>
        </w:rPr>
        <w:t xml:space="preserve">vlastníkov bytov v bytovom </w:t>
      </w:r>
      <w:r w:rsidR="007D46E3">
        <w:rPr>
          <w:bCs/>
          <w:sz w:val="24"/>
          <w:szCs w:val="24"/>
        </w:rPr>
        <w:t>dom</w:t>
      </w:r>
      <w:r w:rsidR="00177FE4">
        <w:rPr>
          <w:bCs/>
          <w:sz w:val="24"/>
          <w:szCs w:val="24"/>
        </w:rPr>
        <w:t>e</w:t>
      </w:r>
      <w:r w:rsidR="007D46E3">
        <w:rPr>
          <w:bCs/>
          <w:sz w:val="24"/>
          <w:szCs w:val="24"/>
        </w:rPr>
        <w:t xml:space="preserve">  úspory </w:t>
      </w:r>
      <w:r w:rsidR="00177FE4">
        <w:rPr>
          <w:bCs/>
          <w:sz w:val="24"/>
          <w:szCs w:val="24"/>
        </w:rPr>
        <w:t>pri vykurovaní bytov</w:t>
      </w:r>
      <w:r w:rsidR="007D46E3">
        <w:rPr>
          <w:bCs/>
          <w:sz w:val="24"/>
          <w:szCs w:val="24"/>
        </w:rPr>
        <w:t xml:space="preserve">. </w:t>
      </w:r>
      <w:r w:rsidR="00C805F5">
        <w:rPr>
          <w:bCs/>
          <w:sz w:val="24"/>
          <w:szCs w:val="24"/>
        </w:rPr>
        <w:t xml:space="preserve"> V obidvoch prípadoch sa navrhuje limit stanovený </w:t>
      </w:r>
      <w:r w:rsidR="00F3749E">
        <w:rPr>
          <w:bCs/>
          <w:sz w:val="24"/>
          <w:szCs w:val="24"/>
        </w:rPr>
        <w:t>na m</w:t>
      </w:r>
      <w:r w:rsidR="00F3749E" w:rsidRPr="00F3749E">
        <w:rPr>
          <w:bCs/>
          <w:sz w:val="24"/>
          <w:szCs w:val="24"/>
          <w:vertAlign w:val="superscript"/>
        </w:rPr>
        <w:t>2</w:t>
      </w:r>
      <w:r w:rsidR="00F3749E">
        <w:rPr>
          <w:bCs/>
          <w:sz w:val="24"/>
          <w:szCs w:val="24"/>
          <w:vertAlign w:val="superscript"/>
        </w:rPr>
        <w:t xml:space="preserve"> </w:t>
      </w:r>
      <w:r w:rsidR="001F6EFC">
        <w:rPr>
          <w:bCs/>
          <w:sz w:val="24"/>
          <w:szCs w:val="24"/>
        </w:rPr>
        <w:t>podlahovej plochy bytu tak, aby nedochádzalo k neefektívnemu vynakladaniu štátnych prostriedkov.</w:t>
      </w:r>
    </w:p>
    <w:p w:rsidR="00F3749E" w:rsidRDefault="00F3749E" w:rsidP="00533551">
      <w:pPr>
        <w:pStyle w:val="Zkladntext3"/>
        <w:spacing w:before="240" w:after="0"/>
        <w:rPr>
          <w:b/>
          <w:bCs/>
          <w:sz w:val="24"/>
          <w:szCs w:val="24"/>
        </w:rPr>
      </w:pPr>
      <w:r w:rsidRPr="00F3749E">
        <w:rPr>
          <w:b/>
          <w:bCs/>
          <w:sz w:val="24"/>
          <w:szCs w:val="24"/>
        </w:rPr>
        <w:t xml:space="preserve">K § </w:t>
      </w:r>
      <w:r w:rsidR="006B467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:</w:t>
      </w:r>
    </w:p>
    <w:p w:rsidR="00085E10" w:rsidRPr="00CB1EDE" w:rsidRDefault="00085E10" w:rsidP="00145ED0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E10">
        <w:rPr>
          <w:rFonts w:ascii="Times New Roman" w:hAnsi="Times New Roman"/>
          <w:sz w:val="24"/>
          <w:szCs w:val="24"/>
        </w:rPr>
        <w:t>Byty obstarávané s použitím dotácie sú určené na riešenie bývania sociálne slabších skupín obyvateľstva a občanov v hmotnej a sociálnej núdzi. Preto je záujmom štátu limitovať výšku nákladov ich obstarávania</w:t>
      </w:r>
      <w:r>
        <w:rPr>
          <w:rFonts w:ascii="Times New Roman" w:hAnsi="Times New Roman"/>
          <w:sz w:val="24"/>
          <w:szCs w:val="24"/>
        </w:rPr>
        <w:t>, nakoľko náklady na obstaranie sú východiskom pre určenie výšky nájmu v takto podporenom nájomnom byte</w:t>
      </w:r>
      <w:r w:rsidRPr="00085E10">
        <w:rPr>
          <w:rFonts w:ascii="Times New Roman" w:hAnsi="Times New Roman"/>
          <w:sz w:val="24"/>
          <w:szCs w:val="24"/>
        </w:rPr>
        <w:t>. Súčasne je nevyhnutné sledovať efektívne a </w:t>
      </w:r>
      <w:r w:rsidRPr="00CB1EDE">
        <w:rPr>
          <w:rFonts w:ascii="Times New Roman" w:hAnsi="Times New Roman"/>
          <w:sz w:val="24"/>
          <w:szCs w:val="24"/>
        </w:rPr>
        <w:t xml:space="preserve">ekonomické vynakladanie štátnych prostriedkov. </w:t>
      </w:r>
    </w:p>
    <w:p w:rsidR="00673AC6" w:rsidRPr="00CB1EDE" w:rsidRDefault="00673AC6" w:rsidP="00673AC6">
      <w:pPr>
        <w:pStyle w:val="Zkladntext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EDE">
        <w:rPr>
          <w:rFonts w:ascii="Times New Roman" w:hAnsi="Times New Roman"/>
          <w:sz w:val="24"/>
          <w:szCs w:val="24"/>
        </w:rPr>
        <w:t xml:space="preserve">Podiely dotácie pre obstaranie nájomných bytov boli stanovené s cieľom stimulovať </w:t>
      </w:r>
      <w:r w:rsidR="00533551" w:rsidRPr="00CB1EDE">
        <w:rPr>
          <w:rFonts w:ascii="Times New Roman" w:hAnsi="Times New Roman"/>
          <w:sz w:val="24"/>
          <w:szCs w:val="24"/>
        </w:rPr>
        <w:t>obstarávanie menších bytov</w:t>
      </w:r>
      <w:r w:rsidRPr="00CB1EDE">
        <w:rPr>
          <w:rFonts w:ascii="Times New Roman" w:hAnsi="Times New Roman"/>
          <w:sz w:val="24"/>
          <w:szCs w:val="24"/>
        </w:rPr>
        <w:t>, ktorými je možné lepšie zabezpečiť úlohu v oblasti poskytovania sociálneho bývania pre oprávnených žiadateľov. Pri stanovovaní výšky finančných limitov oprávnených nákladov boli objektivizované náklady</w:t>
      </w:r>
      <w:r w:rsidR="005C43AC" w:rsidRPr="00CB1EDE">
        <w:rPr>
          <w:rFonts w:ascii="Times New Roman" w:hAnsi="Times New Roman"/>
          <w:sz w:val="24"/>
          <w:szCs w:val="24"/>
        </w:rPr>
        <w:t>,</w:t>
      </w:r>
      <w:r w:rsidRPr="00CB1EDE">
        <w:rPr>
          <w:rFonts w:ascii="Times New Roman" w:hAnsi="Times New Roman"/>
          <w:sz w:val="24"/>
          <w:szCs w:val="24"/>
        </w:rPr>
        <w:t xml:space="preserve"> za ktoré je možné tejto typ stavieb obstarať. Oprávnené náklady sú východiskom pre určenie výšky nájomného v podporených nájomných bytoch a s prihliadnutím na skutočnosť, že tieto byty sú určená na bývanie pre sociálne slabé skupiny obyvateľstva je potrebné vytvoriť predpoklady, aby nájomné bolo čo najnižšie. </w:t>
      </w:r>
    </w:p>
    <w:p w:rsidR="00EB498F" w:rsidRDefault="00392A62" w:rsidP="00145ED0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Zákon upravuje, že v</w:t>
      </w:r>
      <w:r w:rsidR="007D46E3">
        <w:rPr>
          <w:bCs/>
          <w:sz w:val="24"/>
          <w:szCs w:val="24"/>
        </w:rPr>
        <w:t xml:space="preserve">ýška dotácie pre obstaranie nájomných bytov </w:t>
      </w:r>
      <w:r w:rsidR="002F447D" w:rsidRPr="002F447D">
        <w:rPr>
          <w:bCs/>
          <w:sz w:val="24"/>
          <w:szCs w:val="24"/>
        </w:rPr>
        <w:t xml:space="preserve">sa navrhuje </w:t>
      </w:r>
      <w:r w:rsidR="002F447D">
        <w:rPr>
          <w:bCs/>
          <w:sz w:val="24"/>
          <w:szCs w:val="24"/>
        </w:rPr>
        <w:t xml:space="preserve"> v závislosti od priemernej podlahovej plochy bytov  a spôsobu obstarávania nájomného bytu</w:t>
      </w:r>
      <w:r w:rsidR="007D46E3">
        <w:rPr>
          <w:bCs/>
          <w:sz w:val="24"/>
          <w:szCs w:val="24"/>
        </w:rPr>
        <w:t xml:space="preserve"> (výstavba, prestavba)</w:t>
      </w:r>
      <w:r w:rsidR="002F447D">
        <w:rPr>
          <w:bCs/>
          <w:sz w:val="24"/>
          <w:szCs w:val="24"/>
        </w:rPr>
        <w:t xml:space="preserve">. </w:t>
      </w:r>
    </w:p>
    <w:p w:rsidR="00392A62" w:rsidRDefault="00085E10" w:rsidP="00145ED0">
      <w:pPr>
        <w:pStyle w:val="Zkladntext3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92A62">
        <w:rPr>
          <w:bCs/>
          <w:sz w:val="24"/>
          <w:szCs w:val="24"/>
        </w:rPr>
        <w:t>V prípade, že ide o obstarávanie bytov s podlahovou plochou, ktorá nie je vyššia ako 50 m</w:t>
      </w:r>
      <w:r w:rsidR="00392A62" w:rsidRPr="002E2B23">
        <w:rPr>
          <w:bCs/>
          <w:sz w:val="24"/>
          <w:szCs w:val="24"/>
          <w:vertAlign w:val="superscript"/>
        </w:rPr>
        <w:t>2</w:t>
      </w:r>
      <w:r w:rsidR="00392A62">
        <w:rPr>
          <w:bCs/>
          <w:sz w:val="24"/>
          <w:szCs w:val="24"/>
        </w:rPr>
        <w:t xml:space="preserve"> limit oprávnených nákladov na m</w:t>
      </w:r>
      <w:r w:rsidR="00392A62" w:rsidRPr="00EB373D">
        <w:rPr>
          <w:bCs/>
          <w:sz w:val="24"/>
          <w:szCs w:val="24"/>
          <w:vertAlign w:val="superscript"/>
        </w:rPr>
        <w:t xml:space="preserve">2 </w:t>
      </w:r>
      <w:r w:rsidR="00392A62">
        <w:rPr>
          <w:bCs/>
          <w:sz w:val="24"/>
          <w:szCs w:val="24"/>
        </w:rPr>
        <w:t xml:space="preserve">podlahovej plochy sa navrhuje vo výške 900 eur a je vyšší v porovnaní s ďalšími možnosťami. Vychádza sa z toho, že vybavenie bytov základnými </w:t>
      </w:r>
      <w:proofErr w:type="spellStart"/>
      <w:r w:rsidR="00392A62">
        <w:rPr>
          <w:bCs/>
          <w:sz w:val="24"/>
          <w:szCs w:val="24"/>
        </w:rPr>
        <w:t>zariaďovacími</w:t>
      </w:r>
      <w:proofErr w:type="spellEnd"/>
      <w:r w:rsidR="00392A62">
        <w:rPr>
          <w:bCs/>
          <w:sz w:val="24"/>
          <w:szCs w:val="24"/>
        </w:rPr>
        <w:t xml:space="preserve"> predmetmi (vaňa, umývadlo, záchodová misa, batérie) vrátane  kuchynskej linke a pod. v menších bytoch je rovnaké  ako vo väčších bytoch.  Oprávnený náklad na 1 m</w:t>
      </w:r>
      <w:r w:rsidR="00392A62" w:rsidRPr="00A84728">
        <w:rPr>
          <w:bCs/>
          <w:sz w:val="24"/>
          <w:szCs w:val="24"/>
          <w:vertAlign w:val="superscript"/>
        </w:rPr>
        <w:t>2</w:t>
      </w:r>
      <w:r w:rsidR="00392A62">
        <w:rPr>
          <w:bCs/>
          <w:sz w:val="24"/>
          <w:szCs w:val="24"/>
        </w:rPr>
        <w:t xml:space="preserve"> pri menších bytoch je preto vyšší, ako oprávnený náklad na 1 m</w:t>
      </w:r>
      <w:r w:rsidR="00392A62" w:rsidRPr="00A84728">
        <w:rPr>
          <w:bCs/>
          <w:sz w:val="24"/>
          <w:szCs w:val="24"/>
          <w:vertAlign w:val="superscript"/>
        </w:rPr>
        <w:t xml:space="preserve">2 </w:t>
      </w:r>
      <w:r w:rsidR="00392A62">
        <w:rPr>
          <w:bCs/>
          <w:sz w:val="24"/>
          <w:szCs w:val="24"/>
        </w:rPr>
        <w:t xml:space="preserve">väčšieho bytu.  </w:t>
      </w:r>
    </w:p>
    <w:p w:rsidR="00392A62" w:rsidRDefault="00392A62" w:rsidP="00145ED0">
      <w:pPr>
        <w:pStyle w:val="Zkladntext3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 kontexte vyššie uvedeného v  prípade priemernej podlahovej plochy prevyšujúcej 50 m</w:t>
      </w:r>
      <w:r w:rsidRPr="001220C7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a neprevyšujúcej  56 m</w:t>
      </w:r>
      <w:r w:rsidRPr="001220C7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je oprávnený náklad na m</w:t>
      </w:r>
      <w:r w:rsidRPr="001220C7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nižší, a stanovuje sa na hodnotu 890 eur. Pri priemernej podlahovej ploche, ktorá prevyšuje 56 m</w:t>
      </w:r>
      <w:r w:rsidRPr="001220C7"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a neprevyšuje 60 m</w:t>
      </w:r>
      <w:r w:rsidRPr="001220C7"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je oprávnený náklad 880 eur na m</w:t>
      </w:r>
      <w:r w:rsidRPr="001220C7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.</w:t>
      </w:r>
    </w:p>
    <w:p w:rsidR="002E2B23" w:rsidRDefault="00392A62" w:rsidP="00145ED0">
      <w:pPr>
        <w:pStyle w:val="Zkladntext3"/>
        <w:spacing w:before="12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220C7">
        <w:rPr>
          <w:bCs/>
          <w:sz w:val="24"/>
          <w:szCs w:val="24"/>
        </w:rPr>
        <w:t xml:space="preserve">Obdobný postup sa navrhuje aj v prípade, </w:t>
      </w:r>
      <w:r w:rsidR="00855258">
        <w:rPr>
          <w:bCs/>
          <w:sz w:val="24"/>
          <w:szCs w:val="24"/>
        </w:rPr>
        <w:t>ak</w:t>
      </w:r>
      <w:r w:rsidR="001220C7">
        <w:rPr>
          <w:bCs/>
          <w:sz w:val="24"/>
          <w:szCs w:val="24"/>
        </w:rPr>
        <w:t xml:space="preserve"> sú obstarávané byty nižšieho štandardu. Pre priemernú podlahovú plochu bytov, ktorá neprevyšuje 45 m</w:t>
      </w:r>
      <w:r w:rsidR="001220C7" w:rsidRPr="001220C7">
        <w:rPr>
          <w:bCs/>
          <w:sz w:val="24"/>
          <w:szCs w:val="24"/>
          <w:vertAlign w:val="superscript"/>
        </w:rPr>
        <w:t>2</w:t>
      </w:r>
      <w:r w:rsidR="001220C7">
        <w:rPr>
          <w:bCs/>
          <w:sz w:val="24"/>
          <w:szCs w:val="24"/>
        </w:rPr>
        <w:t xml:space="preserve"> je oprávnený náklad na </w:t>
      </w:r>
      <w:r w:rsidR="001220C7" w:rsidRPr="001220C7">
        <w:rPr>
          <w:bCs/>
          <w:sz w:val="24"/>
          <w:szCs w:val="24"/>
        </w:rPr>
        <w:t>m</w:t>
      </w:r>
      <w:r w:rsidR="001220C7" w:rsidRPr="001220C7">
        <w:rPr>
          <w:bCs/>
          <w:sz w:val="24"/>
          <w:szCs w:val="24"/>
          <w:vertAlign w:val="superscript"/>
        </w:rPr>
        <w:t>2</w:t>
      </w:r>
      <w:r w:rsidR="001220C7">
        <w:rPr>
          <w:bCs/>
          <w:sz w:val="24"/>
          <w:szCs w:val="24"/>
        </w:rPr>
        <w:t xml:space="preserve"> </w:t>
      </w:r>
      <w:r w:rsidR="001220C7" w:rsidRPr="001220C7">
        <w:rPr>
          <w:bCs/>
          <w:sz w:val="24"/>
          <w:szCs w:val="24"/>
        </w:rPr>
        <w:t>vyšší</w:t>
      </w:r>
      <w:r w:rsidR="00B23A65">
        <w:rPr>
          <w:bCs/>
          <w:sz w:val="24"/>
          <w:szCs w:val="24"/>
        </w:rPr>
        <w:t xml:space="preserve"> v porovnaní s </w:t>
      </w:r>
      <w:r w:rsidR="001220C7">
        <w:rPr>
          <w:bCs/>
          <w:sz w:val="24"/>
          <w:szCs w:val="24"/>
        </w:rPr>
        <w:t>byt</w:t>
      </w:r>
      <w:r w:rsidR="00B23A65">
        <w:rPr>
          <w:bCs/>
          <w:sz w:val="24"/>
          <w:szCs w:val="24"/>
        </w:rPr>
        <w:t>mi</w:t>
      </w:r>
      <w:r w:rsidR="001220C7">
        <w:rPr>
          <w:bCs/>
          <w:sz w:val="24"/>
          <w:szCs w:val="24"/>
        </w:rPr>
        <w:t xml:space="preserve"> s priemernou podlahovou plochou</w:t>
      </w:r>
      <w:r w:rsidR="00B23A65">
        <w:rPr>
          <w:bCs/>
          <w:sz w:val="24"/>
          <w:szCs w:val="24"/>
        </w:rPr>
        <w:t xml:space="preserve">, ktorá prevyšuje </w:t>
      </w:r>
      <w:r w:rsidR="001220C7">
        <w:rPr>
          <w:bCs/>
          <w:sz w:val="24"/>
          <w:szCs w:val="24"/>
        </w:rPr>
        <w:t>45 m</w:t>
      </w:r>
      <w:r w:rsidR="001220C7" w:rsidRPr="00B23A65">
        <w:rPr>
          <w:bCs/>
          <w:sz w:val="24"/>
          <w:szCs w:val="24"/>
          <w:vertAlign w:val="superscript"/>
        </w:rPr>
        <w:t>2</w:t>
      </w:r>
      <w:r w:rsidR="001220C7">
        <w:rPr>
          <w:bCs/>
          <w:sz w:val="24"/>
          <w:szCs w:val="24"/>
        </w:rPr>
        <w:t xml:space="preserve"> </w:t>
      </w:r>
      <w:r w:rsidR="00B23A65">
        <w:rPr>
          <w:bCs/>
          <w:sz w:val="24"/>
          <w:szCs w:val="24"/>
        </w:rPr>
        <w:t xml:space="preserve">a neprevyšuje </w:t>
      </w:r>
      <w:r w:rsidR="001220C7">
        <w:rPr>
          <w:bCs/>
          <w:sz w:val="24"/>
          <w:szCs w:val="24"/>
        </w:rPr>
        <w:t>5</w:t>
      </w:r>
      <w:r w:rsidR="00B80853">
        <w:rPr>
          <w:bCs/>
          <w:sz w:val="24"/>
          <w:szCs w:val="24"/>
        </w:rPr>
        <w:t>5</w:t>
      </w:r>
      <w:r w:rsidR="001220C7">
        <w:rPr>
          <w:bCs/>
          <w:sz w:val="24"/>
          <w:szCs w:val="24"/>
        </w:rPr>
        <w:t xml:space="preserve"> m</w:t>
      </w:r>
      <w:r w:rsidR="001220C7" w:rsidRPr="00B23A65">
        <w:rPr>
          <w:bCs/>
          <w:sz w:val="24"/>
          <w:szCs w:val="24"/>
          <w:vertAlign w:val="superscript"/>
        </w:rPr>
        <w:t>2</w:t>
      </w:r>
      <w:r w:rsidR="00B23A65">
        <w:rPr>
          <w:bCs/>
          <w:sz w:val="24"/>
          <w:szCs w:val="24"/>
        </w:rPr>
        <w:t>.</w:t>
      </w:r>
      <w:r w:rsidR="001220C7">
        <w:rPr>
          <w:bCs/>
          <w:sz w:val="24"/>
          <w:szCs w:val="24"/>
        </w:rPr>
        <w:t xml:space="preserve"> </w:t>
      </w:r>
    </w:p>
    <w:p w:rsidR="00982C01" w:rsidRDefault="00982C01" w:rsidP="00533551">
      <w:pPr>
        <w:pStyle w:val="Zkladntext3"/>
        <w:spacing w:before="240" w:after="0"/>
        <w:rPr>
          <w:b/>
          <w:bCs/>
          <w:sz w:val="24"/>
          <w:szCs w:val="24"/>
        </w:rPr>
      </w:pPr>
      <w:r w:rsidRPr="00982C01">
        <w:rPr>
          <w:b/>
          <w:bCs/>
          <w:sz w:val="24"/>
          <w:szCs w:val="24"/>
        </w:rPr>
        <w:t xml:space="preserve">K § </w:t>
      </w:r>
      <w:r w:rsidR="006B467D">
        <w:rPr>
          <w:b/>
          <w:bCs/>
          <w:sz w:val="24"/>
          <w:szCs w:val="24"/>
        </w:rPr>
        <w:t>5</w:t>
      </w:r>
      <w:r w:rsidRPr="00982C01">
        <w:rPr>
          <w:b/>
          <w:bCs/>
          <w:sz w:val="24"/>
          <w:szCs w:val="24"/>
        </w:rPr>
        <w:t>:</w:t>
      </w:r>
    </w:p>
    <w:p w:rsidR="00310FC1" w:rsidRDefault="00982C01" w:rsidP="00533551">
      <w:pPr>
        <w:pStyle w:val="Zkladntext3"/>
        <w:spacing w:before="120" w:after="0"/>
        <w:ind w:firstLine="708"/>
        <w:rPr>
          <w:b/>
          <w:bCs/>
          <w:sz w:val="24"/>
          <w:szCs w:val="24"/>
        </w:rPr>
      </w:pPr>
      <w:r w:rsidRPr="00982C01">
        <w:rPr>
          <w:bCs/>
          <w:sz w:val="24"/>
          <w:szCs w:val="24"/>
        </w:rPr>
        <w:t xml:space="preserve">Ustanovenie </w:t>
      </w:r>
      <w:r w:rsidRPr="00982C01">
        <w:rPr>
          <w:sz w:val="24"/>
          <w:szCs w:val="24"/>
        </w:rPr>
        <w:t>upravuje účinnosť nariadenia</w:t>
      </w:r>
      <w:r w:rsidR="00F474D9">
        <w:rPr>
          <w:sz w:val="24"/>
          <w:szCs w:val="24"/>
        </w:rPr>
        <w:t xml:space="preserve"> vlády</w:t>
      </w:r>
      <w:r w:rsidRPr="00982C01">
        <w:rPr>
          <w:sz w:val="24"/>
          <w:szCs w:val="24"/>
        </w:rPr>
        <w:t>.</w:t>
      </w:r>
    </w:p>
    <w:sectPr w:rsidR="00310FC1" w:rsidSect="00533551">
      <w:headerReference w:type="default" r:id="rId7"/>
      <w:footerReference w:type="default" r:id="rId8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C6" w:rsidRDefault="00673AC6" w:rsidP="00133B7F">
      <w:pPr>
        <w:spacing w:after="0" w:line="240" w:lineRule="auto"/>
      </w:pPr>
      <w:r>
        <w:separator/>
      </w:r>
    </w:p>
  </w:endnote>
  <w:endnote w:type="continuationSeparator" w:id="0">
    <w:p w:rsidR="00673AC6" w:rsidRDefault="00673AC6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4764"/>
      <w:docPartObj>
        <w:docPartGallery w:val="Page Numbers (Bottom of Page)"/>
        <w:docPartUnique/>
      </w:docPartObj>
    </w:sdtPr>
    <w:sdtContent>
      <w:p w:rsidR="00673AC6" w:rsidRDefault="00DD2157">
        <w:pPr>
          <w:pStyle w:val="Pta"/>
          <w:jc w:val="center"/>
        </w:pPr>
        <w:fldSimple w:instr=" PAGE   \* MERGEFORMAT ">
          <w:r w:rsidR="00CB1EDE">
            <w:rPr>
              <w:noProof/>
            </w:rPr>
            <w:t>2</w:t>
          </w:r>
        </w:fldSimple>
      </w:p>
    </w:sdtContent>
  </w:sdt>
  <w:p w:rsidR="00673AC6" w:rsidRDefault="00673AC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C6" w:rsidRDefault="00673AC6" w:rsidP="00133B7F">
      <w:pPr>
        <w:spacing w:after="0" w:line="240" w:lineRule="auto"/>
      </w:pPr>
      <w:r>
        <w:separator/>
      </w:r>
    </w:p>
  </w:footnote>
  <w:footnote w:type="continuationSeparator" w:id="0">
    <w:p w:rsidR="00673AC6" w:rsidRDefault="00673AC6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C6" w:rsidRDefault="00673AC6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39"/>
    <w:rsid w:val="000263F0"/>
    <w:rsid w:val="00075EF5"/>
    <w:rsid w:val="00077B4A"/>
    <w:rsid w:val="00085E10"/>
    <w:rsid w:val="00086C2F"/>
    <w:rsid w:val="00087D9E"/>
    <w:rsid w:val="000979C7"/>
    <w:rsid w:val="000D5FBF"/>
    <w:rsid w:val="000E5E48"/>
    <w:rsid w:val="00117C3B"/>
    <w:rsid w:val="001220C7"/>
    <w:rsid w:val="00133B7F"/>
    <w:rsid w:val="00137593"/>
    <w:rsid w:val="00145660"/>
    <w:rsid w:val="00145ED0"/>
    <w:rsid w:val="001524C2"/>
    <w:rsid w:val="001552CE"/>
    <w:rsid w:val="00177FE4"/>
    <w:rsid w:val="00187EE8"/>
    <w:rsid w:val="001D532A"/>
    <w:rsid w:val="001D5DED"/>
    <w:rsid w:val="001E2454"/>
    <w:rsid w:val="001F2071"/>
    <w:rsid w:val="001F6EFC"/>
    <w:rsid w:val="00220224"/>
    <w:rsid w:val="00233D6C"/>
    <w:rsid w:val="00250BC0"/>
    <w:rsid w:val="00261110"/>
    <w:rsid w:val="00266D38"/>
    <w:rsid w:val="0027616B"/>
    <w:rsid w:val="00286206"/>
    <w:rsid w:val="0029131B"/>
    <w:rsid w:val="002E2B23"/>
    <w:rsid w:val="002F39F7"/>
    <w:rsid w:val="002F3F18"/>
    <w:rsid w:val="002F447D"/>
    <w:rsid w:val="002F44D8"/>
    <w:rsid w:val="00310FC1"/>
    <w:rsid w:val="00316961"/>
    <w:rsid w:val="003404AB"/>
    <w:rsid w:val="00392A62"/>
    <w:rsid w:val="003E091D"/>
    <w:rsid w:val="004123C4"/>
    <w:rsid w:val="0042301E"/>
    <w:rsid w:val="004932EF"/>
    <w:rsid w:val="004940BF"/>
    <w:rsid w:val="004B7491"/>
    <w:rsid w:val="004D7A74"/>
    <w:rsid w:val="004E113B"/>
    <w:rsid w:val="00533551"/>
    <w:rsid w:val="005611E2"/>
    <w:rsid w:val="0056447B"/>
    <w:rsid w:val="00597512"/>
    <w:rsid w:val="005C43AC"/>
    <w:rsid w:val="005F057D"/>
    <w:rsid w:val="006057C9"/>
    <w:rsid w:val="00611118"/>
    <w:rsid w:val="00612A26"/>
    <w:rsid w:val="00616C77"/>
    <w:rsid w:val="006336CB"/>
    <w:rsid w:val="006701A6"/>
    <w:rsid w:val="00673AC6"/>
    <w:rsid w:val="00690A3A"/>
    <w:rsid w:val="006A6EDD"/>
    <w:rsid w:val="006B467D"/>
    <w:rsid w:val="006D5838"/>
    <w:rsid w:val="006E383A"/>
    <w:rsid w:val="006F5ADD"/>
    <w:rsid w:val="007046A2"/>
    <w:rsid w:val="00712F07"/>
    <w:rsid w:val="00753546"/>
    <w:rsid w:val="007627D0"/>
    <w:rsid w:val="00774A8C"/>
    <w:rsid w:val="007A4A4C"/>
    <w:rsid w:val="007D46E3"/>
    <w:rsid w:val="007D5FCB"/>
    <w:rsid w:val="007D66EC"/>
    <w:rsid w:val="00855258"/>
    <w:rsid w:val="00897594"/>
    <w:rsid w:val="008C611A"/>
    <w:rsid w:val="008C6CF2"/>
    <w:rsid w:val="008F3F25"/>
    <w:rsid w:val="00944746"/>
    <w:rsid w:val="00982C01"/>
    <w:rsid w:val="00990C31"/>
    <w:rsid w:val="009A5B3A"/>
    <w:rsid w:val="009A7D5C"/>
    <w:rsid w:val="009D6108"/>
    <w:rsid w:val="009F7407"/>
    <w:rsid w:val="00A32FCA"/>
    <w:rsid w:val="00A46509"/>
    <w:rsid w:val="00A756E2"/>
    <w:rsid w:val="00A84728"/>
    <w:rsid w:val="00A93767"/>
    <w:rsid w:val="00A9603C"/>
    <w:rsid w:val="00A96E44"/>
    <w:rsid w:val="00AB45C4"/>
    <w:rsid w:val="00AD0A9A"/>
    <w:rsid w:val="00AD6855"/>
    <w:rsid w:val="00B23A65"/>
    <w:rsid w:val="00B32A55"/>
    <w:rsid w:val="00B34911"/>
    <w:rsid w:val="00B372FB"/>
    <w:rsid w:val="00B465E3"/>
    <w:rsid w:val="00B55BBC"/>
    <w:rsid w:val="00B670AA"/>
    <w:rsid w:val="00B80853"/>
    <w:rsid w:val="00BB1689"/>
    <w:rsid w:val="00BF0353"/>
    <w:rsid w:val="00C00462"/>
    <w:rsid w:val="00C52656"/>
    <w:rsid w:val="00C55793"/>
    <w:rsid w:val="00C77DDE"/>
    <w:rsid w:val="00C805F5"/>
    <w:rsid w:val="00C94FE6"/>
    <w:rsid w:val="00CB1EDE"/>
    <w:rsid w:val="00CC01C8"/>
    <w:rsid w:val="00CF1418"/>
    <w:rsid w:val="00CF5741"/>
    <w:rsid w:val="00D16AC8"/>
    <w:rsid w:val="00D33F34"/>
    <w:rsid w:val="00D45830"/>
    <w:rsid w:val="00DA4539"/>
    <w:rsid w:val="00DB4022"/>
    <w:rsid w:val="00DD2157"/>
    <w:rsid w:val="00DD40E7"/>
    <w:rsid w:val="00DD71EE"/>
    <w:rsid w:val="00E00EA4"/>
    <w:rsid w:val="00E10BAB"/>
    <w:rsid w:val="00E43F27"/>
    <w:rsid w:val="00E80B20"/>
    <w:rsid w:val="00EB373D"/>
    <w:rsid w:val="00EB498F"/>
    <w:rsid w:val="00EB4AA9"/>
    <w:rsid w:val="00EC0698"/>
    <w:rsid w:val="00EE25A5"/>
    <w:rsid w:val="00F1288F"/>
    <w:rsid w:val="00F3749E"/>
    <w:rsid w:val="00F474D9"/>
    <w:rsid w:val="00FA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character" w:customStyle="1" w:styleId="ppp-input-value">
    <w:name w:val="ppp-input-value"/>
    <w:basedOn w:val="Predvolenpsmoodseku"/>
    <w:rsid w:val="00286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hlavacova</cp:lastModifiedBy>
  <cp:revision>106</cp:revision>
  <cp:lastPrinted>2013-01-11T06:04:00Z</cp:lastPrinted>
  <dcterms:created xsi:type="dcterms:W3CDTF">2013-01-07T09:24:00Z</dcterms:created>
  <dcterms:modified xsi:type="dcterms:W3CDTF">2013-03-21T16:15:00Z</dcterms:modified>
</cp:coreProperties>
</file>