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F2" w:rsidRPr="003E3B6F" w:rsidRDefault="000A43F2" w:rsidP="000A43F2">
      <w:pPr>
        <w:spacing w:after="0" w:line="240" w:lineRule="auto"/>
        <w:jc w:val="center"/>
        <w:rPr>
          <w:rFonts w:eastAsia="Times New Roman"/>
          <w:b/>
          <w:bCs/>
          <w:caps/>
          <w:lang w:eastAsia="sk-SK"/>
        </w:rPr>
      </w:pPr>
      <w:r w:rsidRPr="003E3B6F">
        <w:rPr>
          <w:rFonts w:eastAsia="Times New Roman"/>
          <w:b/>
          <w:caps/>
          <w:lang w:eastAsia="sk-SK"/>
        </w:rPr>
        <w:t>Doložka</w:t>
      </w:r>
    </w:p>
    <w:p w:rsidR="000A43F2" w:rsidRPr="003E3B6F" w:rsidRDefault="000A43F2" w:rsidP="000A43F2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  <w:r w:rsidRPr="003E3B6F">
        <w:rPr>
          <w:rFonts w:eastAsia="Times New Roman"/>
          <w:b/>
          <w:spacing w:val="0"/>
          <w:lang w:eastAsia="sk-SK"/>
        </w:rPr>
        <w:t>vybraných vplyvov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0A43F2" w:rsidRPr="003F5593" w:rsidRDefault="000A43F2" w:rsidP="000A43F2">
      <w:pPr>
        <w:spacing w:after="0" w:line="240" w:lineRule="auto"/>
        <w:jc w:val="both"/>
        <w:rPr>
          <w:rFonts w:eastAsia="Times New Roman"/>
          <w:b/>
          <w:spacing w:val="0"/>
          <w:lang w:eastAsia="sk-SK"/>
        </w:rPr>
      </w:pPr>
      <w:r w:rsidRPr="003E3B6F">
        <w:rPr>
          <w:rFonts w:eastAsia="Times New Roman"/>
          <w:b/>
          <w:spacing w:val="0"/>
          <w:lang w:eastAsia="sk-SK"/>
        </w:rPr>
        <w:t>A.1. Názov materiálu:</w:t>
      </w:r>
      <w:r w:rsidRPr="003F5593">
        <w:rPr>
          <w:rFonts w:eastAsia="Times New Roman"/>
          <w:spacing w:val="0"/>
          <w:lang w:eastAsia="sk-SK"/>
        </w:rPr>
        <w:t xml:space="preserve"> Návrh nariadenia vlády Slovenskej republiky, ktorým sa</w:t>
      </w:r>
      <w:r w:rsidRPr="003F5593">
        <w:rPr>
          <w:rFonts w:eastAsia="Times New Roman"/>
          <w:spacing w:val="0"/>
          <w:lang w:eastAsia="cs-CZ"/>
        </w:rPr>
        <w:t xml:space="preserve"> mení a dopĺňa nariadenie vlády Slovenskej republiky č. 481/2011 Z. z., ktorým sa ustanovuje maximálna intenzita investičnej pomoci a výška investičnej pomoci podľa formy investičnej pomoci a miery nezamestnanosti v okresoch podľa jednotlivých regiónov Slovenskej republiky</w:t>
      </w:r>
      <w:r w:rsidRPr="003F5593">
        <w:rPr>
          <w:rFonts w:eastAsia="Times New Roman"/>
          <w:spacing w:val="0"/>
          <w:lang w:eastAsia="sk-SK"/>
        </w:rPr>
        <w:t>.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spacing w:val="0"/>
          <w:lang w:eastAsia="sk-SK"/>
        </w:rPr>
      </w:pPr>
    </w:p>
    <w:p w:rsidR="000A43F2" w:rsidRPr="003F5593" w:rsidRDefault="000A43F2" w:rsidP="000A43F2">
      <w:pPr>
        <w:spacing w:after="0" w:line="240" w:lineRule="auto"/>
        <w:rPr>
          <w:rFonts w:eastAsia="Times New Roman"/>
          <w:bCs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 xml:space="preserve">        Termín začatia a ukončenia PPK: -  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Cs/>
          <w:spacing w:val="0"/>
          <w:lang w:eastAsia="sk-SK"/>
        </w:rPr>
      </w:pPr>
    </w:p>
    <w:p w:rsidR="000A43F2" w:rsidRPr="003F5593" w:rsidRDefault="000A43F2" w:rsidP="000A43F2">
      <w:pPr>
        <w:spacing w:after="0" w:line="240" w:lineRule="auto"/>
        <w:rPr>
          <w:rFonts w:eastAsia="Times New Roman"/>
          <w:bCs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 Negatívne </w:t>
            </w:r>
          </w:p>
        </w:tc>
      </w:tr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</w:tr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</w:tr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</w:tr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</w:p>
        </w:tc>
      </w:tr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 xml:space="preserve">– sociálnu </w:t>
            </w:r>
            <w:proofErr w:type="spellStart"/>
            <w:r w:rsidRPr="003F5593">
              <w:rPr>
                <w:rFonts w:eastAsia="Times New Roman"/>
                <w:spacing w:val="0"/>
                <w:lang w:eastAsia="sk-SK"/>
              </w:rPr>
              <w:t>exklúziu</w:t>
            </w:r>
            <w:proofErr w:type="spellEnd"/>
            <w:r w:rsidRPr="003F5593">
              <w:rPr>
                <w:rFonts w:eastAsia="Times New Roman"/>
                <w:spacing w:val="0"/>
                <w:lang w:eastAsia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</w:tr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</w:tr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</w:tr>
      <w:tr w:rsidR="000A43F2" w:rsidRPr="003F5593" w:rsidTr="005F53A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  <w:r w:rsidRPr="003F5593">
              <w:rPr>
                <w:rFonts w:eastAsia="Times New Roman"/>
                <w:spacing w:val="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43F2" w:rsidRPr="003F5593" w:rsidRDefault="000A43F2" w:rsidP="005F53A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lang w:eastAsia="sk-SK"/>
              </w:rPr>
            </w:pPr>
          </w:p>
        </w:tc>
      </w:tr>
    </w:tbl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> 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Cs/>
          <w:spacing w:val="0"/>
          <w:lang w:eastAsia="sk-SK"/>
        </w:rPr>
      </w:pPr>
    </w:p>
    <w:p w:rsidR="000A43F2" w:rsidRPr="003E3B6F" w:rsidRDefault="000A43F2" w:rsidP="000A43F2">
      <w:pPr>
        <w:spacing w:after="0" w:line="240" w:lineRule="auto"/>
        <w:rPr>
          <w:rFonts w:eastAsia="Times New Roman"/>
          <w:b/>
          <w:bCs/>
          <w:spacing w:val="0"/>
          <w:lang w:eastAsia="sk-SK"/>
        </w:rPr>
      </w:pPr>
      <w:r w:rsidRPr="003E3B6F">
        <w:rPr>
          <w:rFonts w:eastAsia="Times New Roman"/>
          <w:b/>
          <w:spacing w:val="0"/>
          <w:lang w:eastAsia="sk-SK"/>
        </w:rPr>
        <w:t>A.3. Poznámky</w:t>
      </w:r>
    </w:p>
    <w:p w:rsidR="000A43F2" w:rsidRPr="00EE371E" w:rsidRDefault="00EE371E" w:rsidP="00EE371E">
      <w:pPr>
        <w:pStyle w:val="Normlnywebov"/>
        <w:spacing w:before="0" w:beforeAutospacing="0" w:after="0" w:afterAutospacing="0"/>
        <w:jc w:val="both"/>
      </w:pPr>
      <w:r>
        <w:rPr>
          <w:lang w:val="sk-SK"/>
        </w:rPr>
        <w:t xml:space="preserve">Výšku </w:t>
      </w:r>
      <w:r w:rsidRPr="000C6C8F">
        <w:t xml:space="preserve">vplyvu na </w:t>
      </w:r>
      <w:r w:rsidRPr="000C6C8F">
        <w:rPr>
          <w:lang w:val="sk-SK"/>
        </w:rPr>
        <w:t>verejné</w:t>
      </w:r>
      <w:r w:rsidRPr="000C6C8F">
        <w:t xml:space="preserve"> </w:t>
      </w:r>
      <w:r w:rsidRPr="000C6C8F">
        <w:rPr>
          <w:lang w:val="sk-SK"/>
        </w:rPr>
        <w:t>financie</w:t>
      </w:r>
      <w:r w:rsidRPr="000C6C8F">
        <w:t xml:space="preserve"> </w:t>
      </w:r>
      <w:r w:rsidRPr="000C6C8F">
        <w:rPr>
          <w:lang w:val="sk-SK"/>
        </w:rPr>
        <w:t>nie</w:t>
      </w:r>
      <w:r w:rsidRPr="000C6C8F">
        <w:t xml:space="preserve"> je možné </w:t>
      </w:r>
      <w:r w:rsidRPr="000C6C8F">
        <w:rPr>
          <w:lang w:val="sk-SK"/>
        </w:rPr>
        <w:t>explicitne</w:t>
      </w:r>
      <w:r w:rsidRPr="000C6C8F">
        <w:t xml:space="preserve"> </w:t>
      </w:r>
      <w:r w:rsidRPr="000C6C8F">
        <w:rPr>
          <w:lang w:val="sk-SK"/>
        </w:rPr>
        <w:t>určiť</w:t>
      </w:r>
      <w:r w:rsidRPr="000C6C8F">
        <w:t xml:space="preserve">, </w:t>
      </w:r>
      <w:r w:rsidRPr="000C6C8F">
        <w:rPr>
          <w:lang w:val="sk-SK"/>
        </w:rPr>
        <w:t>nakoľko</w:t>
      </w:r>
      <w:r w:rsidRPr="000C6C8F">
        <w:t xml:space="preserve"> </w:t>
      </w:r>
      <w:r w:rsidRPr="000C6C8F">
        <w:rPr>
          <w:lang w:val="sk-SK"/>
        </w:rPr>
        <w:t>nevieme</w:t>
      </w:r>
      <w:r w:rsidRPr="000C6C8F">
        <w:t xml:space="preserve"> </w:t>
      </w:r>
      <w:r w:rsidRPr="000C6C8F">
        <w:rPr>
          <w:lang w:val="sk-SK"/>
        </w:rPr>
        <w:t>určiť</w:t>
      </w:r>
      <w:r w:rsidRPr="000C6C8F">
        <w:t xml:space="preserve"> počet </w:t>
      </w:r>
      <w:r w:rsidRPr="000C6C8F">
        <w:rPr>
          <w:lang w:val="sk-SK"/>
        </w:rPr>
        <w:t>podporených</w:t>
      </w:r>
      <w:r w:rsidRPr="000C6C8F">
        <w:t xml:space="preserve"> </w:t>
      </w:r>
      <w:r w:rsidRPr="000C6C8F">
        <w:rPr>
          <w:lang w:val="sk-SK"/>
        </w:rPr>
        <w:t>investičných</w:t>
      </w:r>
      <w:r w:rsidRPr="000C6C8F">
        <w:t xml:space="preserve"> </w:t>
      </w:r>
      <w:r w:rsidRPr="000C6C8F">
        <w:rPr>
          <w:lang w:val="sk-SK"/>
        </w:rPr>
        <w:t>zámerov</w:t>
      </w:r>
      <w:r w:rsidRPr="000C6C8F">
        <w:t xml:space="preserve"> a ani formy a výšky </w:t>
      </w:r>
      <w:r w:rsidRPr="000C6C8F">
        <w:rPr>
          <w:lang w:val="sk-SK"/>
        </w:rPr>
        <w:t>požadovanej</w:t>
      </w:r>
      <w:r w:rsidRPr="000C6C8F">
        <w:t xml:space="preserve"> </w:t>
      </w:r>
      <w:r w:rsidRPr="000C6C8F">
        <w:rPr>
          <w:lang w:val="sk-SK"/>
        </w:rPr>
        <w:t>investičnej</w:t>
      </w:r>
      <w:r w:rsidRPr="000C6C8F">
        <w:t xml:space="preserve"> pomoci.</w:t>
      </w:r>
    </w:p>
    <w:p w:rsidR="000A43F2" w:rsidRPr="003E3B6F" w:rsidRDefault="000A43F2" w:rsidP="000A43F2">
      <w:pPr>
        <w:spacing w:after="0" w:line="240" w:lineRule="auto"/>
        <w:rPr>
          <w:rFonts w:eastAsia="Times New Roman"/>
          <w:b/>
          <w:i/>
          <w:iCs/>
          <w:spacing w:val="0"/>
          <w:lang w:eastAsia="sk-SK"/>
        </w:rPr>
      </w:pPr>
      <w:r w:rsidRPr="003E3B6F">
        <w:rPr>
          <w:rFonts w:eastAsia="Times New Roman"/>
          <w:b/>
          <w:i/>
          <w:iCs/>
          <w:spacing w:val="0"/>
          <w:lang w:eastAsia="sk-SK"/>
        </w:rPr>
        <w:t xml:space="preserve">      </w:t>
      </w:r>
    </w:p>
    <w:p w:rsidR="000A43F2" w:rsidRPr="003E3B6F" w:rsidRDefault="000A43F2" w:rsidP="000A43F2">
      <w:pPr>
        <w:spacing w:after="0" w:line="240" w:lineRule="auto"/>
        <w:rPr>
          <w:rFonts w:eastAsia="Times New Roman"/>
          <w:b/>
          <w:bCs/>
          <w:spacing w:val="0"/>
          <w:lang w:eastAsia="sk-SK"/>
        </w:rPr>
      </w:pPr>
      <w:r w:rsidRPr="003E3B6F">
        <w:rPr>
          <w:rFonts w:eastAsia="Times New Roman"/>
          <w:b/>
          <w:spacing w:val="0"/>
          <w:lang w:eastAsia="sk-SK"/>
        </w:rPr>
        <w:t>A.4. Alternatívne riešenia</w:t>
      </w:r>
    </w:p>
    <w:p w:rsidR="000A43F2" w:rsidRPr="003E3B6F" w:rsidRDefault="000A43F2" w:rsidP="000A43F2">
      <w:pPr>
        <w:spacing w:after="0" w:line="240" w:lineRule="auto"/>
        <w:rPr>
          <w:rFonts w:eastAsia="Times New Roman"/>
          <w:b/>
          <w:bCs/>
          <w:spacing w:val="0"/>
          <w:lang w:eastAsia="sk-SK"/>
        </w:rPr>
      </w:pPr>
      <w:r w:rsidRPr="003E3B6F">
        <w:rPr>
          <w:rFonts w:eastAsia="Times New Roman"/>
          <w:b/>
          <w:spacing w:val="0"/>
          <w:lang w:eastAsia="sk-SK"/>
        </w:rPr>
        <w:t> </w:t>
      </w:r>
      <w:bookmarkStart w:id="0" w:name="_GoBack"/>
      <w:bookmarkEnd w:id="0"/>
    </w:p>
    <w:p w:rsidR="000A43F2" w:rsidRPr="003E3B6F" w:rsidRDefault="000A43F2" w:rsidP="000A43F2">
      <w:pPr>
        <w:spacing w:after="0" w:line="240" w:lineRule="auto"/>
        <w:rPr>
          <w:rFonts w:eastAsia="Times New Roman"/>
          <w:b/>
          <w:bCs/>
          <w:spacing w:val="0"/>
          <w:lang w:eastAsia="sk-SK"/>
        </w:rPr>
      </w:pPr>
    </w:p>
    <w:p w:rsidR="000A43F2" w:rsidRPr="003E3B6F" w:rsidRDefault="000A43F2" w:rsidP="000A43F2">
      <w:pPr>
        <w:spacing w:after="0" w:line="240" w:lineRule="auto"/>
        <w:rPr>
          <w:rFonts w:eastAsia="Times New Roman"/>
          <w:b/>
          <w:bCs/>
          <w:spacing w:val="0"/>
          <w:lang w:eastAsia="sk-SK"/>
        </w:rPr>
      </w:pPr>
      <w:r w:rsidRPr="003E3B6F">
        <w:rPr>
          <w:rFonts w:eastAsia="Times New Roman"/>
          <w:b/>
          <w:spacing w:val="0"/>
          <w:lang w:eastAsia="sk-SK"/>
        </w:rPr>
        <w:t>A.5. Stanovisko gestorov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Cs/>
          <w:spacing w:val="0"/>
          <w:lang w:eastAsia="sk-SK"/>
        </w:rPr>
      </w:pP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>Ministerstvo životného prostredia SR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> 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>Ministerstvo práce, sociálnych vecí a rodiny SR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> 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 xml:space="preserve">Ministerstvo hospodárstva SR 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> 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  <w:r w:rsidRPr="003F5593">
        <w:rPr>
          <w:rFonts w:eastAsia="Times New Roman"/>
          <w:spacing w:val="0"/>
          <w:lang w:eastAsia="sk-SK"/>
        </w:rPr>
        <w:t xml:space="preserve">Ministerstvo financií SR </w:t>
      </w: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0A43F2" w:rsidRPr="003F5593" w:rsidRDefault="000A43F2" w:rsidP="000A43F2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2"/>
    <w:rsid w:val="000A43F2"/>
    <w:rsid w:val="00113AAF"/>
    <w:rsid w:val="00E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3F2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E371E"/>
    <w:pPr>
      <w:spacing w:before="100" w:beforeAutospacing="1" w:after="100" w:afterAutospacing="1" w:line="240" w:lineRule="auto"/>
    </w:pPr>
    <w:rPr>
      <w:rFonts w:eastAsia="Times New Roman"/>
      <w:spacing w:val="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3F2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E371E"/>
    <w:pPr>
      <w:spacing w:before="100" w:beforeAutospacing="1" w:after="100" w:afterAutospacing="1" w:line="240" w:lineRule="auto"/>
    </w:pPr>
    <w:rPr>
      <w:rFonts w:eastAsia="Times New Roman"/>
      <w:spacing w:val="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2012-11-23T10:40:00Z</dcterms:created>
  <dcterms:modified xsi:type="dcterms:W3CDTF">2013-02-05T11:16:00Z</dcterms:modified>
</cp:coreProperties>
</file>